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3998F" w14:textId="43CA6096" w:rsidR="002343E4" w:rsidRPr="00554FD8" w:rsidRDefault="0060246C" w:rsidP="00E11BC1">
      <w:pPr>
        <w:pBdr>
          <w:top w:val="nil"/>
          <w:left w:val="nil"/>
          <w:bottom w:val="nil"/>
          <w:right w:val="nil"/>
          <w:between w:val="nil"/>
        </w:pBdr>
        <w:tabs>
          <w:tab w:val="center" w:pos="4678"/>
          <w:tab w:val="right" w:pos="8789"/>
        </w:tabs>
        <w:jc w:val="center"/>
        <w:rPr>
          <w:b/>
          <w:sz w:val="28"/>
          <w:szCs w:val="28"/>
        </w:rPr>
      </w:pPr>
      <w:bookmarkStart w:id="0" w:name="_GoBack"/>
      <w:bookmarkEnd w:id="0"/>
      <w:r w:rsidRPr="00554FD8">
        <w:rPr>
          <w:b/>
          <w:sz w:val="28"/>
          <w:szCs w:val="28"/>
        </w:rPr>
        <w:t>REPÚBLICA DE COLOMBIA</w:t>
      </w:r>
    </w:p>
    <w:p w14:paraId="425184FD" w14:textId="77777777" w:rsidR="00E11BC1" w:rsidRPr="00554FD8" w:rsidRDefault="00E11BC1">
      <w:pPr>
        <w:pBdr>
          <w:top w:val="nil"/>
          <w:left w:val="nil"/>
          <w:bottom w:val="nil"/>
          <w:right w:val="nil"/>
          <w:between w:val="nil"/>
        </w:pBdr>
        <w:tabs>
          <w:tab w:val="center" w:pos="4252"/>
          <w:tab w:val="right" w:pos="8504"/>
        </w:tabs>
        <w:jc w:val="center"/>
        <w:rPr>
          <w:b/>
          <w:sz w:val="28"/>
          <w:szCs w:val="28"/>
        </w:rPr>
      </w:pPr>
    </w:p>
    <w:p w14:paraId="28439990" w14:textId="476C9085" w:rsidR="002343E4" w:rsidRPr="00554FD8" w:rsidRDefault="00E11BC1">
      <w:pPr>
        <w:pBdr>
          <w:top w:val="nil"/>
          <w:left w:val="nil"/>
          <w:bottom w:val="nil"/>
          <w:right w:val="nil"/>
          <w:between w:val="nil"/>
        </w:pBdr>
        <w:tabs>
          <w:tab w:val="center" w:pos="4252"/>
          <w:tab w:val="right" w:pos="8504"/>
        </w:tabs>
        <w:jc w:val="center"/>
        <w:rPr>
          <w:b/>
          <w:sz w:val="28"/>
          <w:szCs w:val="28"/>
        </w:rPr>
      </w:pPr>
      <w:r w:rsidRPr="00554FD8">
        <w:rPr>
          <w:b/>
          <w:noProof/>
          <w:sz w:val="28"/>
          <w:szCs w:val="28"/>
          <w:lang w:val="en-US"/>
        </w:rPr>
        <w:drawing>
          <wp:inline distT="0" distB="0" distL="0" distR="0" wp14:anchorId="2AF10A72" wp14:editId="200FE320">
            <wp:extent cx="828000" cy="828000"/>
            <wp:effectExtent l="0" t="0" r="0" b="0"/>
            <wp:docPr id="7"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8"/>
                    <a:srcRect/>
                    <a:stretch>
                      <a:fillRect/>
                    </a:stretch>
                  </pic:blipFill>
                  <pic:spPr>
                    <a:xfrm>
                      <a:off x="0" y="0"/>
                      <a:ext cx="828000" cy="828000"/>
                    </a:xfrm>
                    <a:prstGeom prst="rect">
                      <a:avLst/>
                    </a:prstGeom>
                    <a:ln/>
                  </pic:spPr>
                </pic:pic>
              </a:graphicData>
            </a:graphic>
          </wp:inline>
        </w:drawing>
      </w:r>
    </w:p>
    <w:p w14:paraId="08A0A3E4" w14:textId="77777777" w:rsidR="002343E4" w:rsidRPr="00554FD8" w:rsidRDefault="002343E4">
      <w:pPr>
        <w:pBdr>
          <w:top w:val="nil"/>
          <w:left w:val="nil"/>
          <w:bottom w:val="nil"/>
          <w:right w:val="nil"/>
          <w:between w:val="nil"/>
        </w:pBdr>
        <w:tabs>
          <w:tab w:val="center" w:pos="4252"/>
          <w:tab w:val="right" w:pos="8504"/>
        </w:tabs>
        <w:jc w:val="center"/>
        <w:rPr>
          <w:b/>
          <w:sz w:val="28"/>
          <w:szCs w:val="28"/>
        </w:rPr>
      </w:pPr>
    </w:p>
    <w:p w14:paraId="69D6DE96" w14:textId="77777777" w:rsidR="002343E4" w:rsidRPr="00554FD8" w:rsidRDefault="0060246C" w:rsidP="00E11BC1">
      <w:pPr>
        <w:pBdr>
          <w:top w:val="nil"/>
          <w:left w:val="nil"/>
          <w:bottom w:val="nil"/>
          <w:right w:val="nil"/>
          <w:between w:val="nil"/>
        </w:pBdr>
        <w:tabs>
          <w:tab w:val="center" w:pos="4252"/>
          <w:tab w:val="right" w:pos="9214"/>
        </w:tabs>
        <w:jc w:val="center"/>
        <w:rPr>
          <w:b/>
          <w:sz w:val="28"/>
          <w:szCs w:val="28"/>
        </w:rPr>
      </w:pPr>
      <w:r w:rsidRPr="00554FD8">
        <w:rPr>
          <w:b/>
          <w:sz w:val="28"/>
          <w:szCs w:val="28"/>
        </w:rPr>
        <w:t>CORTE CONSTITUCIONAL</w:t>
      </w:r>
    </w:p>
    <w:p w14:paraId="28439996" w14:textId="4450E6F5" w:rsidR="002343E4" w:rsidRPr="00554FD8" w:rsidRDefault="0060246C" w:rsidP="0008653E">
      <w:pPr>
        <w:pBdr>
          <w:top w:val="nil"/>
          <w:left w:val="nil"/>
          <w:bottom w:val="nil"/>
          <w:right w:val="nil"/>
          <w:between w:val="nil"/>
        </w:pBdr>
        <w:tabs>
          <w:tab w:val="center" w:pos="4252"/>
          <w:tab w:val="right" w:pos="9214"/>
        </w:tabs>
        <w:jc w:val="center"/>
        <w:rPr>
          <w:b/>
          <w:sz w:val="28"/>
          <w:szCs w:val="28"/>
        </w:rPr>
      </w:pPr>
      <w:r w:rsidRPr="00554FD8">
        <w:rPr>
          <w:b/>
          <w:sz w:val="28"/>
          <w:szCs w:val="28"/>
        </w:rPr>
        <w:t>Sala Plena</w:t>
      </w:r>
    </w:p>
    <w:p w14:paraId="0FF56BB3" w14:textId="77777777" w:rsidR="0008653E" w:rsidRPr="00554FD8" w:rsidRDefault="0008653E" w:rsidP="002F655A">
      <w:pPr>
        <w:pBdr>
          <w:top w:val="nil"/>
          <w:left w:val="nil"/>
          <w:bottom w:val="nil"/>
          <w:right w:val="nil"/>
          <w:between w:val="nil"/>
        </w:pBdr>
        <w:tabs>
          <w:tab w:val="center" w:pos="4252"/>
          <w:tab w:val="right" w:pos="9214"/>
        </w:tabs>
        <w:rPr>
          <w:b/>
          <w:sz w:val="28"/>
          <w:szCs w:val="28"/>
        </w:rPr>
      </w:pPr>
    </w:p>
    <w:p w14:paraId="479AFC73" w14:textId="730392B5" w:rsidR="0008653E" w:rsidRPr="00554FD8" w:rsidRDefault="0060246C" w:rsidP="002F655A">
      <w:pPr>
        <w:jc w:val="center"/>
        <w:rPr>
          <w:b/>
          <w:sz w:val="28"/>
          <w:szCs w:val="28"/>
        </w:rPr>
      </w:pPr>
      <w:r w:rsidRPr="00AD0E5E">
        <w:rPr>
          <w:b/>
          <w:sz w:val="28"/>
          <w:szCs w:val="28"/>
        </w:rPr>
        <w:t xml:space="preserve">SENTENCIA </w:t>
      </w:r>
      <w:r w:rsidR="00557E8B" w:rsidRPr="00AD0E5E">
        <w:rPr>
          <w:b/>
          <w:sz w:val="28"/>
          <w:szCs w:val="28"/>
        </w:rPr>
        <w:t>C-</w:t>
      </w:r>
      <w:r w:rsidR="00720D70" w:rsidRPr="00AD0E5E">
        <w:rPr>
          <w:b/>
          <w:sz w:val="28"/>
          <w:szCs w:val="28"/>
        </w:rPr>
        <w:t>116</w:t>
      </w:r>
      <w:r w:rsidRPr="00AD0E5E">
        <w:rPr>
          <w:b/>
          <w:sz w:val="28"/>
          <w:szCs w:val="28"/>
        </w:rPr>
        <w:t xml:space="preserve"> DE 202</w:t>
      </w:r>
      <w:bookmarkStart w:id="1" w:name="_gjdgxs" w:colFirst="0" w:colLast="0"/>
      <w:bookmarkEnd w:id="1"/>
      <w:r w:rsidR="001A5115" w:rsidRPr="00AD0E5E">
        <w:rPr>
          <w:b/>
          <w:sz w:val="28"/>
          <w:szCs w:val="28"/>
        </w:rPr>
        <w:t>6</w:t>
      </w:r>
    </w:p>
    <w:p w14:paraId="12CF9463" w14:textId="77777777" w:rsidR="0008653E" w:rsidRPr="00554FD8" w:rsidRDefault="0008653E" w:rsidP="0008653E">
      <w:pPr>
        <w:jc w:val="center"/>
        <w:rPr>
          <w:b/>
          <w:sz w:val="28"/>
          <w:szCs w:val="28"/>
        </w:rPr>
      </w:pPr>
    </w:p>
    <w:p w14:paraId="28439998" w14:textId="2A0BE9D5" w:rsidR="002343E4" w:rsidRPr="00554FD8" w:rsidRDefault="0060246C">
      <w:pPr>
        <w:ind w:left="3969"/>
        <w:jc w:val="both"/>
        <w:rPr>
          <w:b/>
          <w:sz w:val="28"/>
          <w:szCs w:val="28"/>
        </w:rPr>
      </w:pPr>
      <w:r w:rsidRPr="00554FD8">
        <w:rPr>
          <w:b/>
          <w:sz w:val="28"/>
          <w:szCs w:val="28"/>
        </w:rPr>
        <w:t xml:space="preserve">Referencia: </w:t>
      </w:r>
      <w:r w:rsidRPr="00554FD8">
        <w:rPr>
          <w:sz w:val="28"/>
          <w:szCs w:val="28"/>
        </w:rPr>
        <w:t xml:space="preserve">expediente </w:t>
      </w:r>
      <w:r w:rsidR="001A5115" w:rsidRPr="00554FD8">
        <w:rPr>
          <w:sz w:val="28"/>
          <w:szCs w:val="28"/>
        </w:rPr>
        <w:t>D-15.963</w:t>
      </w:r>
    </w:p>
    <w:p w14:paraId="28439999" w14:textId="77777777" w:rsidR="002343E4" w:rsidRPr="00554FD8" w:rsidRDefault="002343E4">
      <w:pPr>
        <w:ind w:left="3969"/>
        <w:jc w:val="both"/>
        <w:rPr>
          <w:b/>
          <w:sz w:val="28"/>
          <w:szCs w:val="28"/>
        </w:rPr>
      </w:pPr>
    </w:p>
    <w:p w14:paraId="3BA3A024" w14:textId="310C7AC1" w:rsidR="00D852E9" w:rsidRPr="00554FD8" w:rsidRDefault="0060246C" w:rsidP="00D852E9">
      <w:pPr>
        <w:tabs>
          <w:tab w:val="left" w:pos="284"/>
        </w:tabs>
        <w:ind w:left="3969"/>
        <w:jc w:val="both"/>
        <w:rPr>
          <w:sz w:val="28"/>
          <w:szCs w:val="28"/>
        </w:rPr>
      </w:pPr>
      <w:r w:rsidRPr="00554FD8">
        <w:rPr>
          <w:b/>
          <w:sz w:val="28"/>
          <w:szCs w:val="28"/>
        </w:rPr>
        <w:t xml:space="preserve">Asunto: </w:t>
      </w:r>
      <w:r w:rsidR="00D852E9" w:rsidRPr="00554FD8">
        <w:rPr>
          <w:sz w:val="28"/>
          <w:szCs w:val="28"/>
        </w:rPr>
        <w:t xml:space="preserve">acción pública de inconstitucionalidad contra los artículos 336 y 337 </w:t>
      </w:r>
      <w:r w:rsidR="00236769" w:rsidRPr="00554FD8">
        <w:rPr>
          <w:sz w:val="28"/>
          <w:szCs w:val="28"/>
        </w:rPr>
        <w:t>(</w:t>
      </w:r>
      <w:r w:rsidR="00D852E9" w:rsidRPr="00554FD8">
        <w:rPr>
          <w:sz w:val="28"/>
          <w:szCs w:val="28"/>
        </w:rPr>
        <w:t>parciales</w:t>
      </w:r>
      <w:r w:rsidR="00236769" w:rsidRPr="00554FD8">
        <w:rPr>
          <w:sz w:val="28"/>
          <w:szCs w:val="28"/>
        </w:rPr>
        <w:t>)</w:t>
      </w:r>
      <w:r w:rsidR="00D852E9" w:rsidRPr="00554FD8">
        <w:rPr>
          <w:sz w:val="28"/>
          <w:szCs w:val="28"/>
        </w:rPr>
        <w:t xml:space="preserve"> de la Ley 2294 de 2023 “Por el cual se expide el Plan Nacional de Desarrollo 2022-2026 ‘Colombia Potencia Mundial de la Vida</w:t>
      </w:r>
      <w:r w:rsidR="002B510E" w:rsidRPr="00554FD8">
        <w:rPr>
          <w:sz w:val="28"/>
          <w:szCs w:val="28"/>
        </w:rPr>
        <w:t>’</w:t>
      </w:r>
      <w:r w:rsidR="00D852E9" w:rsidRPr="00554FD8">
        <w:rPr>
          <w:sz w:val="28"/>
          <w:szCs w:val="28"/>
        </w:rPr>
        <w:t>”</w:t>
      </w:r>
    </w:p>
    <w:p w14:paraId="2843999B" w14:textId="77777777" w:rsidR="002343E4" w:rsidRPr="00554FD8" w:rsidRDefault="002343E4" w:rsidP="001F1D34">
      <w:pPr>
        <w:jc w:val="both"/>
        <w:rPr>
          <w:sz w:val="28"/>
          <w:szCs w:val="28"/>
        </w:rPr>
      </w:pPr>
    </w:p>
    <w:p w14:paraId="2843999C" w14:textId="77777777" w:rsidR="002343E4" w:rsidRPr="00554FD8" w:rsidRDefault="0060246C">
      <w:pPr>
        <w:ind w:left="3969"/>
        <w:jc w:val="both"/>
        <w:rPr>
          <w:b/>
          <w:sz w:val="28"/>
          <w:szCs w:val="28"/>
        </w:rPr>
      </w:pPr>
      <w:r w:rsidRPr="00554FD8">
        <w:rPr>
          <w:b/>
          <w:sz w:val="28"/>
          <w:szCs w:val="28"/>
        </w:rPr>
        <w:t xml:space="preserve">Magistrado ponente: </w:t>
      </w:r>
    </w:p>
    <w:p w14:paraId="2843999D" w14:textId="77777777" w:rsidR="002343E4" w:rsidRPr="00554FD8" w:rsidRDefault="0060246C">
      <w:pPr>
        <w:ind w:left="3969"/>
        <w:jc w:val="both"/>
        <w:rPr>
          <w:sz w:val="28"/>
          <w:szCs w:val="28"/>
        </w:rPr>
      </w:pPr>
      <w:r w:rsidRPr="00554FD8">
        <w:rPr>
          <w:sz w:val="28"/>
          <w:szCs w:val="28"/>
        </w:rPr>
        <w:t>Juan Carlos Cortés González</w:t>
      </w:r>
    </w:p>
    <w:p w14:paraId="7CC1ED90" w14:textId="77777777" w:rsidR="0008653E" w:rsidRPr="00554FD8" w:rsidRDefault="0008653E">
      <w:pPr>
        <w:jc w:val="both"/>
        <w:rPr>
          <w:b/>
          <w:sz w:val="28"/>
          <w:szCs w:val="28"/>
        </w:rPr>
      </w:pPr>
    </w:p>
    <w:p w14:paraId="2843999F" w14:textId="1C60889B" w:rsidR="002343E4" w:rsidRPr="00554FD8" w:rsidRDefault="0060246C">
      <w:pPr>
        <w:jc w:val="both"/>
        <w:rPr>
          <w:sz w:val="28"/>
          <w:szCs w:val="28"/>
        </w:rPr>
      </w:pPr>
      <w:r w:rsidRPr="00AD0E5E">
        <w:rPr>
          <w:sz w:val="28"/>
          <w:szCs w:val="28"/>
        </w:rPr>
        <w:t xml:space="preserve">Bogotá D. C., </w:t>
      </w:r>
      <w:r w:rsidR="00720D70" w:rsidRPr="00AD0E5E">
        <w:rPr>
          <w:sz w:val="28"/>
          <w:szCs w:val="28"/>
        </w:rPr>
        <w:t>seis</w:t>
      </w:r>
      <w:r w:rsidRPr="00AD0E5E">
        <w:rPr>
          <w:sz w:val="28"/>
          <w:szCs w:val="28"/>
        </w:rPr>
        <w:t xml:space="preserve"> (</w:t>
      </w:r>
      <w:r w:rsidR="00720D70" w:rsidRPr="00AD0E5E">
        <w:rPr>
          <w:sz w:val="28"/>
          <w:szCs w:val="28"/>
        </w:rPr>
        <w:t>6</w:t>
      </w:r>
      <w:r w:rsidRPr="00AD0E5E">
        <w:rPr>
          <w:sz w:val="28"/>
          <w:szCs w:val="28"/>
        </w:rPr>
        <w:t xml:space="preserve">) de </w:t>
      </w:r>
      <w:r w:rsidR="00720D70" w:rsidRPr="00AD0E5E">
        <w:rPr>
          <w:sz w:val="28"/>
          <w:szCs w:val="28"/>
        </w:rPr>
        <w:t>mayo</w:t>
      </w:r>
      <w:r w:rsidRPr="00AD0E5E">
        <w:rPr>
          <w:sz w:val="28"/>
          <w:szCs w:val="28"/>
        </w:rPr>
        <w:t xml:space="preserve"> de dos mil veinti</w:t>
      </w:r>
      <w:r w:rsidR="001A5115" w:rsidRPr="00AD0E5E">
        <w:rPr>
          <w:sz w:val="28"/>
          <w:szCs w:val="28"/>
        </w:rPr>
        <w:t>séis</w:t>
      </w:r>
      <w:r w:rsidRPr="00AD0E5E">
        <w:rPr>
          <w:sz w:val="28"/>
          <w:szCs w:val="28"/>
        </w:rPr>
        <w:t xml:space="preserve"> (202</w:t>
      </w:r>
      <w:r w:rsidR="001A5115" w:rsidRPr="00AD0E5E">
        <w:rPr>
          <w:sz w:val="28"/>
          <w:szCs w:val="28"/>
        </w:rPr>
        <w:t>6</w:t>
      </w:r>
      <w:r w:rsidRPr="00AD0E5E">
        <w:rPr>
          <w:sz w:val="28"/>
          <w:szCs w:val="28"/>
        </w:rPr>
        <w:t>)</w:t>
      </w:r>
    </w:p>
    <w:p w14:paraId="284399A2" w14:textId="77777777" w:rsidR="002343E4" w:rsidRPr="00554FD8" w:rsidRDefault="002343E4">
      <w:pPr>
        <w:pBdr>
          <w:top w:val="nil"/>
          <w:left w:val="nil"/>
          <w:bottom w:val="nil"/>
          <w:right w:val="nil"/>
          <w:between w:val="nil"/>
        </w:pBdr>
        <w:tabs>
          <w:tab w:val="left" w:pos="284"/>
        </w:tabs>
        <w:jc w:val="both"/>
        <w:rPr>
          <w:sz w:val="28"/>
          <w:szCs w:val="28"/>
        </w:rPr>
      </w:pPr>
    </w:p>
    <w:p w14:paraId="64DC2BD1" w14:textId="20D571F9" w:rsidR="00CE50B5" w:rsidRPr="00554FD8" w:rsidRDefault="00E337E2" w:rsidP="00E337E2">
      <w:pPr>
        <w:spacing w:line="240" w:lineRule="atLeast"/>
        <w:jc w:val="both"/>
        <w:rPr>
          <w:sz w:val="28"/>
          <w:szCs w:val="28"/>
          <w:shd w:val="clear" w:color="auto" w:fill="FFFFFF"/>
        </w:rPr>
      </w:pPr>
      <w:r w:rsidRPr="00554FD8">
        <w:rPr>
          <w:sz w:val="28"/>
          <w:szCs w:val="28"/>
          <w:shd w:val="clear" w:color="auto" w:fill="FFFFFF"/>
        </w:rPr>
        <w:t xml:space="preserve">La Sala Plena de la Corte Constitucional, en ejercicio de sus atribuciones constitucionales y legales, en especial </w:t>
      </w:r>
      <w:r w:rsidR="001674F0" w:rsidRPr="00554FD8">
        <w:rPr>
          <w:sz w:val="28"/>
          <w:szCs w:val="28"/>
          <w:shd w:val="clear" w:color="auto" w:fill="FFFFFF"/>
        </w:rPr>
        <w:t xml:space="preserve">de </w:t>
      </w:r>
      <w:r w:rsidRPr="00554FD8">
        <w:rPr>
          <w:sz w:val="28"/>
          <w:szCs w:val="28"/>
          <w:shd w:val="clear" w:color="auto" w:fill="FFFFFF"/>
        </w:rPr>
        <w:t xml:space="preserve">las previstas en el artículo 241.4 de la Constitución Política, cumplidos todos los trámites y requisitos contemplados en el Decreto 2067 de 1991, ha proferido la </w:t>
      </w:r>
      <w:r w:rsidR="00EA0D66" w:rsidRPr="00554FD8">
        <w:rPr>
          <w:sz w:val="28"/>
          <w:szCs w:val="28"/>
          <w:shd w:val="clear" w:color="auto" w:fill="FFFFFF"/>
        </w:rPr>
        <w:t>presente</w:t>
      </w:r>
    </w:p>
    <w:p w14:paraId="5E1A05FF" w14:textId="77777777" w:rsidR="00CE50B5" w:rsidRPr="00554FD8" w:rsidRDefault="00CE50B5">
      <w:pPr>
        <w:jc w:val="both"/>
        <w:rPr>
          <w:sz w:val="28"/>
          <w:szCs w:val="28"/>
        </w:rPr>
      </w:pPr>
    </w:p>
    <w:p w14:paraId="213009AD" w14:textId="54E145B5" w:rsidR="00CE50B5" w:rsidRPr="00554FD8" w:rsidRDefault="00CE50B5" w:rsidP="00B74C76">
      <w:pPr>
        <w:jc w:val="center"/>
        <w:rPr>
          <w:b/>
          <w:sz w:val="28"/>
          <w:szCs w:val="28"/>
        </w:rPr>
      </w:pPr>
      <w:r w:rsidRPr="00554FD8">
        <w:rPr>
          <w:b/>
          <w:sz w:val="28"/>
          <w:szCs w:val="28"/>
        </w:rPr>
        <w:t>SENTENCIA</w:t>
      </w:r>
    </w:p>
    <w:p w14:paraId="3BD3DAA8" w14:textId="77777777" w:rsidR="00CE50B5" w:rsidRPr="00554FD8" w:rsidRDefault="00CE50B5" w:rsidP="009B5C94">
      <w:pPr>
        <w:tabs>
          <w:tab w:val="left" w:pos="284"/>
        </w:tabs>
        <w:jc w:val="both"/>
        <w:rPr>
          <w:b/>
          <w:sz w:val="28"/>
          <w:szCs w:val="28"/>
        </w:rPr>
      </w:pPr>
      <w:r w:rsidRPr="00554FD8">
        <w:rPr>
          <w:b/>
          <w:sz w:val="28"/>
          <w:szCs w:val="28"/>
        </w:rPr>
        <w:t>Síntesis de la decisión</w:t>
      </w:r>
    </w:p>
    <w:p w14:paraId="49782431" w14:textId="77777777" w:rsidR="00CE50B5" w:rsidRPr="00554FD8" w:rsidRDefault="00CE50B5" w:rsidP="00CE50B5">
      <w:pPr>
        <w:tabs>
          <w:tab w:val="left" w:pos="284"/>
        </w:tabs>
        <w:jc w:val="both"/>
        <w:rPr>
          <w:b/>
          <w:sz w:val="28"/>
          <w:szCs w:val="28"/>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3"/>
        <w:gridCol w:w="7689"/>
      </w:tblGrid>
      <w:tr w:rsidR="00CE50B5" w:rsidRPr="00554FD8" w14:paraId="485443EA" w14:textId="77777777" w:rsidTr="00D12B4C">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21113861" w14:textId="77777777" w:rsidR="00CE50B5" w:rsidRPr="00554FD8" w:rsidRDefault="00CE50B5" w:rsidP="00075E3C">
            <w:pPr>
              <w:pStyle w:val="paragraph"/>
              <w:spacing w:before="0" w:beforeAutospacing="0" w:after="0" w:afterAutospacing="0"/>
              <w:ind w:left="57" w:right="57"/>
              <w:jc w:val="center"/>
              <w:textAlignment w:val="baseline"/>
              <w:rPr>
                <w:sz w:val="20"/>
                <w:szCs w:val="20"/>
              </w:rPr>
            </w:pPr>
            <w:r w:rsidRPr="00554FD8">
              <w:rPr>
                <w:rStyle w:val="normaltextrun"/>
                <w:b/>
                <w:bCs/>
                <w:sz w:val="20"/>
                <w:szCs w:val="20"/>
              </w:rPr>
              <w:t>¿Qué estudió la Corte?</w:t>
            </w:r>
            <w:r w:rsidRPr="00554FD8">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048E288B" w14:textId="16516102" w:rsidR="00083199" w:rsidRPr="00554FD8" w:rsidRDefault="00083199" w:rsidP="00573FCC">
            <w:pPr>
              <w:widowControl w:val="0"/>
              <w:shd w:val="clear" w:color="auto" w:fill="FFFFFF"/>
              <w:ind w:left="57" w:right="57"/>
              <w:jc w:val="both"/>
              <w:textAlignment w:val="baseline"/>
              <w:rPr>
                <w:sz w:val="20"/>
                <w:szCs w:val="20"/>
              </w:rPr>
            </w:pPr>
            <w:r w:rsidRPr="00554FD8">
              <w:rPr>
                <w:sz w:val="20"/>
                <w:szCs w:val="20"/>
              </w:rPr>
              <w:t>La Corte Constitucional estudió una acción pública de inconstitucionalidad en contra de las expresiones “el Consejo Nacional Electoral” y “y en el Consejo Nacional Electoral por el Presidente de este órgano”</w:t>
            </w:r>
            <w:r w:rsidR="00FC4CAA">
              <w:rPr>
                <w:sz w:val="20"/>
                <w:szCs w:val="20"/>
              </w:rPr>
              <w:t>,</w:t>
            </w:r>
            <w:r w:rsidRPr="00554FD8">
              <w:rPr>
                <w:sz w:val="20"/>
                <w:szCs w:val="20"/>
              </w:rPr>
              <w:t xml:space="preserve"> contenidas en los artículos 336 y 337 de la Ley 2294 de 2023 – Plan Nacional de Desarrollo 2022-2026, respectivamente. Lo anterior, con fundamento en la vulneración de los artículos 151, 158, 349 y 352 de la Constitución. </w:t>
            </w:r>
          </w:p>
          <w:p w14:paraId="5EB9D204" w14:textId="5A693CE8" w:rsidR="00083199" w:rsidRPr="00554FD8" w:rsidRDefault="00083199" w:rsidP="00573FCC">
            <w:pPr>
              <w:widowControl w:val="0"/>
              <w:shd w:val="clear" w:color="auto" w:fill="FFFFFF"/>
              <w:ind w:left="57" w:right="57"/>
              <w:jc w:val="both"/>
              <w:textAlignment w:val="baseline"/>
              <w:rPr>
                <w:sz w:val="20"/>
                <w:szCs w:val="20"/>
              </w:rPr>
            </w:pPr>
            <w:r w:rsidRPr="00554FD8">
              <w:rPr>
                <w:sz w:val="20"/>
                <w:szCs w:val="20"/>
              </w:rPr>
              <w:t>En concreto, el demandante propuso dos cargos. En primer lugar, señaló que las normas acusadas desconoc</w:t>
            </w:r>
            <w:r w:rsidR="00610A1C" w:rsidRPr="00554FD8">
              <w:rPr>
                <w:sz w:val="20"/>
                <w:szCs w:val="20"/>
              </w:rPr>
              <w:t>en</w:t>
            </w:r>
            <w:r w:rsidRPr="00554FD8">
              <w:rPr>
                <w:sz w:val="20"/>
                <w:szCs w:val="20"/>
              </w:rPr>
              <w:t xml:space="preserve"> el principio de unidad de materia</w:t>
            </w:r>
            <w:r w:rsidR="0030365B" w:rsidRPr="00554FD8">
              <w:rPr>
                <w:sz w:val="20"/>
                <w:szCs w:val="20"/>
              </w:rPr>
              <w:t xml:space="preserve"> </w:t>
            </w:r>
            <w:r w:rsidRPr="00554FD8">
              <w:rPr>
                <w:sz w:val="20"/>
                <w:szCs w:val="20"/>
              </w:rPr>
              <w:t>porque la creación de la sección presupuestal independiente correspondiente al Consejo Nacional Electoral – CNE y el otorgamiento de facultades contractuales al presidente de dicha entidad no tienen relación alguna con la parte general de la Ley 2294 de 2023 – PND.</w:t>
            </w:r>
          </w:p>
          <w:p w14:paraId="777B17FD" w14:textId="6BDB8A8B" w:rsidR="00083199" w:rsidRPr="00554FD8" w:rsidRDefault="00083199" w:rsidP="00573FCC">
            <w:pPr>
              <w:widowControl w:val="0"/>
              <w:shd w:val="clear" w:color="auto" w:fill="FFFFFF"/>
              <w:ind w:left="57" w:right="57"/>
              <w:jc w:val="both"/>
              <w:textAlignment w:val="baseline"/>
              <w:rPr>
                <w:sz w:val="20"/>
                <w:szCs w:val="20"/>
              </w:rPr>
            </w:pPr>
            <w:r w:rsidRPr="00554FD8">
              <w:rPr>
                <w:sz w:val="20"/>
                <w:szCs w:val="20"/>
              </w:rPr>
              <w:t>En segundo lugar, indicó que las expresiones demandadas desconoc</w:t>
            </w:r>
            <w:r w:rsidR="00610A1C" w:rsidRPr="00554FD8">
              <w:rPr>
                <w:sz w:val="20"/>
                <w:szCs w:val="20"/>
              </w:rPr>
              <w:t>en</w:t>
            </w:r>
            <w:r w:rsidRPr="00554FD8">
              <w:rPr>
                <w:sz w:val="20"/>
                <w:szCs w:val="20"/>
              </w:rPr>
              <w:t xml:space="preserve"> la reserva de ley orgánica, en la medida que</w:t>
            </w:r>
            <w:r w:rsidR="00610A1C" w:rsidRPr="00554FD8">
              <w:rPr>
                <w:sz w:val="20"/>
                <w:szCs w:val="20"/>
              </w:rPr>
              <w:t xml:space="preserve"> </w:t>
            </w:r>
            <w:r w:rsidRPr="00554FD8">
              <w:rPr>
                <w:sz w:val="20"/>
                <w:szCs w:val="20"/>
              </w:rPr>
              <w:t xml:space="preserve">por medio de una ley ordinaria dichas normas regularon asuntos de naturaleza especial. Sobre el particular, </w:t>
            </w:r>
            <w:r w:rsidR="00FC4CAA">
              <w:rPr>
                <w:sz w:val="20"/>
                <w:szCs w:val="20"/>
              </w:rPr>
              <w:t>manifest</w:t>
            </w:r>
            <w:r w:rsidR="00FC4CAA" w:rsidRPr="00554FD8">
              <w:rPr>
                <w:sz w:val="20"/>
                <w:szCs w:val="20"/>
              </w:rPr>
              <w:t xml:space="preserve">ó </w:t>
            </w:r>
            <w:r w:rsidRPr="00554FD8">
              <w:rPr>
                <w:sz w:val="20"/>
                <w:szCs w:val="20"/>
              </w:rPr>
              <w:t>que el artículo 336 del PND modificó el Estatuto Orgánico del Presupuesto para que, en adelante, al CNE le correspond</w:t>
            </w:r>
            <w:r w:rsidR="00610A1C" w:rsidRPr="00554FD8">
              <w:rPr>
                <w:sz w:val="20"/>
                <w:szCs w:val="20"/>
              </w:rPr>
              <w:t>iera</w:t>
            </w:r>
            <w:r w:rsidRPr="00554FD8">
              <w:rPr>
                <w:sz w:val="20"/>
                <w:szCs w:val="20"/>
              </w:rPr>
              <w:t xml:space="preserve"> una sección independiente en la Ley del Presupuesto General de la Nación. Al respecto, aseguró que antes de la exp</w:t>
            </w:r>
            <w:r w:rsidR="00610A1C" w:rsidRPr="00554FD8">
              <w:rPr>
                <w:sz w:val="20"/>
                <w:szCs w:val="20"/>
              </w:rPr>
              <w:t>e</w:t>
            </w:r>
            <w:r w:rsidRPr="00554FD8">
              <w:rPr>
                <w:sz w:val="20"/>
                <w:szCs w:val="20"/>
              </w:rPr>
              <w:t>dición de la Ley 2294 de 2023</w:t>
            </w:r>
            <w:r w:rsidR="000C3CBC" w:rsidRPr="00554FD8">
              <w:rPr>
                <w:sz w:val="20"/>
                <w:szCs w:val="20"/>
              </w:rPr>
              <w:t xml:space="preserve">, </w:t>
            </w:r>
            <w:r w:rsidRPr="00554FD8">
              <w:rPr>
                <w:sz w:val="20"/>
                <w:szCs w:val="20"/>
              </w:rPr>
              <w:t xml:space="preserve">el presupuesto destinado a esa corporación se encontraba dentro de la sección presupuestal de la Registraduría Nacional del Estado Civil. En el mismo sentido, </w:t>
            </w:r>
            <w:r w:rsidR="00FC4CAA">
              <w:rPr>
                <w:sz w:val="20"/>
                <w:szCs w:val="20"/>
              </w:rPr>
              <w:t>expuso</w:t>
            </w:r>
            <w:r w:rsidR="00FC4CAA" w:rsidRPr="00554FD8">
              <w:rPr>
                <w:sz w:val="20"/>
                <w:szCs w:val="20"/>
              </w:rPr>
              <w:t xml:space="preserve"> </w:t>
            </w:r>
            <w:r w:rsidRPr="00554FD8">
              <w:rPr>
                <w:sz w:val="20"/>
                <w:szCs w:val="20"/>
              </w:rPr>
              <w:t>que el artículo 337 del PND modificó el mismo estatuto al otorgarle al CNE la capacidad de contratar y de comprometerse con cargo a las apropiaciones incorporadas en la respectiva sección.</w:t>
            </w:r>
          </w:p>
        </w:tc>
      </w:tr>
      <w:tr w:rsidR="00CE50B5" w:rsidRPr="00554FD8" w14:paraId="2239A3D1" w14:textId="77777777" w:rsidTr="00D12B4C">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63BE3D59" w14:textId="77777777" w:rsidR="00CE50B5" w:rsidRPr="00554FD8" w:rsidRDefault="00CE50B5" w:rsidP="00CB5A05">
            <w:pPr>
              <w:pStyle w:val="paragraph"/>
              <w:spacing w:before="0" w:beforeAutospacing="0" w:after="0" w:afterAutospacing="0"/>
              <w:ind w:left="57" w:right="57"/>
              <w:jc w:val="center"/>
              <w:textAlignment w:val="baseline"/>
              <w:rPr>
                <w:sz w:val="20"/>
                <w:szCs w:val="20"/>
              </w:rPr>
            </w:pPr>
            <w:r w:rsidRPr="00554FD8">
              <w:rPr>
                <w:rStyle w:val="normaltextrun"/>
                <w:b/>
                <w:bCs/>
                <w:sz w:val="20"/>
                <w:szCs w:val="20"/>
              </w:rPr>
              <w:t>¿Qué consideró la Corte?</w:t>
            </w:r>
            <w:r w:rsidRPr="00554FD8">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3C061A65" w14:textId="5F67E631" w:rsidR="00720D70" w:rsidRPr="00AD0E5E" w:rsidRDefault="00720D70" w:rsidP="00720D70">
            <w:pPr>
              <w:widowControl w:val="0"/>
              <w:tabs>
                <w:tab w:val="left" w:pos="426"/>
              </w:tabs>
              <w:ind w:left="57" w:right="57"/>
              <w:jc w:val="both"/>
              <w:rPr>
                <w:sz w:val="20"/>
                <w:szCs w:val="20"/>
              </w:rPr>
            </w:pPr>
            <w:r w:rsidRPr="00AD0E5E">
              <w:rPr>
                <w:sz w:val="20"/>
                <w:szCs w:val="20"/>
              </w:rPr>
              <w:t xml:space="preserve">Como cuestión previa, la Sala Plena consideró necesario completar las proposiciones jurídicas censuradas y analizar la constitucionalidad de la totalidad de los artículos 336 y 337 de la Ley 2294 de 2023. Lo anterior, con fundamento en los siguientes argumentos: (i) tal </w:t>
            </w:r>
            <w:r w:rsidR="008416E7" w:rsidRPr="00AD0E5E">
              <w:rPr>
                <w:sz w:val="20"/>
                <w:szCs w:val="20"/>
              </w:rPr>
              <w:t xml:space="preserve">y </w:t>
            </w:r>
            <w:r w:rsidRPr="00AD0E5E">
              <w:rPr>
                <w:sz w:val="20"/>
                <w:szCs w:val="20"/>
              </w:rPr>
              <w:t xml:space="preserve">como lo evidenció el viceprocurador general de la Nación resultaba necesario asegurar la coherencia normativa en el análisis de constitucionalidad; (ii) </w:t>
            </w:r>
            <w:r w:rsidR="0000612F" w:rsidRPr="00AD0E5E">
              <w:rPr>
                <w:sz w:val="20"/>
                <w:szCs w:val="20"/>
              </w:rPr>
              <w:t xml:space="preserve">los artículos 336 y 337 de la Ley 2294 de 2023 en su conjunto fueron introducidos en </w:t>
            </w:r>
            <w:r w:rsidR="002844B1" w:rsidRPr="00AD0E5E">
              <w:rPr>
                <w:sz w:val="20"/>
                <w:szCs w:val="20"/>
              </w:rPr>
              <w:t xml:space="preserve">esta </w:t>
            </w:r>
            <w:r w:rsidR="0000612F" w:rsidRPr="00AD0E5E">
              <w:rPr>
                <w:sz w:val="20"/>
                <w:szCs w:val="20"/>
              </w:rPr>
              <w:t xml:space="preserve">con el fin de darle independencia presupuestal al CNE y el legislador optó por reproducir la totalidad del contenido de los artículos 36 y 110 del Decreto 111 de 1996 </w:t>
            </w:r>
            <w:r w:rsidRPr="00AD0E5E">
              <w:rPr>
                <w:sz w:val="20"/>
                <w:szCs w:val="20"/>
              </w:rPr>
              <w:t xml:space="preserve">y (iii) </w:t>
            </w:r>
            <w:r w:rsidR="0000612F" w:rsidRPr="00AD0E5E">
              <w:rPr>
                <w:sz w:val="20"/>
                <w:szCs w:val="20"/>
              </w:rPr>
              <w:t>si se declara la inexequibilidad únicamente de las expresiones demandadas no tendría sentido ni coherencia revivir una sola parte de la anterior regulación</w:t>
            </w:r>
            <w:r w:rsidRPr="00AD0E5E">
              <w:rPr>
                <w:sz w:val="20"/>
                <w:szCs w:val="20"/>
              </w:rPr>
              <w:t xml:space="preserve">. </w:t>
            </w:r>
          </w:p>
          <w:p w14:paraId="54A72BDF" w14:textId="77777777" w:rsidR="00720D70" w:rsidRPr="00AD0E5E" w:rsidRDefault="00CB5A05" w:rsidP="00720D70">
            <w:pPr>
              <w:widowControl w:val="0"/>
              <w:pBdr>
                <w:top w:val="nil"/>
                <w:left w:val="nil"/>
                <w:bottom w:val="nil"/>
                <w:right w:val="nil"/>
                <w:between w:val="nil"/>
              </w:pBdr>
              <w:tabs>
                <w:tab w:val="left" w:pos="426"/>
              </w:tabs>
              <w:ind w:left="57" w:right="57"/>
              <w:jc w:val="both"/>
              <w:rPr>
                <w:sz w:val="20"/>
                <w:szCs w:val="20"/>
              </w:rPr>
            </w:pPr>
            <w:r w:rsidRPr="00AD0E5E">
              <w:rPr>
                <w:sz w:val="20"/>
                <w:szCs w:val="20"/>
              </w:rPr>
              <w:t xml:space="preserve">Posteriormente, la Sala identificó los siguientes problemas jurídicos a resolver: </w:t>
            </w:r>
          </w:p>
          <w:p w14:paraId="70D02D1C" w14:textId="77777777" w:rsidR="00720D70" w:rsidRPr="0088696B" w:rsidRDefault="00CB5A05" w:rsidP="00720D70">
            <w:pPr>
              <w:widowControl w:val="0"/>
              <w:pBdr>
                <w:top w:val="nil"/>
                <w:left w:val="nil"/>
                <w:bottom w:val="nil"/>
                <w:right w:val="nil"/>
                <w:between w:val="nil"/>
              </w:pBdr>
              <w:tabs>
                <w:tab w:val="left" w:pos="426"/>
              </w:tabs>
              <w:ind w:left="57" w:right="57"/>
              <w:jc w:val="both"/>
              <w:rPr>
                <w:sz w:val="20"/>
                <w:szCs w:val="20"/>
              </w:rPr>
            </w:pPr>
            <w:r w:rsidRPr="0088696B">
              <w:rPr>
                <w:sz w:val="20"/>
                <w:szCs w:val="20"/>
              </w:rPr>
              <w:t>(</w:t>
            </w:r>
            <w:r w:rsidR="00720D70" w:rsidRPr="0088696B">
              <w:rPr>
                <w:sz w:val="20"/>
                <w:szCs w:val="20"/>
              </w:rPr>
              <w:t>i) ¿Los artículos 336 y 337 de la Ley 2294 de 2023, que crean una sección presupuestal independiente para el CNE y otorgan facultades de contratación y ordenación del gasto a su presidente, respectivamente, desconocen el principio de unidad de materia (artículo 158 de la Constitución Política)</w:t>
            </w:r>
            <w:r w:rsidR="00720D70" w:rsidRPr="0088696B">
              <w:rPr>
                <w:sz w:val="20"/>
                <w:szCs w:val="20"/>
                <w:lang w:val="es-ES_tradnl" w:eastAsia="es-CO"/>
              </w:rPr>
              <w:t>?</w:t>
            </w:r>
            <w:r w:rsidR="00720D70" w:rsidRPr="0088696B">
              <w:rPr>
                <w:sz w:val="20"/>
                <w:szCs w:val="20"/>
              </w:rPr>
              <w:t xml:space="preserve">  </w:t>
            </w:r>
          </w:p>
          <w:p w14:paraId="12694B1A" w14:textId="535B4E1A" w:rsidR="00720D70" w:rsidRPr="00AD0E5E" w:rsidRDefault="00720D70" w:rsidP="00720D70">
            <w:pPr>
              <w:widowControl w:val="0"/>
              <w:pBdr>
                <w:top w:val="nil"/>
                <w:left w:val="nil"/>
                <w:bottom w:val="nil"/>
                <w:right w:val="nil"/>
                <w:between w:val="nil"/>
              </w:pBdr>
              <w:tabs>
                <w:tab w:val="left" w:pos="426"/>
              </w:tabs>
              <w:ind w:left="57" w:right="57"/>
              <w:jc w:val="both"/>
              <w:rPr>
                <w:b/>
                <w:sz w:val="20"/>
                <w:szCs w:val="20"/>
              </w:rPr>
            </w:pPr>
            <w:r w:rsidRPr="0088696B">
              <w:rPr>
                <w:sz w:val="20"/>
                <w:szCs w:val="20"/>
              </w:rPr>
              <w:t xml:space="preserve">(ii) ¿Los artículos 336 y 337 de la Ley 2294 de 2023 violan la reserva de ley orgánica (artículos 151 y 352 </w:t>
            </w:r>
            <w:r w:rsidRPr="00AD0E5E">
              <w:rPr>
                <w:sz w:val="20"/>
                <w:szCs w:val="20"/>
              </w:rPr>
              <w:t>superiores) al modificar el Estatuto Orgánico del Presupuesto para crear una sección presupuestal independiente para el</w:t>
            </w:r>
            <w:r w:rsidRPr="00AD0E5E">
              <w:rPr>
                <w:sz w:val="20"/>
                <w:szCs w:val="20"/>
                <w:lang w:val="es-ES_tradnl" w:eastAsia="es-CO"/>
              </w:rPr>
              <w:t xml:space="preserve"> CNE y otorgarle facultades de contratación y ordenación del gasto a su presidente, respectivamente, por medio de la ley del plan nacional de desarrollo? </w:t>
            </w:r>
          </w:p>
          <w:p w14:paraId="14447B44" w14:textId="623A1BE8" w:rsidR="00745030" w:rsidRPr="00554FD8" w:rsidRDefault="00CB5A05" w:rsidP="00720D70">
            <w:pPr>
              <w:widowControl w:val="0"/>
              <w:pBdr>
                <w:top w:val="nil"/>
                <w:left w:val="nil"/>
                <w:bottom w:val="nil"/>
                <w:right w:val="nil"/>
                <w:between w:val="nil"/>
              </w:pBdr>
              <w:tabs>
                <w:tab w:val="left" w:pos="426"/>
              </w:tabs>
              <w:ind w:left="57" w:right="57"/>
              <w:jc w:val="both"/>
              <w:rPr>
                <w:sz w:val="20"/>
                <w:szCs w:val="20"/>
              </w:rPr>
            </w:pPr>
            <w:r w:rsidRPr="00AD0E5E">
              <w:rPr>
                <w:sz w:val="20"/>
                <w:szCs w:val="20"/>
              </w:rPr>
              <w:t>Para responder los problemas jurídicos propuestos, la Sala</w:t>
            </w:r>
            <w:r w:rsidR="00720D70" w:rsidRPr="00AD0E5E">
              <w:rPr>
                <w:sz w:val="20"/>
                <w:szCs w:val="20"/>
              </w:rPr>
              <w:t xml:space="preserve"> advirtió que abordaría</w:t>
            </w:r>
            <w:r w:rsidRPr="00AD0E5E">
              <w:rPr>
                <w:sz w:val="20"/>
                <w:szCs w:val="20"/>
              </w:rPr>
              <w:t xml:space="preserve"> el análisis de cada cargo de manera independiente.</w:t>
            </w:r>
            <w:r w:rsidRPr="00554FD8">
              <w:rPr>
                <w:sz w:val="20"/>
                <w:szCs w:val="20"/>
              </w:rPr>
              <w:t xml:space="preserve"> </w:t>
            </w:r>
          </w:p>
        </w:tc>
      </w:tr>
      <w:tr w:rsidR="00CE50B5" w:rsidRPr="00554FD8" w14:paraId="47C7BD2B" w14:textId="77777777" w:rsidTr="00D12B4C">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184E40AD" w14:textId="77777777" w:rsidR="00CE50B5" w:rsidRPr="00554FD8" w:rsidRDefault="00CE50B5" w:rsidP="00075E3C">
            <w:pPr>
              <w:pStyle w:val="paragraph"/>
              <w:spacing w:before="0" w:beforeAutospacing="0" w:after="0" w:afterAutospacing="0"/>
              <w:ind w:left="57" w:right="57"/>
              <w:jc w:val="center"/>
              <w:textAlignment w:val="baseline"/>
              <w:rPr>
                <w:sz w:val="20"/>
                <w:szCs w:val="20"/>
              </w:rPr>
            </w:pPr>
            <w:r w:rsidRPr="00554FD8">
              <w:rPr>
                <w:rStyle w:val="normaltextrun"/>
                <w:b/>
                <w:bCs/>
                <w:sz w:val="20"/>
                <w:szCs w:val="20"/>
              </w:rPr>
              <w:t>¿Qué decidió la Corte?</w:t>
            </w:r>
            <w:r w:rsidRPr="00554FD8">
              <w:rPr>
                <w:rStyle w:val="eop"/>
                <w:sz w:val="20"/>
                <w:szCs w:val="20"/>
              </w:rPr>
              <w:t> </w:t>
            </w:r>
          </w:p>
        </w:tc>
        <w:tc>
          <w:tcPr>
            <w:tcW w:w="4358" w:type="pct"/>
            <w:tcBorders>
              <w:top w:val="single" w:sz="6" w:space="0" w:color="auto"/>
              <w:left w:val="single" w:sz="6" w:space="0" w:color="auto"/>
              <w:bottom w:val="single" w:sz="6" w:space="0" w:color="auto"/>
              <w:right w:val="single" w:sz="6" w:space="0" w:color="auto"/>
            </w:tcBorders>
            <w:vAlign w:val="center"/>
            <w:hideMark/>
          </w:tcPr>
          <w:p w14:paraId="08632781" w14:textId="77777777" w:rsidR="00E97073" w:rsidRPr="00AD0E5E" w:rsidRDefault="00E97073" w:rsidP="00E97073">
            <w:pPr>
              <w:widowControl w:val="0"/>
              <w:pBdr>
                <w:top w:val="nil"/>
                <w:left w:val="nil"/>
                <w:bottom w:val="nil"/>
                <w:right w:val="nil"/>
                <w:between w:val="nil"/>
              </w:pBdr>
              <w:tabs>
                <w:tab w:val="left" w:pos="426"/>
              </w:tabs>
              <w:ind w:left="57" w:right="57"/>
              <w:jc w:val="both"/>
              <w:rPr>
                <w:i/>
                <w:sz w:val="20"/>
                <w:szCs w:val="20"/>
              </w:rPr>
            </w:pPr>
            <w:r w:rsidRPr="00AD0E5E">
              <w:rPr>
                <w:i/>
                <w:sz w:val="20"/>
                <w:szCs w:val="20"/>
              </w:rPr>
              <w:t xml:space="preserve">El cargo por vulneración del principio de unidad de materia </w:t>
            </w:r>
          </w:p>
          <w:p w14:paraId="26C5C0D1" w14:textId="77777777" w:rsidR="00720D70" w:rsidRPr="00AD0E5E" w:rsidRDefault="00E97073" w:rsidP="00720D70">
            <w:pPr>
              <w:widowControl w:val="0"/>
              <w:pBdr>
                <w:top w:val="nil"/>
                <w:left w:val="nil"/>
                <w:bottom w:val="nil"/>
                <w:right w:val="nil"/>
                <w:between w:val="nil"/>
              </w:pBdr>
              <w:tabs>
                <w:tab w:val="left" w:pos="426"/>
              </w:tabs>
              <w:ind w:left="57" w:right="57"/>
              <w:jc w:val="both"/>
              <w:rPr>
                <w:sz w:val="20"/>
                <w:szCs w:val="20"/>
              </w:rPr>
            </w:pPr>
            <w:r w:rsidRPr="00AD0E5E">
              <w:rPr>
                <w:sz w:val="20"/>
                <w:szCs w:val="20"/>
              </w:rPr>
              <w:t xml:space="preserve">Para resolver esta censura, la Sala se refirió a las características del plan nacional de desarrollo y al principio de unidad de materia y su aplicabilidad al PND de acuerdo con la jurisprudencia constitucional. Sobre esto último, reiteró las reglas metodológicas establecidas en la Sentencia C-244 de 2025. </w:t>
            </w:r>
          </w:p>
          <w:p w14:paraId="454EB642" w14:textId="77777777" w:rsidR="00720D70" w:rsidRPr="00AD0E5E" w:rsidRDefault="00E97073" w:rsidP="00720D70">
            <w:pPr>
              <w:widowControl w:val="0"/>
              <w:pBdr>
                <w:top w:val="nil"/>
                <w:left w:val="nil"/>
                <w:bottom w:val="nil"/>
                <w:right w:val="nil"/>
                <w:between w:val="nil"/>
              </w:pBdr>
              <w:tabs>
                <w:tab w:val="left" w:pos="426"/>
              </w:tabs>
              <w:ind w:left="57" w:right="57"/>
              <w:jc w:val="both"/>
              <w:rPr>
                <w:bCs/>
                <w:iCs/>
                <w:sz w:val="20"/>
                <w:szCs w:val="20"/>
                <w:lang w:val="es-ES"/>
              </w:rPr>
            </w:pPr>
            <w:r w:rsidRPr="00AD0E5E">
              <w:rPr>
                <w:sz w:val="20"/>
                <w:szCs w:val="20"/>
              </w:rPr>
              <w:t xml:space="preserve">Posteriormente, resolvió el caso concreto. Al respecto, la Sala </w:t>
            </w:r>
            <w:r w:rsidR="00720D70" w:rsidRPr="00AD0E5E">
              <w:rPr>
                <w:bCs/>
                <w:iCs/>
                <w:sz w:val="20"/>
                <w:szCs w:val="20"/>
                <w:lang w:val="es-ES"/>
              </w:rPr>
              <w:t>evidenció que las normas acusadas modificaron la ley que contiene el Estatuto Orgánico del Presupuesto con carácter permanente, por lo que procedía la aplicación de un escrutinio estricto.</w:t>
            </w:r>
          </w:p>
          <w:p w14:paraId="35CA8ABA" w14:textId="77777777" w:rsidR="0088696B" w:rsidRPr="00AD0E5E" w:rsidRDefault="00720D70" w:rsidP="00070490">
            <w:pPr>
              <w:widowControl w:val="0"/>
              <w:pBdr>
                <w:top w:val="nil"/>
                <w:left w:val="nil"/>
                <w:bottom w:val="nil"/>
                <w:right w:val="nil"/>
                <w:between w:val="nil"/>
              </w:pBdr>
              <w:tabs>
                <w:tab w:val="left" w:pos="426"/>
              </w:tabs>
              <w:ind w:left="57" w:right="57"/>
              <w:jc w:val="both"/>
              <w:rPr>
                <w:sz w:val="20"/>
                <w:szCs w:val="20"/>
              </w:rPr>
            </w:pPr>
            <w:r w:rsidRPr="00AD0E5E">
              <w:rPr>
                <w:bCs/>
                <w:iCs/>
                <w:sz w:val="20"/>
                <w:szCs w:val="20"/>
                <w:lang w:val="es-ES"/>
              </w:rPr>
              <w:t xml:space="preserve">En principio, estableció que los artículos 336 y 337 del PND tenían naturaleza instrumental </w:t>
            </w:r>
            <w:r w:rsidRPr="00AD0E5E">
              <w:rPr>
                <w:sz w:val="20"/>
                <w:szCs w:val="20"/>
              </w:rPr>
              <w:t xml:space="preserve">por su ubicación </w:t>
            </w:r>
            <w:r w:rsidR="00070490" w:rsidRPr="00AD0E5E">
              <w:rPr>
                <w:sz w:val="20"/>
                <w:szCs w:val="20"/>
              </w:rPr>
              <w:t xml:space="preserve">y alcance </w:t>
            </w:r>
            <w:r w:rsidRPr="00AD0E5E">
              <w:rPr>
                <w:sz w:val="20"/>
                <w:szCs w:val="20"/>
              </w:rPr>
              <w:t>en la ley del PND</w:t>
            </w:r>
            <w:r w:rsidR="00070490" w:rsidRPr="00AD0E5E">
              <w:rPr>
                <w:sz w:val="20"/>
                <w:szCs w:val="20"/>
              </w:rPr>
              <w:t xml:space="preserve">. </w:t>
            </w:r>
          </w:p>
          <w:p w14:paraId="31CB4812" w14:textId="4EEDBB77" w:rsidR="0088696B" w:rsidRPr="00AD0E5E" w:rsidRDefault="00720D70" w:rsidP="00070490">
            <w:pPr>
              <w:widowControl w:val="0"/>
              <w:pBdr>
                <w:top w:val="nil"/>
                <w:left w:val="nil"/>
                <w:bottom w:val="nil"/>
                <w:right w:val="nil"/>
                <w:between w:val="nil"/>
              </w:pBdr>
              <w:tabs>
                <w:tab w:val="left" w:pos="426"/>
              </w:tabs>
              <w:ind w:left="57" w:right="57"/>
              <w:jc w:val="both"/>
              <w:rPr>
                <w:bCs/>
                <w:iCs/>
                <w:sz w:val="20"/>
                <w:szCs w:val="20"/>
                <w:lang w:val="es-ES"/>
              </w:rPr>
            </w:pPr>
            <w:r w:rsidRPr="00AD0E5E">
              <w:rPr>
                <w:bCs/>
                <w:iCs/>
                <w:sz w:val="20"/>
                <w:szCs w:val="20"/>
                <w:lang w:val="es-ES"/>
              </w:rPr>
              <w:t xml:space="preserve">Posteriormente, </w:t>
            </w:r>
            <w:r w:rsidR="0088696B" w:rsidRPr="00AD0E5E">
              <w:rPr>
                <w:bCs/>
                <w:iCs/>
                <w:sz w:val="20"/>
                <w:szCs w:val="20"/>
                <w:lang w:val="es-ES"/>
              </w:rPr>
              <w:t xml:space="preserve">señaló que las normas acusadas podrían relacionarse </w:t>
            </w:r>
            <w:r w:rsidR="002844B1" w:rsidRPr="00AD0E5E">
              <w:rPr>
                <w:bCs/>
                <w:i/>
                <w:iCs/>
                <w:sz w:val="20"/>
                <w:szCs w:val="20"/>
                <w:lang w:val="es-ES"/>
              </w:rPr>
              <w:t>prima facie</w:t>
            </w:r>
            <w:r w:rsidR="0088696B" w:rsidRPr="00AD0E5E">
              <w:rPr>
                <w:bCs/>
                <w:iCs/>
                <w:sz w:val="20"/>
                <w:szCs w:val="20"/>
                <w:lang w:val="es-ES"/>
              </w:rPr>
              <w:t xml:space="preserve"> con los ejes de “Convergencia Regional” y “Estabilidad Macroeconómica”, así como con los catalizadores de fortalecimiento institucional y dispositivos democráticos de participación. </w:t>
            </w:r>
          </w:p>
          <w:p w14:paraId="71A7CBC3" w14:textId="4BB596D0" w:rsidR="00720D70" w:rsidRPr="00AD0E5E" w:rsidRDefault="0088696B" w:rsidP="0088696B">
            <w:pPr>
              <w:widowControl w:val="0"/>
              <w:pBdr>
                <w:top w:val="nil"/>
                <w:left w:val="nil"/>
                <w:bottom w:val="nil"/>
                <w:right w:val="nil"/>
                <w:between w:val="nil"/>
              </w:pBdr>
              <w:tabs>
                <w:tab w:val="left" w:pos="426"/>
              </w:tabs>
              <w:ind w:left="57" w:right="57"/>
              <w:jc w:val="both"/>
              <w:rPr>
                <w:bCs/>
                <w:iCs/>
                <w:sz w:val="20"/>
                <w:szCs w:val="20"/>
                <w:lang w:val="es-ES"/>
              </w:rPr>
            </w:pPr>
            <w:r w:rsidRPr="00AD0E5E">
              <w:rPr>
                <w:bCs/>
                <w:iCs/>
                <w:sz w:val="20"/>
                <w:szCs w:val="20"/>
                <w:lang w:val="es-ES"/>
              </w:rPr>
              <w:t xml:space="preserve">No obstante, </w:t>
            </w:r>
            <w:r w:rsidR="00720D70" w:rsidRPr="00AD0E5E">
              <w:rPr>
                <w:bCs/>
                <w:iCs/>
                <w:sz w:val="20"/>
                <w:szCs w:val="20"/>
                <w:lang w:val="es-ES"/>
              </w:rPr>
              <w:t xml:space="preserve">evidenció que </w:t>
            </w:r>
            <w:r w:rsidR="00720D70" w:rsidRPr="00AD0E5E">
              <w:rPr>
                <w:bCs/>
                <w:sz w:val="20"/>
                <w:szCs w:val="20"/>
              </w:rPr>
              <w:t xml:space="preserve">no se acreditó que existiera conexidad directa </w:t>
            </w:r>
            <w:r w:rsidRPr="00AD0E5E">
              <w:rPr>
                <w:bCs/>
                <w:sz w:val="20"/>
                <w:szCs w:val="20"/>
              </w:rPr>
              <w:t xml:space="preserve">e inmediata </w:t>
            </w:r>
            <w:r w:rsidR="00720D70" w:rsidRPr="00AD0E5E">
              <w:rPr>
                <w:bCs/>
                <w:sz w:val="20"/>
                <w:szCs w:val="20"/>
              </w:rPr>
              <w:t>entre los artículos acusados y un objetivo, meta, plan o estrategia de las Bases o con un rubro del Plan Plurianual de Inversiones</w:t>
            </w:r>
            <w:r w:rsidR="00720D70" w:rsidRPr="00AD0E5E" w:rsidDel="00CF5F5D">
              <w:rPr>
                <w:bCs/>
                <w:sz w:val="20"/>
                <w:szCs w:val="20"/>
              </w:rPr>
              <w:t xml:space="preserve"> </w:t>
            </w:r>
            <w:r w:rsidR="00720D70" w:rsidRPr="00AD0E5E">
              <w:rPr>
                <w:bCs/>
                <w:sz w:val="20"/>
                <w:szCs w:val="20"/>
              </w:rPr>
              <w:t>del Plan Nacional de Desarrollo.</w:t>
            </w:r>
            <w:r w:rsidR="00070490" w:rsidRPr="00AD0E5E">
              <w:rPr>
                <w:bCs/>
                <w:sz w:val="20"/>
                <w:szCs w:val="20"/>
              </w:rPr>
              <w:t xml:space="preserve"> </w:t>
            </w:r>
            <w:r w:rsidR="00D55132" w:rsidRPr="00AD0E5E">
              <w:rPr>
                <w:bCs/>
                <w:iCs/>
                <w:sz w:val="20"/>
                <w:szCs w:val="20"/>
                <w:lang w:val="es-ES"/>
              </w:rPr>
              <w:t xml:space="preserve">Lo anterior, porque: (i) </w:t>
            </w:r>
            <w:r w:rsidR="00D55132" w:rsidRPr="00AD0E5E">
              <w:rPr>
                <w:sz w:val="20"/>
                <w:szCs w:val="20"/>
                <w:lang w:val="es-ES"/>
              </w:rPr>
              <w:t xml:space="preserve">si bien en las aludidas Bases del PND se mencionó el </w:t>
            </w:r>
            <w:r w:rsidR="00D55132" w:rsidRPr="00AD0E5E">
              <w:rPr>
                <w:sz w:val="20"/>
                <w:szCs w:val="20"/>
                <w:lang w:val="es-ES_tradnl" w:eastAsia="es-CO"/>
              </w:rPr>
              <w:t xml:space="preserve">fortalecimiento institucional, la participación ciudadana y el sistema político y electoral del país, se trata de referencias genéricas. </w:t>
            </w:r>
            <w:r w:rsidR="00D55132" w:rsidRPr="00AD0E5E">
              <w:rPr>
                <w:sz w:val="20"/>
                <w:szCs w:val="20"/>
                <w:lang w:val="es-ES"/>
              </w:rPr>
              <w:t xml:space="preserve">Además, ninguna línea de inversión, partida o proyecto del Plan Plurianual de Inversiones se refiere a la necesidad de adoptar los mecanismos previstos en las normas analizadas. </w:t>
            </w:r>
            <w:r w:rsidR="00D55132" w:rsidRPr="00AD0E5E">
              <w:rPr>
                <w:sz w:val="20"/>
                <w:szCs w:val="20"/>
                <w:lang w:val="es-ES_tradnl" w:eastAsia="es-CO"/>
              </w:rPr>
              <w:t>(ii)</w:t>
            </w:r>
            <w:r w:rsidR="00D55132" w:rsidRPr="00AD0E5E">
              <w:rPr>
                <w:sz w:val="20"/>
                <w:szCs w:val="20"/>
                <w:lang w:val="es-ES"/>
              </w:rPr>
              <w:t xml:space="preserve"> El</w:t>
            </w:r>
            <w:r w:rsidR="00D55132" w:rsidRPr="00AD0E5E">
              <w:rPr>
                <w:bCs/>
                <w:w w:val="105"/>
                <w:sz w:val="20"/>
                <w:szCs w:val="20"/>
              </w:rPr>
              <w:t xml:space="preserve"> eje de Convergencia Regional incluye proyectos de infraestructura física, conectividad y desarrollo territorial, pero ninguno asociado con la necesidad de que el CNE tenga autonomía presupuestal; (iii) aunque </w:t>
            </w:r>
            <w:r w:rsidR="00D55132" w:rsidRPr="00AD0E5E">
              <w:rPr>
                <w:sz w:val="20"/>
                <w:szCs w:val="20"/>
                <w:lang w:val="es-ES"/>
              </w:rPr>
              <w:t xml:space="preserve">las normas acusadas fueron incluidas en la sección del PND sobre estabilidad macroeconómica, ni en el trámite legislativo ni en el de revisión de constitucionalidad se acreditó la manera en que pudiera existir conexidad </w:t>
            </w:r>
            <w:r w:rsidRPr="00AD0E5E">
              <w:rPr>
                <w:sz w:val="20"/>
                <w:szCs w:val="20"/>
                <w:lang w:val="es-ES"/>
              </w:rPr>
              <w:t xml:space="preserve">directa e inmediata </w:t>
            </w:r>
            <w:r w:rsidR="00D55132" w:rsidRPr="00AD0E5E">
              <w:rPr>
                <w:sz w:val="20"/>
                <w:szCs w:val="20"/>
                <w:lang w:val="es-ES"/>
              </w:rPr>
              <w:t xml:space="preserve">entre la modificación de la ley orgánica del presupuesto en relación con el CNE y el cumplimiento de los objetivos del PND en esta materia. Finalmente, (iv) las normas objeto de control estuvieron sustentadas en la necesidad de asegurar la aplicación de otras normativas completamente ajenas al PND o en objetivos, fines o programas que no se corresponden con los de las Bases del plan o con el Plan Plurianual de Inversiones. </w:t>
            </w:r>
            <w:r w:rsidR="00D55132" w:rsidRPr="00AD0E5E">
              <w:rPr>
                <w:bCs/>
                <w:iCs/>
                <w:sz w:val="20"/>
                <w:szCs w:val="20"/>
                <w:lang w:val="es-ES"/>
              </w:rPr>
              <w:t>En consecuencia, se encontró que las normas no contribuían a alcanzar algún objetivo, fin o programa de los referidos.</w:t>
            </w:r>
            <w:r w:rsidR="00D55132" w:rsidRPr="00AD0E5E">
              <w:rPr>
                <w:bCs/>
                <w:iCs/>
                <w:sz w:val="28"/>
                <w:szCs w:val="28"/>
                <w:lang w:val="es-ES"/>
              </w:rPr>
              <w:t xml:space="preserve">  </w:t>
            </w:r>
          </w:p>
          <w:p w14:paraId="326DAF5F" w14:textId="4461A49B" w:rsidR="00A04541" w:rsidRPr="00AD0E5E" w:rsidRDefault="00720D70" w:rsidP="00D55132">
            <w:pPr>
              <w:widowControl w:val="0"/>
              <w:pBdr>
                <w:top w:val="nil"/>
                <w:left w:val="nil"/>
                <w:bottom w:val="nil"/>
                <w:right w:val="nil"/>
                <w:between w:val="nil"/>
              </w:pBdr>
              <w:tabs>
                <w:tab w:val="left" w:pos="426"/>
              </w:tabs>
              <w:ind w:left="57" w:right="57"/>
              <w:jc w:val="both"/>
              <w:rPr>
                <w:sz w:val="20"/>
                <w:szCs w:val="20"/>
              </w:rPr>
            </w:pPr>
            <w:r w:rsidRPr="00AD0E5E">
              <w:rPr>
                <w:bCs/>
                <w:sz w:val="20"/>
                <w:szCs w:val="20"/>
              </w:rPr>
              <w:t xml:space="preserve">Por lo expuesto, </w:t>
            </w:r>
            <w:r w:rsidRPr="00AD0E5E">
              <w:rPr>
                <w:sz w:val="20"/>
                <w:szCs w:val="20"/>
              </w:rPr>
              <w:t>determinó que los artículos 336 y 337 de la Ley 2294 de 2023 eran contrarios a la Constitución Política por vulnerar el principio de unidad de materia y, por tal razón, debían ser expulsados del ordenamiento jurídico</w:t>
            </w:r>
            <w:r w:rsidR="00070490" w:rsidRPr="00AD0E5E">
              <w:rPr>
                <w:sz w:val="20"/>
                <w:szCs w:val="20"/>
              </w:rPr>
              <w:t xml:space="preserve">. Finalmente, </w:t>
            </w:r>
            <w:r w:rsidRPr="00AD0E5E">
              <w:rPr>
                <w:sz w:val="20"/>
                <w:szCs w:val="20"/>
              </w:rPr>
              <w:t xml:space="preserve">la Corte </w:t>
            </w:r>
            <w:r w:rsidR="00070490" w:rsidRPr="00AD0E5E">
              <w:rPr>
                <w:sz w:val="20"/>
                <w:szCs w:val="20"/>
              </w:rPr>
              <w:t xml:space="preserve">señaló </w:t>
            </w:r>
            <w:r w:rsidRPr="00AD0E5E">
              <w:rPr>
                <w:sz w:val="20"/>
                <w:szCs w:val="20"/>
              </w:rPr>
              <w:t>que</w:t>
            </w:r>
            <w:r w:rsidR="00070490" w:rsidRPr="00AD0E5E">
              <w:rPr>
                <w:sz w:val="20"/>
                <w:szCs w:val="20"/>
              </w:rPr>
              <w:t xml:space="preserve"> </w:t>
            </w:r>
            <w:r w:rsidRPr="00AD0E5E">
              <w:rPr>
                <w:sz w:val="20"/>
                <w:szCs w:val="20"/>
              </w:rPr>
              <w:t>al encontrarse acreditada la inexequibilidad de las normas acusadas no era necesario adelantar el estudio de la segunda censura propuesta por el demandante.</w:t>
            </w:r>
          </w:p>
          <w:p w14:paraId="3BED42B9" w14:textId="77777777" w:rsidR="00720D70" w:rsidRPr="00AD0E5E" w:rsidRDefault="00A04541" w:rsidP="00720D70">
            <w:pPr>
              <w:widowControl w:val="0"/>
              <w:pBdr>
                <w:top w:val="nil"/>
                <w:left w:val="nil"/>
                <w:bottom w:val="nil"/>
                <w:right w:val="nil"/>
                <w:between w:val="nil"/>
              </w:pBdr>
              <w:tabs>
                <w:tab w:val="left" w:pos="426"/>
              </w:tabs>
              <w:ind w:left="57" w:right="57"/>
              <w:jc w:val="both"/>
              <w:rPr>
                <w:i/>
                <w:sz w:val="20"/>
                <w:szCs w:val="20"/>
                <w:lang w:val="es-ES"/>
              </w:rPr>
            </w:pPr>
            <w:r w:rsidRPr="00AD0E5E">
              <w:rPr>
                <w:i/>
                <w:sz w:val="20"/>
                <w:szCs w:val="20"/>
                <w:lang w:val="es-ES"/>
              </w:rPr>
              <w:t xml:space="preserve">Remedios constitucionales </w:t>
            </w:r>
          </w:p>
          <w:p w14:paraId="74F127E6" w14:textId="7916B6DC" w:rsidR="00720D70" w:rsidRPr="00AD0E5E" w:rsidRDefault="00A04541" w:rsidP="00720D70">
            <w:pPr>
              <w:widowControl w:val="0"/>
              <w:pBdr>
                <w:top w:val="nil"/>
                <w:left w:val="nil"/>
                <w:bottom w:val="nil"/>
                <w:right w:val="nil"/>
                <w:between w:val="nil"/>
              </w:pBdr>
              <w:tabs>
                <w:tab w:val="left" w:pos="426"/>
              </w:tabs>
              <w:ind w:left="57" w:right="57"/>
              <w:jc w:val="both"/>
              <w:rPr>
                <w:iCs/>
                <w:sz w:val="20"/>
                <w:szCs w:val="20"/>
                <w:lang w:val="es-ES"/>
              </w:rPr>
            </w:pPr>
            <w:r w:rsidRPr="00AD0E5E">
              <w:rPr>
                <w:iCs/>
                <w:sz w:val="20"/>
                <w:szCs w:val="20"/>
                <w:lang w:val="es-ES"/>
              </w:rPr>
              <w:t xml:space="preserve">Al acreditarse que las normas demandadas desconocieron </w:t>
            </w:r>
            <w:r w:rsidR="00070490" w:rsidRPr="00AD0E5E">
              <w:rPr>
                <w:iCs/>
                <w:sz w:val="20"/>
                <w:szCs w:val="20"/>
                <w:lang w:val="es-ES"/>
              </w:rPr>
              <w:t>el</w:t>
            </w:r>
            <w:r w:rsidRPr="00AD0E5E">
              <w:rPr>
                <w:iCs/>
                <w:sz w:val="20"/>
                <w:szCs w:val="20"/>
                <w:lang w:val="es-ES"/>
              </w:rPr>
              <w:t xml:space="preserve"> principio de unidad de materia</w:t>
            </w:r>
            <w:r w:rsidR="00070490" w:rsidRPr="00AD0E5E">
              <w:rPr>
                <w:iCs/>
                <w:sz w:val="20"/>
                <w:szCs w:val="20"/>
                <w:lang w:val="es-ES"/>
              </w:rPr>
              <w:t xml:space="preserve">, </w:t>
            </w:r>
            <w:r w:rsidRPr="00AD0E5E">
              <w:rPr>
                <w:iCs/>
                <w:sz w:val="20"/>
                <w:szCs w:val="20"/>
                <w:lang w:val="es-ES"/>
              </w:rPr>
              <w:t>la Sala declaró la inexequibilidad de los artículos 336 y 337 de la Ley 2294 de 2023.  No obstante, en atención a que dichas normas implicaron una modificación estructural al Estatuto Orgánico del Presupuesto en materia de las secciones presupuestales de la Registraduría Nacional del Estado Civil y del Consejo Nacional Electoral</w:t>
            </w:r>
            <w:r w:rsidR="00FC4CAA" w:rsidRPr="00AD0E5E">
              <w:rPr>
                <w:iCs/>
                <w:sz w:val="20"/>
                <w:szCs w:val="20"/>
                <w:lang w:val="es-ES"/>
              </w:rPr>
              <w:t xml:space="preserve">, así como </w:t>
            </w:r>
            <w:r w:rsidRPr="00AD0E5E">
              <w:rPr>
                <w:iCs/>
                <w:sz w:val="20"/>
                <w:szCs w:val="20"/>
                <w:lang w:val="es-ES"/>
              </w:rPr>
              <w:t xml:space="preserve">de las facultades contractuales y de ordenación del gasto del presidente de esta última entidad, señaló que resultaba necesario </w:t>
            </w:r>
            <w:r w:rsidR="0094131C" w:rsidRPr="00AD0E5E">
              <w:rPr>
                <w:iCs/>
                <w:sz w:val="20"/>
                <w:szCs w:val="20"/>
                <w:lang w:val="es-ES"/>
              </w:rPr>
              <w:t>disponer</w:t>
            </w:r>
            <w:r w:rsidRPr="00AD0E5E">
              <w:rPr>
                <w:iCs/>
                <w:sz w:val="20"/>
                <w:szCs w:val="20"/>
                <w:lang w:val="es-ES"/>
              </w:rPr>
              <w:t xml:space="preserve"> la reviviscencia de los artículos 36 y 110 del Decreto 111 de 1996, en su versión anterior a la expedición de la Ley 2294 de 2023</w:t>
            </w:r>
            <w:r w:rsidR="00720D70" w:rsidRPr="00AD0E5E">
              <w:rPr>
                <w:iCs/>
                <w:sz w:val="20"/>
                <w:szCs w:val="20"/>
                <w:lang w:val="es-ES"/>
              </w:rPr>
              <w:t xml:space="preserve">. </w:t>
            </w:r>
          </w:p>
          <w:p w14:paraId="4F609883" w14:textId="2AA6E6F2" w:rsidR="00070490" w:rsidRPr="00AD0E5E" w:rsidRDefault="00720D70" w:rsidP="00070490">
            <w:pPr>
              <w:widowControl w:val="0"/>
              <w:pBdr>
                <w:top w:val="nil"/>
                <w:left w:val="nil"/>
                <w:bottom w:val="nil"/>
                <w:right w:val="nil"/>
                <w:between w:val="nil"/>
              </w:pBdr>
              <w:tabs>
                <w:tab w:val="left" w:pos="426"/>
              </w:tabs>
              <w:ind w:left="57" w:right="57"/>
              <w:jc w:val="both"/>
              <w:rPr>
                <w:sz w:val="20"/>
                <w:szCs w:val="20"/>
              </w:rPr>
            </w:pPr>
            <w:r w:rsidRPr="00AD0E5E">
              <w:rPr>
                <w:iCs/>
                <w:sz w:val="20"/>
                <w:szCs w:val="20"/>
                <w:lang w:val="es-ES"/>
              </w:rPr>
              <w:t xml:space="preserve">Además, </w:t>
            </w:r>
            <w:r w:rsidR="008416E7" w:rsidRPr="00AD0E5E">
              <w:rPr>
                <w:sz w:val="20"/>
                <w:szCs w:val="20"/>
              </w:rPr>
              <w:t>por el</w:t>
            </w:r>
            <w:r w:rsidRPr="00AD0E5E">
              <w:rPr>
                <w:sz w:val="20"/>
                <w:szCs w:val="20"/>
              </w:rPr>
              <w:t xml:space="preserve"> papel que cumple el Consejo Nacional Electoral en la organización electoral, así como a que se encuentra en curso el proceso para la elección de presidente de la República, la Corte Constitucional en aplicación del principio de anualidad presupuestal, decidió modular los efectos de su decisión para que operen a partir del 1</w:t>
            </w:r>
            <w:r w:rsidR="0088696B" w:rsidRPr="00AD0E5E">
              <w:rPr>
                <w:sz w:val="20"/>
                <w:szCs w:val="20"/>
              </w:rPr>
              <w:t>°</w:t>
            </w:r>
            <w:r w:rsidRPr="00AD0E5E">
              <w:rPr>
                <w:sz w:val="20"/>
                <w:szCs w:val="20"/>
              </w:rPr>
              <w:t xml:space="preserve"> de enero de 2027. Asimismo, </w:t>
            </w:r>
            <w:r w:rsidR="0088696B" w:rsidRPr="00AD0E5E">
              <w:rPr>
                <w:sz w:val="20"/>
                <w:szCs w:val="20"/>
              </w:rPr>
              <w:t xml:space="preserve">ordenó </w:t>
            </w:r>
            <w:r w:rsidRPr="00AD0E5E">
              <w:rPr>
                <w:sz w:val="20"/>
                <w:szCs w:val="20"/>
              </w:rPr>
              <w:t xml:space="preserve">que durante dicho término el Ministerio de Hacienda y Crédito Público, la Registraduría Nacional del Estado Civil, el Consejo Nacional Electoral y el Departamento Nacional de Planeación se coordinen para hacer las adecuaciones normativas e institucionales que se requieran y presenten el proyecto de presupuesto general de la Nación para la vigencia 2027 conforme lo establecido en </w:t>
            </w:r>
            <w:r w:rsidR="0088696B" w:rsidRPr="00AD0E5E">
              <w:rPr>
                <w:sz w:val="20"/>
                <w:szCs w:val="20"/>
              </w:rPr>
              <w:t>esta</w:t>
            </w:r>
            <w:r w:rsidRPr="00AD0E5E">
              <w:rPr>
                <w:sz w:val="20"/>
                <w:szCs w:val="20"/>
              </w:rPr>
              <w:t xml:space="preserve"> sentencia.</w:t>
            </w:r>
          </w:p>
        </w:tc>
      </w:tr>
      <w:tr w:rsidR="00CE50B5" w:rsidRPr="003239AA" w14:paraId="79AC671B" w14:textId="77777777" w:rsidTr="00D12B4C">
        <w:trPr>
          <w:trHeight w:val="300"/>
          <w:jc w:val="center"/>
        </w:trPr>
        <w:tc>
          <w:tcPr>
            <w:tcW w:w="642" w:type="pct"/>
            <w:tcBorders>
              <w:top w:val="single" w:sz="6" w:space="0" w:color="auto"/>
              <w:left w:val="single" w:sz="6" w:space="0" w:color="auto"/>
              <w:bottom w:val="single" w:sz="6" w:space="0" w:color="auto"/>
              <w:right w:val="single" w:sz="6" w:space="0" w:color="auto"/>
            </w:tcBorders>
            <w:shd w:val="clear" w:color="auto" w:fill="B8CCE4" w:themeFill="accent1" w:themeFillTint="66"/>
            <w:vAlign w:val="center"/>
            <w:hideMark/>
          </w:tcPr>
          <w:p w14:paraId="54B103D2" w14:textId="399201E1" w:rsidR="00CE50B5" w:rsidRPr="003239AA" w:rsidRDefault="00CE50B5" w:rsidP="00E8204C">
            <w:pPr>
              <w:pStyle w:val="paragraph"/>
              <w:spacing w:before="0" w:beforeAutospacing="0" w:after="0" w:afterAutospacing="0"/>
              <w:ind w:left="57" w:right="57"/>
              <w:jc w:val="center"/>
              <w:textAlignment w:val="baseline"/>
              <w:rPr>
                <w:sz w:val="20"/>
                <w:szCs w:val="20"/>
              </w:rPr>
            </w:pPr>
            <w:r w:rsidRPr="003239AA">
              <w:rPr>
                <w:rStyle w:val="normaltextrun"/>
                <w:b/>
                <w:bCs/>
                <w:sz w:val="20"/>
                <w:szCs w:val="20"/>
              </w:rPr>
              <w:t>¿Qué resolvió la Corte?</w:t>
            </w:r>
          </w:p>
        </w:tc>
        <w:tc>
          <w:tcPr>
            <w:tcW w:w="4358" w:type="pct"/>
            <w:tcBorders>
              <w:top w:val="single" w:sz="6" w:space="0" w:color="auto"/>
              <w:left w:val="single" w:sz="6" w:space="0" w:color="auto"/>
              <w:bottom w:val="single" w:sz="6" w:space="0" w:color="auto"/>
              <w:right w:val="single" w:sz="6" w:space="0" w:color="auto"/>
            </w:tcBorders>
            <w:vAlign w:val="center"/>
            <w:hideMark/>
          </w:tcPr>
          <w:p w14:paraId="6A11E8C0" w14:textId="77777777" w:rsidR="00720D70" w:rsidRPr="00AD0E5E" w:rsidRDefault="00720D70" w:rsidP="00720D70">
            <w:pPr>
              <w:widowControl w:val="0"/>
              <w:tabs>
                <w:tab w:val="left" w:pos="426"/>
              </w:tabs>
              <w:ind w:left="57" w:right="57"/>
              <w:jc w:val="both"/>
              <w:rPr>
                <w:color w:val="000000"/>
                <w:sz w:val="20"/>
                <w:szCs w:val="20"/>
              </w:rPr>
            </w:pPr>
            <w:r w:rsidRPr="00AD0E5E">
              <w:rPr>
                <w:b/>
                <w:color w:val="000000"/>
                <w:sz w:val="20"/>
                <w:szCs w:val="20"/>
              </w:rPr>
              <w:t>PRIMERO.</w:t>
            </w:r>
            <w:r w:rsidRPr="00AD0E5E">
              <w:rPr>
                <w:color w:val="000000"/>
                <w:sz w:val="20"/>
                <w:szCs w:val="20"/>
              </w:rPr>
              <w:t xml:space="preserve"> Declarar </w:t>
            </w:r>
            <w:r w:rsidRPr="00AD0E5E">
              <w:rPr>
                <w:b/>
                <w:color w:val="000000"/>
                <w:sz w:val="20"/>
                <w:szCs w:val="20"/>
              </w:rPr>
              <w:t xml:space="preserve">INEXEQUIBLES </w:t>
            </w:r>
            <w:r w:rsidRPr="00AD0E5E">
              <w:rPr>
                <w:color w:val="000000"/>
                <w:sz w:val="20"/>
                <w:szCs w:val="20"/>
              </w:rPr>
              <w:t xml:space="preserve">los artículos 336 y 337 de la Ley 2294 de 2023 “Por el </w:t>
            </w:r>
            <w:r w:rsidRPr="00AD0E5E">
              <w:rPr>
                <w:sz w:val="20"/>
                <w:szCs w:val="20"/>
              </w:rPr>
              <w:t>cual</w:t>
            </w:r>
            <w:r w:rsidRPr="00AD0E5E">
              <w:rPr>
                <w:color w:val="000000"/>
                <w:sz w:val="20"/>
                <w:szCs w:val="20"/>
              </w:rPr>
              <w:t xml:space="preserve"> se expide el Plan Nacional de Desarrollo 2022-2026 ‘Colombia Potencia Mundial de la Vida”.</w:t>
            </w:r>
          </w:p>
          <w:p w14:paraId="49AEC995" w14:textId="77777777" w:rsidR="00720D70" w:rsidRPr="00AD0E5E" w:rsidRDefault="00720D70" w:rsidP="00720D70">
            <w:pPr>
              <w:widowControl w:val="0"/>
              <w:tabs>
                <w:tab w:val="left" w:pos="426"/>
              </w:tabs>
              <w:ind w:left="57" w:right="57"/>
              <w:jc w:val="both"/>
              <w:rPr>
                <w:color w:val="000000"/>
                <w:sz w:val="20"/>
                <w:szCs w:val="20"/>
              </w:rPr>
            </w:pPr>
            <w:r w:rsidRPr="00AD0E5E">
              <w:rPr>
                <w:b/>
                <w:color w:val="000000"/>
                <w:sz w:val="20"/>
                <w:szCs w:val="20"/>
              </w:rPr>
              <w:t>SEGUNDO. DISPONER LA REVIVISCENCIA</w:t>
            </w:r>
            <w:r w:rsidRPr="00AD0E5E">
              <w:rPr>
                <w:color w:val="000000"/>
                <w:sz w:val="20"/>
                <w:szCs w:val="20"/>
              </w:rPr>
              <w:t xml:space="preserve"> del artículo 23 de la Ley 38 de 1989, modificado por el artículo 16 de la Ley 179 de 1994, compilado en el artículo 36 del Decreto 111 de 1996, a su vez modificado por el artículo 123 de la Ley 1957 de 2019. Asimismo, la del artículo 91 de la Ley 38 de 1989, modificado por el artículo 51 de la Ley 179 de 1994, compilado en el artículo 110 del Decreto 111 de 1996, a su vez modificado por el artículo 124 de la Ley 1957 de 2019.</w:t>
            </w:r>
          </w:p>
          <w:p w14:paraId="09069942" w14:textId="77777777" w:rsidR="00720D70" w:rsidRPr="00AD0E5E" w:rsidRDefault="00720D70" w:rsidP="00720D70">
            <w:pPr>
              <w:widowControl w:val="0"/>
              <w:tabs>
                <w:tab w:val="left" w:pos="426"/>
              </w:tabs>
              <w:ind w:left="57" w:right="57"/>
              <w:jc w:val="both"/>
              <w:rPr>
                <w:color w:val="000000"/>
                <w:sz w:val="20"/>
                <w:szCs w:val="20"/>
              </w:rPr>
            </w:pPr>
            <w:r w:rsidRPr="00AD0E5E">
              <w:rPr>
                <w:b/>
                <w:color w:val="000000"/>
                <w:sz w:val="20"/>
                <w:szCs w:val="20"/>
              </w:rPr>
              <w:t>TERCERO.</w:t>
            </w:r>
            <w:r w:rsidRPr="00AD0E5E">
              <w:rPr>
                <w:color w:val="000000"/>
                <w:sz w:val="20"/>
                <w:szCs w:val="20"/>
              </w:rPr>
              <w:t xml:space="preserve"> La inexequibilidad y la reviviscencia de que tratan los numerales primero y segundo de la parte resolutiva de esta sentencia tendrán </w:t>
            </w:r>
            <w:r w:rsidRPr="00AD0E5E">
              <w:rPr>
                <w:b/>
                <w:color w:val="000000"/>
                <w:sz w:val="20"/>
                <w:szCs w:val="20"/>
              </w:rPr>
              <w:t>EFECTOS DIFERIDOS</w:t>
            </w:r>
            <w:r w:rsidRPr="00AD0E5E">
              <w:rPr>
                <w:color w:val="000000"/>
                <w:sz w:val="20"/>
                <w:szCs w:val="20"/>
              </w:rPr>
              <w:t xml:space="preserve"> y operarán a partir del 1° de enero de 2027, de conformidad con lo expuesto en esta providencia.</w:t>
            </w:r>
          </w:p>
          <w:p w14:paraId="25EC6A07" w14:textId="0D5ECDB7" w:rsidR="00CE50B5" w:rsidRPr="00AD0E5E" w:rsidRDefault="00720D70" w:rsidP="00720D70">
            <w:pPr>
              <w:widowControl w:val="0"/>
              <w:tabs>
                <w:tab w:val="left" w:pos="426"/>
              </w:tabs>
              <w:ind w:left="57" w:right="57"/>
              <w:jc w:val="both"/>
              <w:rPr>
                <w:color w:val="000000"/>
                <w:sz w:val="20"/>
                <w:szCs w:val="20"/>
              </w:rPr>
            </w:pPr>
            <w:r w:rsidRPr="00AD0E5E">
              <w:rPr>
                <w:b/>
                <w:color w:val="000000"/>
                <w:sz w:val="20"/>
                <w:szCs w:val="20"/>
              </w:rPr>
              <w:t>CUARTO. ORDENAR</w:t>
            </w:r>
            <w:r w:rsidRPr="00AD0E5E">
              <w:rPr>
                <w:color w:val="000000"/>
                <w:sz w:val="20"/>
                <w:szCs w:val="20"/>
              </w:rPr>
              <w:t xml:space="preserve"> (i) al Ministerio de Hacienda y Crédito Público, a la Registraduría Nacional del Estado Civil y al Consejo Nacional Electoral que a más tardar el 31 de diciembre de 2026, de manera coordinada, realicen las adecuaciones normativas e institucionales requeridas respecto de la reviviscencia dispuesta en el resolutivo segundo y (ii) al Ministerio de Hacienda y Crédito Público y al Departamento Nacional de Planeación, así como a la Registraduría Nacional del Estado Civil, en coordinación con el Consejo Nacional Electoral, que en la presentación del proyecto de ley del Presupuesto General de la Nación para la vigencia 2027 se aplique lo dispuesto en esta sentencia.</w:t>
            </w:r>
          </w:p>
        </w:tc>
      </w:tr>
    </w:tbl>
    <w:p w14:paraId="5655AD53" w14:textId="27D5346B" w:rsidR="00F92CCE" w:rsidRPr="003239AA" w:rsidRDefault="00F92CCE" w:rsidP="00CF4E25">
      <w:pPr>
        <w:widowControl w:val="0"/>
        <w:tabs>
          <w:tab w:val="left" w:pos="284"/>
        </w:tabs>
        <w:jc w:val="both"/>
        <w:rPr>
          <w:sz w:val="20"/>
          <w:szCs w:val="20"/>
        </w:rPr>
      </w:pPr>
    </w:p>
    <w:sdt>
      <w:sdtPr>
        <w:rPr>
          <w:rFonts w:ascii="Times New Roman" w:eastAsia="Times New Roman" w:hAnsi="Times New Roman" w:cs="Times New Roman"/>
          <w:b w:val="0"/>
          <w:bCs w:val="0"/>
          <w:color w:val="auto"/>
          <w:sz w:val="20"/>
          <w:szCs w:val="20"/>
          <w:lang w:val="es-ES"/>
        </w:rPr>
        <w:id w:val="-487481624"/>
        <w:docPartObj>
          <w:docPartGallery w:val="Table of Contents"/>
          <w:docPartUnique/>
        </w:docPartObj>
      </w:sdtPr>
      <w:sdtEndPr>
        <w:rPr>
          <w:noProof/>
          <w:sz w:val="24"/>
          <w:szCs w:val="24"/>
          <w:lang w:val="es-CO"/>
        </w:rPr>
      </w:sdtEndPr>
      <w:sdtContent>
        <w:p w14:paraId="601C46D2" w14:textId="4AEC2848" w:rsidR="00C45110" w:rsidRPr="00AD0E5E" w:rsidRDefault="003239AA" w:rsidP="0017777C">
          <w:pPr>
            <w:pStyle w:val="TtuloTDC"/>
            <w:spacing w:before="0" w:line="240" w:lineRule="auto"/>
            <w:jc w:val="both"/>
            <w:rPr>
              <w:rFonts w:ascii="Times New Roman" w:hAnsi="Times New Roman" w:cs="Times New Roman"/>
              <w:color w:val="auto"/>
              <w:lang w:val="es-ES"/>
            </w:rPr>
          </w:pPr>
          <w:r w:rsidRPr="00AD0E5E">
            <w:rPr>
              <w:rFonts w:ascii="Times New Roman" w:hAnsi="Times New Roman" w:cs="Times New Roman"/>
              <w:color w:val="auto"/>
              <w:lang w:val="es-ES"/>
            </w:rPr>
            <w:t xml:space="preserve">ÍNDICE </w:t>
          </w:r>
        </w:p>
        <w:p w14:paraId="60D23B94" w14:textId="77777777" w:rsidR="003239AA" w:rsidRPr="00AD0E5E" w:rsidRDefault="003239AA" w:rsidP="0017777C">
          <w:pPr>
            <w:jc w:val="both"/>
            <w:rPr>
              <w:sz w:val="20"/>
              <w:szCs w:val="20"/>
              <w:lang w:val="es-ES"/>
            </w:rPr>
          </w:pPr>
        </w:p>
        <w:p w14:paraId="7E1292B8" w14:textId="685E09B2" w:rsidR="002E7B21" w:rsidRPr="002E7B21" w:rsidRDefault="00C45110" w:rsidP="002E7B21">
          <w:pPr>
            <w:pStyle w:val="TDC1"/>
            <w:tabs>
              <w:tab w:val="right" w:leader="dot" w:pos="8828"/>
            </w:tabs>
            <w:jc w:val="both"/>
            <w:rPr>
              <w:rFonts w:ascii="Times New Roman" w:eastAsiaTheme="minorEastAsia" w:hAnsi="Times New Roman"/>
              <w:b w:val="0"/>
              <w:bCs w:val="0"/>
              <w:i w:val="0"/>
              <w:iCs w:val="0"/>
              <w:noProof/>
              <w:sz w:val="20"/>
              <w:szCs w:val="20"/>
            </w:rPr>
          </w:pPr>
          <w:r w:rsidRPr="00AD0E5E">
            <w:rPr>
              <w:rFonts w:ascii="Times New Roman" w:hAnsi="Times New Roman"/>
              <w:b w:val="0"/>
              <w:bCs w:val="0"/>
              <w:i w:val="0"/>
              <w:sz w:val="20"/>
              <w:szCs w:val="20"/>
            </w:rPr>
            <w:fldChar w:fldCharType="begin"/>
          </w:r>
          <w:r w:rsidRPr="00AD0E5E">
            <w:rPr>
              <w:rFonts w:ascii="Times New Roman" w:hAnsi="Times New Roman"/>
              <w:b w:val="0"/>
              <w:i w:val="0"/>
              <w:sz w:val="20"/>
              <w:szCs w:val="20"/>
            </w:rPr>
            <w:instrText>TOC \o "1-3" \h \z \u</w:instrText>
          </w:r>
          <w:r w:rsidRPr="00AD0E5E">
            <w:rPr>
              <w:rFonts w:ascii="Times New Roman" w:hAnsi="Times New Roman"/>
              <w:b w:val="0"/>
              <w:bCs w:val="0"/>
              <w:i w:val="0"/>
              <w:sz w:val="20"/>
              <w:szCs w:val="20"/>
            </w:rPr>
            <w:fldChar w:fldCharType="separate"/>
          </w:r>
          <w:hyperlink w:anchor="_Toc230846356" w:history="1">
            <w:r w:rsidR="002E7B21" w:rsidRPr="002E7B21">
              <w:rPr>
                <w:rStyle w:val="Hipervnculo"/>
                <w:rFonts w:ascii="Times New Roman" w:hAnsi="Times New Roman"/>
                <w:b w:val="0"/>
                <w:i w:val="0"/>
                <w:noProof/>
                <w:sz w:val="20"/>
                <w:szCs w:val="20"/>
              </w:rPr>
              <w:t>I. ANTECEDENTES</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_Toc230846356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4</w:t>
            </w:r>
            <w:r w:rsidR="002E7B21" w:rsidRPr="002E7B21">
              <w:rPr>
                <w:rFonts w:ascii="Times New Roman" w:hAnsi="Times New Roman"/>
                <w:b w:val="0"/>
                <w:i w:val="0"/>
                <w:noProof/>
                <w:webHidden/>
                <w:sz w:val="20"/>
                <w:szCs w:val="20"/>
              </w:rPr>
              <w:fldChar w:fldCharType="end"/>
            </w:r>
          </w:hyperlink>
        </w:p>
        <w:p w14:paraId="29939841" w14:textId="5EE19156"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57" w:history="1">
            <w:r w:rsidR="002E7B21" w:rsidRPr="002E7B21">
              <w:rPr>
                <w:rStyle w:val="Hipervnculo"/>
                <w:rFonts w:ascii="Times New Roman" w:hAnsi="Times New Roman"/>
                <w:b w:val="0"/>
                <w:i w:val="0"/>
                <w:noProof/>
                <w:sz w:val="20"/>
                <w:szCs w:val="20"/>
              </w:rPr>
              <w:t>II. LAS NORMAS DEMANDADAS</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_Toc230846357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5</w:t>
            </w:r>
            <w:r w:rsidR="002E7B21" w:rsidRPr="002E7B21">
              <w:rPr>
                <w:rFonts w:ascii="Times New Roman" w:hAnsi="Times New Roman"/>
                <w:b w:val="0"/>
                <w:i w:val="0"/>
                <w:noProof/>
                <w:webHidden/>
                <w:sz w:val="20"/>
                <w:szCs w:val="20"/>
              </w:rPr>
              <w:fldChar w:fldCharType="end"/>
            </w:r>
          </w:hyperlink>
        </w:p>
        <w:p w14:paraId="1E44AF63" w14:textId="1A5A089C"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58" w:history="1">
            <w:r w:rsidR="002E7B21" w:rsidRPr="002E7B21">
              <w:rPr>
                <w:rStyle w:val="Hipervnculo"/>
                <w:rFonts w:ascii="Times New Roman" w:hAnsi="Times New Roman"/>
                <w:b w:val="0"/>
                <w:i w:val="0"/>
                <w:noProof/>
                <w:sz w:val="20"/>
                <w:szCs w:val="20"/>
              </w:rPr>
              <w:t>III. LA DEMANDA</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_Toc230846358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6</w:t>
            </w:r>
            <w:r w:rsidR="002E7B21" w:rsidRPr="002E7B21">
              <w:rPr>
                <w:rFonts w:ascii="Times New Roman" w:hAnsi="Times New Roman"/>
                <w:b w:val="0"/>
                <w:i w:val="0"/>
                <w:noProof/>
                <w:webHidden/>
                <w:sz w:val="20"/>
                <w:szCs w:val="20"/>
              </w:rPr>
              <w:fldChar w:fldCharType="end"/>
            </w:r>
          </w:hyperlink>
        </w:p>
        <w:p w14:paraId="4C091E2A" w14:textId="36995FCB"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59" w:history="1">
            <w:r w:rsidR="002E7B21" w:rsidRPr="002E7B21">
              <w:rPr>
                <w:rStyle w:val="Hipervnculo"/>
                <w:rFonts w:ascii="Times New Roman" w:hAnsi="Times New Roman"/>
                <w:b w:val="0"/>
                <w:i w:val="0"/>
                <w:noProof/>
                <w:sz w:val="20"/>
                <w:szCs w:val="20"/>
              </w:rPr>
              <w:t>IV. MATERIAL PROBATORIO</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_Toc230846359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11</w:t>
            </w:r>
            <w:r w:rsidR="002E7B21" w:rsidRPr="002E7B21">
              <w:rPr>
                <w:rFonts w:ascii="Times New Roman" w:hAnsi="Times New Roman"/>
                <w:b w:val="0"/>
                <w:i w:val="0"/>
                <w:noProof/>
                <w:webHidden/>
                <w:sz w:val="20"/>
                <w:szCs w:val="20"/>
              </w:rPr>
              <w:fldChar w:fldCharType="end"/>
            </w:r>
          </w:hyperlink>
        </w:p>
        <w:p w14:paraId="14D709C0" w14:textId="5FC03950"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60" w:history="1">
            <w:r w:rsidR="002E7B21" w:rsidRPr="002E7B21">
              <w:rPr>
                <w:rStyle w:val="Hipervnculo"/>
                <w:rFonts w:ascii="Times New Roman" w:hAnsi="Times New Roman"/>
                <w:b w:val="0"/>
                <w:i w:val="0"/>
                <w:noProof/>
                <w:sz w:val="20"/>
                <w:szCs w:val="20"/>
              </w:rPr>
              <w:t>V. INTERVINIENTES</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_Toc230846360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20</w:t>
            </w:r>
            <w:r w:rsidR="002E7B21" w:rsidRPr="002E7B21">
              <w:rPr>
                <w:rFonts w:ascii="Times New Roman" w:hAnsi="Times New Roman"/>
                <w:b w:val="0"/>
                <w:i w:val="0"/>
                <w:noProof/>
                <w:webHidden/>
                <w:sz w:val="20"/>
                <w:szCs w:val="20"/>
              </w:rPr>
              <w:fldChar w:fldCharType="end"/>
            </w:r>
          </w:hyperlink>
        </w:p>
        <w:p w14:paraId="189DD216" w14:textId="5EE54C98"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61" w:history="1">
            <w:r w:rsidR="002E7B21" w:rsidRPr="002E7B21">
              <w:rPr>
                <w:rStyle w:val="Hipervnculo"/>
                <w:rFonts w:ascii="Times New Roman" w:hAnsi="Times New Roman"/>
                <w:b w:val="0"/>
                <w:i w:val="0"/>
                <w:noProof/>
                <w:sz w:val="20"/>
                <w:szCs w:val="20"/>
              </w:rPr>
              <w:t>VI. CONCEPTO DEL VICEPROCURADOR GENERAL DE LA NACIÓN</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_Toc230846361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22</w:t>
            </w:r>
            <w:r w:rsidR="002E7B21" w:rsidRPr="002E7B21">
              <w:rPr>
                <w:rFonts w:ascii="Times New Roman" w:hAnsi="Times New Roman"/>
                <w:b w:val="0"/>
                <w:i w:val="0"/>
                <w:noProof/>
                <w:webHidden/>
                <w:sz w:val="20"/>
                <w:szCs w:val="20"/>
              </w:rPr>
              <w:fldChar w:fldCharType="end"/>
            </w:r>
          </w:hyperlink>
        </w:p>
        <w:p w14:paraId="79914678" w14:textId="0C40B3E1"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62" w:history="1">
            <w:r w:rsidR="002E7B21" w:rsidRPr="002E7B21">
              <w:rPr>
                <w:rStyle w:val="Hipervnculo"/>
                <w:rFonts w:ascii="Times New Roman" w:hAnsi="Times New Roman"/>
                <w:b w:val="0"/>
                <w:i w:val="0"/>
                <w:noProof/>
                <w:sz w:val="20"/>
                <w:szCs w:val="20"/>
              </w:rPr>
              <w:t>VII. CONSIDERACIONES</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_Toc230846362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25</w:t>
            </w:r>
            <w:r w:rsidR="002E7B21" w:rsidRPr="002E7B21">
              <w:rPr>
                <w:rFonts w:ascii="Times New Roman" w:hAnsi="Times New Roman"/>
                <w:b w:val="0"/>
                <w:i w:val="0"/>
                <w:noProof/>
                <w:webHidden/>
                <w:sz w:val="20"/>
                <w:szCs w:val="20"/>
              </w:rPr>
              <w:fldChar w:fldCharType="end"/>
            </w:r>
          </w:hyperlink>
        </w:p>
        <w:p w14:paraId="55495770" w14:textId="2DC9D84B" w:rsidR="002E7B21" w:rsidRPr="002E7B21" w:rsidRDefault="004A02BF" w:rsidP="002E7B21">
          <w:pPr>
            <w:pStyle w:val="TDC2"/>
            <w:tabs>
              <w:tab w:val="right" w:leader="dot" w:pos="8828"/>
            </w:tabs>
            <w:jc w:val="both"/>
            <w:rPr>
              <w:rFonts w:ascii="Times New Roman" w:eastAsiaTheme="minorEastAsia" w:hAnsi="Times New Roman"/>
              <w:b w:val="0"/>
              <w:bCs w:val="0"/>
              <w:noProof/>
              <w:sz w:val="20"/>
              <w:szCs w:val="20"/>
            </w:rPr>
          </w:pPr>
          <w:hyperlink w:anchor="_Toc230846363" w:history="1">
            <w:r w:rsidR="002E7B21" w:rsidRPr="002E7B21">
              <w:rPr>
                <w:rStyle w:val="Hipervnculo"/>
                <w:rFonts w:ascii="Times New Roman" w:hAnsi="Times New Roman"/>
                <w:b w:val="0"/>
                <w:noProof/>
                <w:sz w:val="20"/>
                <w:szCs w:val="20"/>
              </w:rPr>
              <w:t>1. Competencia</w:t>
            </w:r>
            <w:r w:rsidR="002E7B21" w:rsidRPr="002E7B21">
              <w:rPr>
                <w:rFonts w:ascii="Times New Roman" w:hAnsi="Times New Roman"/>
                <w:b w:val="0"/>
                <w:noProof/>
                <w:webHidden/>
                <w:sz w:val="20"/>
                <w:szCs w:val="20"/>
              </w:rPr>
              <w:tab/>
            </w:r>
            <w:r w:rsidR="002E7B21" w:rsidRPr="002E7B21">
              <w:rPr>
                <w:rFonts w:ascii="Times New Roman" w:hAnsi="Times New Roman"/>
                <w:b w:val="0"/>
                <w:noProof/>
                <w:webHidden/>
                <w:sz w:val="20"/>
                <w:szCs w:val="20"/>
              </w:rPr>
              <w:fldChar w:fldCharType="begin"/>
            </w:r>
            <w:r w:rsidR="002E7B21" w:rsidRPr="002E7B21">
              <w:rPr>
                <w:rFonts w:ascii="Times New Roman" w:hAnsi="Times New Roman"/>
                <w:b w:val="0"/>
                <w:noProof/>
                <w:webHidden/>
                <w:sz w:val="20"/>
                <w:szCs w:val="20"/>
              </w:rPr>
              <w:instrText xml:space="preserve"> PAGEREF _Toc230846363 \h </w:instrText>
            </w:r>
            <w:r w:rsidR="002E7B21" w:rsidRPr="002E7B21">
              <w:rPr>
                <w:rFonts w:ascii="Times New Roman" w:hAnsi="Times New Roman"/>
                <w:b w:val="0"/>
                <w:noProof/>
                <w:webHidden/>
                <w:sz w:val="20"/>
                <w:szCs w:val="20"/>
              </w:rPr>
            </w:r>
            <w:r w:rsidR="002E7B21" w:rsidRPr="002E7B21">
              <w:rPr>
                <w:rFonts w:ascii="Times New Roman" w:hAnsi="Times New Roman"/>
                <w:b w:val="0"/>
                <w:noProof/>
                <w:webHidden/>
                <w:sz w:val="20"/>
                <w:szCs w:val="20"/>
              </w:rPr>
              <w:fldChar w:fldCharType="separate"/>
            </w:r>
            <w:r w:rsidR="002E7B21" w:rsidRPr="002E7B21">
              <w:rPr>
                <w:rFonts w:ascii="Times New Roman" w:hAnsi="Times New Roman"/>
                <w:b w:val="0"/>
                <w:noProof/>
                <w:webHidden/>
                <w:sz w:val="20"/>
                <w:szCs w:val="20"/>
              </w:rPr>
              <w:t>25</w:t>
            </w:r>
            <w:r w:rsidR="002E7B21" w:rsidRPr="002E7B21">
              <w:rPr>
                <w:rFonts w:ascii="Times New Roman" w:hAnsi="Times New Roman"/>
                <w:b w:val="0"/>
                <w:noProof/>
                <w:webHidden/>
                <w:sz w:val="20"/>
                <w:szCs w:val="20"/>
              </w:rPr>
              <w:fldChar w:fldCharType="end"/>
            </w:r>
          </w:hyperlink>
        </w:p>
        <w:p w14:paraId="79AC489D" w14:textId="70687FD7" w:rsidR="002E7B21" w:rsidRPr="002E7B21" w:rsidRDefault="004A02BF" w:rsidP="002E7B21">
          <w:pPr>
            <w:pStyle w:val="TDC2"/>
            <w:tabs>
              <w:tab w:val="right" w:leader="dot" w:pos="8828"/>
            </w:tabs>
            <w:jc w:val="both"/>
            <w:rPr>
              <w:rFonts w:ascii="Times New Roman" w:eastAsiaTheme="minorEastAsia" w:hAnsi="Times New Roman"/>
              <w:b w:val="0"/>
              <w:bCs w:val="0"/>
              <w:noProof/>
              <w:sz w:val="20"/>
              <w:szCs w:val="20"/>
            </w:rPr>
          </w:pPr>
          <w:hyperlink w:anchor="_Toc230846364" w:history="1">
            <w:r w:rsidR="002E7B21" w:rsidRPr="002E7B21">
              <w:rPr>
                <w:rStyle w:val="Hipervnculo"/>
                <w:rFonts w:ascii="Times New Roman" w:hAnsi="Times New Roman"/>
                <w:b w:val="0"/>
                <w:noProof/>
                <w:sz w:val="20"/>
                <w:szCs w:val="20"/>
              </w:rPr>
              <w:t>2. Cuestión previa. La necesidad de completar la proposición jurídica</w:t>
            </w:r>
            <w:r w:rsidR="002E7B21" w:rsidRPr="002E7B21">
              <w:rPr>
                <w:rFonts w:ascii="Times New Roman" w:hAnsi="Times New Roman"/>
                <w:b w:val="0"/>
                <w:noProof/>
                <w:webHidden/>
                <w:sz w:val="20"/>
                <w:szCs w:val="20"/>
              </w:rPr>
              <w:tab/>
            </w:r>
            <w:r w:rsidR="002E7B21" w:rsidRPr="002E7B21">
              <w:rPr>
                <w:rFonts w:ascii="Times New Roman" w:hAnsi="Times New Roman"/>
                <w:b w:val="0"/>
                <w:noProof/>
                <w:webHidden/>
                <w:sz w:val="20"/>
                <w:szCs w:val="20"/>
              </w:rPr>
              <w:fldChar w:fldCharType="begin"/>
            </w:r>
            <w:r w:rsidR="002E7B21" w:rsidRPr="002E7B21">
              <w:rPr>
                <w:rFonts w:ascii="Times New Roman" w:hAnsi="Times New Roman"/>
                <w:b w:val="0"/>
                <w:noProof/>
                <w:webHidden/>
                <w:sz w:val="20"/>
                <w:szCs w:val="20"/>
              </w:rPr>
              <w:instrText xml:space="preserve"> PAGEREF _Toc230846364 \h </w:instrText>
            </w:r>
            <w:r w:rsidR="002E7B21" w:rsidRPr="002E7B21">
              <w:rPr>
                <w:rFonts w:ascii="Times New Roman" w:hAnsi="Times New Roman"/>
                <w:b w:val="0"/>
                <w:noProof/>
                <w:webHidden/>
                <w:sz w:val="20"/>
                <w:szCs w:val="20"/>
              </w:rPr>
            </w:r>
            <w:r w:rsidR="002E7B21" w:rsidRPr="002E7B21">
              <w:rPr>
                <w:rFonts w:ascii="Times New Roman" w:hAnsi="Times New Roman"/>
                <w:b w:val="0"/>
                <w:noProof/>
                <w:webHidden/>
                <w:sz w:val="20"/>
                <w:szCs w:val="20"/>
              </w:rPr>
              <w:fldChar w:fldCharType="separate"/>
            </w:r>
            <w:r w:rsidR="002E7B21" w:rsidRPr="002E7B21">
              <w:rPr>
                <w:rFonts w:ascii="Times New Roman" w:hAnsi="Times New Roman"/>
                <w:b w:val="0"/>
                <w:noProof/>
                <w:webHidden/>
                <w:sz w:val="20"/>
                <w:szCs w:val="20"/>
              </w:rPr>
              <w:t>25</w:t>
            </w:r>
            <w:r w:rsidR="002E7B21" w:rsidRPr="002E7B21">
              <w:rPr>
                <w:rFonts w:ascii="Times New Roman" w:hAnsi="Times New Roman"/>
                <w:b w:val="0"/>
                <w:noProof/>
                <w:webHidden/>
                <w:sz w:val="20"/>
                <w:szCs w:val="20"/>
              </w:rPr>
              <w:fldChar w:fldCharType="end"/>
            </w:r>
          </w:hyperlink>
        </w:p>
        <w:p w14:paraId="616AA293" w14:textId="33B2F50C" w:rsidR="002E7B21" w:rsidRPr="002E7B21" w:rsidRDefault="004A02BF" w:rsidP="002E7B21">
          <w:pPr>
            <w:pStyle w:val="TDC2"/>
            <w:tabs>
              <w:tab w:val="right" w:leader="dot" w:pos="8828"/>
            </w:tabs>
            <w:jc w:val="both"/>
            <w:rPr>
              <w:rFonts w:ascii="Times New Roman" w:eastAsiaTheme="minorEastAsia" w:hAnsi="Times New Roman"/>
              <w:b w:val="0"/>
              <w:bCs w:val="0"/>
              <w:noProof/>
              <w:sz w:val="20"/>
              <w:szCs w:val="20"/>
            </w:rPr>
          </w:pPr>
          <w:hyperlink w:anchor="_Toc230846365" w:history="1">
            <w:r w:rsidR="002E7B21" w:rsidRPr="002E7B21">
              <w:rPr>
                <w:rStyle w:val="Hipervnculo"/>
                <w:rFonts w:ascii="Times New Roman" w:hAnsi="Times New Roman"/>
                <w:b w:val="0"/>
                <w:noProof/>
                <w:sz w:val="20"/>
                <w:szCs w:val="20"/>
              </w:rPr>
              <w:t>3. Problemas jurídicos y metodología de la decisión</w:t>
            </w:r>
            <w:r w:rsidR="002E7B21" w:rsidRPr="002E7B21">
              <w:rPr>
                <w:rFonts w:ascii="Times New Roman" w:hAnsi="Times New Roman"/>
                <w:b w:val="0"/>
                <w:noProof/>
                <w:webHidden/>
                <w:sz w:val="20"/>
                <w:szCs w:val="20"/>
              </w:rPr>
              <w:tab/>
            </w:r>
            <w:r w:rsidR="002E7B21" w:rsidRPr="002E7B21">
              <w:rPr>
                <w:rFonts w:ascii="Times New Roman" w:hAnsi="Times New Roman"/>
                <w:b w:val="0"/>
                <w:noProof/>
                <w:webHidden/>
                <w:sz w:val="20"/>
                <w:szCs w:val="20"/>
              </w:rPr>
              <w:fldChar w:fldCharType="begin"/>
            </w:r>
            <w:r w:rsidR="002E7B21" w:rsidRPr="002E7B21">
              <w:rPr>
                <w:rFonts w:ascii="Times New Roman" w:hAnsi="Times New Roman"/>
                <w:b w:val="0"/>
                <w:noProof/>
                <w:webHidden/>
                <w:sz w:val="20"/>
                <w:szCs w:val="20"/>
              </w:rPr>
              <w:instrText xml:space="preserve"> PAGEREF _Toc230846365 \h </w:instrText>
            </w:r>
            <w:r w:rsidR="002E7B21" w:rsidRPr="002E7B21">
              <w:rPr>
                <w:rFonts w:ascii="Times New Roman" w:hAnsi="Times New Roman"/>
                <w:b w:val="0"/>
                <w:noProof/>
                <w:webHidden/>
                <w:sz w:val="20"/>
                <w:szCs w:val="20"/>
              </w:rPr>
            </w:r>
            <w:r w:rsidR="002E7B21" w:rsidRPr="002E7B21">
              <w:rPr>
                <w:rFonts w:ascii="Times New Roman" w:hAnsi="Times New Roman"/>
                <w:b w:val="0"/>
                <w:noProof/>
                <w:webHidden/>
                <w:sz w:val="20"/>
                <w:szCs w:val="20"/>
              </w:rPr>
              <w:fldChar w:fldCharType="separate"/>
            </w:r>
            <w:r w:rsidR="002E7B21" w:rsidRPr="002E7B21">
              <w:rPr>
                <w:rFonts w:ascii="Times New Roman" w:hAnsi="Times New Roman"/>
                <w:b w:val="0"/>
                <w:noProof/>
                <w:webHidden/>
                <w:sz w:val="20"/>
                <w:szCs w:val="20"/>
              </w:rPr>
              <w:t>27</w:t>
            </w:r>
            <w:r w:rsidR="002E7B21" w:rsidRPr="002E7B21">
              <w:rPr>
                <w:rFonts w:ascii="Times New Roman" w:hAnsi="Times New Roman"/>
                <w:b w:val="0"/>
                <w:noProof/>
                <w:webHidden/>
                <w:sz w:val="20"/>
                <w:szCs w:val="20"/>
              </w:rPr>
              <w:fldChar w:fldCharType="end"/>
            </w:r>
          </w:hyperlink>
        </w:p>
        <w:p w14:paraId="52EBBED6" w14:textId="6D05381E" w:rsidR="002E7B21" w:rsidRPr="002E7B21" w:rsidRDefault="004A02BF" w:rsidP="002E7B21">
          <w:pPr>
            <w:pStyle w:val="TDC2"/>
            <w:tabs>
              <w:tab w:val="right" w:leader="dot" w:pos="8828"/>
            </w:tabs>
            <w:jc w:val="both"/>
            <w:rPr>
              <w:rFonts w:ascii="Times New Roman" w:eastAsiaTheme="minorEastAsia" w:hAnsi="Times New Roman"/>
              <w:b w:val="0"/>
              <w:bCs w:val="0"/>
              <w:noProof/>
              <w:sz w:val="20"/>
              <w:szCs w:val="20"/>
            </w:rPr>
          </w:pPr>
          <w:hyperlink w:anchor="_Toc230846366" w:history="1">
            <w:r w:rsidR="002E7B21" w:rsidRPr="002E7B21">
              <w:rPr>
                <w:rStyle w:val="Hipervnculo"/>
                <w:rFonts w:ascii="Times New Roman" w:hAnsi="Times New Roman"/>
                <w:b w:val="0"/>
                <w:noProof/>
                <w:sz w:val="20"/>
                <w:szCs w:val="20"/>
              </w:rPr>
              <w:t>4. Análisis del cargo por vulneración del principio de unidad de materia</w:t>
            </w:r>
            <w:r w:rsidR="002E7B21" w:rsidRPr="002E7B21">
              <w:rPr>
                <w:rFonts w:ascii="Times New Roman" w:hAnsi="Times New Roman"/>
                <w:b w:val="0"/>
                <w:noProof/>
                <w:webHidden/>
                <w:sz w:val="20"/>
                <w:szCs w:val="20"/>
              </w:rPr>
              <w:tab/>
            </w:r>
            <w:r w:rsidR="002E7B21" w:rsidRPr="002E7B21">
              <w:rPr>
                <w:rFonts w:ascii="Times New Roman" w:hAnsi="Times New Roman"/>
                <w:b w:val="0"/>
                <w:noProof/>
                <w:webHidden/>
                <w:sz w:val="20"/>
                <w:szCs w:val="20"/>
              </w:rPr>
              <w:fldChar w:fldCharType="begin"/>
            </w:r>
            <w:r w:rsidR="002E7B21" w:rsidRPr="002E7B21">
              <w:rPr>
                <w:rFonts w:ascii="Times New Roman" w:hAnsi="Times New Roman"/>
                <w:b w:val="0"/>
                <w:noProof/>
                <w:webHidden/>
                <w:sz w:val="20"/>
                <w:szCs w:val="20"/>
              </w:rPr>
              <w:instrText xml:space="preserve"> PAGEREF _Toc230846366 \h </w:instrText>
            </w:r>
            <w:r w:rsidR="002E7B21" w:rsidRPr="002E7B21">
              <w:rPr>
                <w:rFonts w:ascii="Times New Roman" w:hAnsi="Times New Roman"/>
                <w:b w:val="0"/>
                <w:noProof/>
                <w:webHidden/>
                <w:sz w:val="20"/>
                <w:szCs w:val="20"/>
              </w:rPr>
            </w:r>
            <w:r w:rsidR="002E7B21" w:rsidRPr="002E7B21">
              <w:rPr>
                <w:rFonts w:ascii="Times New Roman" w:hAnsi="Times New Roman"/>
                <w:b w:val="0"/>
                <w:noProof/>
                <w:webHidden/>
                <w:sz w:val="20"/>
                <w:szCs w:val="20"/>
              </w:rPr>
              <w:fldChar w:fldCharType="separate"/>
            </w:r>
            <w:r w:rsidR="002E7B21" w:rsidRPr="002E7B21">
              <w:rPr>
                <w:rFonts w:ascii="Times New Roman" w:hAnsi="Times New Roman"/>
                <w:b w:val="0"/>
                <w:noProof/>
                <w:webHidden/>
                <w:sz w:val="20"/>
                <w:szCs w:val="20"/>
              </w:rPr>
              <w:t>28</w:t>
            </w:r>
            <w:r w:rsidR="002E7B21" w:rsidRPr="002E7B21">
              <w:rPr>
                <w:rFonts w:ascii="Times New Roman" w:hAnsi="Times New Roman"/>
                <w:b w:val="0"/>
                <w:noProof/>
                <w:webHidden/>
                <w:sz w:val="20"/>
                <w:szCs w:val="20"/>
              </w:rPr>
              <w:fldChar w:fldCharType="end"/>
            </w:r>
          </w:hyperlink>
        </w:p>
        <w:p w14:paraId="390504FD" w14:textId="1F0A198A"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67" w:history="1">
            <w:r w:rsidR="002E7B21" w:rsidRPr="002E7B21">
              <w:rPr>
                <w:rStyle w:val="Hipervnculo"/>
                <w:rFonts w:ascii="Times New Roman" w:hAnsi="Times New Roman"/>
                <w:noProof/>
              </w:rPr>
              <w:t>4.1. La naturaleza y las características del plan nacional de desarrollo</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_Toc230846367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28</w:t>
            </w:r>
            <w:r w:rsidR="002E7B21" w:rsidRPr="002E7B21">
              <w:rPr>
                <w:rFonts w:ascii="Times New Roman" w:hAnsi="Times New Roman"/>
                <w:noProof/>
                <w:webHidden/>
              </w:rPr>
              <w:fldChar w:fldCharType="end"/>
            </w:r>
          </w:hyperlink>
        </w:p>
        <w:p w14:paraId="109D314F" w14:textId="38EB7363"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68" w:history="1">
            <w:r w:rsidR="002E7B21" w:rsidRPr="002E7B21">
              <w:rPr>
                <w:rStyle w:val="Hipervnculo"/>
                <w:rFonts w:ascii="Times New Roman" w:hAnsi="Times New Roman"/>
                <w:noProof/>
              </w:rPr>
              <w:t>4.2. El principio de unidad de materia y su aplicabilidad al plan nacional de desarrollo de acuerdo con el estándar jurisprudencial</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_Toc230846368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29</w:t>
            </w:r>
            <w:r w:rsidR="002E7B21" w:rsidRPr="002E7B21">
              <w:rPr>
                <w:rFonts w:ascii="Times New Roman" w:hAnsi="Times New Roman"/>
                <w:noProof/>
                <w:webHidden/>
              </w:rPr>
              <w:fldChar w:fldCharType="end"/>
            </w:r>
          </w:hyperlink>
        </w:p>
        <w:p w14:paraId="79795D8A" w14:textId="6CAAB0FE"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69" w:history="1">
            <w:r w:rsidR="002E7B21" w:rsidRPr="002E7B21">
              <w:rPr>
                <w:rStyle w:val="Hipervnculo"/>
                <w:rFonts w:ascii="Times New Roman" w:hAnsi="Times New Roman"/>
                <w:noProof/>
              </w:rPr>
              <w:t>4.3. Análisis del caso concreto</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_Toc230846369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35</w:t>
            </w:r>
            <w:r w:rsidR="002E7B21" w:rsidRPr="002E7B21">
              <w:rPr>
                <w:rFonts w:ascii="Times New Roman" w:hAnsi="Times New Roman"/>
                <w:noProof/>
                <w:webHidden/>
              </w:rPr>
              <w:fldChar w:fldCharType="end"/>
            </w:r>
          </w:hyperlink>
        </w:p>
        <w:p w14:paraId="40068007" w14:textId="4344A39D"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0" w:history="1">
            <w:r w:rsidR="002E7B21" w:rsidRPr="002E7B21">
              <w:rPr>
                <w:rStyle w:val="Hipervnculo"/>
                <w:rFonts w:ascii="Times New Roman" w:hAnsi="Times New Roman"/>
                <w:noProof/>
              </w:rPr>
              <w:t>4.4. Determinación de la intensidad del escrutinio</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_Toc230846370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35</w:t>
            </w:r>
            <w:r w:rsidR="002E7B21" w:rsidRPr="002E7B21">
              <w:rPr>
                <w:rFonts w:ascii="Times New Roman" w:hAnsi="Times New Roman"/>
                <w:noProof/>
                <w:webHidden/>
              </w:rPr>
              <w:fldChar w:fldCharType="end"/>
            </w:r>
          </w:hyperlink>
        </w:p>
        <w:p w14:paraId="546A60FC" w14:textId="2599BDA6"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1" w:history="1">
            <w:r w:rsidR="002E7B21" w:rsidRPr="002E7B21">
              <w:rPr>
                <w:rStyle w:val="Hipervnculo"/>
                <w:rFonts w:ascii="Times New Roman" w:hAnsi="Times New Roman"/>
                <w:noProof/>
              </w:rPr>
              <w:t>4.5. Determinación de la ubicación y el alcance de las normas demandadas</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_Toc230846371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36</w:t>
            </w:r>
            <w:r w:rsidR="002E7B21" w:rsidRPr="002E7B21">
              <w:rPr>
                <w:rFonts w:ascii="Times New Roman" w:hAnsi="Times New Roman"/>
                <w:noProof/>
                <w:webHidden/>
              </w:rPr>
              <w:fldChar w:fldCharType="end"/>
            </w:r>
          </w:hyperlink>
        </w:p>
        <w:p w14:paraId="10179897" w14:textId="2C6CE5D6"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2" w:history="1">
            <w:r w:rsidR="002E7B21" w:rsidRPr="002E7B21">
              <w:rPr>
                <w:rStyle w:val="Hipervnculo"/>
                <w:rFonts w:ascii="Times New Roman" w:hAnsi="Times New Roman"/>
                <w:noProof/>
              </w:rPr>
              <w:t>4.6. La naturaleza instrumental de las normas demandadas</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_Toc230846372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36</w:t>
            </w:r>
            <w:r w:rsidR="002E7B21" w:rsidRPr="002E7B21">
              <w:rPr>
                <w:rFonts w:ascii="Times New Roman" w:hAnsi="Times New Roman"/>
                <w:noProof/>
                <w:webHidden/>
              </w:rPr>
              <w:fldChar w:fldCharType="end"/>
            </w:r>
          </w:hyperlink>
        </w:p>
        <w:p w14:paraId="744581B0" w14:textId="0D1ABF8F"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3" w:history="1">
            <w:r w:rsidR="002E7B21" w:rsidRPr="002E7B21">
              <w:rPr>
                <w:rStyle w:val="Hipervnculo"/>
                <w:rFonts w:ascii="Times New Roman" w:hAnsi="Times New Roman"/>
                <w:noProof/>
              </w:rPr>
              <w:t>4.7. Definición de si en la parte general del plan existen objetivos, metas, planes o estrategias o rubros en el Plan Plurianual de Inversiones que puedan relacionarse con las disposiciones acusadas</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_Toc230846373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37</w:t>
            </w:r>
            <w:r w:rsidR="002E7B21" w:rsidRPr="002E7B21">
              <w:rPr>
                <w:rFonts w:ascii="Times New Roman" w:hAnsi="Times New Roman"/>
                <w:noProof/>
                <w:webHidden/>
              </w:rPr>
              <w:fldChar w:fldCharType="end"/>
            </w:r>
          </w:hyperlink>
        </w:p>
        <w:p w14:paraId="298D3CEB" w14:textId="277993F6"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4" w:history="1">
            <w:r w:rsidR="002E7B21" w:rsidRPr="002E7B21">
              <w:rPr>
                <w:rStyle w:val="Hipervnculo"/>
                <w:rFonts w:ascii="Times New Roman" w:hAnsi="Times New Roman"/>
                <w:noProof/>
              </w:rPr>
              <w:t>4.8. Las normas censuradas carecen de conexidad directa e inmediata, estrecha y verificable con los objetivos, metas, planes o estrategias previstas en las Bases del plan, así como también respecto de los programas del Plan Plurianual de Inversiones</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_Toc230846374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39</w:t>
            </w:r>
            <w:r w:rsidR="002E7B21" w:rsidRPr="002E7B21">
              <w:rPr>
                <w:rFonts w:ascii="Times New Roman" w:hAnsi="Times New Roman"/>
                <w:noProof/>
                <w:webHidden/>
              </w:rPr>
              <w:fldChar w:fldCharType="end"/>
            </w:r>
          </w:hyperlink>
        </w:p>
        <w:p w14:paraId="2A66C024" w14:textId="617B1DE9" w:rsidR="002E7B21" w:rsidRPr="002E7B21" w:rsidRDefault="004A02BF" w:rsidP="002E7B21">
          <w:pPr>
            <w:pStyle w:val="TDC2"/>
            <w:tabs>
              <w:tab w:val="right" w:leader="dot" w:pos="8828"/>
            </w:tabs>
            <w:jc w:val="both"/>
            <w:rPr>
              <w:rFonts w:ascii="Times New Roman" w:eastAsiaTheme="minorEastAsia" w:hAnsi="Times New Roman"/>
              <w:b w:val="0"/>
              <w:bCs w:val="0"/>
              <w:noProof/>
              <w:sz w:val="20"/>
              <w:szCs w:val="20"/>
            </w:rPr>
          </w:pPr>
          <w:hyperlink w:anchor="_Toc230846375" w:history="1">
            <w:r w:rsidR="002E7B21" w:rsidRPr="002E7B21">
              <w:rPr>
                <w:rStyle w:val="Hipervnculo"/>
                <w:rFonts w:ascii="Times New Roman" w:hAnsi="Times New Roman"/>
                <w:b w:val="0"/>
                <w:noProof/>
                <w:sz w:val="20"/>
                <w:szCs w:val="20"/>
                <w:lang w:val="es-ES"/>
              </w:rPr>
              <w:t>5. Remedios constitucionales</w:t>
            </w:r>
            <w:r w:rsidR="002E7B21" w:rsidRPr="002E7B21">
              <w:rPr>
                <w:rFonts w:ascii="Times New Roman" w:hAnsi="Times New Roman"/>
                <w:b w:val="0"/>
                <w:noProof/>
                <w:webHidden/>
                <w:sz w:val="20"/>
                <w:szCs w:val="20"/>
              </w:rPr>
              <w:tab/>
            </w:r>
            <w:r w:rsidR="002E7B21" w:rsidRPr="002E7B21">
              <w:rPr>
                <w:rFonts w:ascii="Times New Roman" w:hAnsi="Times New Roman"/>
                <w:b w:val="0"/>
                <w:noProof/>
                <w:webHidden/>
                <w:sz w:val="20"/>
                <w:szCs w:val="20"/>
              </w:rPr>
              <w:fldChar w:fldCharType="begin"/>
            </w:r>
            <w:r w:rsidR="002E7B21" w:rsidRPr="002E7B21">
              <w:rPr>
                <w:rFonts w:ascii="Times New Roman" w:hAnsi="Times New Roman"/>
                <w:b w:val="0"/>
                <w:noProof/>
                <w:webHidden/>
                <w:sz w:val="20"/>
                <w:szCs w:val="20"/>
              </w:rPr>
              <w:instrText xml:space="preserve"> PAGEREF _Toc230846375 \h </w:instrText>
            </w:r>
            <w:r w:rsidR="002E7B21" w:rsidRPr="002E7B21">
              <w:rPr>
                <w:rFonts w:ascii="Times New Roman" w:hAnsi="Times New Roman"/>
                <w:b w:val="0"/>
                <w:noProof/>
                <w:webHidden/>
                <w:sz w:val="20"/>
                <w:szCs w:val="20"/>
              </w:rPr>
            </w:r>
            <w:r w:rsidR="002E7B21" w:rsidRPr="002E7B21">
              <w:rPr>
                <w:rFonts w:ascii="Times New Roman" w:hAnsi="Times New Roman"/>
                <w:b w:val="0"/>
                <w:noProof/>
                <w:webHidden/>
                <w:sz w:val="20"/>
                <w:szCs w:val="20"/>
              </w:rPr>
              <w:fldChar w:fldCharType="separate"/>
            </w:r>
            <w:r w:rsidR="002E7B21" w:rsidRPr="002E7B21">
              <w:rPr>
                <w:rFonts w:ascii="Times New Roman" w:hAnsi="Times New Roman"/>
                <w:b w:val="0"/>
                <w:noProof/>
                <w:webHidden/>
                <w:sz w:val="20"/>
                <w:szCs w:val="20"/>
              </w:rPr>
              <w:t>43</w:t>
            </w:r>
            <w:r w:rsidR="002E7B21" w:rsidRPr="002E7B21">
              <w:rPr>
                <w:rFonts w:ascii="Times New Roman" w:hAnsi="Times New Roman"/>
                <w:b w:val="0"/>
                <w:noProof/>
                <w:webHidden/>
                <w:sz w:val="20"/>
                <w:szCs w:val="20"/>
              </w:rPr>
              <w:fldChar w:fldCharType="end"/>
            </w:r>
          </w:hyperlink>
        </w:p>
        <w:p w14:paraId="42E5E478" w14:textId="4EC8FBC7"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6" w:history="1">
            <w:r w:rsidR="002E7B21" w:rsidRPr="002E7B21">
              <w:rPr>
                <w:rStyle w:val="Hipervnculo"/>
                <w:rFonts w:ascii="Times New Roman" w:hAnsi="Times New Roman"/>
                <w:noProof/>
                <w:lang w:val="es-ES"/>
              </w:rPr>
              <w:t>5.1. La reviviscencia de las normas previas a la Ley 2294 de 2023, contenidas en el Estatuto Orgánico del Presupuesto</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_Toc230846376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44</w:t>
            </w:r>
            <w:r w:rsidR="002E7B21" w:rsidRPr="002E7B21">
              <w:rPr>
                <w:rFonts w:ascii="Times New Roman" w:hAnsi="Times New Roman"/>
                <w:noProof/>
                <w:webHidden/>
              </w:rPr>
              <w:fldChar w:fldCharType="end"/>
            </w:r>
          </w:hyperlink>
        </w:p>
        <w:p w14:paraId="087A9CB3" w14:textId="304E2594" w:rsidR="002E7B21" w:rsidRPr="002E7B21" w:rsidRDefault="004A02BF" w:rsidP="002E7B21">
          <w:pPr>
            <w:pStyle w:val="TDC3"/>
            <w:tabs>
              <w:tab w:val="right" w:leader="dot" w:pos="8828"/>
            </w:tabs>
            <w:jc w:val="both"/>
            <w:rPr>
              <w:rFonts w:ascii="Times New Roman" w:eastAsiaTheme="minorEastAsia" w:hAnsi="Times New Roman"/>
              <w:noProof/>
            </w:rPr>
          </w:pPr>
          <w:hyperlink w:anchor="_Toc230846377" w:history="1">
            <w:r w:rsidR="002E7B21" w:rsidRPr="002E7B21">
              <w:rPr>
                <w:rStyle w:val="Hipervnculo"/>
                <w:rFonts w:ascii="Times New Roman" w:hAnsi="Times New Roman"/>
                <w:noProof/>
                <w:lang w:val="es-ES"/>
              </w:rPr>
              <w:t>5.2. La necesidad de modular los efectos de la decisión de inexequibilidad y reviviscencia ante el ejercicio de funciones del CNE y el proceso de elección de presidente de la República en curso</w:t>
            </w:r>
            <w:r w:rsidR="002E7B21" w:rsidRPr="002E7B21">
              <w:rPr>
                <w:rFonts w:ascii="Times New Roman" w:hAnsi="Times New Roman"/>
                <w:noProof/>
                <w:webHidden/>
              </w:rPr>
              <w:tab/>
            </w:r>
            <w:r w:rsidR="002E7B21" w:rsidRPr="002E7B21">
              <w:rPr>
                <w:rFonts w:ascii="Times New Roman" w:hAnsi="Times New Roman"/>
                <w:noProof/>
                <w:webHidden/>
              </w:rPr>
              <w:fldChar w:fldCharType="begin"/>
            </w:r>
            <w:r w:rsidR="002E7B21" w:rsidRPr="002E7B21">
              <w:rPr>
                <w:rFonts w:ascii="Times New Roman" w:hAnsi="Times New Roman"/>
                <w:noProof/>
                <w:webHidden/>
              </w:rPr>
              <w:instrText xml:space="preserve"> PAGEREF _Toc230846377 \h </w:instrText>
            </w:r>
            <w:r w:rsidR="002E7B21" w:rsidRPr="002E7B21">
              <w:rPr>
                <w:rFonts w:ascii="Times New Roman" w:hAnsi="Times New Roman"/>
                <w:noProof/>
                <w:webHidden/>
              </w:rPr>
            </w:r>
            <w:r w:rsidR="002E7B21" w:rsidRPr="002E7B21">
              <w:rPr>
                <w:rFonts w:ascii="Times New Roman" w:hAnsi="Times New Roman"/>
                <w:noProof/>
                <w:webHidden/>
              </w:rPr>
              <w:fldChar w:fldCharType="separate"/>
            </w:r>
            <w:r w:rsidR="002E7B21" w:rsidRPr="002E7B21">
              <w:rPr>
                <w:rFonts w:ascii="Times New Roman" w:hAnsi="Times New Roman"/>
                <w:noProof/>
                <w:webHidden/>
              </w:rPr>
              <w:t>45</w:t>
            </w:r>
            <w:r w:rsidR="002E7B21" w:rsidRPr="002E7B21">
              <w:rPr>
                <w:rFonts w:ascii="Times New Roman" w:hAnsi="Times New Roman"/>
                <w:noProof/>
                <w:webHidden/>
              </w:rPr>
              <w:fldChar w:fldCharType="end"/>
            </w:r>
          </w:hyperlink>
        </w:p>
        <w:p w14:paraId="62DA2EFB" w14:textId="1703D838" w:rsidR="002E7B21" w:rsidRPr="002E7B21" w:rsidRDefault="004A02BF" w:rsidP="002E7B21">
          <w:pPr>
            <w:pStyle w:val="TDC1"/>
            <w:tabs>
              <w:tab w:val="right" w:leader="dot" w:pos="8828"/>
            </w:tabs>
            <w:jc w:val="both"/>
            <w:rPr>
              <w:rFonts w:ascii="Times New Roman" w:eastAsiaTheme="minorEastAsia" w:hAnsi="Times New Roman"/>
              <w:b w:val="0"/>
              <w:bCs w:val="0"/>
              <w:i w:val="0"/>
              <w:iCs w:val="0"/>
              <w:noProof/>
              <w:sz w:val="20"/>
              <w:szCs w:val="20"/>
            </w:rPr>
          </w:pPr>
          <w:hyperlink w:anchor="_Toc230846378" w:history="1">
            <w:r w:rsidR="002E7B21" w:rsidRPr="002E7B21">
              <w:rPr>
                <w:rStyle w:val="Hipervnculo"/>
                <w:rFonts w:ascii="Times New Roman" w:hAnsi="Times New Roman"/>
                <w:b w:val="0"/>
                <w:i w:val="0"/>
                <w:noProof/>
                <w:sz w:val="20"/>
                <w:szCs w:val="20"/>
              </w:rPr>
              <w:t>VIII. DECISIÓN</w:t>
            </w:r>
            <w:r w:rsidR="002E7B21" w:rsidRPr="002E7B21">
              <w:rPr>
                <w:rFonts w:ascii="Times New Roman" w:hAnsi="Times New Roman"/>
                <w:b w:val="0"/>
                <w:i w:val="0"/>
                <w:noProof/>
                <w:webHidden/>
                <w:sz w:val="20"/>
                <w:szCs w:val="20"/>
              </w:rPr>
              <w:tab/>
            </w:r>
            <w:r w:rsidR="002E7B21" w:rsidRPr="002E7B21">
              <w:rPr>
                <w:rFonts w:ascii="Times New Roman" w:hAnsi="Times New Roman"/>
                <w:b w:val="0"/>
                <w:i w:val="0"/>
                <w:noProof/>
                <w:webHidden/>
                <w:sz w:val="20"/>
                <w:szCs w:val="20"/>
              </w:rPr>
              <w:fldChar w:fldCharType="begin"/>
            </w:r>
            <w:r w:rsidR="002E7B21" w:rsidRPr="002E7B21">
              <w:rPr>
                <w:rFonts w:ascii="Times New Roman" w:hAnsi="Times New Roman"/>
                <w:b w:val="0"/>
                <w:i w:val="0"/>
                <w:noProof/>
                <w:webHidden/>
                <w:sz w:val="20"/>
                <w:szCs w:val="20"/>
              </w:rPr>
              <w:instrText xml:space="preserve"> PAGEREF _Toc230846378 \h </w:instrText>
            </w:r>
            <w:r w:rsidR="002E7B21" w:rsidRPr="002E7B21">
              <w:rPr>
                <w:rFonts w:ascii="Times New Roman" w:hAnsi="Times New Roman"/>
                <w:b w:val="0"/>
                <w:i w:val="0"/>
                <w:noProof/>
                <w:webHidden/>
                <w:sz w:val="20"/>
                <w:szCs w:val="20"/>
              </w:rPr>
            </w:r>
            <w:r w:rsidR="002E7B21" w:rsidRPr="002E7B21">
              <w:rPr>
                <w:rFonts w:ascii="Times New Roman" w:hAnsi="Times New Roman"/>
                <w:b w:val="0"/>
                <w:i w:val="0"/>
                <w:noProof/>
                <w:webHidden/>
                <w:sz w:val="20"/>
                <w:szCs w:val="20"/>
              </w:rPr>
              <w:fldChar w:fldCharType="separate"/>
            </w:r>
            <w:r w:rsidR="002E7B21" w:rsidRPr="002E7B21">
              <w:rPr>
                <w:rFonts w:ascii="Times New Roman" w:hAnsi="Times New Roman"/>
                <w:b w:val="0"/>
                <w:i w:val="0"/>
                <w:noProof/>
                <w:webHidden/>
                <w:sz w:val="20"/>
                <w:szCs w:val="20"/>
              </w:rPr>
              <w:t>52</w:t>
            </w:r>
            <w:r w:rsidR="002E7B21" w:rsidRPr="002E7B21">
              <w:rPr>
                <w:rFonts w:ascii="Times New Roman" w:hAnsi="Times New Roman"/>
                <w:b w:val="0"/>
                <w:i w:val="0"/>
                <w:noProof/>
                <w:webHidden/>
                <w:sz w:val="20"/>
                <w:szCs w:val="20"/>
              </w:rPr>
              <w:fldChar w:fldCharType="end"/>
            </w:r>
          </w:hyperlink>
        </w:p>
        <w:p w14:paraId="258867A9" w14:textId="2816644C" w:rsidR="00C45110" w:rsidRPr="00C45110" w:rsidRDefault="00C45110" w:rsidP="0017777C">
          <w:pPr>
            <w:jc w:val="both"/>
          </w:pPr>
          <w:r w:rsidRPr="00AD0E5E">
            <w:rPr>
              <w:bCs/>
              <w:noProof/>
              <w:sz w:val="20"/>
              <w:szCs w:val="20"/>
            </w:rPr>
            <w:fldChar w:fldCharType="end"/>
          </w:r>
        </w:p>
      </w:sdtContent>
    </w:sdt>
    <w:p w14:paraId="284399A5" w14:textId="01C72FD4" w:rsidR="002343E4" w:rsidRPr="003239AA" w:rsidRDefault="0060246C" w:rsidP="003239AA">
      <w:pPr>
        <w:pStyle w:val="Ttulo1"/>
        <w:spacing w:before="0"/>
        <w:rPr>
          <w:rFonts w:ascii="Times New Roman" w:hAnsi="Times New Roman" w:cs="Times New Roman"/>
          <w:b/>
          <w:color w:val="auto"/>
          <w:sz w:val="28"/>
          <w:szCs w:val="28"/>
        </w:rPr>
      </w:pPr>
      <w:bookmarkStart w:id="2" w:name="_Toc230846356"/>
      <w:r w:rsidRPr="003239AA">
        <w:rPr>
          <w:rFonts w:ascii="Times New Roman" w:hAnsi="Times New Roman" w:cs="Times New Roman"/>
          <w:b/>
          <w:color w:val="auto"/>
          <w:sz w:val="28"/>
          <w:szCs w:val="28"/>
        </w:rPr>
        <w:t>I. ANTECEDENTES</w:t>
      </w:r>
      <w:bookmarkEnd w:id="2"/>
    </w:p>
    <w:p w14:paraId="284399A6" w14:textId="77777777" w:rsidR="002343E4" w:rsidRPr="00554FD8" w:rsidRDefault="002343E4" w:rsidP="00CF4E25">
      <w:pPr>
        <w:widowControl w:val="0"/>
        <w:pBdr>
          <w:top w:val="nil"/>
          <w:left w:val="nil"/>
          <w:bottom w:val="nil"/>
          <w:right w:val="nil"/>
          <w:between w:val="nil"/>
        </w:pBdr>
        <w:tabs>
          <w:tab w:val="left" w:pos="284"/>
          <w:tab w:val="left" w:pos="426"/>
        </w:tabs>
        <w:jc w:val="both"/>
        <w:rPr>
          <w:sz w:val="28"/>
          <w:szCs w:val="28"/>
        </w:rPr>
      </w:pPr>
    </w:p>
    <w:p w14:paraId="2DD9F3E3" w14:textId="4908156A" w:rsidR="006479D4" w:rsidRPr="00554FD8" w:rsidRDefault="0060246C" w:rsidP="00D52700">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E</w:t>
      </w:r>
      <w:r w:rsidR="00E337E2" w:rsidRPr="00554FD8">
        <w:rPr>
          <w:sz w:val="28"/>
          <w:szCs w:val="28"/>
        </w:rPr>
        <w:t xml:space="preserve">n ejercicio de la acción pública de inconstitucionalidad, </w:t>
      </w:r>
      <w:r w:rsidR="004810CB" w:rsidRPr="00554FD8">
        <w:rPr>
          <w:sz w:val="28"/>
          <w:szCs w:val="28"/>
        </w:rPr>
        <w:t>Víctor Manuel Bernal Callejas</w:t>
      </w:r>
      <w:r w:rsidR="00E337E2" w:rsidRPr="00554FD8">
        <w:rPr>
          <w:sz w:val="28"/>
          <w:szCs w:val="28"/>
        </w:rPr>
        <w:t xml:space="preserve"> demandó los artículos 336 y 337 (parciales) de la Ley 2294 de 2023 – Plan Nacional de Desarrollo 2022-2026 (en adelante, PND). </w:t>
      </w:r>
    </w:p>
    <w:p w14:paraId="28F40B41" w14:textId="77777777" w:rsidR="00141A03" w:rsidRPr="00554FD8" w:rsidRDefault="00141A03" w:rsidP="00141A03">
      <w:pPr>
        <w:widowControl w:val="0"/>
        <w:pBdr>
          <w:top w:val="nil"/>
          <w:left w:val="nil"/>
          <w:bottom w:val="nil"/>
          <w:right w:val="nil"/>
          <w:between w:val="nil"/>
        </w:pBdr>
        <w:tabs>
          <w:tab w:val="left" w:pos="284"/>
        </w:tabs>
        <w:jc w:val="both"/>
        <w:rPr>
          <w:sz w:val="28"/>
          <w:szCs w:val="28"/>
        </w:rPr>
      </w:pPr>
    </w:p>
    <w:p w14:paraId="1B8D7039" w14:textId="4766282A" w:rsidR="00AB632D" w:rsidRPr="00554FD8" w:rsidRDefault="00141A03"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Mediante Auto 705 del 10 de abril de 2024</w:t>
      </w:r>
      <w:r w:rsidRPr="00554FD8">
        <w:rPr>
          <w:rStyle w:val="Refdenotaalpie"/>
          <w:sz w:val="28"/>
          <w:szCs w:val="28"/>
        </w:rPr>
        <w:footnoteReference w:id="2"/>
      </w:r>
      <w:r w:rsidRPr="00554FD8">
        <w:rPr>
          <w:sz w:val="28"/>
          <w:szCs w:val="28"/>
        </w:rPr>
        <w:t xml:space="preserve">, la Sala Plena de la Corte Constitucional ordenó la suspensión de términos para la tramitación de procesos que cursaran ante </w:t>
      </w:r>
      <w:r w:rsidR="00B93810" w:rsidRPr="00554FD8">
        <w:rPr>
          <w:sz w:val="28"/>
          <w:szCs w:val="28"/>
        </w:rPr>
        <w:t xml:space="preserve">dicha </w:t>
      </w:r>
      <w:r w:rsidR="00F84EDD" w:rsidRPr="00554FD8">
        <w:rPr>
          <w:sz w:val="28"/>
          <w:szCs w:val="28"/>
        </w:rPr>
        <w:t>c</w:t>
      </w:r>
      <w:r w:rsidR="00B93810" w:rsidRPr="00554FD8">
        <w:rPr>
          <w:sz w:val="28"/>
          <w:szCs w:val="28"/>
        </w:rPr>
        <w:t>orporación</w:t>
      </w:r>
      <w:r w:rsidRPr="00554FD8">
        <w:rPr>
          <w:sz w:val="28"/>
          <w:szCs w:val="28"/>
        </w:rPr>
        <w:t xml:space="preserve"> por demandas instauradas contra los artículos objeto de conciliación</w:t>
      </w:r>
      <w:r w:rsidR="00B93810" w:rsidRPr="00554FD8">
        <w:rPr>
          <w:sz w:val="28"/>
          <w:szCs w:val="28"/>
        </w:rPr>
        <w:t xml:space="preserve"> d</w:t>
      </w:r>
      <w:r w:rsidRPr="00554FD8">
        <w:rPr>
          <w:sz w:val="28"/>
          <w:szCs w:val="28"/>
        </w:rPr>
        <w:t xml:space="preserve">el proyecto de ley </w:t>
      </w:r>
      <w:r w:rsidR="0004149D" w:rsidRPr="00554FD8">
        <w:rPr>
          <w:sz w:val="28"/>
          <w:szCs w:val="28"/>
        </w:rPr>
        <w:t>n.°</w:t>
      </w:r>
      <w:r w:rsidRPr="00554FD8">
        <w:rPr>
          <w:sz w:val="28"/>
          <w:szCs w:val="28"/>
        </w:rPr>
        <w:t xml:space="preserve"> 274 de 2023 Senado, 338 de 2023 Cámara, antecedente legislativo de la Ley 2294 de 2023. Lo anterior, hasta tanto se profiriera decisión dentro </w:t>
      </w:r>
      <w:r w:rsidRPr="00AD0E5E">
        <w:rPr>
          <w:sz w:val="28"/>
          <w:szCs w:val="28"/>
        </w:rPr>
        <w:t>del expediente D-15.357. Posteriormente, mediante Sentencia C-448 de 202</w:t>
      </w:r>
      <w:r w:rsidR="000D3258" w:rsidRPr="00AD0E5E">
        <w:rPr>
          <w:sz w:val="28"/>
          <w:szCs w:val="28"/>
        </w:rPr>
        <w:t>4</w:t>
      </w:r>
      <w:r w:rsidRPr="00AD0E5E">
        <w:rPr>
          <w:rStyle w:val="Refdenotaalpie"/>
          <w:sz w:val="28"/>
          <w:szCs w:val="28"/>
        </w:rPr>
        <w:footnoteReference w:id="3"/>
      </w:r>
      <w:r w:rsidR="009864E2" w:rsidRPr="00AD0E5E">
        <w:rPr>
          <w:sz w:val="28"/>
          <w:szCs w:val="28"/>
        </w:rPr>
        <w:t>,</w:t>
      </w:r>
      <w:r w:rsidR="009864E2" w:rsidRPr="00554FD8">
        <w:rPr>
          <w:sz w:val="28"/>
          <w:szCs w:val="28"/>
        </w:rPr>
        <w:t xml:space="preserve"> </w:t>
      </w:r>
      <w:r w:rsidRPr="00554FD8">
        <w:rPr>
          <w:sz w:val="28"/>
          <w:szCs w:val="28"/>
        </w:rPr>
        <w:t xml:space="preserve">esta </w:t>
      </w:r>
      <w:r w:rsidR="00F84EDD" w:rsidRPr="00554FD8">
        <w:rPr>
          <w:sz w:val="28"/>
          <w:szCs w:val="28"/>
        </w:rPr>
        <w:t>c</w:t>
      </w:r>
      <w:r w:rsidRPr="00554FD8">
        <w:rPr>
          <w:sz w:val="28"/>
          <w:szCs w:val="28"/>
        </w:rPr>
        <w:t>orporación ordenó el levantamiento de dicha suspensión de términos</w:t>
      </w:r>
      <w:r w:rsidR="009864E2" w:rsidRPr="00554FD8">
        <w:rPr>
          <w:sz w:val="28"/>
          <w:szCs w:val="28"/>
        </w:rPr>
        <w:t xml:space="preserve">. </w:t>
      </w:r>
      <w:r w:rsidR="008D093E" w:rsidRPr="00554FD8">
        <w:rPr>
          <w:sz w:val="28"/>
          <w:szCs w:val="28"/>
        </w:rPr>
        <w:t xml:space="preserve">Tal </w:t>
      </w:r>
      <w:r w:rsidRPr="00554FD8">
        <w:rPr>
          <w:sz w:val="28"/>
          <w:szCs w:val="28"/>
        </w:rPr>
        <w:t>orden se hizo efectiva, de acuerdo a la constancia emitida por la Secretaría General de la Corte Constitucional, a partir del 12 de febrero de 2025</w:t>
      </w:r>
      <w:r w:rsidRPr="00554FD8">
        <w:rPr>
          <w:rStyle w:val="Refdenotaalpie"/>
          <w:sz w:val="28"/>
          <w:szCs w:val="28"/>
        </w:rPr>
        <w:footnoteReference w:id="4"/>
      </w:r>
      <w:r w:rsidRPr="00554FD8">
        <w:rPr>
          <w:sz w:val="28"/>
          <w:szCs w:val="28"/>
        </w:rPr>
        <w:t xml:space="preserve">. </w:t>
      </w:r>
    </w:p>
    <w:p w14:paraId="36A85813" w14:textId="77777777" w:rsidR="00746F3D" w:rsidRPr="00554FD8" w:rsidRDefault="00746F3D" w:rsidP="00746F3D">
      <w:pPr>
        <w:pStyle w:val="Prrafodelista"/>
        <w:rPr>
          <w:sz w:val="28"/>
          <w:szCs w:val="28"/>
        </w:rPr>
      </w:pPr>
    </w:p>
    <w:p w14:paraId="047C7BDC" w14:textId="5012C0B5" w:rsidR="00746F3D" w:rsidRPr="00554FD8" w:rsidRDefault="00746F3D"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Mediante Auto del 25 de febrero de 2025, el despacho sustanciador admitió la demanda</w:t>
      </w:r>
      <w:r w:rsidRPr="00554FD8">
        <w:rPr>
          <w:rStyle w:val="Refdenotaalpie"/>
          <w:sz w:val="28"/>
          <w:szCs w:val="28"/>
        </w:rPr>
        <w:footnoteReference w:id="5"/>
      </w:r>
      <w:r w:rsidRPr="00554FD8">
        <w:rPr>
          <w:sz w:val="28"/>
          <w:szCs w:val="28"/>
        </w:rPr>
        <w:t xml:space="preserve">. Adicionalmente, en dicha providencia decretó la práctica de pruebas relacionadas con el trámite legislativo que culminó con la expedición de la Ley 2294 de 2023, específicamente en </w:t>
      </w:r>
      <w:r w:rsidR="007660D5" w:rsidRPr="00554FD8">
        <w:rPr>
          <w:sz w:val="28"/>
          <w:szCs w:val="28"/>
        </w:rPr>
        <w:t>lo que respecta a</w:t>
      </w:r>
      <w:r w:rsidRPr="00554FD8">
        <w:rPr>
          <w:sz w:val="28"/>
          <w:szCs w:val="28"/>
        </w:rPr>
        <w:t xml:space="preserve"> los apartes acusados. También ofició al Ministerio de Hacienda y Crédito Público, al Departamento Administrativo de la Presidencia de la República – DAPRE, al Departamento Nacional de Planeación – DNP, a la Registraduría Nacional del Estado Civil y al Consejo Nacional Electoral – CNE con el fin de que informaran sobre: (i) los fines, objetivos, programas o proyectos relacionados con las expresiones demandadas de los artículos 336 y 337 del PND; (ii) los instrumentos que existían antes de la expedición de la Ley 2294 de 2023 y a través de los cuales se aseguraba el presupuesto de gastos para el CNE; (iii) las implicaciones presupuestarias, contractuales y de sostenibilidad fiscal de las disposiciones acusadas; (iv) el presupuesto de gastos del CNE con ocasión de lo establecido en los artículos 336 y 337 del PND y (v) el ejercicio de las facultades de contratación y de ordenación del gasto por parte del CNE. Finalmente, el despacho sustanciador invitó a universidades, organizaciones no gubernamentales y centros de investigación con el fin de que emitieran concepto sobre el caso bajo estudi</w:t>
      </w:r>
      <w:r w:rsidRPr="00AD0E5E">
        <w:rPr>
          <w:sz w:val="28"/>
          <w:szCs w:val="28"/>
        </w:rPr>
        <w:t>o</w:t>
      </w:r>
      <w:r w:rsidR="001739F9" w:rsidRPr="00AD0E5E">
        <w:rPr>
          <w:rStyle w:val="Refdenotaalpie"/>
          <w:sz w:val="28"/>
          <w:szCs w:val="28"/>
        </w:rPr>
        <w:footnoteReference w:id="6"/>
      </w:r>
      <w:r w:rsidRPr="00AD0E5E">
        <w:rPr>
          <w:sz w:val="28"/>
          <w:szCs w:val="28"/>
        </w:rPr>
        <w:t>.</w:t>
      </w:r>
      <w:r w:rsidRPr="00554FD8">
        <w:rPr>
          <w:sz w:val="28"/>
          <w:szCs w:val="28"/>
        </w:rPr>
        <w:t xml:space="preserve"> </w:t>
      </w:r>
    </w:p>
    <w:p w14:paraId="1C170BDB" w14:textId="77777777" w:rsidR="00AB632D" w:rsidRPr="00554FD8" w:rsidRDefault="00AB632D" w:rsidP="00AB632D">
      <w:pPr>
        <w:pStyle w:val="Prrafodelista"/>
        <w:rPr>
          <w:sz w:val="28"/>
          <w:szCs w:val="28"/>
        </w:rPr>
      </w:pPr>
    </w:p>
    <w:p w14:paraId="548DDF2D" w14:textId="77777777" w:rsidR="00C204D6" w:rsidRPr="00554FD8" w:rsidRDefault="00141A03"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El 17 de junio de 2025, el procurador general de la Nación, Gregorio Eljach Pacheco, presentó manifestación de impedimento para conceptuar en el proceso de la referencia. Lo anterior, con fundamento en los artículos 25 y 26 del Decreto 2067 de 1991 y, particularmente, por la causal de haber intervenido en la expedición de la disposición demandada</w:t>
      </w:r>
      <w:r w:rsidRPr="00554FD8">
        <w:rPr>
          <w:rStyle w:val="Refdenotaalpie"/>
          <w:sz w:val="28"/>
          <w:szCs w:val="28"/>
        </w:rPr>
        <w:footnoteReference w:id="7"/>
      </w:r>
      <w:r w:rsidRPr="00554FD8">
        <w:rPr>
          <w:sz w:val="28"/>
          <w:szCs w:val="28"/>
        </w:rPr>
        <w:t>.</w:t>
      </w:r>
    </w:p>
    <w:p w14:paraId="225EE97D" w14:textId="338A1D2C" w:rsidR="00141A03" w:rsidRPr="00554FD8" w:rsidRDefault="00141A03" w:rsidP="008B1FEF">
      <w:pPr>
        <w:widowControl w:val="0"/>
        <w:pBdr>
          <w:top w:val="nil"/>
          <w:left w:val="nil"/>
          <w:bottom w:val="nil"/>
          <w:right w:val="nil"/>
          <w:between w:val="nil"/>
        </w:pBdr>
        <w:tabs>
          <w:tab w:val="left" w:pos="284"/>
        </w:tabs>
        <w:jc w:val="both"/>
        <w:rPr>
          <w:sz w:val="28"/>
          <w:szCs w:val="28"/>
        </w:rPr>
      </w:pPr>
      <w:r w:rsidRPr="00554FD8">
        <w:rPr>
          <w:sz w:val="28"/>
          <w:szCs w:val="28"/>
        </w:rPr>
        <w:t xml:space="preserve"> </w:t>
      </w:r>
    </w:p>
    <w:p w14:paraId="76E8C545" w14:textId="77777777" w:rsidR="00C204D6" w:rsidRPr="00554FD8" w:rsidRDefault="00C204D6" w:rsidP="00C204D6">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 xml:space="preserve">Mediante Auto 1724 del 29 de octubre de 2025, la Sala Plena de esta corporación declaró fundado el impedimento presentado por Gregorio Eljach Pacheco, en calidad de procurador general de la Nación. Dicha providencia fue notificada mediante estado n.° 213 del 19 de diciembre de 2025. En la misma, se ordenó remitir el expediente de la referencia al viceprocurador general de la Nación para que, </w:t>
      </w:r>
      <w:r w:rsidRPr="00554FD8">
        <w:rPr>
          <w:color w:val="000000"/>
          <w:sz w:val="28"/>
          <w:szCs w:val="28"/>
          <w:shd w:val="clear" w:color="auto" w:fill="FFFFFF"/>
        </w:rPr>
        <w:t>en el término restante otorgado inicialmente al procurador general de la Nación, rindiera el concepto de que trata el numeral 2º del artículo 242 de la Constitución.</w:t>
      </w:r>
    </w:p>
    <w:p w14:paraId="21673B0E" w14:textId="77777777" w:rsidR="0046546A" w:rsidRPr="00554FD8" w:rsidRDefault="0046546A" w:rsidP="0046546A">
      <w:pPr>
        <w:pStyle w:val="Prrafodelista"/>
        <w:rPr>
          <w:sz w:val="28"/>
          <w:szCs w:val="28"/>
        </w:rPr>
      </w:pPr>
    </w:p>
    <w:p w14:paraId="210251B2" w14:textId="1D7640B5" w:rsidR="0046546A" w:rsidRPr="00554FD8" w:rsidRDefault="0046546A" w:rsidP="0046546A">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El 6 de octubre de 2025, el magistrado Vladimir Fernández Andrade presentó manifestación</w:t>
      </w:r>
      <w:r w:rsidR="00453E88" w:rsidRPr="00554FD8">
        <w:rPr>
          <w:sz w:val="28"/>
          <w:szCs w:val="28"/>
        </w:rPr>
        <w:t xml:space="preserve"> </w:t>
      </w:r>
      <w:r w:rsidRPr="00554FD8">
        <w:rPr>
          <w:sz w:val="28"/>
          <w:szCs w:val="28"/>
        </w:rPr>
        <w:t>de impedimento para “participar en el debate de constitucionalidad de la referencia”</w:t>
      </w:r>
      <w:r w:rsidRPr="00554FD8">
        <w:rPr>
          <w:rStyle w:val="Refdenotaalpie"/>
          <w:sz w:val="28"/>
          <w:szCs w:val="28"/>
        </w:rPr>
        <w:footnoteReference w:id="8"/>
      </w:r>
      <w:r w:rsidRPr="00554FD8">
        <w:rPr>
          <w:sz w:val="28"/>
          <w:szCs w:val="28"/>
        </w:rPr>
        <w:t xml:space="preserve">. Lo anterior, por las causales de haber intervenido en la expedición de la disposición acusada y haber conceptuado sobre la constitucionalidad de la disposición acusada. En sesión del 29 de octubre de 2025, la Sala Plena de la Corte Constitucional declaró fundado el impedimento del </w:t>
      </w:r>
      <w:r w:rsidR="00D530F6" w:rsidRPr="00554FD8">
        <w:rPr>
          <w:sz w:val="28"/>
          <w:szCs w:val="28"/>
        </w:rPr>
        <w:t xml:space="preserve">mencionado </w:t>
      </w:r>
      <w:r w:rsidR="00A76F4A" w:rsidRPr="00554FD8">
        <w:rPr>
          <w:sz w:val="28"/>
          <w:szCs w:val="28"/>
        </w:rPr>
        <w:t xml:space="preserve">magistrado </w:t>
      </w:r>
      <w:r w:rsidRPr="00554FD8">
        <w:rPr>
          <w:sz w:val="28"/>
          <w:szCs w:val="28"/>
        </w:rPr>
        <w:t>para conocer y decidir el proceso D-15.963, tal y como se evidencia en la constancia expedida por la Secretaría General de esta corporación el 7 de noviembre de 2025</w:t>
      </w:r>
      <w:r w:rsidRPr="00554FD8">
        <w:rPr>
          <w:rStyle w:val="Refdenotaalpie"/>
          <w:sz w:val="28"/>
          <w:szCs w:val="28"/>
        </w:rPr>
        <w:footnoteReference w:id="9"/>
      </w:r>
      <w:r w:rsidRPr="00554FD8">
        <w:rPr>
          <w:sz w:val="28"/>
          <w:szCs w:val="28"/>
        </w:rPr>
        <w:t xml:space="preserve">. </w:t>
      </w:r>
    </w:p>
    <w:p w14:paraId="1524C6AE" w14:textId="4EDC700F" w:rsidR="004F03E5" w:rsidRPr="00554FD8" w:rsidRDefault="004F03E5" w:rsidP="001A5115">
      <w:pPr>
        <w:pBdr>
          <w:top w:val="nil"/>
          <w:left w:val="nil"/>
          <w:bottom w:val="nil"/>
          <w:right w:val="nil"/>
          <w:between w:val="nil"/>
        </w:pBdr>
        <w:tabs>
          <w:tab w:val="left" w:pos="284"/>
        </w:tabs>
        <w:adjustRightInd w:val="0"/>
        <w:snapToGrid w:val="0"/>
        <w:rPr>
          <w:b/>
          <w:sz w:val="28"/>
          <w:szCs w:val="28"/>
        </w:rPr>
      </w:pPr>
    </w:p>
    <w:p w14:paraId="69EDCC72" w14:textId="0BF31811" w:rsidR="00E337E2" w:rsidRPr="00554FD8" w:rsidRDefault="00E337E2"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Cumplidos los trámites constitucionales y legales propios de esta clase de juicios, y previo concepto del viceprocurador general de la Nación, la Corte</w:t>
      </w:r>
      <w:r w:rsidR="007660D5" w:rsidRPr="00554FD8">
        <w:rPr>
          <w:sz w:val="28"/>
          <w:szCs w:val="28"/>
        </w:rPr>
        <w:t xml:space="preserve"> Constitucional</w:t>
      </w:r>
      <w:r w:rsidRPr="00554FD8">
        <w:rPr>
          <w:sz w:val="28"/>
          <w:szCs w:val="28"/>
        </w:rPr>
        <w:t xml:space="preserve"> procede a decidir sobre la demanda de la referencia.</w:t>
      </w:r>
    </w:p>
    <w:p w14:paraId="79C3DC77" w14:textId="77777777" w:rsidR="00E337E2" w:rsidRPr="00554FD8" w:rsidRDefault="00E337E2" w:rsidP="001A5115">
      <w:pPr>
        <w:pBdr>
          <w:top w:val="nil"/>
          <w:left w:val="nil"/>
          <w:bottom w:val="nil"/>
          <w:right w:val="nil"/>
          <w:between w:val="nil"/>
        </w:pBdr>
        <w:tabs>
          <w:tab w:val="left" w:pos="284"/>
        </w:tabs>
        <w:adjustRightInd w:val="0"/>
        <w:snapToGrid w:val="0"/>
        <w:rPr>
          <w:b/>
          <w:sz w:val="28"/>
          <w:szCs w:val="28"/>
        </w:rPr>
      </w:pPr>
    </w:p>
    <w:p w14:paraId="125931BB" w14:textId="1D7B1501" w:rsidR="001A5115" w:rsidRPr="003239AA" w:rsidRDefault="009B5F14" w:rsidP="003239AA">
      <w:pPr>
        <w:pStyle w:val="Ttulo1"/>
        <w:spacing w:before="0"/>
        <w:rPr>
          <w:rFonts w:ascii="Times New Roman" w:hAnsi="Times New Roman" w:cs="Times New Roman"/>
          <w:b/>
          <w:color w:val="auto"/>
          <w:sz w:val="28"/>
          <w:szCs w:val="28"/>
        </w:rPr>
      </w:pPr>
      <w:bookmarkStart w:id="3" w:name="_Toc230846357"/>
      <w:r w:rsidRPr="003239AA">
        <w:rPr>
          <w:rFonts w:ascii="Times New Roman" w:hAnsi="Times New Roman" w:cs="Times New Roman"/>
          <w:b/>
          <w:color w:val="auto"/>
          <w:sz w:val="28"/>
          <w:szCs w:val="28"/>
        </w:rPr>
        <w:t xml:space="preserve">II. </w:t>
      </w:r>
      <w:r w:rsidR="001A5115" w:rsidRPr="003239AA">
        <w:rPr>
          <w:rFonts w:ascii="Times New Roman" w:hAnsi="Times New Roman" w:cs="Times New Roman"/>
          <w:b/>
          <w:color w:val="auto"/>
          <w:sz w:val="28"/>
          <w:szCs w:val="28"/>
        </w:rPr>
        <w:t>LAS NORMAS DEMANDADAS</w:t>
      </w:r>
      <w:bookmarkEnd w:id="3"/>
    </w:p>
    <w:p w14:paraId="15E18D93" w14:textId="7D68D932" w:rsidR="001A5115" w:rsidRPr="00554FD8" w:rsidRDefault="001A5115" w:rsidP="001A5115">
      <w:pPr>
        <w:keepNext/>
        <w:widowControl w:val="0"/>
        <w:pBdr>
          <w:top w:val="nil"/>
          <w:left w:val="nil"/>
          <w:bottom w:val="nil"/>
          <w:right w:val="nil"/>
          <w:between w:val="nil"/>
        </w:pBdr>
        <w:tabs>
          <w:tab w:val="left" w:pos="284"/>
        </w:tabs>
        <w:rPr>
          <w:b/>
          <w:sz w:val="28"/>
          <w:szCs w:val="28"/>
        </w:rPr>
      </w:pPr>
    </w:p>
    <w:p w14:paraId="4310FA54" w14:textId="6F4D45A1" w:rsidR="00930F3F" w:rsidRPr="00554FD8" w:rsidRDefault="00E337E2"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 xml:space="preserve">A continuación, se transcriben las disposiciones acusadas y se resaltan los apartes demandados: </w:t>
      </w:r>
    </w:p>
    <w:p w14:paraId="0275148C" w14:textId="77777777" w:rsidR="00930F3F" w:rsidRPr="00554FD8" w:rsidRDefault="00930F3F" w:rsidP="00930F3F">
      <w:pPr>
        <w:widowControl w:val="0"/>
        <w:pBdr>
          <w:top w:val="nil"/>
          <w:left w:val="nil"/>
          <w:bottom w:val="nil"/>
          <w:right w:val="nil"/>
          <w:between w:val="nil"/>
        </w:pBdr>
        <w:tabs>
          <w:tab w:val="left" w:pos="284"/>
        </w:tabs>
        <w:jc w:val="both"/>
        <w:rPr>
          <w:sz w:val="28"/>
          <w:szCs w:val="28"/>
        </w:rPr>
      </w:pPr>
    </w:p>
    <w:p w14:paraId="3188D0E9" w14:textId="492D2DBB" w:rsidR="00930F3F" w:rsidRPr="00554FD8" w:rsidRDefault="00930F3F" w:rsidP="0027010B">
      <w:pPr>
        <w:pStyle w:val="NormalWeb"/>
        <w:spacing w:before="0" w:beforeAutospacing="0" w:after="0" w:afterAutospacing="0"/>
        <w:ind w:left="284" w:right="284"/>
        <w:jc w:val="center"/>
      </w:pPr>
      <w:r w:rsidRPr="00554FD8">
        <w:t>“LEY 2294 DE 2023</w:t>
      </w:r>
    </w:p>
    <w:p w14:paraId="68C34CC4" w14:textId="77ECECAF" w:rsidR="00930F3F" w:rsidRPr="00554FD8" w:rsidRDefault="00930F3F" w:rsidP="0027010B">
      <w:pPr>
        <w:pStyle w:val="NormalWeb"/>
        <w:spacing w:before="0" w:beforeAutospacing="0" w:after="0" w:afterAutospacing="0"/>
        <w:ind w:left="284" w:right="284"/>
        <w:jc w:val="center"/>
      </w:pPr>
      <w:r w:rsidRPr="00554FD8">
        <w:t>Por el cual se expide el Plan Nacional de Desarrollo 2022-2026 “Colombia Potencia Mundial de la Vida”</w:t>
      </w:r>
    </w:p>
    <w:p w14:paraId="5740E2E5" w14:textId="6C515CA3" w:rsidR="00930F3F" w:rsidRPr="00554FD8" w:rsidRDefault="00930F3F" w:rsidP="0027010B">
      <w:pPr>
        <w:pStyle w:val="NormalWeb"/>
        <w:spacing w:before="0" w:beforeAutospacing="0" w:after="0" w:afterAutospacing="0"/>
        <w:ind w:left="284" w:right="284"/>
        <w:jc w:val="center"/>
      </w:pPr>
    </w:p>
    <w:p w14:paraId="085BC710" w14:textId="463E847A" w:rsidR="00B93810" w:rsidRPr="00554FD8" w:rsidRDefault="00B93810" w:rsidP="0027010B">
      <w:pPr>
        <w:pStyle w:val="NormalWeb"/>
        <w:spacing w:before="0" w:beforeAutospacing="0" w:after="0" w:afterAutospacing="0"/>
        <w:ind w:left="284" w:right="284"/>
        <w:jc w:val="center"/>
      </w:pPr>
      <w:r w:rsidRPr="00554FD8">
        <w:t xml:space="preserve">[…] </w:t>
      </w:r>
    </w:p>
    <w:p w14:paraId="676D157C" w14:textId="77777777" w:rsidR="00B93810" w:rsidRPr="00554FD8" w:rsidRDefault="00B93810" w:rsidP="0027010B">
      <w:pPr>
        <w:pStyle w:val="NormalWeb"/>
        <w:spacing w:before="0" w:beforeAutospacing="0" w:after="0" w:afterAutospacing="0"/>
        <w:ind w:left="284" w:right="284"/>
        <w:jc w:val="center"/>
      </w:pPr>
    </w:p>
    <w:p w14:paraId="6A2CBB6E" w14:textId="77777777" w:rsidR="00A36FA0" w:rsidRPr="00554FD8" w:rsidRDefault="00930F3F" w:rsidP="0027010B">
      <w:pPr>
        <w:pStyle w:val="NormalWeb"/>
        <w:spacing w:before="0" w:beforeAutospacing="0" w:after="0" w:afterAutospacing="0"/>
        <w:ind w:left="284" w:right="284"/>
        <w:jc w:val="center"/>
      </w:pPr>
      <w:r w:rsidRPr="00554FD8">
        <w:t xml:space="preserve">CAPITULO VII </w:t>
      </w:r>
    </w:p>
    <w:p w14:paraId="1509AEB6" w14:textId="21343046" w:rsidR="00930F3F" w:rsidRPr="00554FD8" w:rsidRDefault="00930F3F" w:rsidP="0027010B">
      <w:pPr>
        <w:pStyle w:val="NormalWeb"/>
        <w:spacing w:before="0" w:beforeAutospacing="0" w:after="0" w:afterAutospacing="0"/>
        <w:ind w:left="284" w:right="284"/>
        <w:jc w:val="center"/>
      </w:pPr>
      <w:r w:rsidRPr="00554FD8">
        <w:t>ESTABILIDAD MACROECONÓMICA</w:t>
      </w:r>
    </w:p>
    <w:p w14:paraId="201C5F9A" w14:textId="77777777" w:rsidR="00A36FA0" w:rsidRPr="00554FD8" w:rsidRDefault="00A36FA0" w:rsidP="0027010B">
      <w:pPr>
        <w:pStyle w:val="NormalWeb"/>
        <w:spacing w:before="0" w:beforeAutospacing="0" w:after="0" w:afterAutospacing="0"/>
        <w:ind w:left="284" w:right="284"/>
        <w:jc w:val="center"/>
      </w:pPr>
    </w:p>
    <w:p w14:paraId="409E161F" w14:textId="38FB69F3" w:rsidR="00930F3F" w:rsidRPr="00554FD8" w:rsidRDefault="00A36FA0" w:rsidP="0027010B">
      <w:pPr>
        <w:pStyle w:val="NormalWeb"/>
        <w:spacing w:before="0" w:beforeAutospacing="0" w:after="0" w:afterAutospacing="0"/>
        <w:ind w:left="284" w:right="284"/>
        <w:jc w:val="center"/>
      </w:pPr>
      <w:r w:rsidRPr="00554FD8">
        <w:t>[…]</w:t>
      </w:r>
    </w:p>
    <w:p w14:paraId="5B6125FE" w14:textId="77777777" w:rsidR="00A36FA0" w:rsidRPr="00554FD8" w:rsidRDefault="00A36FA0" w:rsidP="0027010B">
      <w:pPr>
        <w:pStyle w:val="NormalWeb"/>
        <w:spacing w:before="0" w:beforeAutospacing="0" w:after="0" w:afterAutospacing="0"/>
        <w:ind w:left="284" w:right="284"/>
        <w:jc w:val="center"/>
      </w:pPr>
    </w:p>
    <w:p w14:paraId="2F802614" w14:textId="07130115" w:rsidR="00930F3F" w:rsidRPr="00554FD8" w:rsidRDefault="00930F3F" w:rsidP="0027010B">
      <w:pPr>
        <w:pStyle w:val="NormalWeb"/>
        <w:spacing w:before="0" w:beforeAutospacing="0" w:after="0" w:afterAutospacing="0"/>
        <w:ind w:left="284" w:right="284"/>
        <w:jc w:val="both"/>
      </w:pPr>
      <w:r w:rsidRPr="00554FD8">
        <w:t>ARTÍCULO 336. El artículo 23 de la Ley 38 de 1989 modificado por el artículo 16</w:t>
      </w:r>
      <w:r w:rsidR="009E0420" w:rsidRPr="00554FD8">
        <w:t xml:space="preserve"> [sic]</w:t>
      </w:r>
      <w:r w:rsidRPr="00554FD8">
        <w:t xml:space="preserve"> Ley 179 de 1994, compilado en el artículo 36 del Decreto 111 de 1996, quedará de la siguiente manera y modificará las correspondientes enumeraciones que se hagan en el presupuesto:</w:t>
      </w:r>
    </w:p>
    <w:p w14:paraId="77975ABF" w14:textId="77777777" w:rsidR="00FB56E4" w:rsidRPr="00554FD8" w:rsidRDefault="00FB56E4" w:rsidP="0027010B">
      <w:pPr>
        <w:pStyle w:val="NormalWeb"/>
        <w:spacing w:before="0" w:beforeAutospacing="0" w:after="0" w:afterAutospacing="0"/>
        <w:ind w:left="284" w:right="284"/>
        <w:jc w:val="both"/>
      </w:pPr>
    </w:p>
    <w:p w14:paraId="62419C50" w14:textId="2B74C1B2" w:rsidR="00930F3F" w:rsidRPr="00554FD8" w:rsidRDefault="00930F3F" w:rsidP="0087308F">
      <w:pPr>
        <w:pStyle w:val="NormalWeb"/>
        <w:widowControl w:val="0"/>
        <w:spacing w:before="0" w:beforeAutospacing="0" w:after="0" w:afterAutospacing="0"/>
        <w:ind w:left="284" w:right="284"/>
        <w:jc w:val="both"/>
      </w:pPr>
      <w:r w:rsidRPr="00554FD8">
        <w:t>Artículo 36. El presupuesto de gastos se compondrá de los gastos de funcionamiento, del servicio de la deuda pública y de los gastos de inversión. Cada uno de estos gastos se presentará clasificado en diferentes secciones que corresponderán a: la Rama Judicial, la Rama Legislativa, la Fiscalía General de la Nación, la Procuraduría General de la Nación, la Defensoría del Pueblo, la Contraloría General de la República, la Registraduría Nacional del Estado Civil</w:t>
      </w:r>
      <w:r w:rsidRPr="00554FD8">
        <w:rPr>
          <w:b/>
        </w:rPr>
        <w:t>,</w:t>
      </w:r>
      <w:r w:rsidRPr="00554FD8">
        <w:t xml:space="preserve"> </w:t>
      </w:r>
      <w:r w:rsidRPr="00554FD8">
        <w:rPr>
          <w:b/>
          <w:u w:val="single"/>
        </w:rPr>
        <w:t>el Consejo Nacional Electoral</w:t>
      </w:r>
      <w:r w:rsidRPr="00554FD8">
        <w:t>, una (1) por cada Ministerio, departamento administrativo y establecimientos públicos, una (1) para la Policía Nacional y una (1) para el Servicio de la Deuda Pública. En el proyecto de presupuesto de inversión se indicarán los proyectos establecidos en el Plan Operativo Anual de Inversión, clasificados según lo determine el Gobierno. En los presupuestos de gastos de funcionamiento e inversión no se podrán incluir gasto</w:t>
      </w:r>
      <w:r w:rsidR="009E0420" w:rsidRPr="00554FD8">
        <w:t xml:space="preserve"> [sic]</w:t>
      </w:r>
      <w:r w:rsidRPr="00554FD8">
        <w:t xml:space="preserve"> con destino al servicio de la deuda. (L. 38/89, art 23; L.179/94, art 16).</w:t>
      </w:r>
    </w:p>
    <w:p w14:paraId="6743ED5D" w14:textId="77777777" w:rsidR="00930F3F" w:rsidRPr="00554FD8" w:rsidRDefault="00930F3F" w:rsidP="0087308F">
      <w:pPr>
        <w:pStyle w:val="NormalWeb"/>
        <w:widowControl w:val="0"/>
        <w:spacing w:before="0" w:beforeAutospacing="0" w:after="0" w:afterAutospacing="0"/>
        <w:ind w:left="284" w:right="284"/>
        <w:jc w:val="both"/>
      </w:pPr>
    </w:p>
    <w:p w14:paraId="0A169B1B" w14:textId="33F5F26F" w:rsidR="00930F3F" w:rsidRPr="00554FD8" w:rsidRDefault="00930F3F" w:rsidP="0087308F">
      <w:pPr>
        <w:pStyle w:val="NormalWeb"/>
        <w:widowControl w:val="0"/>
        <w:spacing w:before="0" w:beforeAutospacing="0" w:after="0" w:afterAutospacing="0"/>
        <w:ind w:left="284" w:right="284"/>
        <w:jc w:val="both"/>
      </w:pPr>
      <w:r w:rsidRPr="00554FD8">
        <w:t>ARTÍCULO 337. El artículo 91 de la Ley 38 de 1989, modificado por el artículo 51 de la Ley 179 de 1994, compilado en el artículo 110 del Decreto 111 de 1996 quedará de la siguiente manera: modificado por el artículo 124 de la Ley 1957 de 2019.</w:t>
      </w:r>
    </w:p>
    <w:p w14:paraId="7D626A81" w14:textId="77777777" w:rsidR="00930F3F" w:rsidRPr="00554FD8" w:rsidRDefault="00930F3F" w:rsidP="0027010B">
      <w:pPr>
        <w:pStyle w:val="NormalWeb"/>
        <w:spacing w:before="0" w:beforeAutospacing="0" w:after="0" w:afterAutospacing="0"/>
        <w:ind w:left="284" w:right="284"/>
        <w:jc w:val="both"/>
      </w:pPr>
    </w:p>
    <w:p w14:paraId="20491FD2" w14:textId="439CE36E" w:rsidR="00930F3F" w:rsidRPr="00554FD8" w:rsidRDefault="00930F3F" w:rsidP="0027010B">
      <w:pPr>
        <w:pStyle w:val="NormalWeb"/>
        <w:spacing w:before="0" w:beforeAutospacing="0" w:after="0" w:afterAutospacing="0"/>
        <w:ind w:left="284" w:right="284"/>
        <w:jc w:val="both"/>
      </w:pPr>
      <w:r w:rsidRPr="00554FD8">
        <w:t>Artículo 110. Los órganos que son una sección en el Presupuesto General de la Nación, tendrán la capacidad de contratar y comprometer a nombre de la persona jurídica de la cual hagan parte, y ordenar el gasto en desarrollo de las apropiaciones incorporadas en la respectiva sección, lo que constituye la autonomía presupuestal a que se refieren la Constitución Política y la ley. Estas facultades estarán en cabeza del jefe de cada órgano quien podrá delegarlas en funcionarios del nivel directivo o quien haga sus veces, y serán ejercidas teniendo en cuenta las normas consagradas en el estatuto general de contratación de la administración pública y en las disposiciones legales vigentes.</w:t>
      </w:r>
    </w:p>
    <w:p w14:paraId="74CDC382" w14:textId="77777777" w:rsidR="00930F3F" w:rsidRPr="00554FD8" w:rsidRDefault="00930F3F" w:rsidP="0027010B">
      <w:pPr>
        <w:pStyle w:val="NormalWeb"/>
        <w:spacing w:before="0" w:beforeAutospacing="0" w:after="0" w:afterAutospacing="0"/>
        <w:ind w:left="284" w:right="284"/>
        <w:jc w:val="both"/>
      </w:pPr>
    </w:p>
    <w:p w14:paraId="305679EE" w14:textId="5293B0AF" w:rsidR="00930F3F" w:rsidRPr="00554FD8" w:rsidRDefault="00930F3F" w:rsidP="00B35E18">
      <w:pPr>
        <w:pStyle w:val="NormalWeb"/>
        <w:widowControl w:val="0"/>
        <w:spacing w:before="0" w:beforeAutospacing="0" w:after="0" w:afterAutospacing="0"/>
        <w:ind w:left="284" w:right="284"/>
        <w:jc w:val="both"/>
      </w:pPr>
      <w:r w:rsidRPr="00554FD8">
        <w:t xml:space="preserve">En la sección correspondiente a la Rama Legislativa estas capacidades </w:t>
      </w:r>
      <w:r w:rsidR="009E0420" w:rsidRPr="00554FD8">
        <w:t xml:space="preserve">[sic] </w:t>
      </w:r>
      <w:r w:rsidRPr="00554FD8">
        <w:t xml:space="preserve">ejercerán en la forma arriba indicada y de manera independiente por el Senado y la Cámara de Representantes; igualmente, en la sección correspondiente a la Rama Judicial serán ejercidas por la Sala Administrativa del Consejo Superior de la Judicatura igualmente en el caso de la Jurisdicción Especial para la Paz serán ejercidas por la Secretaría Ejecutiva de la misma, </w:t>
      </w:r>
      <w:r w:rsidRPr="00554FD8">
        <w:rPr>
          <w:b/>
          <w:u w:val="single"/>
        </w:rPr>
        <w:t>y en el Consejo Nacional Electoral por el Presidente de este órgano</w:t>
      </w:r>
      <w:r w:rsidRPr="00554FD8">
        <w:t>.</w:t>
      </w:r>
    </w:p>
    <w:p w14:paraId="5F756889" w14:textId="77777777" w:rsidR="00930F3F" w:rsidRPr="00554FD8" w:rsidRDefault="00930F3F" w:rsidP="0027010B">
      <w:pPr>
        <w:pStyle w:val="NormalWeb"/>
        <w:spacing w:before="0" w:beforeAutospacing="0" w:after="0" w:afterAutospacing="0"/>
        <w:ind w:left="284" w:right="284"/>
        <w:jc w:val="both"/>
      </w:pPr>
    </w:p>
    <w:p w14:paraId="0090739C" w14:textId="06EE1819" w:rsidR="00930F3F" w:rsidRPr="00554FD8" w:rsidRDefault="00930F3F" w:rsidP="0027010B">
      <w:pPr>
        <w:pStyle w:val="NormalWeb"/>
        <w:spacing w:before="0" w:beforeAutospacing="0" w:after="0" w:afterAutospacing="0"/>
        <w:ind w:left="284" w:right="284"/>
        <w:jc w:val="both"/>
      </w:pPr>
      <w:r w:rsidRPr="00554FD8">
        <w:t>En los mismos término</w:t>
      </w:r>
      <w:r w:rsidR="009E0420" w:rsidRPr="00554FD8">
        <w:t>s</w:t>
      </w:r>
      <w:r w:rsidRPr="00554FD8">
        <w:t xml:space="preserve"> y condiciones tendrán estas capacidades la Superintendencias, Unidades Administrativas Especiales, las entidades territoriales, asambleas y consejos, las contralorías y personerías territoriales y todos los demás órganos estatales de cualquier nivel que tengan personería jurídica.</w:t>
      </w:r>
    </w:p>
    <w:p w14:paraId="28837F17" w14:textId="77777777" w:rsidR="00930F3F" w:rsidRPr="00554FD8" w:rsidRDefault="00930F3F" w:rsidP="0027010B">
      <w:pPr>
        <w:pStyle w:val="NormalWeb"/>
        <w:spacing w:before="0" w:beforeAutospacing="0" w:after="0" w:afterAutospacing="0"/>
        <w:ind w:left="284" w:right="284"/>
        <w:jc w:val="both"/>
      </w:pPr>
    </w:p>
    <w:p w14:paraId="6A4652D9" w14:textId="64FC71FE" w:rsidR="00B93810" w:rsidRPr="00554FD8" w:rsidRDefault="00930F3F" w:rsidP="0027010B">
      <w:pPr>
        <w:pStyle w:val="NormalWeb"/>
        <w:spacing w:before="0" w:beforeAutospacing="0" w:after="0" w:afterAutospacing="0"/>
        <w:ind w:left="284" w:right="284"/>
        <w:jc w:val="both"/>
      </w:pPr>
      <w:r w:rsidRPr="00554FD8">
        <w:t>En todo caso, el Presidente de la República podrá celebrar contratos a nombre de la Nación (L. 38/89, art 91; L 179/94, art 51).</w:t>
      </w:r>
      <w:r w:rsidR="00075E3C" w:rsidRPr="00554FD8">
        <w:t xml:space="preserve"> </w:t>
      </w:r>
      <w:r w:rsidR="00B93810" w:rsidRPr="00554FD8">
        <w:t>[…]</w:t>
      </w:r>
    </w:p>
    <w:p w14:paraId="7C0833D9" w14:textId="77777777" w:rsidR="00930F3F" w:rsidRPr="00554FD8" w:rsidRDefault="00930F3F" w:rsidP="00930F3F">
      <w:pPr>
        <w:pStyle w:val="NormalWeb"/>
        <w:spacing w:before="0" w:beforeAutospacing="0" w:after="0" w:afterAutospacing="0"/>
        <w:ind w:left="113" w:right="113"/>
        <w:jc w:val="both"/>
        <w:rPr>
          <w:sz w:val="28"/>
          <w:szCs w:val="28"/>
        </w:rPr>
      </w:pPr>
    </w:p>
    <w:p w14:paraId="26F4A261" w14:textId="64257748" w:rsidR="00E337E2" w:rsidRPr="003239AA" w:rsidRDefault="001A5115" w:rsidP="003239AA">
      <w:pPr>
        <w:pStyle w:val="Ttulo1"/>
        <w:spacing w:before="0"/>
        <w:rPr>
          <w:rFonts w:ascii="Times New Roman" w:hAnsi="Times New Roman" w:cs="Times New Roman"/>
          <w:b/>
          <w:color w:val="auto"/>
          <w:sz w:val="28"/>
          <w:szCs w:val="28"/>
        </w:rPr>
      </w:pPr>
      <w:bookmarkStart w:id="4" w:name="_Toc230846358"/>
      <w:r w:rsidRPr="003239AA">
        <w:rPr>
          <w:rFonts w:ascii="Times New Roman" w:hAnsi="Times New Roman" w:cs="Times New Roman"/>
          <w:b/>
          <w:color w:val="auto"/>
          <w:sz w:val="28"/>
          <w:szCs w:val="28"/>
        </w:rPr>
        <w:t xml:space="preserve">III. </w:t>
      </w:r>
      <w:r w:rsidR="00E337E2" w:rsidRPr="003239AA">
        <w:rPr>
          <w:rFonts w:ascii="Times New Roman" w:hAnsi="Times New Roman" w:cs="Times New Roman"/>
          <w:b/>
          <w:color w:val="auto"/>
          <w:sz w:val="28"/>
          <w:szCs w:val="28"/>
        </w:rPr>
        <w:t>LA DEMANDA</w:t>
      </w:r>
      <w:bookmarkEnd w:id="4"/>
      <w:r w:rsidR="00E337E2" w:rsidRPr="003239AA">
        <w:rPr>
          <w:rFonts w:ascii="Times New Roman" w:hAnsi="Times New Roman" w:cs="Times New Roman"/>
          <w:b/>
          <w:color w:val="auto"/>
          <w:sz w:val="28"/>
          <w:szCs w:val="28"/>
        </w:rPr>
        <w:t xml:space="preserve"> </w:t>
      </w:r>
    </w:p>
    <w:p w14:paraId="0C5DFE05" w14:textId="0CE6B8C5" w:rsidR="00E337E2" w:rsidRPr="00554FD8" w:rsidRDefault="00E337E2" w:rsidP="001A5115">
      <w:pPr>
        <w:keepNext/>
        <w:widowControl w:val="0"/>
        <w:pBdr>
          <w:top w:val="nil"/>
          <w:left w:val="nil"/>
          <w:bottom w:val="nil"/>
          <w:right w:val="nil"/>
          <w:between w:val="nil"/>
        </w:pBdr>
        <w:tabs>
          <w:tab w:val="left" w:pos="284"/>
        </w:tabs>
        <w:rPr>
          <w:b/>
          <w:sz w:val="28"/>
          <w:szCs w:val="28"/>
        </w:rPr>
      </w:pPr>
    </w:p>
    <w:p w14:paraId="54C47234" w14:textId="40D26D7A" w:rsidR="009E43CD" w:rsidRPr="00554FD8" w:rsidRDefault="00E337E2"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sz w:val="28"/>
          <w:szCs w:val="28"/>
        </w:rPr>
        <w:t xml:space="preserve">El accionante argumentó que </w:t>
      </w:r>
      <w:r w:rsidR="004E25F6" w:rsidRPr="00554FD8">
        <w:rPr>
          <w:sz w:val="28"/>
          <w:szCs w:val="28"/>
        </w:rPr>
        <w:t xml:space="preserve">las normas demandadas </w:t>
      </w:r>
      <w:r w:rsidR="00083199" w:rsidRPr="00554FD8">
        <w:rPr>
          <w:sz w:val="28"/>
          <w:szCs w:val="28"/>
        </w:rPr>
        <w:t xml:space="preserve">parcialmente </w:t>
      </w:r>
      <w:r w:rsidR="007056B6" w:rsidRPr="00554FD8">
        <w:rPr>
          <w:sz w:val="28"/>
          <w:szCs w:val="28"/>
        </w:rPr>
        <w:t>desconocen lo dispuesto en</w:t>
      </w:r>
      <w:r w:rsidR="004E25F6" w:rsidRPr="00554FD8">
        <w:rPr>
          <w:sz w:val="28"/>
          <w:szCs w:val="28"/>
        </w:rPr>
        <w:t xml:space="preserve"> los artículos </w:t>
      </w:r>
      <w:r w:rsidR="007056B6" w:rsidRPr="00554FD8">
        <w:rPr>
          <w:sz w:val="28"/>
          <w:szCs w:val="28"/>
        </w:rPr>
        <w:t xml:space="preserve">151, 158, 349 y 352 de la Constitución. Lo anterior, con fundamento en los cargos que se exponen a continuación. </w:t>
      </w:r>
    </w:p>
    <w:p w14:paraId="2919CE92" w14:textId="77777777" w:rsidR="009E43CD" w:rsidRPr="00554FD8" w:rsidRDefault="009E43CD" w:rsidP="004029A0">
      <w:pPr>
        <w:widowControl w:val="0"/>
        <w:pBdr>
          <w:top w:val="nil"/>
          <w:left w:val="nil"/>
          <w:bottom w:val="nil"/>
          <w:right w:val="nil"/>
          <w:between w:val="nil"/>
        </w:pBdr>
        <w:tabs>
          <w:tab w:val="left" w:pos="284"/>
        </w:tabs>
        <w:jc w:val="both"/>
        <w:rPr>
          <w:sz w:val="28"/>
          <w:szCs w:val="28"/>
        </w:rPr>
      </w:pPr>
    </w:p>
    <w:p w14:paraId="095805AE" w14:textId="018F0373" w:rsidR="009E43CD" w:rsidRPr="00554FD8" w:rsidRDefault="00E337E2" w:rsidP="0003283E">
      <w:pPr>
        <w:widowControl w:val="0"/>
        <w:numPr>
          <w:ilvl w:val="0"/>
          <w:numId w:val="1"/>
        </w:numPr>
        <w:pBdr>
          <w:top w:val="nil"/>
          <w:left w:val="nil"/>
          <w:bottom w:val="nil"/>
          <w:right w:val="nil"/>
          <w:between w:val="nil"/>
        </w:pBdr>
        <w:tabs>
          <w:tab w:val="left" w:pos="284"/>
        </w:tabs>
        <w:ind w:left="0" w:firstLine="0"/>
        <w:jc w:val="both"/>
        <w:rPr>
          <w:sz w:val="28"/>
          <w:szCs w:val="28"/>
        </w:rPr>
      </w:pPr>
      <w:r w:rsidRPr="00554FD8">
        <w:rPr>
          <w:i/>
          <w:sz w:val="28"/>
          <w:szCs w:val="28"/>
        </w:rPr>
        <w:t>Primer carg</w:t>
      </w:r>
      <w:r w:rsidR="00746F3D" w:rsidRPr="00554FD8">
        <w:rPr>
          <w:i/>
          <w:sz w:val="28"/>
          <w:szCs w:val="28"/>
        </w:rPr>
        <w:t>o,</w:t>
      </w:r>
      <w:r w:rsidR="00255043" w:rsidRPr="00554FD8">
        <w:rPr>
          <w:i/>
          <w:sz w:val="28"/>
          <w:szCs w:val="28"/>
        </w:rPr>
        <w:t xml:space="preserve"> vulneración del principio de unidad de materia. </w:t>
      </w:r>
      <w:r w:rsidR="007056B6" w:rsidRPr="00554FD8">
        <w:rPr>
          <w:sz w:val="28"/>
          <w:szCs w:val="28"/>
        </w:rPr>
        <w:t xml:space="preserve">A juicio del actor los apartes acusados de los artículos 336 y 337 del PND desconocen el principio de unidad de materia, toda vez que la creación de </w:t>
      </w:r>
      <w:r w:rsidR="00C92BBB" w:rsidRPr="00554FD8">
        <w:rPr>
          <w:sz w:val="28"/>
          <w:szCs w:val="28"/>
        </w:rPr>
        <w:t>la</w:t>
      </w:r>
      <w:r w:rsidR="007056B6" w:rsidRPr="00554FD8">
        <w:rPr>
          <w:sz w:val="28"/>
          <w:szCs w:val="28"/>
        </w:rPr>
        <w:t xml:space="preserve"> sección presupuestal </w:t>
      </w:r>
      <w:r w:rsidR="00083199" w:rsidRPr="00554FD8">
        <w:rPr>
          <w:sz w:val="28"/>
          <w:szCs w:val="28"/>
        </w:rPr>
        <w:t xml:space="preserve">independiente </w:t>
      </w:r>
      <w:r w:rsidR="00E75789" w:rsidRPr="00554FD8">
        <w:rPr>
          <w:sz w:val="28"/>
          <w:szCs w:val="28"/>
        </w:rPr>
        <w:t>para el Consejo Nacional Electoral</w:t>
      </w:r>
      <w:r w:rsidR="00D95335" w:rsidRPr="00554FD8">
        <w:rPr>
          <w:sz w:val="28"/>
          <w:szCs w:val="28"/>
        </w:rPr>
        <w:t xml:space="preserve"> – </w:t>
      </w:r>
      <w:r w:rsidR="00C92BBB" w:rsidRPr="00554FD8">
        <w:rPr>
          <w:sz w:val="28"/>
          <w:szCs w:val="28"/>
        </w:rPr>
        <w:t xml:space="preserve">CNE </w:t>
      </w:r>
      <w:r w:rsidR="00083199" w:rsidRPr="00554FD8">
        <w:rPr>
          <w:sz w:val="28"/>
          <w:szCs w:val="28"/>
        </w:rPr>
        <w:t xml:space="preserve">y el otorgamiento de facultades contractuales al presidente de dicha entidad </w:t>
      </w:r>
      <w:r w:rsidR="007056B6" w:rsidRPr="00554FD8">
        <w:rPr>
          <w:sz w:val="28"/>
          <w:szCs w:val="28"/>
        </w:rPr>
        <w:t>no tiene</w:t>
      </w:r>
      <w:r w:rsidR="00083199" w:rsidRPr="00554FD8">
        <w:rPr>
          <w:sz w:val="28"/>
          <w:szCs w:val="28"/>
        </w:rPr>
        <w:t>n</w:t>
      </w:r>
      <w:r w:rsidR="007056B6" w:rsidRPr="00554FD8">
        <w:rPr>
          <w:sz w:val="28"/>
          <w:szCs w:val="28"/>
        </w:rPr>
        <w:t xml:space="preserve"> relación alguna con la </w:t>
      </w:r>
      <w:r w:rsidR="00351032" w:rsidRPr="00554FD8">
        <w:rPr>
          <w:sz w:val="28"/>
          <w:szCs w:val="28"/>
        </w:rPr>
        <w:t>p</w:t>
      </w:r>
      <w:r w:rsidR="007056B6" w:rsidRPr="00554FD8">
        <w:rPr>
          <w:sz w:val="28"/>
          <w:szCs w:val="28"/>
        </w:rPr>
        <w:t xml:space="preserve">arte </w:t>
      </w:r>
      <w:r w:rsidR="00351032" w:rsidRPr="00554FD8">
        <w:rPr>
          <w:sz w:val="28"/>
          <w:szCs w:val="28"/>
        </w:rPr>
        <w:t>g</w:t>
      </w:r>
      <w:r w:rsidR="007056B6" w:rsidRPr="00554FD8">
        <w:rPr>
          <w:sz w:val="28"/>
          <w:szCs w:val="28"/>
        </w:rPr>
        <w:t xml:space="preserve">eneral de la Ley 2294 de 2023. </w:t>
      </w:r>
      <w:r w:rsidR="009E43CD" w:rsidRPr="00554FD8">
        <w:rPr>
          <w:sz w:val="28"/>
          <w:szCs w:val="28"/>
        </w:rPr>
        <w:t xml:space="preserve">Lo anterior, con fundamento en los siguientes argumentos. </w:t>
      </w:r>
    </w:p>
    <w:p w14:paraId="10DE990A" w14:textId="77777777" w:rsidR="009E43CD" w:rsidRPr="00554FD8" w:rsidRDefault="009E43CD" w:rsidP="004029A0">
      <w:pPr>
        <w:pStyle w:val="Prrafodelista"/>
        <w:ind w:left="0"/>
        <w:rPr>
          <w:rFonts w:ascii="TimesNewRomanPSMT" w:hAnsi="TimesNewRomanPSMT"/>
          <w:sz w:val="28"/>
          <w:szCs w:val="28"/>
        </w:rPr>
      </w:pPr>
    </w:p>
    <w:p w14:paraId="30253E3A" w14:textId="7EF975B6" w:rsidR="009E43CD" w:rsidRPr="00554FD8" w:rsidRDefault="009E43CD" w:rsidP="00460A97">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 xml:space="preserve">En primer lugar, </w:t>
      </w:r>
      <w:r w:rsidR="00C4264C" w:rsidRPr="00554FD8">
        <w:rPr>
          <w:rFonts w:ascii="TimesNewRomanPSMT" w:hAnsi="TimesNewRomanPSMT"/>
          <w:sz w:val="28"/>
          <w:szCs w:val="28"/>
        </w:rPr>
        <w:t>señaló</w:t>
      </w:r>
      <w:r w:rsidR="00746F3D" w:rsidRPr="00554FD8">
        <w:rPr>
          <w:rFonts w:ascii="TimesNewRomanPSMT" w:hAnsi="TimesNewRomanPSMT"/>
          <w:sz w:val="28"/>
          <w:szCs w:val="28"/>
        </w:rPr>
        <w:t xml:space="preserve"> que </w:t>
      </w:r>
      <w:r w:rsidRPr="00554FD8">
        <w:rPr>
          <w:rFonts w:ascii="TimesNewRomanPSMT" w:hAnsi="TimesNewRomanPSMT"/>
          <w:sz w:val="28"/>
          <w:szCs w:val="28"/>
        </w:rPr>
        <w:t xml:space="preserve">el artículo 158 superior establece que todo proyecto de ley debe referirse a una misma materia y </w:t>
      </w:r>
      <w:r w:rsidR="00E75789" w:rsidRPr="00554FD8">
        <w:rPr>
          <w:rFonts w:ascii="TimesNewRomanPSMT" w:hAnsi="TimesNewRomanPSMT"/>
          <w:sz w:val="28"/>
          <w:szCs w:val="28"/>
        </w:rPr>
        <w:t xml:space="preserve">que </w:t>
      </w:r>
      <w:r w:rsidRPr="00554FD8">
        <w:rPr>
          <w:rFonts w:ascii="TimesNewRomanPSMT" w:hAnsi="TimesNewRomanPSMT"/>
          <w:sz w:val="28"/>
          <w:szCs w:val="28"/>
        </w:rPr>
        <w:t>serán inadmisibles las disposiciones o modificaciones que no se relacionen con ella. En consideración</w:t>
      </w:r>
      <w:r w:rsidR="008A4CD3" w:rsidRPr="00554FD8">
        <w:rPr>
          <w:rFonts w:ascii="TimesNewRomanPSMT" w:hAnsi="TimesNewRomanPSMT"/>
          <w:sz w:val="28"/>
          <w:szCs w:val="28"/>
        </w:rPr>
        <w:t xml:space="preserve"> del accionante</w:t>
      </w:r>
      <w:r w:rsidRPr="00554FD8">
        <w:rPr>
          <w:rFonts w:ascii="TimesNewRomanPSMT" w:hAnsi="TimesNewRomanPSMT"/>
          <w:sz w:val="28"/>
          <w:szCs w:val="28"/>
        </w:rPr>
        <w:t>, est</w:t>
      </w:r>
      <w:r w:rsidR="00B93810" w:rsidRPr="00554FD8">
        <w:rPr>
          <w:rFonts w:ascii="TimesNewRomanPSMT" w:hAnsi="TimesNewRomanPSMT"/>
          <w:sz w:val="28"/>
          <w:szCs w:val="28"/>
        </w:rPr>
        <w:t>a regla</w:t>
      </w:r>
      <w:r w:rsidRPr="00554FD8">
        <w:rPr>
          <w:rFonts w:ascii="TimesNewRomanPSMT" w:hAnsi="TimesNewRomanPSMT"/>
          <w:sz w:val="28"/>
          <w:szCs w:val="28"/>
        </w:rPr>
        <w:t xml:space="preserve"> es </w:t>
      </w:r>
      <w:r w:rsidRPr="00554FD8">
        <w:rPr>
          <w:sz w:val="28"/>
          <w:szCs w:val="28"/>
        </w:rPr>
        <w:t>aplicable</w:t>
      </w:r>
      <w:r w:rsidRPr="00554FD8">
        <w:rPr>
          <w:rFonts w:ascii="TimesNewRomanPSMT" w:hAnsi="TimesNewRomanPSMT"/>
          <w:sz w:val="28"/>
          <w:szCs w:val="28"/>
        </w:rPr>
        <w:t xml:space="preserve"> al PND, </w:t>
      </w:r>
      <w:r w:rsidR="00226D3E" w:rsidRPr="00554FD8">
        <w:rPr>
          <w:rFonts w:ascii="TimesNewRomanPSMT" w:hAnsi="TimesNewRomanPSMT"/>
          <w:sz w:val="28"/>
          <w:szCs w:val="28"/>
        </w:rPr>
        <w:t xml:space="preserve">por lo que </w:t>
      </w:r>
      <w:r w:rsidRPr="00554FD8">
        <w:rPr>
          <w:rFonts w:ascii="TimesNewRomanPSMT" w:hAnsi="TimesNewRomanPSMT"/>
          <w:sz w:val="28"/>
          <w:szCs w:val="28"/>
        </w:rPr>
        <w:t xml:space="preserve">se debe determinar si entre </w:t>
      </w:r>
      <w:r w:rsidRPr="00554FD8">
        <w:rPr>
          <w:sz w:val="28"/>
          <w:szCs w:val="28"/>
          <w:lang w:val="es-ES_tradnl"/>
        </w:rPr>
        <w:t>la</w:t>
      </w:r>
      <w:r w:rsidRPr="00554FD8">
        <w:rPr>
          <w:rFonts w:ascii="TimesNewRomanPSMT" w:hAnsi="TimesNewRomanPSMT"/>
          <w:sz w:val="28"/>
          <w:szCs w:val="28"/>
        </w:rPr>
        <w:t xml:space="preserve"> norma instrumental y la parte general </w:t>
      </w:r>
      <w:r w:rsidR="00E75789" w:rsidRPr="00554FD8">
        <w:rPr>
          <w:rFonts w:ascii="TimesNewRomanPSMT" w:hAnsi="TimesNewRomanPSMT"/>
          <w:sz w:val="28"/>
          <w:szCs w:val="28"/>
        </w:rPr>
        <w:t xml:space="preserve">de aquel </w:t>
      </w:r>
      <w:r w:rsidRPr="00554FD8">
        <w:rPr>
          <w:rFonts w:ascii="TimesNewRomanPSMT" w:hAnsi="TimesNewRomanPSMT"/>
          <w:sz w:val="28"/>
          <w:szCs w:val="28"/>
        </w:rPr>
        <w:t xml:space="preserve">existe una conexidad directa e inmediata. Por </w:t>
      </w:r>
      <w:r w:rsidR="00E75789" w:rsidRPr="00554FD8">
        <w:rPr>
          <w:rFonts w:ascii="TimesNewRomanPSMT" w:hAnsi="TimesNewRomanPSMT"/>
          <w:sz w:val="28"/>
          <w:szCs w:val="28"/>
        </w:rPr>
        <w:t>ende</w:t>
      </w:r>
      <w:r w:rsidRPr="00554FD8">
        <w:rPr>
          <w:rFonts w:ascii="TimesNewRomanPSMT" w:hAnsi="TimesNewRomanPSMT"/>
          <w:sz w:val="28"/>
          <w:szCs w:val="28"/>
        </w:rPr>
        <w:t xml:space="preserve">, aquellas disposiciones que guarden una relación indirecta, eventual o mediata vulneran el principio de unidad de materia. En relación con este punto, indicó que en la Sentencia C-415 de 2020 esta </w:t>
      </w:r>
      <w:r w:rsidR="00F84EDD" w:rsidRPr="00554FD8">
        <w:rPr>
          <w:rFonts w:ascii="TimesNewRomanPSMT" w:hAnsi="TimesNewRomanPSMT"/>
          <w:sz w:val="28"/>
          <w:szCs w:val="28"/>
        </w:rPr>
        <w:t>c</w:t>
      </w:r>
      <w:r w:rsidRPr="00554FD8">
        <w:rPr>
          <w:rFonts w:ascii="TimesNewRomanPSMT" w:hAnsi="TimesNewRomanPSMT"/>
          <w:sz w:val="28"/>
          <w:szCs w:val="28"/>
        </w:rPr>
        <w:t>orporación estableció que “la conexidad es mediata cuando la efectivización de la norma general programática o financiera no se deriva directamente de la ejecución de la norma instrumental particular, sino que adicionalmente requiere el cumplimiento de otra condición o circunstancia”</w:t>
      </w:r>
      <w:r w:rsidR="00B93810" w:rsidRPr="00554FD8">
        <w:rPr>
          <w:rStyle w:val="Refdenotaalpie"/>
          <w:rFonts w:ascii="TimesNewRomanPSMT" w:hAnsi="TimesNewRomanPSMT"/>
          <w:sz w:val="28"/>
          <w:szCs w:val="28"/>
        </w:rPr>
        <w:footnoteReference w:id="10"/>
      </w:r>
      <w:r w:rsidRPr="00554FD8">
        <w:rPr>
          <w:rFonts w:ascii="TimesNewRomanPSMT" w:hAnsi="TimesNewRomanPSMT"/>
          <w:sz w:val="28"/>
          <w:szCs w:val="28"/>
        </w:rPr>
        <w:t xml:space="preserve">. </w:t>
      </w:r>
    </w:p>
    <w:p w14:paraId="1FD0FB7B" w14:textId="77777777" w:rsidR="009E43CD" w:rsidRPr="00554FD8" w:rsidRDefault="009E43CD" w:rsidP="004029A0">
      <w:pPr>
        <w:pStyle w:val="Prrafodelista"/>
        <w:ind w:left="0"/>
        <w:rPr>
          <w:rFonts w:ascii="TimesNewRomanPSMT" w:hAnsi="TimesNewRomanPSMT"/>
          <w:sz w:val="28"/>
          <w:szCs w:val="28"/>
        </w:rPr>
      </w:pPr>
    </w:p>
    <w:p w14:paraId="10204CDC" w14:textId="6684123D" w:rsidR="009E43CD" w:rsidRPr="00554FD8" w:rsidRDefault="009E43CD" w:rsidP="00DF0E13">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sz w:val="28"/>
          <w:szCs w:val="28"/>
        </w:rPr>
        <w:t xml:space="preserve">Asimismo, </w:t>
      </w:r>
      <w:r w:rsidR="00E75789" w:rsidRPr="00554FD8">
        <w:rPr>
          <w:sz w:val="28"/>
          <w:szCs w:val="28"/>
        </w:rPr>
        <w:t xml:space="preserve">señaló </w:t>
      </w:r>
      <w:r w:rsidRPr="00554FD8">
        <w:rPr>
          <w:sz w:val="28"/>
          <w:szCs w:val="28"/>
        </w:rPr>
        <w:t xml:space="preserve">que en la Sentencia C-026 de 2020 la Corte Constitucional estableció que </w:t>
      </w:r>
      <w:r w:rsidR="00C204D6" w:rsidRPr="00554FD8">
        <w:rPr>
          <w:sz w:val="28"/>
          <w:szCs w:val="28"/>
        </w:rPr>
        <w:t xml:space="preserve">aquel </w:t>
      </w:r>
      <w:r w:rsidRPr="00554FD8">
        <w:rPr>
          <w:sz w:val="28"/>
          <w:szCs w:val="28"/>
        </w:rPr>
        <w:t>vínculo directo busca que la ley del plan no se use para incorporar normas que tengan el objetivo de llenar vacíos e inconsistencias o para ejercer la potestad legislativa sin ninguna relación con los objetivos o metas de planificación.</w:t>
      </w:r>
      <w:r w:rsidR="00DF0E13" w:rsidRPr="00554FD8">
        <w:rPr>
          <w:sz w:val="28"/>
          <w:szCs w:val="28"/>
        </w:rPr>
        <w:t xml:space="preserve"> Finalmente</w:t>
      </w:r>
      <w:r w:rsidRPr="00554FD8">
        <w:rPr>
          <w:sz w:val="28"/>
          <w:szCs w:val="28"/>
        </w:rPr>
        <w:t xml:space="preserve">, afirmó que el PND no puede modificar o derogar normas sustantivas u orgánicas y que las disposiciones no </w:t>
      </w:r>
      <w:r w:rsidR="00DF0E13" w:rsidRPr="00554FD8">
        <w:rPr>
          <w:sz w:val="28"/>
          <w:szCs w:val="28"/>
        </w:rPr>
        <w:t>deberían tener</w:t>
      </w:r>
      <w:r w:rsidRPr="00554FD8">
        <w:rPr>
          <w:sz w:val="28"/>
          <w:szCs w:val="28"/>
        </w:rPr>
        <w:t xml:space="preserve"> vocación de permanencia.</w:t>
      </w:r>
      <w:r w:rsidR="008F282D" w:rsidRPr="00554FD8">
        <w:rPr>
          <w:sz w:val="28"/>
          <w:szCs w:val="28"/>
        </w:rPr>
        <w:t xml:space="preserve"> </w:t>
      </w:r>
      <w:r w:rsidR="00DF0E13" w:rsidRPr="00554FD8">
        <w:rPr>
          <w:sz w:val="28"/>
          <w:szCs w:val="28"/>
        </w:rPr>
        <w:t xml:space="preserve">Al respecto, indicó que, de conformidad con la jurisprudencia constitucional, por regla general el PND no puede modificar de manera permanente la legislación, salvo que </w:t>
      </w:r>
      <w:r w:rsidR="00DF0E13" w:rsidRPr="00554FD8">
        <w:rPr>
          <w:rStyle w:val="Refdecomentario"/>
          <w:sz w:val="28"/>
          <w:szCs w:val="28"/>
        </w:rPr>
        <w:t>“t</w:t>
      </w:r>
      <w:r w:rsidR="00DF0E13" w:rsidRPr="00554FD8">
        <w:rPr>
          <w:color w:val="000000"/>
          <w:sz w:val="28"/>
          <w:szCs w:val="28"/>
          <w:lang w:val="es-ES_tradnl" w:eastAsia="es-CO"/>
        </w:rPr>
        <w:t>enga un fin planificador y de impulso a la ejecución del plan cuatrienal, entre otros presupuestos”</w:t>
      </w:r>
      <w:r w:rsidR="00DF0E13" w:rsidRPr="00554FD8">
        <w:rPr>
          <w:rStyle w:val="Refdenotaalpie"/>
          <w:sz w:val="28"/>
          <w:szCs w:val="28"/>
        </w:rPr>
        <w:footnoteReference w:id="11"/>
      </w:r>
      <w:r w:rsidR="00DF0E13" w:rsidRPr="00554FD8">
        <w:rPr>
          <w:color w:val="000000"/>
          <w:sz w:val="28"/>
          <w:szCs w:val="28"/>
          <w:lang w:val="es-ES_tradnl" w:eastAsia="es-CO"/>
        </w:rPr>
        <w:t>.</w:t>
      </w:r>
      <w:r w:rsidR="00DF0E13" w:rsidRPr="00554FD8">
        <w:rPr>
          <w:color w:val="000000"/>
          <w:sz w:val="22"/>
          <w:szCs w:val="22"/>
          <w:lang w:val="es-ES_tradnl" w:eastAsia="es-CO"/>
        </w:rPr>
        <w:t xml:space="preserve"> </w:t>
      </w:r>
    </w:p>
    <w:p w14:paraId="02802403" w14:textId="77777777" w:rsidR="00DF0E13" w:rsidRPr="00554FD8" w:rsidRDefault="00DF0E13" w:rsidP="00DF0E13">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rPr>
      </w:pPr>
    </w:p>
    <w:p w14:paraId="1AE8FA2C" w14:textId="5B398915" w:rsidR="009E43CD" w:rsidRPr="00554FD8" w:rsidRDefault="00902BCB"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En segundo lugar</w:t>
      </w:r>
      <w:r w:rsidR="009E43CD" w:rsidRPr="00554FD8">
        <w:rPr>
          <w:rFonts w:ascii="TimesNewRomanPSMT" w:hAnsi="TimesNewRomanPSMT"/>
          <w:sz w:val="28"/>
          <w:szCs w:val="28"/>
        </w:rPr>
        <w:t xml:space="preserve">, </w:t>
      </w:r>
      <w:r w:rsidR="00E75789" w:rsidRPr="00554FD8">
        <w:rPr>
          <w:rFonts w:ascii="TimesNewRomanPSMT" w:hAnsi="TimesNewRomanPSMT"/>
          <w:sz w:val="28"/>
          <w:szCs w:val="28"/>
        </w:rPr>
        <w:t xml:space="preserve">el accionante manifestó </w:t>
      </w:r>
      <w:r w:rsidR="009E43CD" w:rsidRPr="00554FD8">
        <w:rPr>
          <w:rFonts w:ascii="TimesNewRomanPSMT" w:hAnsi="TimesNewRomanPSMT"/>
          <w:sz w:val="28"/>
          <w:szCs w:val="28"/>
        </w:rPr>
        <w:t>que en estos casos se debe realizar un juicio de constitucionalidad más estricto el cual consta de tres etapas: (i) determinación de la ubicación y el alcance de las normas demandadas con la finalidad de establecer si se trata de una disposición instrumental; (ii) definir si en la parte general del plan existen objetivos, metas, planes o estrategias que puedan relacionarse con las disposiciones acusadas y (iii) constatación de la existencia de conexidad directa e inmediata entre las normas cuestionadas y los objetivos, metas o estrategia</w:t>
      </w:r>
      <w:r w:rsidR="008A4CD3" w:rsidRPr="00554FD8">
        <w:rPr>
          <w:rFonts w:ascii="TimesNewRomanPSMT" w:hAnsi="TimesNewRomanPSMT"/>
          <w:sz w:val="28"/>
          <w:szCs w:val="28"/>
        </w:rPr>
        <w:t>s</w:t>
      </w:r>
      <w:r w:rsidR="009E43CD" w:rsidRPr="00554FD8">
        <w:rPr>
          <w:rFonts w:ascii="TimesNewRomanPSMT" w:hAnsi="TimesNewRomanPSMT"/>
          <w:sz w:val="28"/>
          <w:szCs w:val="28"/>
        </w:rPr>
        <w:t xml:space="preserve"> de la parte general. Adicionalmente, realizó un recuento de las sentencias de la Corte Constitucional que han desarrollado las reglas anteriormente mencionadas, entre las que se refirió a las </w:t>
      </w:r>
      <w:r w:rsidR="00E75789" w:rsidRPr="00554FD8">
        <w:rPr>
          <w:rFonts w:ascii="TimesNewRomanPSMT" w:hAnsi="TimesNewRomanPSMT"/>
          <w:sz w:val="28"/>
          <w:szCs w:val="28"/>
        </w:rPr>
        <w:t xml:space="preserve">siguientes: </w:t>
      </w:r>
      <w:r w:rsidR="009E43CD" w:rsidRPr="00554FD8">
        <w:rPr>
          <w:rFonts w:ascii="TimesNewRomanPSMT" w:hAnsi="TimesNewRomanPSMT"/>
          <w:sz w:val="28"/>
          <w:szCs w:val="28"/>
        </w:rPr>
        <w:t xml:space="preserve">C-216 de 2020, C-539 de 2008, C-008 de 2018, C-219 de 2019,C-068 de 2020, C-415 de 2020 y C-095 de 2021. </w:t>
      </w:r>
    </w:p>
    <w:p w14:paraId="76D23955" w14:textId="77777777" w:rsidR="009E43CD" w:rsidRPr="00554FD8" w:rsidRDefault="009E43CD" w:rsidP="004029A0">
      <w:pPr>
        <w:pStyle w:val="Prrafodelista"/>
        <w:ind w:left="0"/>
        <w:rPr>
          <w:rFonts w:ascii="TimesNewRomanPSMT" w:hAnsi="TimesNewRomanPSMT"/>
          <w:sz w:val="28"/>
          <w:szCs w:val="28"/>
        </w:rPr>
      </w:pPr>
    </w:p>
    <w:p w14:paraId="330E18B4" w14:textId="29ACE564" w:rsidR="00902BCB" w:rsidRPr="00554FD8" w:rsidRDefault="009E43CD" w:rsidP="00460A97">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 xml:space="preserve">Para determinar la ausencia de conexidad material, el demandante indicó que se debe establecer el parámetro de comparación con el cual </w:t>
      </w:r>
      <w:r w:rsidR="00E75789" w:rsidRPr="00554FD8">
        <w:rPr>
          <w:rFonts w:ascii="TimesNewRomanPSMT" w:hAnsi="TimesNewRomanPSMT"/>
          <w:sz w:val="28"/>
          <w:szCs w:val="28"/>
        </w:rPr>
        <w:t>procede</w:t>
      </w:r>
      <w:r w:rsidRPr="00554FD8">
        <w:rPr>
          <w:rFonts w:ascii="TimesNewRomanPSMT" w:hAnsi="TimesNewRomanPSMT"/>
          <w:sz w:val="28"/>
          <w:szCs w:val="28"/>
        </w:rPr>
        <w:t xml:space="preserve"> realizar el análisis. Al respecto, afirmó que las </w:t>
      </w:r>
      <w:r w:rsidR="00A21C73">
        <w:rPr>
          <w:rFonts w:ascii="TimesNewRomanPSMT" w:hAnsi="TimesNewRomanPSMT"/>
          <w:sz w:val="28"/>
          <w:szCs w:val="28"/>
        </w:rPr>
        <w:t>B</w:t>
      </w:r>
      <w:r w:rsidRPr="00554FD8">
        <w:rPr>
          <w:rFonts w:ascii="TimesNewRomanPSMT" w:hAnsi="TimesNewRomanPSMT"/>
          <w:sz w:val="28"/>
          <w:szCs w:val="28"/>
        </w:rPr>
        <w:t xml:space="preserve">ases del PND fueron objeto de modificaciones en el trámite legislativo, las cuales no se hicieron explícitas en las ponencias. En concreto, concluyó que “las modificaciones no obedecieron a cambios en la orientación estratégica del </w:t>
      </w:r>
      <w:r w:rsidR="00351032" w:rsidRPr="00554FD8">
        <w:rPr>
          <w:rFonts w:ascii="TimesNewRomanPSMT" w:hAnsi="TimesNewRomanPSMT"/>
          <w:sz w:val="28"/>
          <w:szCs w:val="28"/>
        </w:rPr>
        <w:t>[p]</w:t>
      </w:r>
      <w:r w:rsidRPr="00554FD8">
        <w:rPr>
          <w:rFonts w:ascii="TimesNewRomanPSMT" w:hAnsi="TimesNewRomanPSMT"/>
          <w:sz w:val="28"/>
          <w:szCs w:val="28"/>
        </w:rPr>
        <w:t>lan, sino que se hicieron, al parecer, para acomodar cambios puntuales en los artículos instrumentales”</w:t>
      </w:r>
      <w:r w:rsidR="00285D6B" w:rsidRPr="00554FD8">
        <w:rPr>
          <w:rStyle w:val="Refdenotaalpie"/>
          <w:rFonts w:ascii="TimesNewRomanPSMT" w:hAnsi="TimesNewRomanPSMT"/>
          <w:sz w:val="28"/>
          <w:szCs w:val="28"/>
        </w:rPr>
        <w:footnoteReference w:id="12"/>
      </w:r>
      <w:r w:rsidRPr="00554FD8">
        <w:rPr>
          <w:rFonts w:ascii="TimesNewRomanPSMT" w:hAnsi="TimesNewRomanPSMT"/>
          <w:sz w:val="28"/>
          <w:szCs w:val="28"/>
        </w:rPr>
        <w:t>. En su consideración, ninguna transformación, idea clave, indicador de primer nivel ni catalizador tiene relación alguna con la creación de una sección presupuestal separada para el C</w:t>
      </w:r>
      <w:r w:rsidR="004029A0" w:rsidRPr="00554FD8">
        <w:rPr>
          <w:rFonts w:ascii="TimesNewRomanPSMT" w:hAnsi="TimesNewRomanPSMT"/>
          <w:sz w:val="28"/>
          <w:szCs w:val="28"/>
        </w:rPr>
        <w:t>NE</w:t>
      </w:r>
      <w:r w:rsidRPr="00554FD8">
        <w:rPr>
          <w:rFonts w:ascii="TimesNewRomanPSMT" w:hAnsi="TimesNewRomanPSMT"/>
          <w:sz w:val="28"/>
          <w:szCs w:val="28"/>
        </w:rPr>
        <w:t xml:space="preserve">, ni con el otorgamiento de facultades para contratar en nombre de la entidad. Por el contrario, en las </w:t>
      </w:r>
      <w:r w:rsidR="00A21C73">
        <w:rPr>
          <w:rFonts w:ascii="TimesNewRomanPSMT" w:hAnsi="TimesNewRomanPSMT"/>
          <w:sz w:val="28"/>
          <w:szCs w:val="28"/>
        </w:rPr>
        <w:t>B</w:t>
      </w:r>
      <w:r w:rsidRPr="00554FD8">
        <w:rPr>
          <w:rFonts w:ascii="TimesNewRomanPSMT" w:hAnsi="TimesNewRomanPSMT"/>
          <w:sz w:val="28"/>
          <w:szCs w:val="28"/>
        </w:rPr>
        <w:t>ases del P</w:t>
      </w:r>
      <w:r w:rsidR="004029A0" w:rsidRPr="00554FD8">
        <w:rPr>
          <w:rFonts w:ascii="TimesNewRomanPSMT" w:hAnsi="TimesNewRomanPSMT"/>
          <w:sz w:val="28"/>
          <w:szCs w:val="28"/>
        </w:rPr>
        <w:t>ND</w:t>
      </w:r>
      <w:r w:rsidRPr="00554FD8">
        <w:rPr>
          <w:rFonts w:ascii="TimesNewRomanPSMT" w:hAnsi="TimesNewRomanPSMT"/>
          <w:sz w:val="28"/>
          <w:szCs w:val="28"/>
        </w:rPr>
        <w:t xml:space="preserve"> la única mención que se hace a esa entidad aparece como un párrafo final de una subsección de catalizadores de la transformación denominada “Convergencia Regional”. </w:t>
      </w:r>
      <w:r w:rsidR="00902BCB" w:rsidRPr="00554FD8">
        <w:rPr>
          <w:rFonts w:ascii="TimesNewRomanPSMT" w:hAnsi="TimesNewRomanPSMT"/>
          <w:sz w:val="28"/>
          <w:szCs w:val="28"/>
        </w:rPr>
        <w:t>En específico, determinó que en dicho apartado se incluyó lo siguiente: “También se robustecerá el sistema político y electoral del país. Además, el Consejo Nacional Electoral conservará su autonomía administrativa y presupuestal, así como las facultades administrativas que le corresponden para el cumplimiento de sus funciones consagradas en el artículo 265 de la Constitución Política”</w:t>
      </w:r>
      <w:r w:rsidR="00285D6B" w:rsidRPr="00554FD8">
        <w:rPr>
          <w:rStyle w:val="Refdenotaalpie"/>
          <w:rFonts w:ascii="TimesNewRomanPSMT" w:hAnsi="TimesNewRomanPSMT"/>
          <w:sz w:val="28"/>
          <w:szCs w:val="28"/>
        </w:rPr>
        <w:footnoteReference w:id="13"/>
      </w:r>
      <w:r w:rsidR="00902BCB" w:rsidRPr="00554FD8">
        <w:rPr>
          <w:rFonts w:ascii="TimesNewRomanPSMT" w:hAnsi="TimesNewRomanPSMT"/>
          <w:sz w:val="28"/>
          <w:szCs w:val="28"/>
        </w:rPr>
        <w:t xml:space="preserve">. </w:t>
      </w:r>
    </w:p>
    <w:p w14:paraId="433B9B0F" w14:textId="77777777" w:rsidR="00902BCB" w:rsidRPr="00554FD8" w:rsidRDefault="00902BCB" w:rsidP="00902BCB">
      <w:pPr>
        <w:widowControl w:val="0"/>
        <w:pBdr>
          <w:top w:val="nil"/>
          <w:left w:val="nil"/>
          <w:bottom w:val="nil"/>
          <w:right w:val="nil"/>
          <w:between w:val="nil"/>
        </w:pBdr>
        <w:tabs>
          <w:tab w:val="left" w:pos="284"/>
        </w:tabs>
        <w:jc w:val="both"/>
        <w:rPr>
          <w:sz w:val="28"/>
          <w:szCs w:val="28"/>
        </w:rPr>
      </w:pPr>
    </w:p>
    <w:p w14:paraId="6902CE89" w14:textId="4BD6900C" w:rsidR="004029A0" w:rsidRPr="00554FD8" w:rsidRDefault="009E43CD"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 xml:space="preserve">Sin embargo, indicó que esta </w:t>
      </w:r>
      <w:r w:rsidR="00902BCB" w:rsidRPr="00554FD8">
        <w:rPr>
          <w:rFonts w:ascii="TimesNewRomanPSMT" w:hAnsi="TimesNewRomanPSMT"/>
          <w:sz w:val="28"/>
          <w:szCs w:val="28"/>
        </w:rPr>
        <w:t xml:space="preserve">frase </w:t>
      </w:r>
      <w:r w:rsidRPr="00554FD8">
        <w:rPr>
          <w:rFonts w:ascii="TimesNewRomanPSMT" w:hAnsi="TimesNewRomanPSMT"/>
          <w:sz w:val="28"/>
          <w:szCs w:val="28"/>
        </w:rPr>
        <w:t xml:space="preserve">no guarda relación alguna con dicho catalizador, pues en las </w:t>
      </w:r>
      <w:r w:rsidR="00A21C73">
        <w:rPr>
          <w:rFonts w:ascii="TimesNewRomanPSMT" w:hAnsi="TimesNewRomanPSMT"/>
          <w:sz w:val="28"/>
          <w:szCs w:val="28"/>
        </w:rPr>
        <w:t>B</w:t>
      </w:r>
      <w:r w:rsidRPr="00554FD8">
        <w:rPr>
          <w:rFonts w:ascii="TimesNewRomanPSMT" w:hAnsi="TimesNewRomanPSMT"/>
          <w:sz w:val="28"/>
          <w:szCs w:val="28"/>
        </w:rPr>
        <w:t xml:space="preserve">ases </w:t>
      </w:r>
      <w:r w:rsidR="00E75789" w:rsidRPr="00554FD8">
        <w:rPr>
          <w:rFonts w:ascii="TimesNewRomanPSMT" w:hAnsi="TimesNewRomanPSMT"/>
          <w:sz w:val="28"/>
          <w:szCs w:val="28"/>
        </w:rPr>
        <w:t xml:space="preserve">este </w:t>
      </w:r>
      <w:r w:rsidRPr="00554FD8">
        <w:rPr>
          <w:rFonts w:ascii="TimesNewRomanPSMT" w:hAnsi="TimesNewRomanPSMT"/>
          <w:sz w:val="28"/>
          <w:szCs w:val="28"/>
        </w:rPr>
        <w:t>fue definid</w:t>
      </w:r>
      <w:r w:rsidR="008577FD" w:rsidRPr="00554FD8">
        <w:rPr>
          <w:rFonts w:ascii="TimesNewRomanPSMT" w:hAnsi="TimesNewRomanPSMT"/>
          <w:sz w:val="28"/>
          <w:szCs w:val="28"/>
        </w:rPr>
        <w:t>o</w:t>
      </w:r>
      <w:r w:rsidRPr="00554FD8">
        <w:rPr>
          <w:rFonts w:ascii="TimesNewRomanPSMT" w:hAnsi="TimesNewRomanPSMT"/>
          <w:sz w:val="28"/>
          <w:szCs w:val="28"/>
        </w:rPr>
        <w:t xml:space="preserve"> como “el proceso de reducción de brechas sociales y económicas entre hogares y regiones del país, que se logra al garantizar un acceso adecuado a oportunidades, bienes y servicios”</w:t>
      </w:r>
      <w:r w:rsidR="00285D6B" w:rsidRPr="00554FD8">
        <w:rPr>
          <w:rStyle w:val="Refdenotaalpie"/>
          <w:rFonts w:ascii="TimesNewRomanPSMT" w:hAnsi="TimesNewRomanPSMT"/>
          <w:sz w:val="28"/>
          <w:szCs w:val="28"/>
        </w:rPr>
        <w:footnoteReference w:id="14"/>
      </w:r>
      <w:r w:rsidRPr="00554FD8">
        <w:rPr>
          <w:rFonts w:ascii="TimesNewRomanPSMT" w:hAnsi="TimesNewRomanPSMT"/>
          <w:sz w:val="28"/>
          <w:szCs w:val="28"/>
        </w:rPr>
        <w:t xml:space="preserve">. </w:t>
      </w:r>
      <w:r w:rsidR="00902BCB" w:rsidRPr="00554FD8">
        <w:rPr>
          <w:rFonts w:ascii="TimesNewRomanPSMT" w:hAnsi="TimesNewRomanPSMT"/>
          <w:sz w:val="28"/>
          <w:szCs w:val="28"/>
        </w:rPr>
        <w:t>Adicionalmente, aseguró que de llegar a acreditarse la conexidad, esta no sería ni directa ni inmediata, pues la expresión “conservará” implica abstenerse de modificar el estatus del C</w:t>
      </w:r>
      <w:r w:rsidR="00285D6B" w:rsidRPr="00554FD8">
        <w:rPr>
          <w:rFonts w:ascii="TimesNewRomanPSMT" w:hAnsi="TimesNewRomanPSMT"/>
          <w:sz w:val="28"/>
          <w:szCs w:val="28"/>
        </w:rPr>
        <w:t>NE</w:t>
      </w:r>
      <w:r w:rsidR="00902BCB" w:rsidRPr="00554FD8">
        <w:rPr>
          <w:rFonts w:ascii="TimesNewRomanPSMT" w:hAnsi="TimesNewRomanPSMT"/>
          <w:sz w:val="28"/>
          <w:szCs w:val="28"/>
        </w:rPr>
        <w:t xml:space="preserve"> para evitar menoscabar la autonomía con la que ya contaba</w:t>
      </w:r>
      <w:r w:rsidR="00285D6B" w:rsidRPr="00554FD8">
        <w:rPr>
          <w:rFonts w:ascii="TimesNewRomanPSMT" w:hAnsi="TimesNewRomanPSMT"/>
          <w:sz w:val="28"/>
          <w:szCs w:val="28"/>
        </w:rPr>
        <w:t>, más no se dirige a aumentar la misma</w:t>
      </w:r>
      <w:r w:rsidR="00902BCB" w:rsidRPr="00554FD8">
        <w:rPr>
          <w:rFonts w:ascii="TimesNewRomanPSMT" w:hAnsi="TimesNewRomanPSMT"/>
          <w:sz w:val="28"/>
          <w:szCs w:val="28"/>
        </w:rPr>
        <w:t>. En su concepto, las normas demandadas no conlleva</w:t>
      </w:r>
      <w:r w:rsidR="008577FD" w:rsidRPr="00554FD8">
        <w:rPr>
          <w:rFonts w:ascii="TimesNewRomanPSMT" w:hAnsi="TimesNewRomanPSMT"/>
          <w:sz w:val="28"/>
          <w:szCs w:val="28"/>
        </w:rPr>
        <w:t>n</w:t>
      </w:r>
      <w:r w:rsidR="00902BCB" w:rsidRPr="00554FD8">
        <w:rPr>
          <w:rFonts w:ascii="TimesNewRomanPSMT" w:hAnsi="TimesNewRomanPSMT"/>
          <w:sz w:val="28"/>
          <w:szCs w:val="28"/>
        </w:rPr>
        <w:t xml:space="preserve"> inequívocamente a que la organización conserve </w:t>
      </w:r>
      <w:r w:rsidR="008577FD" w:rsidRPr="00554FD8">
        <w:rPr>
          <w:rFonts w:ascii="TimesNewRomanPSMT" w:hAnsi="TimesNewRomanPSMT"/>
          <w:sz w:val="28"/>
          <w:szCs w:val="28"/>
        </w:rPr>
        <w:t>su</w:t>
      </w:r>
      <w:r w:rsidR="00902BCB" w:rsidRPr="00554FD8">
        <w:rPr>
          <w:rFonts w:ascii="TimesNewRomanPSMT" w:hAnsi="TimesNewRomanPSMT"/>
          <w:sz w:val="28"/>
          <w:szCs w:val="28"/>
        </w:rPr>
        <w:t xml:space="preserve"> autonomía presupuestal y administrativa. Para el </w:t>
      </w:r>
      <w:r w:rsidR="00C204D6" w:rsidRPr="00554FD8">
        <w:rPr>
          <w:rFonts w:ascii="TimesNewRomanPSMT" w:hAnsi="TimesNewRomanPSMT"/>
          <w:sz w:val="28"/>
          <w:szCs w:val="28"/>
        </w:rPr>
        <w:t>demandante</w:t>
      </w:r>
      <w:r w:rsidR="00902BCB" w:rsidRPr="00554FD8">
        <w:rPr>
          <w:rFonts w:ascii="TimesNewRomanPSMT" w:hAnsi="TimesNewRomanPSMT"/>
          <w:sz w:val="28"/>
          <w:szCs w:val="28"/>
        </w:rPr>
        <w:t>, lo único que llevaría a este resultado es “abstenerse de modificar las normas que inciden en tal autonomía presupuestal y administrativa, que no son las normas orgánicas de presupuesto sino las normas que organizan internamente al Consejo Nacional Electoral”</w:t>
      </w:r>
      <w:r w:rsidR="00285D6B" w:rsidRPr="00554FD8">
        <w:rPr>
          <w:rStyle w:val="Refdenotaalpie"/>
          <w:rFonts w:ascii="TimesNewRomanPSMT" w:hAnsi="TimesNewRomanPSMT"/>
          <w:sz w:val="28"/>
          <w:szCs w:val="28"/>
        </w:rPr>
        <w:footnoteReference w:id="15"/>
      </w:r>
      <w:r w:rsidR="00902BCB" w:rsidRPr="00554FD8">
        <w:rPr>
          <w:rFonts w:ascii="TimesNewRomanPSMT" w:hAnsi="TimesNewRomanPSMT"/>
          <w:sz w:val="28"/>
          <w:szCs w:val="28"/>
        </w:rPr>
        <w:t xml:space="preserve">. </w:t>
      </w:r>
    </w:p>
    <w:p w14:paraId="26CB159B" w14:textId="77777777" w:rsidR="004029A0" w:rsidRPr="00554FD8" w:rsidRDefault="004029A0" w:rsidP="004029A0">
      <w:pPr>
        <w:widowControl w:val="0"/>
        <w:pBdr>
          <w:top w:val="nil"/>
          <w:left w:val="nil"/>
          <w:bottom w:val="nil"/>
          <w:right w:val="nil"/>
          <w:between w:val="nil"/>
        </w:pBdr>
        <w:tabs>
          <w:tab w:val="left" w:pos="284"/>
        </w:tabs>
        <w:jc w:val="both"/>
        <w:rPr>
          <w:sz w:val="28"/>
          <w:szCs w:val="28"/>
        </w:rPr>
      </w:pPr>
    </w:p>
    <w:p w14:paraId="1A7F4763" w14:textId="185300C6" w:rsidR="0000707F" w:rsidRPr="00554FD8" w:rsidRDefault="00902BCB"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En tercer lugar</w:t>
      </w:r>
      <w:r w:rsidR="009E43CD" w:rsidRPr="00554FD8">
        <w:rPr>
          <w:rFonts w:ascii="TimesNewRomanPSMT" w:hAnsi="TimesNewRomanPSMT"/>
          <w:sz w:val="28"/>
          <w:szCs w:val="28"/>
        </w:rPr>
        <w:t>, afirmó que</w:t>
      </w:r>
      <w:r w:rsidR="00285D6B" w:rsidRPr="00554FD8">
        <w:rPr>
          <w:rFonts w:ascii="TimesNewRomanPSMT" w:hAnsi="TimesNewRomanPSMT"/>
          <w:sz w:val="28"/>
          <w:szCs w:val="28"/>
        </w:rPr>
        <w:t xml:space="preserve"> dicho </w:t>
      </w:r>
      <w:r w:rsidR="009E43CD" w:rsidRPr="00554FD8">
        <w:rPr>
          <w:rFonts w:ascii="TimesNewRomanPSMT" w:hAnsi="TimesNewRomanPSMT"/>
          <w:sz w:val="28"/>
          <w:szCs w:val="28"/>
        </w:rPr>
        <w:t>párrafo sobre el C</w:t>
      </w:r>
      <w:r w:rsidR="004029A0" w:rsidRPr="00554FD8">
        <w:rPr>
          <w:rFonts w:ascii="TimesNewRomanPSMT" w:hAnsi="TimesNewRomanPSMT"/>
          <w:sz w:val="28"/>
          <w:szCs w:val="28"/>
        </w:rPr>
        <w:t>NE</w:t>
      </w:r>
      <w:r w:rsidR="00285D6B" w:rsidRPr="00554FD8">
        <w:rPr>
          <w:rFonts w:ascii="TimesNewRomanPSMT" w:hAnsi="TimesNewRomanPSMT"/>
          <w:sz w:val="28"/>
          <w:szCs w:val="28"/>
        </w:rPr>
        <w:t xml:space="preserve"> </w:t>
      </w:r>
      <w:r w:rsidR="009E43CD" w:rsidRPr="00554FD8">
        <w:rPr>
          <w:rFonts w:ascii="TimesNewRomanPSMT" w:hAnsi="TimesNewRomanPSMT"/>
          <w:sz w:val="28"/>
          <w:szCs w:val="28"/>
        </w:rPr>
        <w:t xml:space="preserve">no hizo parte de las </w:t>
      </w:r>
      <w:r w:rsidR="00A21C73">
        <w:rPr>
          <w:rFonts w:ascii="TimesNewRomanPSMT" w:hAnsi="TimesNewRomanPSMT"/>
          <w:sz w:val="28"/>
          <w:szCs w:val="28"/>
        </w:rPr>
        <w:t>B</w:t>
      </w:r>
      <w:r w:rsidR="009E43CD" w:rsidRPr="00554FD8">
        <w:rPr>
          <w:rFonts w:ascii="TimesNewRomanPSMT" w:hAnsi="TimesNewRomanPSMT"/>
          <w:sz w:val="28"/>
          <w:szCs w:val="28"/>
        </w:rPr>
        <w:t xml:space="preserve">ases originales presentadas por el Gobierno </w:t>
      </w:r>
      <w:r w:rsidR="006F5550" w:rsidRPr="00554FD8">
        <w:rPr>
          <w:rFonts w:ascii="TimesNewRomanPSMT" w:hAnsi="TimesNewRomanPSMT"/>
          <w:sz w:val="28"/>
          <w:szCs w:val="28"/>
        </w:rPr>
        <w:t>n</w:t>
      </w:r>
      <w:r w:rsidR="009E43CD" w:rsidRPr="00554FD8">
        <w:rPr>
          <w:rFonts w:ascii="TimesNewRomanPSMT" w:hAnsi="TimesNewRomanPSMT"/>
          <w:sz w:val="28"/>
          <w:szCs w:val="28"/>
        </w:rPr>
        <w:t>acional al Congreso, ni de las que fueron aprobadas en el primer debate de las</w:t>
      </w:r>
      <w:r w:rsidR="004029A0" w:rsidRPr="00554FD8">
        <w:rPr>
          <w:rFonts w:ascii="TimesNewRomanPSMT" w:hAnsi="TimesNewRomanPSMT"/>
          <w:sz w:val="28"/>
          <w:szCs w:val="28"/>
        </w:rPr>
        <w:t xml:space="preserve"> comisiones conjuntas</w:t>
      </w:r>
      <w:r w:rsidR="004029A0" w:rsidRPr="00554FD8">
        <w:rPr>
          <w:rStyle w:val="Refdenotaalpie"/>
          <w:rFonts w:ascii="TimesNewRomanPSMT" w:hAnsi="TimesNewRomanPSMT"/>
          <w:sz w:val="28"/>
          <w:szCs w:val="28"/>
        </w:rPr>
        <w:footnoteReference w:id="16"/>
      </w:r>
      <w:r w:rsidR="004029A0" w:rsidRPr="00554FD8">
        <w:rPr>
          <w:rFonts w:ascii="TimesNewRomanPSMT" w:hAnsi="TimesNewRomanPSMT"/>
          <w:sz w:val="28"/>
          <w:szCs w:val="28"/>
        </w:rPr>
        <w:t>, ni de las ponencias radicadas para segundo debate ante la Cámara de Representantes y el Senado</w:t>
      </w:r>
      <w:r w:rsidR="004029A0" w:rsidRPr="00554FD8">
        <w:rPr>
          <w:rStyle w:val="Refdenotaalpie"/>
          <w:rFonts w:ascii="TimesNewRomanPSMT" w:hAnsi="TimesNewRomanPSMT"/>
          <w:sz w:val="28"/>
          <w:szCs w:val="28"/>
        </w:rPr>
        <w:footnoteReference w:id="17"/>
      </w:r>
      <w:r w:rsidR="004029A0" w:rsidRPr="00554FD8">
        <w:rPr>
          <w:rFonts w:ascii="TimesNewRomanPSMT" w:hAnsi="TimesNewRomanPSMT"/>
          <w:sz w:val="28"/>
          <w:szCs w:val="28"/>
        </w:rPr>
        <w:t xml:space="preserve">. </w:t>
      </w:r>
      <w:r w:rsidR="0000707F" w:rsidRPr="00554FD8">
        <w:rPr>
          <w:rFonts w:ascii="TimesNewRomanPSMT" w:hAnsi="TimesNewRomanPSMT"/>
          <w:sz w:val="28"/>
          <w:szCs w:val="28"/>
        </w:rPr>
        <w:t>Aseguró que</w:t>
      </w:r>
      <w:r w:rsidR="004029A0" w:rsidRPr="00554FD8">
        <w:rPr>
          <w:rFonts w:ascii="TimesNewRomanPSMT" w:hAnsi="TimesNewRomanPSMT"/>
          <w:sz w:val="28"/>
          <w:szCs w:val="28"/>
        </w:rPr>
        <w:t xml:space="preserve"> las </w:t>
      </w:r>
      <w:r w:rsidR="00A21C73">
        <w:rPr>
          <w:rFonts w:ascii="TimesNewRomanPSMT" w:hAnsi="TimesNewRomanPSMT"/>
          <w:sz w:val="28"/>
          <w:szCs w:val="28"/>
        </w:rPr>
        <w:t>B</w:t>
      </w:r>
      <w:r w:rsidR="004029A0" w:rsidRPr="00554FD8">
        <w:rPr>
          <w:rFonts w:ascii="TimesNewRomanPSMT" w:hAnsi="TimesNewRomanPSMT"/>
          <w:sz w:val="28"/>
          <w:szCs w:val="28"/>
        </w:rPr>
        <w:t xml:space="preserve">ases aparecen modificadas </w:t>
      </w:r>
      <w:r w:rsidR="00270725" w:rsidRPr="00554FD8">
        <w:rPr>
          <w:rFonts w:ascii="TimesNewRomanPSMT" w:hAnsi="TimesNewRomanPSMT"/>
          <w:sz w:val="28"/>
          <w:szCs w:val="28"/>
        </w:rPr>
        <w:t>en</w:t>
      </w:r>
      <w:r w:rsidR="004029A0" w:rsidRPr="00554FD8">
        <w:rPr>
          <w:rFonts w:ascii="TimesNewRomanPSMT" w:hAnsi="TimesNewRomanPSMT"/>
          <w:sz w:val="28"/>
          <w:szCs w:val="28"/>
        </w:rPr>
        <w:t xml:space="preserve"> la conciliación</w:t>
      </w:r>
      <w:r w:rsidR="004029A0" w:rsidRPr="00554FD8">
        <w:rPr>
          <w:rStyle w:val="Refdenotaalpie"/>
          <w:rFonts w:ascii="TimesNewRomanPSMT" w:hAnsi="TimesNewRomanPSMT"/>
          <w:sz w:val="28"/>
          <w:szCs w:val="28"/>
        </w:rPr>
        <w:footnoteReference w:id="18"/>
      </w:r>
      <w:r w:rsidR="00270725" w:rsidRPr="00554FD8">
        <w:rPr>
          <w:rFonts w:ascii="TimesNewRomanPSMT" w:hAnsi="TimesNewRomanPSMT"/>
          <w:sz w:val="28"/>
          <w:szCs w:val="28"/>
        </w:rPr>
        <w:t xml:space="preserve">, </w:t>
      </w:r>
      <w:r w:rsidR="004029A0" w:rsidRPr="00554FD8">
        <w:rPr>
          <w:rFonts w:ascii="TimesNewRomanPSMT" w:hAnsi="TimesNewRomanPSMT"/>
          <w:sz w:val="28"/>
          <w:szCs w:val="28"/>
        </w:rPr>
        <w:t xml:space="preserve">etapa </w:t>
      </w:r>
      <w:r w:rsidR="00270725" w:rsidRPr="00554FD8">
        <w:rPr>
          <w:rFonts w:ascii="TimesNewRomanPSMT" w:hAnsi="TimesNewRomanPSMT"/>
          <w:sz w:val="28"/>
          <w:szCs w:val="28"/>
        </w:rPr>
        <w:t xml:space="preserve">en la </w:t>
      </w:r>
      <w:r w:rsidR="004029A0" w:rsidRPr="00554FD8">
        <w:rPr>
          <w:rFonts w:ascii="TimesNewRomanPSMT" w:hAnsi="TimesNewRomanPSMT"/>
          <w:sz w:val="28"/>
          <w:szCs w:val="28"/>
        </w:rPr>
        <w:t xml:space="preserve">que se presentó una nueva versión de las mismas y se hizo alusión al CNE. Sin embargo, </w:t>
      </w:r>
      <w:r w:rsidR="0000707F" w:rsidRPr="00554FD8">
        <w:rPr>
          <w:rFonts w:ascii="TimesNewRomanPSMT" w:hAnsi="TimesNewRomanPSMT"/>
          <w:sz w:val="28"/>
          <w:szCs w:val="28"/>
        </w:rPr>
        <w:t xml:space="preserve">señaló </w:t>
      </w:r>
      <w:r w:rsidR="004029A0" w:rsidRPr="00554FD8">
        <w:rPr>
          <w:rFonts w:ascii="TimesNewRomanPSMT" w:hAnsi="TimesNewRomanPSMT"/>
          <w:sz w:val="28"/>
          <w:szCs w:val="28"/>
        </w:rPr>
        <w:t>que los artículos demandados fueron aprobados en las plenarias de ambas cámaras</w:t>
      </w:r>
      <w:r w:rsidR="004029A0" w:rsidRPr="00554FD8">
        <w:rPr>
          <w:rStyle w:val="Refdenotaalpie"/>
          <w:rFonts w:ascii="TimesNewRomanPSMT" w:hAnsi="TimesNewRomanPSMT"/>
          <w:sz w:val="28"/>
          <w:szCs w:val="28"/>
        </w:rPr>
        <w:footnoteReference w:id="19"/>
      </w:r>
      <w:r w:rsidR="004029A0" w:rsidRPr="00554FD8">
        <w:rPr>
          <w:rFonts w:ascii="TimesNewRomanPSMT" w:hAnsi="TimesNewRomanPSMT"/>
          <w:sz w:val="28"/>
          <w:szCs w:val="28"/>
        </w:rPr>
        <w:t xml:space="preserve">. </w:t>
      </w:r>
    </w:p>
    <w:p w14:paraId="1FE26A8C" w14:textId="77777777" w:rsidR="0000707F" w:rsidRPr="00554FD8" w:rsidRDefault="0000707F" w:rsidP="0000707F">
      <w:pPr>
        <w:pStyle w:val="Prrafodelista"/>
        <w:rPr>
          <w:rFonts w:ascii="TimesNewRomanPSMT" w:hAnsi="TimesNewRomanPSMT"/>
          <w:sz w:val="28"/>
          <w:szCs w:val="28"/>
        </w:rPr>
      </w:pPr>
    </w:p>
    <w:p w14:paraId="731A9B85" w14:textId="73EB736A" w:rsidR="004029A0" w:rsidRPr="00554FD8" w:rsidRDefault="0000707F"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sz w:val="28"/>
          <w:szCs w:val="28"/>
        </w:rPr>
        <w:t xml:space="preserve">Al respecto, indicó que las disposiciones acusadas fueron incluidas en el segundo debate de las Plenarias del Senado de la República y de la Cámara de Representantes por medio de proposiciones. </w:t>
      </w:r>
      <w:r w:rsidRPr="00554FD8">
        <w:rPr>
          <w:rFonts w:ascii="TimesNewRomanPSMT" w:hAnsi="TimesNewRomanPSMT"/>
          <w:sz w:val="28"/>
          <w:szCs w:val="28"/>
        </w:rPr>
        <w:t xml:space="preserve">Además, </w:t>
      </w:r>
      <w:r w:rsidR="00E75789" w:rsidRPr="00554FD8">
        <w:rPr>
          <w:rFonts w:ascii="TimesNewRomanPSMT" w:hAnsi="TimesNewRomanPSMT"/>
          <w:sz w:val="28"/>
          <w:szCs w:val="28"/>
        </w:rPr>
        <w:t xml:space="preserve">manifestó </w:t>
      </w:r>
      <w:r w:rsidRPr="00554FD8">
        <w:rPr>
          <w:rFonts w:ascii="TimesNewRomanPSMT" w:hAnsi="TimesNewRomanPSMT"/>
          <w:sz w:val="28"/>
          <w:szCs w:val="28"/>
        </w:rPr>
        <w:t xml:space="preserve">que </w:t>
      </w:r>
      <w:r w:rsidR="00C204D6" w:rsidRPr="00554FD8">
        <w:rPr>
          <w:rFonts w:ascii="TimesNewRomanPSMT" w:hAnsi="TimesNewRomanPSMT"/>
          <w:sz w:val="28"/>
          <w:szCs w:val="28"/>
        </w:rPr>
        <w:t xml:space="preserve">tales </w:t>
      </w:r>
      <w:r w:rsidRPr="00554FD8">
        <w:rPr>
          <w:rFonts w:ascii="TimesNewRomanPSMT" w:hAnsi="TimesNewRomanPSMT"/>
          <w:sz w:val="28"/>
          <w:szCs w:val="28"/>
        </w:rPr>
        <w:t xml:space="preserve">artículos fueron aprobados conjuntamente en las plenarias de ambas cámaras el 3 y 4 de mayo de 2023, respectivamente. Por ello, el párrafo en las </w:t>
      </w:r>
      <w:r w:rsidR="00A21C73">
        <w:rPr>
          <w:rFonts w:ascii="TimesNewRomanPSMT" w:hAnsi="TimesNewRomanPSMT"/>
          <w:sz w:val="28"/>
          <w:szCs w:val="28"/>
        </w:rPr>
        <w:t>B</w:t>
      </w:r>
      <w:r w:rsidRPr="00554FD8">
        <w:rPr>
          <w:rFonts w:ascii="TimesNewRomanPSMT" w:hAnsi="TimesNewRomanPSMT"/>
          <w:sz w:val="28"/>
          <w:szCs w:val="28"/>
        </w:rPr>
        <w:t>ases del plan sobre el CNE fue introducido después de la inclusión en plenaria de los artículos demandados, lo que implica que “los objetivos fueron modificados ex post para ajustarlos a la inclusión de un nuevo tema coyuntural”</w:t>
      </w:r>
      <w:r w:rsidRPr="00554FD8">
        <w:rPr>
          <w:rStyle w:val="Refdenotaalpie"/>
          <w:rFonts w:ascii="TimesNewRomanPSMT" w:hAnsi="TimesNewRomanPSMT"/>
          <w:sz w:val="28"/>
          <w:szCs w:val="28"/>
        </w:rPr>
        <w:footnoteReference w:id="20"/>
      </w:r>
      <w:r w:rsidRPr="00554FD8">
        <w:rPr>
          <w:rFonts w:ascii="TimesNewRomanPSMT" w:hAnsi="TimesNewRomanPSMT"/>
          <w:sz w:val="28"/>
          <w:szCs w:val="28"/>
        </w:rPr>
        <w:t xml:space="preserve"> y en su opinión “esta modificación obedeció [...] a una necesidad de dar apariencia de conexidad a la nueva norma instrumental”</w:t>
      </w:r>
      <w:r w:rsidRPr="00554FD8">
        <w:rPr>
          <w:rStyle w:val="Refdenotaalpie"/>
          <w:rFonts w:ascii="TimesNewRomanPSMT" w:hAnsi="TimesNewRomanPSMT"/>
          <w:sz w:val="28"/>
          <w:szCs w:val="28"/>
        </w:rPr>
        <w:footnoteReference w:id="21"/>
      </w:r>
      <w:r w:rsidRPr="00554FD8">
        <w:rPr>
          <w:rFonts w:ascii="TimesNewRomanPSMT" w:hAnsi="TimesNewRomanPSMT"/>
          <w:sz w:val="28"/>
          <w:szCs w:val="28"/>
        </w:rPr>
        <w:t xml:space="preserve">. </w:t>
      </w:r>
      <w:r w:rsidR="004029A0" w:rsidRPr="00554FD8">
        <w:rPr>
          <w:rFonts w:ascii="TimesNewRomanPSMT" w:hAnsi="TimesNewRomanPSMT"/>
          <w:sz w:val="28"/>
          <w:szCs w:val="28"/>
        </w:rPr>
        <w:t>En concepto</w:t>
      </w:r>
      <w:r w:rsidR="00A14249">
        <w:rPr>
          <w:rFonts w:ascii="TimesNewRomanPSMT" w:hAnsi="TimesNewRomanPSMT"/>
          <w:sz w:val="28"/>
          <w:szCs w:val="28"/>
        </w:rPr>
        <w:t xml:space="preserve"> del accionante</w:t>
      </w:r>
      <w:r w:rsidR="004029A0" w:rsidRPr="00554FD8">
        <w:rPr>
          <w:rFonts w:ascii="TimesNewRomanPSMT" w:hAnsi="TimesNewRomanPSMT"/>
          <w:sz w:val="28"/>
          <w:szCs w:val="28"/>
        </w:rPr>
        <w:t xml:space="preserve">, esto indica que las </w:t>
      </w:r>
      <w:r w:rsidR="00A21C73">
        <w:rPr>
          <w:rFonts w:ascii="TimesNewRomanPSMT" w:hAnsi="TimesNewRomanPSMT"/>
          <w:sz w:val="28"/>
          <w:szCs w:val="28"/>
        </w:rPr>
        <w:t>B</w:t>
      </w:r>
      <w:r w:rsidR="004029A0" w:rsidRPr="00554FD8">
        <w:rPr>
          <w:rFonts w:ascii="TimesNewRomanPSMT" w:hAnsi="TimesNewRomanPSMT"/>
          <w:sz w:val="28"/>
          <w:szCs w:val="28"/>
        </w:rPr>
        <w:t xml:space="preserve">ases fueron </w:t>
      </w:r>
      <w:r w:rsidR="00270725" w:rsidRPr="00554FD8">
        <w:rPr>
          <w:rFonts w:ascii="TimesNewRomanPSMT" w:hAnsi="TimesNewRomanPSMT"/>
          <w:sz w:val="28"/>
          <w:szCs w:val="28"/>
        </w:rPr>
        <w:t xml:space="preserve">modificadas de forma </w:t>
      </w:r>
      <w:r w:rsidR="004029A0" w:rsidRPr="00554FD8">
        <w:rPr>
          <w:rFonts w:ascii="TimesNewRomanPSMT" w:hAnsi="TimesNewRomanPSMT"/>
          <w:sz w:val="28"/>
          <w:szCs w:val="28"/>
        </w:rPr>
        <w:t>“subreptici</w:t>
      </w:r>
      <w:r w:rsidR="00270725" w:rsidRPr="00554FD8">
        <w:rPr>
          <w:rFonts w:ascii="TimesNewRomanPSMT" w:hAnsi="TimesNewRomanPSMT"/>
          <w:sz w:val="28"/>
          <w:szCs w:val="28"/>
        </w:rPr>
        <w:t>[a]</w:t>
      </w:r>
      <w:r w:rsidR="004029A0" w:rsidRPr="00554FD8">
        <w:rPr>
          <w:rFonts w:ascii="TimesNewRomanPSMT" w:hAnsi="TimesNewRomanPSMT"/>
          <w:sz w:val="28"/>
          <w:szCs w:val="28"/>
        </w:rPr>
        <w:t xml:space="preserve">”, </w:t>
      </w:r>
      <w:r w:rsidR="00270725" w:rsidRPr="00554FD8">
        <w:rPr>
          <w:rFonts w:ascii="TimesNewRomanPSMT" w:hAnsi="TimesNewRomanPSMT"/>
          <w:sz w:val="28"/>
          <w:szCs w:val="28"/>
        </w:rPr>
        <w:t>pues no fueron</w:t>
      </w:r>
      <w:r w:rsidR="004029A0" w:rsidRPr="00554FD8">
        <w:rPr>
          <w:rFonts w:ascii="TimesNewRomanPSMT" w:hAnsi="TimesNewRomanPSMT"/>
          <w:sz w:val="28"/>
          <w:szCs w:val="28"/>
        </w:rPr>
        <w:t xml:space="preserve"> objeto de deliberación y votación en el trámite legislativo</w:t>
      </w:r>
      <w:r w:rsidR="00270725" w:rsidRPr="00554FD8">
        <w:rPr>
          <w:rFonts w:ascii="TimesNewRomanPSMT" w:hAnsi="TimesNewRomanPSMT"/>
          <w:sz w:val="28"/>
          <w:szCs w:val="28"/>
        </w:rPr>
        <w:t xml:space="preserve"> y, por ende, </w:t>
      </w:r>
      <w:r w:rsidR="004029A0" w:rsidRPr="00554FD8">
        <w:rPr>
          <w:rFonts w:ascii="TimesNewRomanPSMT" w:hAnsi="TimesNewRomanPSMT"/>
          <w:sz w:val="28"/>
          <w:szCs w:val="28"/>
        </w:rPr>
        <w:t xml:space="preserve">“el parámetro de comparación para la determinación de la unidad de materia deben ser las </w:t>
      </w:r>
      <w:r w:rsidR="00270725" w:rsidRPr="00554FD8">
        <w:rPr>
          <w:rFonts w:ascii="TimesNewRomanPSMT" w:hAnsi="TimesNewRomanPSMT"/>
          <w:sz w:val="28"/>
          <w:szCs w:val="28"/>
        </w:rPr>
        <w:t>[b]</w:t>
      </w:r>
      <w:r w:rsidR="004029A0" w:rsidRPr="00554FD8">
        <w:rPr>
          <w:rFonts w:ascii="TimesNewRomanPSMT" w:hAnsi="TimesNewRomanPSMT"/>
          <w:sz w:val="28"/>
          <w:szCs w:val="28"/>
        </w:rPr>
        <w:t xml:space="preserve">ases del </w:t>
      </w:r>
      <w:r w:rsidR="00351032" w:rsidRPr="00554FD8">
        <w:rPr>
          <w:rFonts w:ascii="TimesNewRomanPSMT" w:hAnsi="TimesNewRomanPSMT"/>
          <w:sz w:val="28"/>
          <w:szCs w:val="28"/>
        </w:rPr>
        <w:t>[p]</w:t>
      </w:r>
      <w:r w:rsidR="004029A0" w:rsidRPr="00554FD8">
        <w:rPr>
          <w:rFonts w:ascii="TimesNewRomanPSMT" w:hAnsi="TimesNewRomanPSMT"/>
          <w:sz w:val="28"/>
          <w:szCs w:val="28"/>
        </w:rPr>
        <w:t xml:space="preserve">lan presentadas originalmente por el Gobierno, y no las </w:t>
      </w:r>
      <w:r w:rsidR="00270725" w:rsidRPr="00554FD8">
        <w:rPr>
          <w:rFonts w:ascii="TimesNewRomanPSMT" w:hAnsi="TimesNewRomanPSMT"/>
          <w:sz w:val="28"/>
          <w:szCs w:val="28"/>
        </w:rPr>
        <w:t>[b]</w:t>
      </w:r>
      <w:r w:rsidR="004029A0" w:rsidRPr="00554FD8">
        <w:rPr>
          <w:rFonts w:ascii="TimesNewRomanPSMT" w:hAnsi="TimesNewRomanPSMT"/>
          <w:sz w:val="28"/>
          <w:szCs w:val="28"/>
        </w:rPr>
        <w:t xml:space="preserve">ases del </w:t>
      </w:r>
      <w:r w:rsidR="00351032" w:rsidRPr="00554FD8">
        <w:rPr>
          <w:rFonts w:ascii="TimesNewRomanPSMT" w:hAnsi="TimesNewRomanPSMT"/>
          <w:sz w:val="28"/>
          <w:szCs w:val="28"/>
        </w:rPr>
        <w:t>[p]</w:t>
      </w:r>
      <w:r w:rsidR="004029A0" w:rsidRPr="00554FD8">
        <w:rPr>
          <w:rFonts w:ascii="TimesNewRomanPSMT" w:hAnsi="TimesNewRomanPSMT"/>
          <w:sz w:val="28"/>
          <w:szCs w:val="28"/>
        </w:rPr>
        <w:t>lan modificadas”</w:t>
      </w:r>
      <w:r w:rsidR="00270725" w:rsidRPr="00554FD8">
        <w:rPr>
          <w:rStyle w:val="Refdenotaalpie"/>
          <w:rFonts w:ascii="TimesNewRomanPSMT" w:hAnsi="TimesNewRomanPSMT"/>
          <w:sz w:val="28"/>
          <w:szCs w:val="28"/>
        </w:rPr>
        <w:footnoteReference w:id="22"/>
      </w:r>
      <w:r w:rsidR="004029A0" w:rsidRPr="00554FD8">
        <w:rPr>
          <w:rFonts w:ascii="TimesNewRomanPSMT" w:hAnsi="TimesNewRomanPSMT"/>
          <w:sz w:val="28"/>
          <w:szCs w:val="28"/>
        </w:rPr>
        <w:t xml:space="preserve">. </w:t>
      </w:r>
    </w:p>
    <w:p w14:paraId="014559EF" w14:textId="77777777" w:rsidR="004029A0" w:rsidRPr="00554FD8" w:rsidRDefault="004029A0" w:rsidP="004029A0">
      <w:pPr>
        <w:widowControl w:val="0"/>
        <w:pBdr>
          <w:top w:val="nil"/>
          <w:left w:val="nil"/>
          <w:bottom w:val="nil"/>
          <w:right w:val="nil"/>
          <w:between w:val="nil"/>
        </w:pBdr>
        <w:tabs>
          <w:tab w:val="left" w:pos="284"/>
        </w:tabs>
        <w:jc w:val="both"/>
        <w:rPr>
          <w:sz w:val="28"/>
          <w:szCs w:val="28"/>
        </w:rPr>
      </w:pPr>
    </w:p>
    <w:p w14:paraId="1226788B" w14:textId="6DF10E8A" w:rsidR="004029A0" w:rsidRPr="00A21C73" w:rsidRDefault="004029A0" w:rsidP="004029A0">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Sobre el particular, indicó que “[p]ara que el test de unidad de materia diseñado por la jurisprudencia constitucional sea efectivo, el parámetro de comparación debe ser estable y objetivo”</w:t>
      </w:r>
      <w:r w:rsidR="00270725" w:rsidRPr="00554FD8">
        <w:rPr>
          <w:rStyle w:val="Refdenotaalpie"/>
          <w:rFonts w:ascii="TimesNewRomanPSMT" w:hAnsi="TimesNewRomanPSMT"/>
          <w:sz w:val="28"/>
          <w:szCs w:val="28"/>
        </w:rPr>
        <w:footnoteReference w:id="23"/>
      </w:r>
      <w:r w:rsidRPr="00554FD8">
        <w:rPr>
          <w:rFonts w:ascii="TimesNewRomanPSMT" w:hAnsi="TimesNewRomanPSMT"/>
          <w:sz w:val="28"/>
          <w:szCs w:val="28"/>
        </w:rPr>
        <w:t xml:space="preserve">. Lo que para el demandante no sucede si se admite que la norma demandada se compare con </w:t>
      </w:r>
      <w:r w:rsidR="00A21C73">
        <w:rPr>
          <w:rFonts w:ascii="TimesNewRomanPSMT" w:hAnsi="TimesNewRomanPSMT"/>
          <w:sz w:val="28"/>
          <w:szCs w:val="28"/>
        </w:rPr>
        <w:t>B</w:t>
      </w:r>
      <w:r w:rsidRPr="00554FD8">
        <w:rPr>
          <w:rFonts w:ascii="TimesNewRomanPSMT" w:hAnsi="TimesNewRomanPSMT"/>
          <w:sz w:val="28"/>
          <w:szCs w:val="28"/>
        </w:rPr>
        <w:t>ases que se modifican y adicionan “específicamente para agregar un ‘gancho’ a favor de los micos legales que se van colgando en los segundos debates”</w:t>
      </w:r>
      <w:r w:rsidR="00270725" w:rsidRPr="00554FD8">
        <w:rPr>
          <w:rStyle w:val="Refdenotaalpie"/>
          <w:rFonts w:ascii="TimesNewRomanPSMT" w:hAnsi="TimesNewRomanPSMT"/>
          <w:sz w:val="28"/>
          <w:szCs w:val="28"/>
        </w:rPr>
        <w:footnoteReference w:id="24"/>
      </w:r>
      <w:r w:rsidRPr="00554FD8">
        <w:rPr>
          <w:rFonts w:ascii="TimesNewRomanPSMT" w:hAnsi="TimesNewRomanPSMT"/>
          <w:sz w:val="28"/>
          <w:szCs w:val="28"/>
        </w:rPr>
        <w:t xml:space="preserve">. En consecuencia, </w:t>
      </w:r>
      <w:r w:rsidR="00E75789" w:rsidRPr="00554FD8">
        <w:rPr>
          <w:rFonts w:ascii="TimesNewRomanPSMT" w:hAnsi="TimesNewRomanPSMT"/>
          <w:sz w:val="28"/>
          <w:szCs w:val="28"/>
        </w:rPr>
        <w:t xml:space="preserve">propuso el actor </w:t>
      </w:r>
      <w:r w:rsidRPr="00554FD8">
        <w:rPr>
          <w:rFonts w:ascii="TimesNewRomanPSMT" w:hAnsi="TimesNewRomanPSMT"/>
          <w:sz w:val="28"/>
          <w:szCs w:val="28"/>
        </w:rPr>
        <w:t>realizar la comparación</w:t>
      </w:r>
      <w:r w:rsidR="00270725" w:rsidRPr="00554FD8">
        <w:rPr>
          <w:rFonts w:ascii="TimesNewRomanPSMT" w:hAnsi="TimesNewRomanPSMT"/>
          <w:sz w:val="28"/>
          <w:szCs w:val="28"/>
        </w:rPr>
        <w:t xml:space="preserve"> </w:t>
      </w:r>
      <w:r w:rsidRPr="00554FD8">
        <w:rPr>
          <w:rFonts w:ascii="TimesNewRomanPSMT" w:hAnsi="TimesNewRomanPSMT"/>
          <w:sz w:val="28"/>
          <w:szCs w:val="28"/>
        </w:rPr>
        <w:t xml:space="preserve">entre: (i) las normas instrumentales enjuiciadas y (ii) las </w:t>
      </w:r>
      <w:r w:rsidR="00A21C73">
        <w:rPr>
          <w:rFonts w:ascii="TimesNewRomanPSMT" w:hAnsi="TimesNewRomanPSMT"/>
          <w:sz w:val="28"/>
          <w:szCs w:val="28"/>
        </w:rPr>
        <w:t>B</w:t>
      </w:r>
      <w:r w:rsidRPr="00554FD8">
        <w:rPr>
          <w:rFonts w:ascii="TimesNewRomanPSMT" w:hAnsi="TimesNewRomanPSMT"/>
          <w:sz w:val="28"/>
          <w:szCs w:val="28"/>
        </w:rPr>
        <w:t>ases que fueron publicadas en la Gaceta</w:t>
      </w:r>
      <w:r w:rsidR="00270725" w:rsidRPr="00554FD8">
        <w:rPr>
          <w:rFonts w:ascii="TimesNewRomanPSMT" w:hAnsi="TimesNewRomanPSMT"/>
          <w:sz w:val="28"/>
          <w:szCs w:val="28"/>
        </w:rPr>
        <w:t xml:space="preserve"> del Congreso n.°</w:t>
      </w:r>
      <w:r w:rsidRPr="00554FD8">
        <w:rPr>
          <w:rFonts w:ascii="TimesNewRomanPSMT" w:hAnsi="TimesNewRomanPSMT"/>
          <w:sz w:val="28"/>
          <w:szCs w:val="28"/>
        </w:rPr>
        <w:t xml:space="preserve"> 180 de 2023. </w:t>
      </w:r>
    </w:p>
    <w:p w14:paraId="1286737F" w14:textId="77777777" w:rsidR="00A21C73" w:rsidRPr="00B35E18" w:rsidRDefault="00A21C73" w:rsidP="00A21C73">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rPr>
      </w:pPr>
    </w:p>
    <w:p w14:paraId="00E6C3CA" w14:textId="46615EBA" w:rsidR="00902BCB" w:rsidRPr="00554FD8" w:rsidRDefault="00902BCB"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En cuarto lugar</w:t>
      </w:r>
      <w:r w:rsidR="004029A0" w:rsidRPr="00554FD8">
        <w:rPr>
          <w:rFonts w:ascii="TimesNewRomanPSMT" w:hAnsi="TimesNewRomanPSMT"/>
          <w:sz w:val="28"/>
          <w:szCs w:val="28"/>
        </w:rPr>
        <w:t xml:space="preserve">, </w:t>
      </w:r>
      <w:r w:rsidRPr="00554FD8">
        <w:rPr>
          <w:rFonts w:ascii="TimesNewRomanPSMT" w:hAnsi="TimesNewRomanPSMT"/>
          <w:sz w:val="28"/>
          <w:szCs w:val="28"/>
        </w:rPr>
        <w:t>señaló que las normas demandadas tampoco tienen conexidad alguna con los ejes de transformación establecidos en el artículo 3° de la Ley 2294 de 2023</w:t>
      </w:r>
      <w:r w:rsidR="00C204D6" w:rsidRPr="00554FD8">
        <w:rPr>
          <w:rFonts w:ascii="TimesNewRomanPSMT" w:hAnsi="TimesNewRomanPSMT"/>
          <w:sz w:val="28"/>
          <w:szCs w:val="28"/>
        </w:rPr>
        <w:t xml:space="preserve">, pues </w:t>
      </w:r>
      <w:r w:rsidRPr="00554FD8">
        <w:rPr>
          <w:rFonts w:ascii="TimesNewRomanPSMT" w:hAnsi="TimesNewRomanPSMT"/>
          <w:sz w:val="28"/>
          <w:szCs w:val="28"/>
        </w:rPr>
        <w:t>si bien estos son amplios, en su consideración ninguno de ellos tiene una relación con la organización electoral o con la autonomía presupuestal del C</w:t>
      </w:r>
      <w:r w:rsidR="00270725" w:rsidRPr="00554FD8">
        <w:rPr>
          <w:rFonts w:ascii="TimesNewRomanPSMT" w:hAnsi="TimesNewRomanPSMT"/>
          <w:sz w:val="28"/>
          <w:szCs w:val="28"/>
        </w:rPr>
        <w:t>NE</w:t>
      </w:r>
      <w:r w:rsidRPr="00554FD8">
        <w:rPr>
          <w:rFonts w:ascii="TimesNewRomanPSMT" w:hAnsi="TimesNewRomanPSMT"/>
          <w:sz w:val="28"/>
          <w:szCs w:val="28"/>
        </w:rPr>
        <w:t>. Asimismo, afirmó que las normas demandadas tampoco guardan relación alguna con los ejes trasversales establecidos en el artículo 4° de la</w:t>
      </w:r>
      <w:r w:rsidR="00270725" w:rsidRPr="00554FD8">
        <w:rPr>
          <w:rFonts w:ascii="TimesNewRomanPSMT" w:hAnsi="TimesNewRomanPSMT"/>
          <w:sz w:val="28"/>
          <w:szCs w:val="28"/>
        </w:rPr>
        <w:t xml:space="preserve"> mencionada ley</w:t>
      </w:r>
      <w:r w:rsidRPr="00554FD8">
        <w:rPr>
          <w:rFonts w:ascii="TimesNewRomanPSMT" w:hAnsi="TimesNewRomanPSMT"/>
          <w:sz w:val="28"/>
          <w:szCs w:val="28"/>
        </w:rPr>
        <w:t xml:space="preserve">, los cuales son: (i) paz total, (ii) actores diferenciales para el cambio, (iii) estabilidad macroeconómica y (iv) política exterior con enfoque de género. </w:t>
      </w:r>
    </w:p>
    <w:p w14:paraId="39C49E9F" w14:textId="77777777" w:rsidR="00902BCB" w:rsidRPr="00554FD8" w:rsidRDefault="00902BCB" w:rsidP="00270725">
      <w:pPr>
        <w:rPr>
          <w:rFonts w:ascii="TimesNewRomanPSMT" w:hAnsi="TimesNewRomanPSMT"/>
          <w:sz w:val="28"/>
          <w:szCs w:val="28"/>
        </w:rPr>
      </w:pPr>
    </w:p>
    <w:p w14:paraId="4A2DACD0" w14:textId="38A01D0C" w:rsidR="00902BCB" w:rsidRPr="00554FD8" w:rsidRDefault="00902BCB"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Finalmente, refirió que la ausencia de conexidad se demuestra por el carácter permanente de las normas demandadas. En su opinión, el legislador utili</w:t>
      </w:r>
      <w:r w:rsidR="0000707F" w:rsidRPr="00554FD8">
        <w:rPr>
          <w:rFonts w:ascii="TimesNewRomanPSMT" w:hAnsi="TimesNewRomanPSMT"/>
          <w:sz w:val="28"/>
          <w:szCs w:val="28"/>
        </w:rPr>
        <w:t>z</w:t>
      </w:r>
      <w:r w:rsidRPr="00554FD8">
        <w:rPr>
          <w:rFonts w:ascii="TimesNewRomanPSMT" w:hAnsi="TimesNewRomanPSMT"/>
          <w:sz w:val="28"/>
          <w:szCs w:val="28"/>
        </w:rPr>
        <w:t>ó el PND para modificar un elemento crucial del sistema presupuestal colombiano. Al respecto, indicó que la Corte Constitucional ha establecido que es posible que las normas del PND excedan temporalmente la vigencia de cuatro años del plan cuando se cumple con la carga argumentativa correspondiente. Pero, en su consideración, esto no ocurrió en el presente caso, pues no se explicó de qué manera una modificación al Estatuto Orgánico del Presupuesto es una expresión de la función de planeación; tampoco se justificó que este mecanismo constituyera un medio idóneo para impulsar la ejecución del PND o que estuviera íntimamente relacionado con el mismo. En consecuencia, el demandante concluyó que las normas demandadas modifican el Estatuto Orgánico del Presupuesto, lo cual desconoce la vocación temporal del plan y demuestra que la ley fue “aprovechada” como “mecanismo para llenar vacíos legales”</w:t>
      </w:r>
      <w:r w:rsidR="0000707F" w:rsidRPr="00554FD8">
        <w:rPr>
          <w:rStyle w:val="Refdenotaalpie"/>
          <w:rFonts w:ascii="TimesNewRomanPSMT" w:hAnsi="TimesNewRomanPSMT"/>
          <w:sz w:val="28"/>
          <w:szCs w:val="28"/>
        </w:rPr>
        <w:footnoteReference w:id="25"/>
      </w:r>
      <w:r w:rsidRPr="00554FD8">
        <w:rPr>
          <w:rFonts w:ascii="TimesNewRomanPSMT" w:hAnsi="TimesNewRomanPSMT"/>
          <w:sz w:val="28"/>
          <w:szCs w:val="28"/>
        </w:rPr>
        <w:t xml:space="preserve">. </w:t>
      </w:r>
    </w:p>
    <w:p w14:paraId="554B7D0E" w14:textId="77777777" w:rsidR="00902BCB" w:rsidRPr="00554FD8" w:rsidRDefault="00902BCB" w:rsidP="00902BCB">
      <w:pPr>
        <w:pStyle w:val="Prrafodelista"/>
        <w:rPr>
          <w:i/>
          <w:sz w:val="28"/>
          <w:szCs w:val="28"/>
        </w:rPr>
      </w:pPr>
    </w:p>
    <w:p w14:paraId="1E8ECE82" w14:textId="5EBB7FE7" w:rsidR="00204527" w:rsidRPr="00554FD8" w:rsidRDefault="00E337E2"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i/>
          <w:sz w:val="28"/>
          <w:szCs w:val="28"/>
        </w:rPr>
        <w:t>Segundo cargo</w:t>
      </w:r>
      <w:r w:rsidR="0000707F" w:rsidRPr="00554FD8">
        <w:rPr>
          <w:i/>
          <w:sz w:val="28"/>
          <w:szCs w:val="28"/>
        </w:rPr>
        <w:t>,</w:t>
      </w:r>
      <w:r w:rsidR="00255043" w:rsidRPr="00554FD8">
        <w:rPr>
          <w:i/>
          <w:sz w:val="28"/>
          <w:szCs w:val="28"/>
        </w:rPr>
        <w:t xml:space="preserve"> desconocimiento de la reserva de ley orgánica. </w:t>
      </w:r>
      <w:r w:rsidR="0000707F" w:rsidRPr="00554FD8">
        <w:rPr>
          <w:sz w:val="28"/>
          <w:szCs w:val="28"/>
        </w:rPr>
        <w:t>E</w:t>
      </w:r>
      <w:r w:rsidR="002B7DE9" w:rsidRPr="00554FD8">
        <w:rPr>
          <w:sz w:val="28"/>
          <w:szCs w:val="28"/>
        </w:rPr>
        <w:t xml:space="preserve">l demandante aseguró que el legislador desconoció la reserva de ley orgánica en la medida en que, por medio de una ley ordinaria reguló asuntos de naturaleza especial. Sobre el particular, indicó que el artículo 336 del PND modificó el Estatuto Orgánico del Presupuesto para que, en adelante, al CNE le corresponda una sección independiente en la Ley del Presupuesto General de la Nación. </w:t>
      </w:r>
      <w:r w:rsidR="00B63570" w:rsidRPr="00554FD8">
        <w:rPr>
          <w:sz w:val="28"/>
          <w:szCs w:val="28"/>
        </w:rPr>
        <w:t xml:space="preserve">Al respecto, aseguró </w:t>
      </w:r>
      <w:r w:rsidR="003043F7" w:rsidRPr="00554FD8">
        <w:rPr>
          <w:sz w:val="28"/>
          <w:szCs w:val="28"/>
        </w:rPr>
        <w:t>que</w:t>
      </w:r>
      <w:r w:rsidR="00204527" w:rsidRPr="00554FD8">
        <w:rPr>
          <w:sz w:val="28"/>
          <w:szCs w:val="28"/>
        </w:rPr>
        <w:t xml:space="preserve"> </w:t>
      </w:r>
      <w:r w:rsidR="00204527" w:rsidRPr="00554FD8">
        <w:rPr>
          <w:rFonts w:ascii="TimesNewRomanPSMT" w:hAnsi="TimesNewRomanPSMT"/>
          <w:sz w:val="28"/>
          <w:szCs w:val="28"/>
        </w:rPr>
        <w:t>antes</w:t>
      </w:r>
      <w:r w:rsidR="00204527" w:rsidRPr="00554FD8">
        <w:rPr>
          <w:sz w:val="28"/>
          <w:szCs w:val="28"/>
        </w:rPr>
        <w:t xml:space="preserve"> de la exp</w:t>
      </w:r>
      <w:r w:rsidR="00610A1C" w:rsidRPr="00554FD8">
        <w:rPr>
          <w:sz w:val="28"/>
          <w:szCs w:val="28"/>
        </w:rPr>
        <w:t>e</w:t>
      </w:r>
      <w:r w:rsidR="00204527" w:rsidRPr="00554FD8">
        <w:rPr>
          <w:sz w:val="28"/>
          <w:szCs w:val="28"/>
        </w:rPr>
        <w:t xml:space="preserve">dición de la Ley 2294 de 2023 el presupuesto destinado a esa corporación se encontraba dentro de la sección presupuestal de la Registraduría Nacional del Estado Civil. En el mismo sentido, señaló que el artículo 337 del PND modificó el mismo estatuto al otorgarle al CNE la capacidad de contratar y de comprometerse con cargo a las apropiaciones incorporadas en la respectiva sección. </w:t>
      </w:r>
    </w:p>
    <w:p w14:paraId="67951FC0" w14:textId="77777777" w:rsidR="00204527" w:rsidRPr="00554FD8" w:rsidRDefault="00204527" w:rsidP="00204527">
      <w:pPr>
        <w:pStyle w:val="Prrafodelista"/>
        <w:rPr>
          <w:sz w:val="28"/>
          <w:szCs w:val="28"/>
        </w:rPr>
      </w:pPr>
    </w:p>
    <w:p w14:paraId="5AE8C672" w14:textId="0C012F4E" w:rsidR="00AA02DB" w:rsidRPr="00554FD8" w:rsidRDefault="00204527"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sz w:val="28"/>
          <w:szCs w:val="28"/>
        </w:rPr>
        <w:t xml:space="preserve">No obstante, el Estatuto Orgánico del Presupuesto </w:t>
      </w:r>
      <w:r w:rsidR="003043F7" w:rsidRPr="00554FD8">
        <w:rPr>
          <w:sz w:val="28"/>
          <w:szCs w:val="28"/>
        </w:rPr>
        <w:t xml:space="preserve">tiene rango de ley orgánica </w:t>
      </w:r>
      <w:r w:rsidR="00B118F1" w:rsidRPr="00554FD8">
        <w:rPr>
          <w:sz w:val="28"/>
          <w:szCs w:val="28"/>
        </w:rPr>
        <w:t xml:space="preserve">de acuerdo </w:t>
      </w:r>
      <w:r w:rsidR="008577FD" w:rsidRPr="00554FD8">
        <w:rPr>
          <w:sz w:val="28"/>
          <w:szCs w:val="28"/>
        </w:rPr>
        <w:t>con</w:t>
      </w:r>
      <w:r w:rsidR="00B118F1" w:rsidRPr="00554FD8">
        <w:rPr>
          <w:sz w:val="28"/>
          <w:szCs w:val="28"/>
        </w:rPr>
        <w:t xml:space="preserve"> lo establecido en el artículo 1° del Decreto 111 de 1996 y la jurisprudencia </w:t>
      </w:r>
      <w:r w:rsidR="0000707F" w:rsidRPr="00554FD8">
        <w:rPr>
          <w:sz w:val="28"/>
          <w:szCs w:val="28"/>
        </w:rPr>
        <w:t>c</w:t>
      </w:r>
      <w:r w:rsidR="00B118F1" w:rsidRPr="00554FD8">
        <w:rPr>
          <w:sz w:val="28"/>
          <w:szCs w:val="28"/>
        </w:rPr>
        <w:t xml:space="preserve">onstitucional. En consecuencia, los artículos 336 y 337 (parciales) del PND incurren en una alteración normativa que contraviene el trámite legislativo previsto para la expedición y modificación de leyes orgánicas. </w:t>
      </w:r>
    </w:p>
    <w:p w14:paraId="2F11FAED" w14:textId="77777777" w:rsidR="00AA02DB" w:rsidRPr="00554FD8" w:rsidRDefault="00AA02DB" w:rsidP="00AA02DB">
      <w:pPr>
        <w:pStyle w:val="Prrafodelista"/>
        <w:rPr>
          <w:rFonts w:ascii="TimesNewRomanPSMT" w:hAnsi="TimesNewRomanPSMT"/>
          <w:sz w:val="28"/>
          <w:szCs w:val="28"/>
        </w:rPr>
      </w:pPr>
    </w:p>
    <w:p w14:paraId="2318A8D0" w14:textId="207BF24B" w:rsidR="00AA02DB" w:rsidRPr="00554FD8" w:rsidRDefault="0000707F"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Sobre el particular</w:t>
      </w:r>
      <w:r w:rsidR="0020674F" w:rsidRPr="00554FD8">
        <w:rPr>
          <w:rFonts w:ascii="TimesNewRomanPSMT" w:hAnsi="TimesNewRomanPSMT"/>
          <w:sz w:val="28"/>
          <w:szCs w:val="28"/>
        </w:rPr>
        <w:t>, indicó que la jurisprudencia constitucional ha desarrollado el principio de competencia según el cual</w:t>
      </w:r>
      <w:r w:rsidR="00C204D6" w:rsidRPr="00554FD8">
        <w:rPr>
          <w:rFonts w:ascii="TimesNewRomanPSMT" w:hAnsi="TimesNewRomanPSMT"/>
          <w:sz w:val="28"/>
          <w:szCs w:val="28"/>
        </w:rPr>
        <w:t>,</w:t>
      </w:r>
      <w:r w:rsidR="0020674F" w:rsidRPr="00554FD8">
        <w:rPr>
          <w:rFonts w:ascii="TimesNewRomanPSMT" w:hAnsi="TimesNewRomanPSMT"/>
          <w:sz w:val="28"/>
          <w:szCs w:val="28"/>
        </w:rPr>
        <w:t xml:space="preserve"> si la norma ordinaria expedida por el legislativo </w:t>
      </w:r>
      <w:r w:rsidR="0020674F" w:rsidRPr="00554FD8">
        <w:rPr>
          <w:sz w:val="28"/>
          <w:szCs w:val="28"/>
        </w:rPr>
        <w:t>desconoce</w:t>
      </w:r>
      <w:r w:rsidR="0020674F" w:rsidRPr="00554FD8">
        <w:rPr>
          <w:rFonts w:ascii="TimesNewRomanPSMT" w:hAnsi="TimesNewRomanPSMT"/>
          <w:sz w:val="28"/>
          <w:szCs w:val="28"/>
        </w:rPr>
        <w:t xml:space="preserve"> los parámetros y procedimientos correspondientes </w:t>
      </w:r>
      <w:r w:rsidR="008577FD" w:rsidRPr="00554FD8">
        <w:rPr>
          <w:rFonts w:ascii="TimesNewRomanPSMT" w:hAnsi="TimesNewRomanPSMT"/>
          <w:sz w:val="28"/>
          <w:szCs w:val="28"/>
        </w:rPr>
        <w:t xml:space="preserve">para la aprobación de una </w:t>
      </w:r>
      <w:r w:rsidR="0020674F" w:rsidRPr="00554FD8">
        <w:rPr>
          <w:rFonts w:ascii="TimesNewRomanPSMT" w:hAnsi="TimesNewRomanPSMT"/>
          <w:sz w:val="28"/>
          <w:szCs w:val="28"/>
        </w:rPr>
        <w:t xml:space="preserve">ley orgánica, la omisión puede acarrear su inconstitucionalidad. En </w:t>
      </w:r>
      <w:r w:rsidR="00AA02DB" w:rsidRPr="00554FD8">
        <w:rPr>
          <w:rFonts w:ascii="TimesNewRomanPSMT" w:hAnsi="TimesNewRomanPSMT"/>
          <w:sz w:val="28"/>
          <w:szCs w:val="28"/>
        </w:rPr>
        <w:t xml:space="preserve">ese sentido, argumentó </w:t>
      </w:r>
      <w:r w:rsidR="0020674F" w:rsidRPr="00554FD8">
        <w:rPr>
          <w:rFonts w:ascii="TimesNewRomanPSMT" w:hAnsi="TimesNewRomanPSMT"/>
          <w:sz w:val="28"/>
          <w:szCs w:val="28"/>
        </w:rPr>
        <w:t>que jurisprudencialmente se ha aplicado un análisis a partir de cuatro requisitos: (i) la finalidad de ley orgánica, (ii) la materia de ley orgánica, (iii) las mayorías absolutas para aprobar leyes orgánicas y (iv) el propósito de aprobar una ley orgánica.</w:t>
      </w:r>
    </w:p>
    <w:p w14:paraId="0410EE63" w14:textId="77777777" w:rsidR="00AA02DB" w:rsidRPr="00554FD8" w:rsidRDefault="00AA02DB" w:rsidP="00AA02DB">
      <w:pPr>
        <w:pStyle w:val="Prrafodelista"/>
        <w:rPr>
          <w:rFonts w:ascii="TimesNewRomanPSMT" w:hAnsi="TimesNewRomanPSMT"/>
          <w:sz w:val="28"/>
          <w:szCs w:val="28"/>
        </w:rPr>
      </w:pPr>
    </w:p>
    <w:p w14:paraId="1780740D" w14:textId="1778E5BA" w:rsidR="00AA02DB" w:rsidRPr="00554FD8" w:rsidRDefault="0020674F"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rFonts w:ascii="TimesNewRomanPSMT" w:hAnsi="TimesNewRomanPSMT"/>
          <w:sz w:val="28"/>
          <w:szCs w:val="28"/>
        </w:rPr>
        <w:t xml:space="preserve">Sobre el requisito de la finalidad </w:t>
      </w:r>
      <w:r w:rsidR="00AA02DB" w:rsidRPr="00554FD8">
        <w:rPr>
          <w:rFonts w:ascii="TimesNewRomanPSMT" w:hAnsi="TimesNewRomanPSMT"/>
          <w:sz w:val="28"/>
          <w:szCs w:val="28"/>
        </w:rPr>
        <w:t>el actor señaló</w:t>
      </w:r>
      <w:r w:rsidRPr="00554FD8">
        <w:rPr>
          <w:rFonts w:ascii="TimesNewRomanPSMT" w:hAnsi="TimesNewRomanPSMT"/>
          <w:sz w:val="28"/>
          <w:szCs w:val="28"/>
        </w:rPr>
        <w:t xml:space="preserve"> que el artículo 336 demandado modifica el artículo 36 del Decreto 111 de 1996</w:t>
      </w:r>
      <w:r w:rsidR="006D5AB3">
        <w:rPr>
          <w:rFonts w:ascii="TimesNewRomanPSMT" w:hAnsi="TimesNewRomanPSMT"/>
          <w:sz w:val="28"/>
          <w:szCs w:val="28"/>
        </w:rPr>
        <w:t>,</w:t>
      </w:r>
      <w:r w:rsidRPr="00554FD8">
        <w:rPr>
          <w:rFonts w:ascii="TimesNewRomanPSMT" w:hAnsi="TimesNewRomanPSMT"/>
          <w:sz w:val="28"/>
          <w:szCs w:val="28"/>
        </w:rPr>
        <w:t xml:space="preserve"> que regula la preparación y ejecución del presupuesto de gastos</w:t>
      </w:r>
      <w:r w:rsidR="00204527" w:rsidRPr="00554FD8">
        <w:rPr>
          <w:rFonts w:ascii="TimesNewRomanPSMT" w:hAnsi="TimesNewRomanPSMT"/>
          <w:sz w:val="28"/>
          <w:szCs w:val="28"/>
        </w:rPr>
        <w:t>, al incorporar una nueva sección independiente correspondiente al CNE. Asimismo,</w:t>
      </w:r>
      <w:r w:rsidRPr="00554FD8">
        <w:rPr>
          <w:rFonts w:ascii="TimesNewRomanPSMT" w:hAnsi="TimesNewRomanPSMT"/>
          <w:sz w:val="28"/>
          <w:szCs w:val="28"/>
        </w:rPr>
        <w:t xml:space="preserve"> el artículo 337 modifica el artículo 111 del </w:t>
      </w:r>
      <w:r w:rsidR="00AA02DB" w:rsidRPr="00554FD8">
        <w:rPr>
          <w:rFonts w:ascii="TimesNewRomanPSMT" w:hAnsi="TimesNewRomanPSMT"/>
          <w:sz w:val="28"/>
          <w:szCs w:val="28"/>
        </w:rPr>
        <w:t xml:space="preserve">mencionado </w:t>
      </w:r>
      <w:r w:rsidRPr="00554FD8">
        <w:rPr>
          <w:rFonts w:ascii="TimesNewRomanPSMT" w:hAnsi="TimesNewRomanPSMT"/>
          <w:sz w:val="28"/>
          <w:szCs w:val="28"/>
        </w:rPr>
        <w:t>decreto, el cual regula la ejecución de</w:t>
      </w:r>
      <w:r w:rsidR="008577FD" w:rsidRPr="00554FD8">
        <w:rPr>
          <w:rFonts w:ascii="TimesNewRomanPSMT" w:hAnsi="TimesNewRomanPSMT"/>
          <w:sz w:val="28"/>
          <w:szCs w:val="28"/>
        </w:rPr>
        <w:t>l</w:t>
      </w:r>
      <w:r w:rsidRPr="00554FD8">
        <w:rPr>
          <w:rFonts w:ascii="TimesNewRomanPSMT" w:hAnsi="TimesNewRomanPSMT"/>
          <w:sz w:val="28"/>
          <w:szCs w:val="28"/>
        </w:rPr>
        <w:t xml:space="preserve"> presupuesto de gastos. Lo anterior, </w:t>
      </w:r>
      <w:r w:rsidR="006D5AB3">
        <w:rPr>
          <w:rFonts w:ascii="TimesNewRomanPSMT" w:hAnsi="TimesNewRomanPSMT"/>
          <w:sz w:val="28"/>
          <w:szCs w:val="28"/>
        </w:rPr>
        <w:t>por</w:t>
      </w:r>
      <w:r w:rsidR="006D5AB3" w:rsidRPr="00554FD8">
        <w:rPr>
          <w:rFonts w:ascii="TimesNewRomanPSMT" w:hAnsi="TimesNewRomanPSMT"/>
          <w:sz w:val="28"/>
          <w:szCs w:val="28"/>
        </w:rPr>
        <w:t xml:space="preserve"> </w:t>
      </w:r>
      <w:r w:rsidRPr="00554FD8">
        <w:rPr>
          <w:rFonts w:ascii="TimesNewRomanPSMT" w:hAnsi="TimesNewRomanPSMT"/>
          <w:sz w:val="28"/>
          <w:szCs w:val="28"/>
        </w:rPr>
        <w:t>considerar que</w:t>
      </w:r>
      <w:r w:rsidR="00AA02DB" w:rsidRPr="00554FD8">
        <w:rPr>
          <w:sz w:val="28"/>
          <w:szCs w:val="28"/>
        </w:rPr>
        <w:t xml:space="preserve"> le otorga al CNE la capacidad de contratar y de comprometerse con cargo a las apropiaciones incorporadas en la respectiva sección. </w:t>
      </w:r>
    </w:p>
    <w:p w14:paraId="35F0E134" w14:textId="77777777" w:rsidR="00AA02DB" w:rsidRPr="00554FD8" w:rsidRDefault="00AA02DB" w:rsidP="00AA02DB">
      <w:pPr>
        <w:pStyle w:val="Prrafodelista"/>
        <w:rPr>
          <w:rFonts w:ascii="TimesNewRomanPSMT" w:hAnsi="TimesNewRomanPSMT"/>
          <w:sz w:val="28"/>
          <w:szCs w:val="28"/>
        </w:rPr>
      </w:pPr>
    </w:p>
    <w:p w14:paraId="2E1ECC12" w14:textId="656B18E1" w:rsidR="00AA02DB" w:rsidRPr="00554FD8" w:rsidRDefault="006D5AB3" w:rsidP="00460A97">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firstLine="0"/>
        <w:contextualSpacing w:val="0"/>
        <w:jc w:val="both"/>
        <w:rPr>
          <w:rFonts w:ascii="TimesNewRomanPSMT" w:hAnsi="TimesNewRomanPSMT"/>
          <w:sz w:val="28"/>
          <w:szCs w:val="28"/>
        </w:rPr>
      </w:pPr>
      <w:r>
        <w:rPr>
          <w:rFonts w:ascii="TimesNewRomanPSMT" w:hAnsi="TimesNewRomanPSMT"/>
          <w:sz w:val="28"/>
          <w:szCs w:val="28"/>
        </w:rPr>
        <w:t>Frente a</w:t>
      </w:r>
      <w:r w:rsidR="00AA02DB" w:rsidRPr="00554FD8">
        <w:rPr>
          <w:rFonts w:ascii="TimesNewRomanPSMT" w:hAnsi="TimesNewRomanPSMT"/>
          <w:sz w:val="28"/>
          <w:szCs w:val="28"/>
        </w:rPr>
        <w:t xml:space="preserve"> la materia de ley orgánica indicó que resulta claro que se está </w:t>
      </w:r>
      <w:r>
        <w:rPr>
          <w:rFonts w:ascii="TimesNewRomanPSMT" w:hAnsi="TimesNewRomanPSMT"/>
          <w:sz w:val="28"/>
          <w:szCs w:val="28"/>
        </w:rPr>
        <w:t>ante</w:t>
      </w:r>
      <w:r w:rsidRPr="00554FD8">
        <w:rPr>
          <w:rFonts w:ascii="TimesNewRomanPSMT" w:hAnsi="TimesNewRomanPSMT"/>
          <w:sz w:val="28"/>
          <w:szCs w:val="28"/>
        </w:rPr>
        <w:t xml:space="preserve"> </w:t>
      </w:r>
      <w:r w:rsidR="00E75789" w:rsidRPr="00554FD8">
        <w:rPr>
          <w:rFonts w:ascii="TimesNewRomanPSMT" w:hAnsi="TimesNewRomanPSMT"/>
          <w:sz w:val="28"/>
          <w:szCs w:val="28"/>
        </w:rPr>
        <w:t>normas</w:t>
      </w:r>
      <w:r w:rsidR="00AA02DB" w:rsidRPr="00554FD8">
        <w:rPr>
          <w:rFonts w:ascii="TimesNewRomanPSMT" w:hAnsi="TimesNewRomanPSMT"/>
          <w:sz w:val="28"/>
          <w:szCs w:val="28"/>
        </w:rPr>
        <w:t xml:space="preserve"> de </w:t>
      </w:r>
      <w:r>
        <w:rPr>
          <w:rFonts w:ascii="TimesNewRomanPSMT" w:hAnsi="TimesNewRomanPSMT"/>
          <w:sz w:val="28"/>
          <w:szCs w:val="28"/>
        </w:rPr>
        <w:t>tal</w:t>
      </w:r>
      <w:r w:rsidRPr="00554FD8">
        <w:rPr>
          <w:rFonts w:ascii="TimesNewRomanPSMT" w:hAnsi="TimesNewRomanPSMT"/>
          <w:sz w:val="28"/>
          <w:szCs w:val="28"/>
        </w:rPr>
        <w:t xml:space="preserve"> </w:t>
      </w:r>
      <w:r w:rsidR="00AA02DB" w:rsidRPr="00554FD8">
        <w:rPr>
          <w:rFonts w:ascii="TimesNewRomanPSMT" w:hAnsi="TimesNewRomanPSMT"/>
          <w:sz w:val="28"/>
          <w:szCs w:val="28"/>
        </w:rPr>
        <w:t>naturaleza, toda vez que se regula</w:t>
      </w:r>
      <w:r>
        <w:rPr>
          <w:rFonts w:ascii="TimesNewRomanPSMT" w:hAnsi="TimesNewRomanPSMT"/>
          <w:sz w:val="28"/>
          <w:szCs w:val="28"/>
        </w:rPr>
        <w:t>n</w:t>
      </w:r>
      <w:r w:rsidR="00AA02DB" w:rsidRPr="00554FD8">
        <w:rPr>
          <w:rFonts w:ascii="TimesNewRomanPSMT" w:hAnsi="TimesNewRomanPSMT"/>
          <w:sz w:val="28"/>
          <w:szCs w:val="28"/>
        </w:rPr>
        <w:t xml:space="preserve"> </w:t>
      </w:r>
      <w:r w:rsidR="00E75789" w:rsidRPr="00554FD8">
        <w:rPr>
          <w:rFonts w:ascii="TimesNewRomanPSMT" w:hAnsi="TimesNewRomanPSMT"/>
          <w:sz w:val="28"/>
          <w:szCs w:val="28"/>
        </w:rPr>
        <w:t xml:space="preserve">en ellas </w:t>
      </w:r>
      <w:r w:rsidR="0000707F" w:rsidRPr="00554FD8">
        <w:rPr>
          <w:rFonts w:ascii="TimesNewRomanPSMT" w:hAnsi="TimesNewRomanPSMT"/>
          <w:sz w:val="28"/>
          <w:szCs w:val="28"/>
        </w:rPr>
        <w:t>asunto</w:t>
      </w:r>
      <w:r w:rsidR="00E75789" w:rsidRPr="00554FD8">
        <w:rPr>
          <w:rFonts w:ascii="TimesNewRomanPSMT" w:hAnsi="TimesNewRomanPSMT"/>
          <w:sz w:val="28"/>
          <w:szCs w:val="28"/>
        </w:rPr>
        <w:t>s</w:t>
      </w:r>
      <w:r w:rsidR="00AA02DB" w:rsidRPr="00554FD8">
        <w:rPr>
          <w:rFonts w:ascii="TimesNewRomanPSMT" w:hAnsi="TimesNewRomanPSMT"/>
          <w:sz w:val="28"/>
          <w:szCs w:val="28"/>
        </w:rPr>
        <w:t xml:space="preserve"> con reserva de ley, en concreto la Ley Orgánica del Presupuesto. Sin embargo, indicó que en esta oportunidad no hubo una voluntad clara, expresa e inequívoca por parte de los legisladores</w:t>
      </w:r>
      <w:r w:rsidR="00C204D6" w:rsidRPr="00554FD8">
        <w:rPr>
          <w:rFonts w:ascii="TimesNewRomanPSMT" w:hAnsi="TimesNewRomanPSMT"/>
          <w:sz w:val="28"/>
          <w:szCs w:val="28"/>
        </w:rPr>
        <w:t xml:space="preserve"> a ese respecto</w:t>
      </w:r>
      <w:r w:rsidR="00AA02DB" w:rsidRPr="00554FD8">
        <w:rPr>
          <w:rFonts w:ascii="TimesNewRomanPSMT" w:hAnsi="TimesNewRomanPSMT"/>
          <w:sz w:val="28"/>
          <w:szCs w:val="28"/>
        </w:rPr>
        <w:t xml:space="preserve">. Precisó que los textos de los artículos demandados fueron propuestos para ser añadidos al PND durante los debates en plenaria en ambas cámaras y </w:t>
      </w:r>
      <w:r>
        <w:rPr>
          <w:rFonts w:ascii="TimesNewRomanPSMT" w:hAnsi="TimesNewRomanPSMT"/>
          <w:sz w:val="28"/>
          <w:szCs w:val="28"/>
        </w:rPr>
        <w:t xml:space="preserve">que </w:t>
      </w:r>
      <w:r w:rsidR="00AA02DB" w:rsidRPr="00554FD8">
        <w:rPr>
          <w:rFonts w:ascii="TimesNewRomanPSMT" w:hAnsi="TimesNewRomanPSMT"/>
          <w:sz w:val="28"/>
          <w:szCs w:val="28"/>
        </w:rPr>
        <w:t>no se tuvo la oportunidad de que estos fueran debatidos y aprobados durante los debates en comisiones</w:t>
      </w:r>
      <w:r w:rsidR="008577FD" w:rsidRPr="00554FD8">
        <w:rPr>
          <w:rFonts w:ascii="TimesNewRomanPSMT" w:hAnsi="TimesNewRomanPSMT"/>
          <w:sz w:val="28"/>
          <w:szCs w:val="28"/>
        </w:rPr>
        <w:t xml:space="preserve"> en la</w:t>
      </w:r>
      <w:r w:rsidR="00AA02DB" w:rsidRPr="00554FD8">
        <w:rPr>
          <w:rFonts w:ascii="TimesNewRomanPSMT" w:hAnsi="TimesNewRomanPSMT"/>
          <w:sz w:val="28"/>
          <w:szCs w:val="28"/>
        </w:rPr>
        <w:t xml:space="preserve"> Cámara de Representantes </w:t>
      </w:r>
      <w:r w:rsidR="00E75789" w:rsidRPr="00554FD8">
        <w:rPr>
          <w:rFonts w:ascii="TimesNewRomanPSMT" w:hAnsi="TimesNewRomanPSMT"/>
          <w:sz w:val="28"/>
          <w:szCs w:val="28"/>
        </w:rPr>
        <w:t xml:space="preserve">ni en </w:t>
      </w:r>
      <w:r w:rsidR="008577FD" w:rsidRPr="00554FD8">
        <w:rPr>
          <w:rFonts w:ascii="TimesNewRomanPSMT" w:hAnsi="TimesNewRomanPSMT"/>
          <w:sz w:val="28"/>
          <w:szCs w:val="28"/>
        </w:rPr>
        <w:t>el</w:t>
      </w:r>
      <w:r w:rsidR="00AA02DB" w:rsidRPr="00554FD8">
        <w:rPr>
          <w:rFonts w:ascii="TimesNewRomanPSMT" w:hAnsi="TimesNewRomanPSMT"/>
          <w:sz w:val="28"/>
          <w:szCs w:val="28"/>
        </w:rPr>
        <w:t xml:space="preserve"> Senado</w:t>
      </w:r>
      <w:r w:rsidR="008577FD" w:rsidRPr="00554FD8">
        <w:rPr>
          <w:rFonts w:ascii="TimesNewRomanPSMT" w:hAnsi="TimesNewRomanPSMT"/>
          <w:sz w:val="28"/>
          <w:szCs w:val="28"/>
        </w:rPr>
        <w:t xml:space="preserve"> de la República</w:t>
      </w:r>
      <w:r w:rsidR="00AA02DB" w:rsidRPr="00554FD8">
        <w:rPr>
          <w:rFonts w:ascii="TimesNewRomanPSMT" w:hAnsi="TimesNewRomanPSMT"/>
          <w:sz w:val="28"/>
          <w:szCs w:val="28"/>
        </w:rPr>
        <w:t xml:space="preserve">. De acuerdo con lo expuesto, consideró </w:t>
      </w:r>
      <w:r w:rsidR="00E75789" w:rsidRPr="00554FD8">
        <w:rPr>
          <w:rFonts w:ascii="TimesNewRomanPSMT" w:hAnsi="TimesNewRomanPSMT"/>
          <w:sz w:val="28"/>
          <w:szCs w:val="28"/>
        </w:rPr>
        <w:t xml:space="preserve">quien demanda </w:t>
      </w:r>
      <w:r w:rsidR="00AA02DB" w:rsidRPr="00554FD8">
        <w:rPr>
          <w:rFonts w:ascii="TimesNewRomanPSMT" w:hAnsi="TimesNewRomanPSMT"/>
          <w:sz w:val="28"/>
          <w:szCs w:val="28"/>
        </w:rPr>
        <w:t xml:space="preserve">que las disposiciones </w:t>
      </w:r>
      <w:r w:rsidR="00E75789" w:rsidRPr="00554FD8">
        <w:rPr>
          <w:rFonts w:ascii="TimesNewRomanPSMT" w:hAnsi="TimesNewRomanPSMT"/>
          <w:sz w:val="28"/>
          <w:szCs w:val="28"/>
        </w:rPr>
        <w:t xml:space="preserve">censuradas </w:t>
      </w:r>
      <w:r w:rsidR="00AA02DB" w:rsidRPr="00554FD8">
        <w:rPr>
          <w:rFonts w:ascii="TimesNewRomanPSMT" w:hAnsi="TimesNewRomanPSMT"/>
          <w:sz w:val="28"/>
          <w:szCs w:val="28"/>
        </w:rPr>
        <w:t xml:space="preserve">no contaron con los espacios de deliberación y control político esperados y necesarios para la aprobación de una ley de mayor jerarquía. </w:t>
      </w:r>
    </w:p>
    <w:p w14:paraId="4312B69D" w14:textId="77777777" w:rsidR="00460A97" w:rsidRPr="00554FD8" w:rsidRDefault="00460A97" w:rsidP="00460A97">
      <w:pPr>
        <w:pStyle w:val="Prrafodelista"/>
        <w:widowControl w:val="0"/>
        <w:pBdr>
          <w:top w:val="nil"/>
          <w:left w:val="nil"/>
          <w:bottom w:val="nil"/>
          <w:right w:val="nil"/>
          <w:between w:val="nil"/>
        </w:pBdr>
        <w:tabs>
          <w:tab w:val="left" w:pos="426"/>
        </w:tabs>
        <w:autoSpaceDE w:val="0"/>
        <w:autoSpaceDN w:val="0"/>
        <w:adjustRightInd w:val="0"/>
        <w:ind w:left="0"/>
        <w:contextualSpacing w:val="0"/>
        <w:jc w:val="both"/>
        <w:rPr>
          <w:rFonts w:ascii="TimesNewRomanPSMT" w:hAnsi="TimesNewRomanPSMT"/>
          <w:sz w:val="28"/>
          <w:szCs w:val="28"/>
        </w:rPr>
      </w:pPr>
    </w:p>
    <w:p w14:paraId="0FBECF5A" w14:textId="58A6666C" w:rsidR="00E337E2" w:rsidRPr="00554FD8" w:rsidRDefault="00AA02DB" w:rsidP="00460A97">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firstLine="0"/>
        <w:contextualSpacing w:val="0"/>
        <w:jc w:val="both"/>
        <w:rPr>
          <w:sz w:val="28"/>
          <w:szCs w:val="28"/>
        </w:rPr>
      </w:pPr>
      <w:r w:rsidRPr="00554FD8">
        <w:rPr>
          <w:rFonts w:ascii="TimesNewRomanPSMT" w:hAnsi="TimesNewRomanPSMT"/>
          <w:sz w:val="28"/>
          <w:szCs w:val="28"/>
        </w:rPr>
        <w:t xml:space="preserve">Asimismo, </w:t>
      </w:r>
      <w:r w:rsidR="008577FD" w:rsidRPr="00554FD8">
        <w:rPr>
          <w:rFonts w:ascii="TimesNewRomanPSMT" w:hAnsi="TimesNewRomanPSMT"/>
          <w:sz w:val="28"/>
          <w:szCs w:val="28"/>
        </w:rPr>
        <w:t>afirmó</w:t>
      </w:r>
      <w:r w:rsidRPr="00554FD8">
        <w:rPr>
          <w:rFonts w:ascii="TimesNewRomanPSMT" w:hAnsi="TimesNewRomanPSMT"/>
          <w:sz w:val="28"/>
          <w:szCs w:val="28"/>
        </w:rPr>
        <w:t xml:space="preserve"> que si bien los artículos fueron aprobados con las mayorías </w:t>
      </w:r>
      <w:r w:rsidR="006D5AB3">
        <w:rPr>
          <w:rFonts w:ascii="TimesNewRomanPSMT" w:hAnsi="TimesNewRomanPSMT"/>
          <w:sz w:val="28"/>
          <w:szCs w:val="28"/>
        </w:rPr>
        <w:t>requerid</w:t>
      </w:r>
      <w:r w:rsidR="006D5AB3" w:rsidRPr="00554FD8">
        <w:rPr>
          <w:rFonts w:ascii="TimesNewRomanPSMT" w:hAnsi="TimesNewRomanPSMT"/>
          <w:sz w:val="28"/>
          <w:szCs w:val="28"/>
        </w:rPr>
        <w:t>as</w:t>
      </w:r>
      <w:r w:rsidRPr="00554FD8">
        <w:rPr>
          <w:rFonts w:ascii="TimesNewRomanPSMT" w:hAnsi="TimesNewRomanPSMT"/>
          <w:sz w:val="28"/>
          <w:szCs w:val="28"/>
        </w:rPr>
        <w:t xml:space="preserve">, </w:t>
      </w:r>
      <w:r w:rsidR="008577FD" w:rsidRPr="00554FD8">
        <w:rPr>
          <w:rFonts w:ascii="TimesNewRomanPSMT" w:hAnsi="TimesNewRomanPSMT"/>
          <w:sz w:val="28"/>
          <w:szCs w:val="28"/>
        </w:rPr>
        <w:t>dicha situación</w:t>
      </w:r>
      <w:r w:rsidRPr="00554FD8">
        <w:rPr>
          <w:rFonts w:ascii="TimesNewRomanPSMT" w:hAnsi="TimesNewRomanPSMT"/>
          <w:sz w:val="28"/>
          <w:szCs w:val="28"/>
        </w:rPr>
        <w:t xml:space="preserve"> no da cuenta de la voluntad de los legisladores para la aprobación de una ley orgánica. En ese sentido, </w:t>
      </w:r>
      <w:r w:rsidR="0000707F" w:rsidRPr="00554FD8">
        <w:rPr>
          <w:rFonts w:ascii="TimesNewRomanPSMT" w:hAnsi="TimesNewRomanPSMT"/>
          <w:sz w:val="28"/>
          <w:szCs w:val="28"/>
        </w:rPr>
        <w:t xml:space="preserve">refirió que </w:t>
      </w:r>
      <w:r w:rsidRPr="00554FD8">
        <w:rPr>
          <w:rFonts w:ascii="TimesNewRomanPSMT" w:hAnsi="TimesNewRomanPSMT"/>
          <w:sz w:val="28"/>
          <w:szCs w:val="28"/>
        </w:rPr>
        <w:t xml:space="preserve">en sesión del 2 de mayo del 2023,  Gregorio Eljach Pacheco, </w:t>
      </w:r>
      <w:r w:rsidR="0000707F" w:rsidRPr="00554FD8">
        <w:rPr>
          <w:rFonts w:ascii="TimesNewRomanPSMT" w:hAnsi="TimesNewRomanPSMT"/>
          <w:sz w:val="28"/>
          <w:szCs w:val="28"/>
        </w:rPr>
        <w:t>entonces s</w:t>
      </w:r>
      <w:r w:rsidRPr="00554FD8">
        <w:rPr>
          <w:rFonts w:ascii="TimesNewRomanPSMT" w:hAnsi="TimesNewRomanPSMT"/>
          <w:sz w:val="28"/>
          <w:szCs w:val="28"/>
        </w:rPr>
        <w:t xml:space="preserve">ecretario </w:t>
      </w:r>
      <w:r w:rsidR="0000707F" w:rsidRPr="00554FD8">
        <w:rPr>
          <w:rFonts w:ascii="TimesNewRomanPSMT" w:hAnsi="TimesNewRomanPSMT"/>
          <w:sz w:val="28"/>
          <w:szCs w:val="28"/>
        </w:rPr>
        <w:t>g</w:t>
      </w:r>
      <w:r w:rsidRPr="00554FD8">
        <w:rPr>
          <w:rFonts w:ascii="TimesNewRomanPSMT" w:hAnsi="TimesNewRomanPSMT"/>
          <w:sz w:val="28"/>
          <w:szCs w:val="28"/>
        </w:rPr>
        <w:t>eneral del Senado</w:t>
      </w:r>
      <w:r w:rsidR="0000707F" w:rsidRPr="00554FD8">
        <w:rPr>
          <w:rFonts w:ascii="TimesNewRomanPSMT" w:hAnsi="TimesNewRomanPSMT"/>
          <w:sz w:val="28"/>
          <w:szCs w:val="28"/>
        </w:rPr>
        <w:t xml:space="preserve"> de la República</w:t>
      </w:r>
      <w:r w:rsidRPr="00554FD8">
        <w:rPr>
          <w:rFonts w:ascii="TimesNewRomanPSMT" w:hAnsi="TimesNewRomanPSMT"/>
          <w:sz w:val="28"/>
          <w:szCs w:val="28"/>
        </w:rPr>
        <w:t xml:space="preserve">, </w:t>
      </w:r>
      <w:r w:rsidR="0000707F" w:rsidRPr="00554FD8">
        <w:rPr>
          <w:rFonts w:ascii="TimesNewRomanPSMT" w:hAnsi="TimesNewRomanPSMT"/>
          <w:sz w:val="28"/>
          <w:szCs w:val="28"/>
        </w:rPr>
        <w:t>evidenció que el</w:t>
      </w:r>
      <w:r w:rsidRPr="00554FD8">
        <w:rPr>
          <w:rFonts w:ascii="TimesNewRomanPSMT" w:hAnsi="TimesNewRomanPSMT"/>
          <w:sz w:val="28"/>
          <w:szCs w:val="28"/>
        </w:rPr>
        <w:t xml:space="preserve"> PND </w:t>
      </w:r>
      <w:r w:rsidR="0000707F" w:rsidRPr="00554FD8">
        <w:rPr>
          <w:rFonts w:ascii="TimesNewRomanPSMT" w:hAnsi="TimesNewRomanPSMT"/>
          <w:sz w:val="28"/>
          <w:szCs w:val="28"/>
        </w:rPr>
        <w:t xml:space="preserve">modificaba </w:t>
      </w:r>
      <w:r w:rsidRPr="00554FD8">
        <w:rPr>
          <w:rFonts w:ascii="TimesNewRomanPSMT" w:hAnsi="TimesNewRomanPSMT"/>
          <w:sz w:val="28"/>
          <w:szCs w:val="28"/>
        </w:rPr>
        <w:t xml:space="preserve">otras leyes preexistentes de </w:t>
      </w:r>
      <w:r w:rsidR="0000707F" w:rsidRPr="00554FD8">
        <w:rPr>
          <w:rFonts w:ascii="TimesNewRomanPSMT" w:hAnsi="TimesNewRomanPSMT"/>
          <w:sz w:val="28"/>
          <w:szCs w:val="28"/>
        </w:rPr>
        <w:t>naturaleza orgánica</w:t>
      </w:r>
      <w:r w:rsidRPr="00554FD8">
        <w:rPr>
          <w:rFonts w:ascii="TimesNewRomanPSMT" w:hAnsi="TimesNewRomanPSMT"/>
          <w:sz w:val="28"/>
          <w:szCs w:val="28"/>
        </w:rPr>
        <w:t xml:space="preserve">. De la misma forma, </w:t>
      </w:r>
      <w:r w:rsidR="0000707F" w:rsidRPr="00554FD8">
        <w:rPr>
          <w:rFonts w:ascii="TimesNewRomanPSMT" w:hAnsi="TimesNewRomanPSMT"/>
          <w:sz w:val="28"/>
          <w:szCs w:val="28"/>
        </w:rPr>
        <w:t xml:space="preserve">en dicha sesión, </w:t>
      </w:r>
      <w:r w:rsidRPr="00554FD8">
        <w:rPr>
          <w:rFonts w:ascii="TimesNewRomanPSMT" w:hAnsi="TimesNewRomanPSMT"/>
          <w:sz w:val="28"/>
          <w:szCs w:val="28"/>
        </w:rPr>
        <w:t xml:space="preserve">el </w:t>
      </w:r>
      <w:r w:rsidR="0000707F" w:rsidRPr="00554FD8">
        <w:rPr>
          <w:rFonts w:ascii="TimesNewRomanPSMT" w:hAnsi="TimesNewRomanPSMT"/>
          <w:sz w:val="28"/>
          <w:szCs w:val="28"/>
        </w:rPr>
        <w:t>s</w:t>
      </w:r>
      <w:r w:rsidRPr="00554FD8">
        <w:rPr>
          <w:rFonts w:ascii="TimesNewRomanPSMT" w:hAnsi="TimesNewRomanPSMT"/>
          <w:sz w:val="28"/>
          <w:szCs w:val="28"/>
        </w:rPr>
        <w:t xml:space="preserve">enador John Jairo Roldán Avendaño hizo una mención concreta a los artículos que </w:t>
      </w:r>
      <w:r w:rsidR="0000707F" w:rsidRPr="00554FD8">
        <w:rPr>
          <w:rFonts w:ascii="TimesNewRomanPSMT" w:hAnsi="TimesNewRomanPSMT"/>
          <w:sz w:val="28"/>
          <w:szCs w:val="28"/>
        </w:rPr>
        <w:t xml:space="preserve">debían tramitarse de acuerdo a los requisitos de las leyes orgánicas </w:t>
      </w:r>
      <w:r w:rsidRPr="00554FD8">
        <w:rPr>
          <w:rFonts w:ascii="TimesNewRomanPSMT" w:hAnsi="TimesNewRomanPSMT"/>
          <w:sz w:val="28"/>
          <w:szCs w:val="28"/>
        </w:rPr>
        <w:t>y</w:t>
      </w:r>
      <w:r w:rsidR="0000707F" w:rsidRPr="00554FD8">
        <w:rPr>
          <w:rFonts w:ascii="TimesNewRomanPSMT" w:hAnsi="TimesNewRomanPSMT"/>
          <w:sz w:val="28"/>
          <w:szCs w:val="28"/>
        </w:rPr>
        <w:t>, entre estos,</w:t>
      </w:r>
      <w:r w:rsidRPr="00554FD8">
        <w:rPr>
          <w:rFonts w:ascii="TimesNewRomanPSMT" w:hAnsi="TimesNewRomanPSMT"/>
          <w:sz w:val="28"/>
          <w:szCs w:val="28"/>
        </w:rPr>
        <w:t xml:space="preserve"> no enunció los que son controvertidos en el presente caso. Además, afirmó que l</w:t>
      </w:r>
      <w:r w:rsidR="008D098F" w:rsidRPr="00554FD8">
        <w:rPr>
          <w:rFonts w:ascii="TimesNewRomanPSMT" w:hAnsi="TimesNewRomanPSMT"/>
          <w:sz w:val="28"/>
          <w:szCs w:val="28"/>
        </w:rPr>
        <w:t>as disposiciones demandadas</w:t>
      </w:r>
      <w:r w:rsidRPr="00554FD8">
        <w:rPr>
          <w:rFonts w:ascii="TimesNewRomanPSMT" w:hAnsi="TimesNewRomanPSMT"/>
          <w:sz w:val="28"/>
          <w:szCs w:val="28"/>
        </w:rPr>
        <w:t xml:space="preserve"> no fueron aprobad</w:t>
      </w:r>
      <w:r w:rsidR="008D098F" w:rsidRPr="00554FD8">
        <w:rPr>
          <w:rFonts w:ascii="TimesNewRomanPSMT" w:hAnsi="TimesNewRomanPSMT"/>
          <w:sz w:val="28"/>
          <w:szCs w:val="28"/>
        </w:rPr>
        <w:t>a</w:t>
      </w:r>
      <w:r w:rsidRPr="00554FD8">
        <w:rPr>
          <w:rFonts w:ascii="TimesNewRomanPSMT" w:hAnsi="TimesNewRomanPSMT"/>
          <w:sz w:val="28"/>
          <w:szCs w:val="28"/>
        </w:rPr>
        <w:t xml:space="preserve">s en esa sesión, sino en la del 3 de mayo, en la cual no se hizo ninguna mención a la voluntad de modificar una ley orgánica. El demandante también indicó que en el trámite ante la Cámara de Representantes no hubo mención por parte de los miembros de la mesa directiva o de los representantes sobre la aprobación de la modificación a una ley orgánica en la sesión del 4 de mayo de 2023, en la cual se aprobaron los artículos controvertidos. </w:t>
      </w:r>
    </w:p>
    <w:p w14:paraId="27B45ED8" w14:textId="77777777" w:rsidR="00083199" w:rsidRPr="00554FD8" w:rsidRDefault="00083199" w:rsidP="00083199">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rPr>
      </w:pPr>
    </w:p>
    <w:p w14:paraId="077619D2" w14:textId="6C9B4028" w:rsidR="001A5115" w:rsidRPr="003239AA" w:rsidRDefault="00E337E2" w:rsidP="003239AA">
      <w:pPr>
        <w:pStyle w:val="Ttulo1"/>
        <w:spacing w:before="0"/>
        <w:rPr>
          <w:rFonts w:ascii="Times New Roman" w:hAnsi="Times New Roman" w:cs="Times New Roman"/>
          <w:b/>
          <w:color w:val="auto"/>
          <w:sz w:val="28"/>
          <w:szCs w:val="28"/>
        </w:rPr>
      </w:pPr>
      <w:bookmarkStart w:id="5" w:name="_Toc230846359"/>
      <w:r w:rsidRPr="003239AA">
        <w:rPr>
          <w:rFonts w:ascii="Times New Roman" w:hAnsi="Times New Roman" w:cs="Times New Roman"/>
          <w:b/>
          <w:color w:val="auto"/>
          <w:sz w:val="28"/>
          <w:szCs w:val="28"/>
        </w:rPr>
        <w:t xml:space="preserve">IV. </w:t>
      </w:r>
      <w:r w:rsidR="001A5115" w:rsidRPr="003239AA">
        <w:rPr>
          <w:rFonts w:ascii="Times New Roman" w:hAnsi="Times New Roman" w:cs="Times New Roman"/>
          <w:b/>
          <w:color w:val="auto"/>
          <w:sz w:val="28"/>
          <w:szCs w:val="28"/>
        </w:rPr>
        <w:t>MATERIAL PROBATORIO</w:t>
      </w:r>
      <w:bookmarkEnd w:id="5"/>
      <w:r w:rsidR="001A5115" w:rsidRPr="003239AA">
        <w:rPr>
          <w:rFonts w:ascii="Times New Roman" w:hAnsi="Times New Roman" w:cs="Times New Roman"/>
          <w:b/>
          <w:color w:val="auto"/>
          <w:sz w:val="28"/>
          <w:szCs w:val="28"/>
        </w:rPr>
        <w:t xml:space="preserve"> </w:t>
      </w:r>
    </w:p>
    <w:p w14:paraId="3B7BB43D" w14:textId="5C73ACA1" w:rsidR="001A5115" w:rsidRPr="00554FD8" w:rsidRDefault="001A5115" w:rsidP="001C2D01">
      <w:pPr>
        <w:keepNext/>
        <w:widowControl w:val="0"/>
        <w:pBdr>
          <w:top w:val="nil"/>
          <w:left w:val="nil"/>
          <w:bottom w:val="nil"/>
          <w:right w:val="nil"/>
          <w:between w:val="nil"/>
        </w:pBdr>
        <w:tabs>
          <w:tab w:val="left" w:pos="284"/>
        </w:tabs>
        <w:jc w:val="both"/>
        <w:rPr>
          <w:b/>
          <w:sz w:val="28"/>
          <w:szCs w:val="28"/>
        </w:rPr>
      </w:pPr>
    </w:p>
    <w:p w14:paraId="5CB28A42" w14:textId="02B432A7" w:rsidR="001A5115" w:rsidRPr="00554FD8" w:rsidRDefault="008D098F"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sz w:val="28"/>
          <w:szCs w:val="28"/>
        </w:rPr>
        <w:t xml:space="preserve">En cumplimiento de lo ordenado </w:t>
      </w:r>
      <w:r w:rsidR="006D5AB3">
        <w:rPr>
          <w:sz w:val="28"/>
          <w:szCs w:val="28"/>
        </w:rPr>
        <w:t xml:space="preserve">por el magistrado ponente </w:t>
      </w:r>
      <w:r w:rsidRPr="00554FD8">
        <w:rPr>
          <w:sz w:val="28"/>
          <w:szCs w:val="28"/>
        </w:rPr>
        <w:t xml:space="preserve">en el Auto del 25 de febrero de 2025 </w:t>
      </w:r>
      <w:r w:rsidR="00C204D6" w:rsidRPr="00554FD8">
        <w:rPr>
          <w:sz w:val="28"/>
          <w:szCs w:val="28"/>
        </w:rPr>
        <w:t>se recibieron</w:t>
      </w:r>
      <w:r w:rsidRPr="00554FD8">
        <w:rPr>
          <w:sz w:val="28"/>
          <w:szCs w:val="28"/>
        </w:rPr>
        <w:t xml:space="preserve"> las respuestas que se identifican y reseñan a continuación</w:t>
      </w:r>
      <w:r w:rsidR="00A40316" w:rsidRPr="00554FD8">
        <w:rPr>
          <w:rStyle w:val="Refdenotaalpie"/>
          <w:sz w:val="28"/>
          <w:szCs w:val="28"/>
        </w:rPr>
        <w:footnoteReference w:id="26"/>
      </w:r>
      <w:r w:rsidRPr="00554FD8">
        <w:rPr>
          <w:sz w:val="28"/>
          <w:szCs w:val="28"/>
        </w:rPr>
        <w:t xml:space="preserve">: </w:t>
      </w:r>
    </w:p>
    <w:p w14:paraId="6FD34417" w14:textId="29AF1496" w:rsidR="008D098F" w:rsidRPr="00554FD8" w:rsidRDefault="008D098F" w:rsidP="008D098F">
      <w:pPr>
        <w:widowControl w:val="0"/>
        <w:pBdr>
          <w:top w:val="nil"/>
          <w:left w:val="nil"/>
          <w:bottom w:val="nil"/>
          <w:right w:val="nil"/>
          <w:between w:val="nil"/>
        </w:pBdr>
        <w:tabs>
          <w:tab w:val="left" w:pos="426"/>
        </w:tabs>
        <w:autoSpaceDE w:val="0"/>
        <w:autoSpaceDN w:val="0"/>
        <w:adjustRightInd w:val="0"/>
        <w:ind w:right="51"/>
        <w:jc w:val="both"/>
        <w:rPr>
          <w:sz w:val="28"/>
          <w:szCs w:val="28"/>
        </w:rPr>
      </w:pPr>
    </w:p>
    <w:p w14:paraId="3CB580F4" w14:textId="64A34266" w:rsidR="008D098F" w:rsidRPr="00554FD8" w:rsidRDefault="008D098F" w:rsidP="008D098F">
      <w:pPr>
        <w:widowControl w:val="0"/>
        <w:pBdr>
          <w:top w:val="nil"/>
          <w:left w:val="nil"/>
          <w:bottom w:val="nil"/>
          <w:right w:val="nil"/>
          <w:between w:val="nil"/>
        </w:pBdr>
        <w:tabs>
          <w:tab w:val="left" w:pos="426"/>
        </w:tabs>
        <w:autoSpaceDE w:val="0"/>
        <w:autoSpaceDN w:val="0"/>
        <w:adjustRightInd w:val="0"/>
        <w:ind w:right="51"/>
        <w:jc w:val="center"/>
        <w:rPr>
          <w:i/>
          <w:sz w:val="20"/>
          <w:szCs w:val="20"/>
        </w:rPr>
      </w:pPr>
      <w:r w:rsidRPr="00554FD8">
        <w:rPr>
          <w:sz w:val="20"/>
          <w:szCs w:val="20"/>
        </w:rPr>
        <w:t xml:space="preserve">Tabla </w:t>
      </w:r>
      <w:r w:rsidR="00B64630" w:rsidRPr="00554FD8">
        <w:rPr>
          <w:sz w:val="20"/>
          <w:szCs w:val="20"/>
        </w:rPr>
        <w:t>1</w:t>
      </w:r>
      <w:r w:rsidRPr="00554FD8">
        <w:rPr>
          <w:sz w:val="20"/>
          <w:szCs w:val="20"/>
        </w:rPr>
        <w:t xml:space="preserve">. </w:t>
      </w:r>
      <w:r w:rsidRPr="00554FD8">
        <w:rPr>
          <w:i/>
          <w:sz w:val="20"/>
          <w:szCs w:val="20"/>
        </w:rPr>
        <w:t>Material probatorio</w:t>
      </w:r>
    </w:p>
    <w:tbl>
      <w:tblPr>
        <w:tblStyle w:val="Tablaconcuadrcula"/>
        <w:tblW w:w="5000" w:type="pct"/>
        <w:jc w:val="center"/>
        <w:tblLook w:val="04A0" w:firstRow="1" w:lastRow="0" w:firstColumn="1" w:lastColumn="0" w:noHBand="0" w:noVBand="1"/>
      </w:tblPr>
      <w:tblGrid>
        <w:gridCol w:w="1557"/>
        <w:gridCol w:w="7271"/>
      </w:tblGrid>
      <w:tr w:rsidR="00F25669" w:rsidRPr="00554FD8" w14:paraId="7FA441E7" w14:textId="77777777" w:rsidTr="00BA77A1">
        <w:trPr>
          <w:trHeight w:val="261"/>
          <w:jc w:val="center"/>
        </w:trPr>
        <w:tc>
          <w:tcPr>
            <w:tcW w:w="881" w:type="pct"/>
            <w:shd w:val="clear" w:color="auto" w:fill="B8CCE4" w:themeFill="accent1" w:themeFillTint="66"/>
          </w:tcPr>
          <w:p w14:paraId="717DE18D" w14:textId="17A509A0" w:rsidR="008D098F" w:rsidRPr="00554FD8" w:rsidRDefault="008D098F" w:rsidP="00EB6E10">
            <w:pPr>
              <w:pStyle w:val="Prrafodelista"/>
              <w:tabs>
                <w:tab w:val="left" w:pos="567"/>
              </w:tabs>
              <w:spacing w:line="240" w:lineRule="atLeast"/>
              <w:ind w:left="0"/>
              <w:jc w:val="center"/>
              <w:rPr>
                <w:b/>
                <w:bCs/>
                <w:sz w:val="20"/>
                <w:szCs w:val="20"/>
              </w:rPr>
            </w:pPr>
            <w:r w:rsidRPr="00554FD8">
              <w:rPr>
                <w:b/>
                <w:bCs/>
                <w:sz w:val="20"/>
                <w:szCs w:val="20"/>
              </w:rPr>
              <w:t xml:space="preserve">Entidad </w:t>
            </w:r>
          </w:p>
        </w:tc>
        <w:tc>
          <w:tcPr>
            <w:tcW w:w="4119" w:type="pct"/>
            <w:shd w:val="clear" w:color="auto" w:fill="B8CCE4" w:themeFill="accent1" w:themeFillTint="66"/>
          </w:tcPr>
          <w:p w14:paraId="70B234E6" w14:textId="74422C6C" w:rsidR="008D098F" w:rsidRPr="00554FD8" w:rsidRDefault="008D098F" w:rsidP="00EB6E10">
            <w:pPr>
              <w:pStyle w:val="Prrafodelista"/>
              <w:tabs>
                <w:tab w:val="left" w:pos="567"/>
              </w:tabs>
              <w:spacing w:line="240" w:lineRule="atLeast"/>
              <w:ind w:left="0"/>
              <w:jc w:val="center"/>
              <w:rPr>
                <w:b/>
                <w:bCs/>
                <w:sz w:val="20"/>
                <w:szCs w:val="20"/>
              </w:rPr>
            </w:pPr>
            <w:r w:rsidRPr="00554FD8">
              <w:rPr>
                <w:b/>
                <w:bCs/>
                <w:sz w:val="20"/>
                <w:szCs w:val="20"/>
              </w:rPr>
              <w:t>Respuesta</w:t>
            </w:r>
          </w:p>
        </w:tc>
      </w:tr>
      <w:tr w:rsidR="001F7DED" w:rsidRPr="00554FD8" w14:paraId="294AFC91" w14:textId="77777777" w:rsidTr="00BA77A1">
        <w:trPr>
          <w:trHeight w:val="261"/>
          <w:jc w:val="center"/>
        </w:trPr>
        <w:tc>
          <w:tcPr>
            <w:tcW w:w="881" w:type="pct"/>
            <w:shd w:val="clear" w:color="auto" w:fill="B8CCE4" w:themeFill="accent1" w:themeFillTint="66"/>
          </w:tcPr>
          <w:p w14:paraId="2F885B83" w14:textId="3CC8162D" w:rsidR="001F7DED" w:rsidRPr="00554FD8" w:rsidRDefault="001F7DED" w:rsidP="00EB6E10">
            <w:pPr>
              <w:pStyle w:val="Prrafodelista"/>
              <w:tabs>
                <w:tab w:val="left" w:pos="567"/>
              </w:tabs>
              <w:spacing w:line="240" w:lineRule="atLeast"/>
              <w:ind w:left="0"/>
              <w:jc w:val="center"/>
              <w:rPr>
                <w:sz w:val="20"/>
                <w:szCs w:val="20"/>
              </w:rPr>
            </w:pPr>
            <w:r w:rsidRPr="00554FD8">
              <w:rPr>
                <w:sz w:val="20"/>
                <w:szCs w:val="20"/>
              </w:rPr>
              <w:t>Departamento Nacional de Planeación  y Departamento Administrativo de la Presidencia de la República</w:t>
            </w:r>
            <w:r w:rsidRPr="00554FD8">
              <w:rPr>
                <w:rStyle w:val="Refdenotaalpie"/>
                <w:sz w:val="20"/>
                <w:szCs w:val="20"/>
              </w:rPr>
              <w:footnoteReference w:id="27"/>
            </w:r>
          </w:p>
        </w:tc>
        <w:tc>
          <w:tcPr>
            <w:tcW w:w="4119" w:type="pct"/>
          </w:tcPr>
          <w:p w14:paraId="29C7794E" w14:textId="3122F03C" w:rsidR="005974A2" w:rsidRPr="00554FD8" w:rsidRDefault="005974A2" w:rsidP="005974A2">
            <w:pPr>
              <w:snapToGrid w:val="0"/>
              <w:jc w:val="both"/>
              <w:rPr>
                <w:sz w:val="20"/>
                <w:szCs w:val="20"/>
                <w:u w:color="000000"/>
              </w:rPr>
            </w:pPr>
            <w:r w:rsidRPr="00554FD8">
              <w:rPr>
                <w:sz w:val="20"/>
                <w:szCs w:val="20"/>
                <w:u w:color="000000"/>
              </w:rPr>
              <w:t xml:space="preserve">En primer lugar, se refirieron al contenido del PND, a las </w:t>
            </w:r>
            <w:r w:rsidR="00A21C73">
              <w:rPr>
                <w:sz w:val="20"/>
                <w:szCs w:val="20"/>
                <w:u w:color="000000"/>
              </w:rPr>
              <w:t>B</w:t>
            </w:r>
            <w:r w:rsidRPr="00554FD8">
              <w:rPr>
                <w:sz w:val="20"/>
                <w:szCs w:val="20"/>
                <w:u w:color="000000"/>
              </w:rPr>
              <w:t xml:space="preserve">ases del mismo y a las disposiciones instrumentales que se dirigen a asegurar </w:t>
            </w:r>
            <w:r w:rsidR="00E75789" w:rsidRPr="00554FD8">
              <w:rPr>
                <w:sz w:val="20"/>
                <w:szCs w:val="20"/>
                <w:u w:color="000000"/>
              </w:rPr>
              <w:t xml:space="preserve">su </w:t>
            </w:r>
            <w:r w:rsidRPr="00554FD8">
              <w:rPr>
                <w:sz w:val="20"/>
                <w:szCs w:val="20"/>
                <w:u w:color="000000"/>
              </w:rPr>
              <w:t xml:space="preserve">efectiva implementación. </w:t>
            </w:r>
          </w:p>
          <w:p w14:paraId="289D8D68" w14:textId="77777777" w:rsidR="005974A2" w:rsidRPr="00554FD8" w:rsidRDefault="005974A2" w:rsidP="00EB6E10">
            <w:pPr>
              <w:snapToGrid w:val="0"/>
              <w:jc w:val="both"/>
              <w:rPr>
                <w:sz w:val="20"/>
                <w:szCs w:val="20"/>
                <w:u w:color="000000"/>
              </w:rPr>
            </w:pPr>
          </w:p>
          <w:p w14:paraId="50FA84E8" w14:textId="0BA11BF6" w:rsidR="001F7DED" w:rsidRPr="00554FD8" w:rsidRDefault="005974A2" w:rsidP="00EB6E10">
            <w:pPr>
              <w:snapToGrid w:val="0"/>
              <w:jc w:val="both"/>
              <w:rPr>
                <w:sz w:val="20"/>
                <w:szCs w:val="20"/>
                <w:u w:color="000000"/>
              </w:rPr>
            </w:pPr>
            <w:r w:rsidRPr="00554FD8">
              <w:rPr>
                <w:sz w:val="20"/>
                <w:szCs w:val="20"/>
                <w:u w:color="000000"/>
              </w:rPr>
              <w:t xml:space="preserve">En segundo lugar, señalaron que </w:t>
            </w:r>
            <w:r w:rsidR="00076078" w:rsidRPr="00554FD8">
              <w:rPr>
                <w:sz w:val="20"/>
                <w:szCs w:val="20"/>
                <w:u w:color="000000"/>
              </w:rPr>
              <w:t xml:space="preserve">los artículos 336 y 337 de la Ley </w:t>
            </w:r>
            <w:r w:rsidRPr="00554FD8">
              <w:rPr>
                <w:sz w:val="20"/>
                <w:szCs w:val="20"/>
                <w:u w:color="000000"/>
              </w:rPr>
              <w:t xml:space="preserve">2294 de 2023 se relacionan con el eje de transformación n.° 5 denominado “Convergencia Regional”. En efecto, argumentaron que: </w:t>
            </w:r>
          </w:p>
          <w:p w14:paraId="1E184FC3" w14:textId="25B89C52" w:rsidR="005974A2" w:rsidRPr="00554FD8" w:rsidRDefault="005974A2" w:rsidP="005974A2">
            <w:pPr>
              <w:snapToGrid w:val="0"/>
              <w:ind w:left="357"/>
              <w:jc w:val="both"/>
              <w:rPr>
                <w:sz w:val="20"/>
                <w:szCs w:val="20"/>
                <w:u w:color="000000"/>
              </w:rPr>
            </w:pPr>
          </w:p>
          <w:p w14:paraId="388368B5" w14:textId="1A32153C" w:rsidR="005974A2" w:rsidRPr="00554FD8" w:rsidRDefault="005974A2" w:rsidP="003503DE">
            <w:pPr>
              <w:autoSpaceDE w:val="0"/>
              <w:autoSpaceDN w:val="0"/>
              <w:adjustRightInd w:val="0"/>
              <w:ind w:left="170" w:right="170"/>
              <w:jc w:val="both"/>
              <w:rPr>
                <w:sz w:val="20"/>
                <w:szCs w:val="20"/>
                <w:lang w:val="es-ES_tradnl" w:eastAsia="es-CO"/>
              </w:rPr>
            </w:pPr>
            <w:r w:rsidRPr="00554FD8">
              <w:rPr>
                <w:sz w:val="20"/>
                <w:szCs w:val="20"/>
                <w:lang w:val="es-ES_tradnl" w:eastAsia="es-CO"/>
              </w:rPr>
              <w:t xml:space="preserve">“el eje de transformación número cinco sobre convergencia regional, el cual se define como </w:t>
            </w:r>
            <w:r w:rsidRPr="00554FD8">
              <w:rPr>
                <w:iCs/>
                <w:sz w:val="20"/>
                <w:szCs w:val="20"/>
                <w:lang w:val="es-ES_tradnl" w:eastAsia="es-CO"/>
              </w:rPr>
              <w:t>“</w:t>
            </w:r>
            <w:r w:rsidR="00351032" w:rsidRPr="00554FD8">
              <w:rPr>
                <w:iCs/>
                <w:sz w:val="20"/>
                <w:szCs w:val="20"/>
                <w:lang w:val="es-ES_tradnl" w:eastAsia="es-CO"/>
              </w:rPr>
              <w:t>[</w:t>
            </w:r>
            <w:r w:rsidRPr="00554FD8">
              <w:rPr>
                <w:iCs/>
                <w:sz w:val="20"/>
                <w:szCs w:val="20"/>
                <w:lang w:val="es-ES_tradnl" w:eastAsia="es-CO"/>
              </w:rPr>
              <w:t>...</w:t>
            </w:r>
            <w:r w:rsidR="00351032" w:rsidRPr="00554FD8">
              <w:rPr>
                <w:iCs/>
                <w:sz w:val="20"/>
                <w:szCs w:val="20"/>
                <w:lang w:val="es-ES_tradnl" w:eastAsia="es-CO"/>
              </w:rPr>
              <w:t>]</w:t>
            </w:r>
            <w:r w:rsidRPr="00554FD8">
              <w:rPr>
                <w:iCs/>
                <w:sz w:val="20"/>
                <w:szCs w:val="20"/>
                <w:lang w:val="es-ES_tradnl" w:eastAsia="es-CO"/>
              </w:rPr>
              <w:t xml:space="preserve"> el proceso de reducción de brechas sociales y económicas entre hogares y regiones en el país, que se logra al garantizar un acceso adecuado a oportunidades, bienes y servicios. Para garantizar esta convergencia, es necesario </w:t>
            </w:r>
            <w:r w:rsidR="00351032" w:rsidRPr="00554FD8">
              <w:rPr>
                <w:iCs/>
                <w:sz w:val="20"/>
                <w:szCs w:val="20"/>
                <w:lang w:val="es-ES_tradnl" w:eastAsia="es-CO"/>
              </w:rPr>
              <w:t>[</w:t>
            </w:r>
            <w:r w:rsidRPr="00554FD8">
              <w:rPr>
                <w:iCs/>
                <w:sz w:val="20"/>
                <w:szCs w:val="20"/>
                <w:lang w:val="es-ES_tradnl" w:eastAsia="es-CO"/>
              </w:rPr>
              <w:t>…</w:t>
            </w:r>
            <w:r w:rsidR="00351032" w:rsidRPr="00554FD8">
              <w:rPr>
                <w:iCs/>
                <w:sz w:val="20"/>
                <w:szCs w:val="20"/>
                <w:lang w:val="es-ES_tradnl" w:eastAsia="es-CO"/>
              </w:rPr>
              <w:t>]</w:t>
            </w:r>
            <w:r w:rsidRPr="00554FD8">
              <w:rPr>
                <w:iCs/>
                <w:sz w:val="20"/>
                <w:szCs w:val="20"/>
                <w:lang w:val="es-ES_tradnl" w:eastAsia="es-CO"/>
              </w:rPr>
              <w:t xml:space="preserve"> transformar las instituciones y la gestión de lo público, poniendo al ciudadano en el centro de su accionar y construyendo un relacionamiento estrecho, mediado por la confianza, entre las comunidades y entre éstas y las instituciones, para responder de manera acertada a sus necesidades </w:t>
            </w:r>
            <w:r w:rsidR="00351032" w:rsidRPr="00554FD8">
              <w:rPr>
                <w:iCs/>
                <w:sz w:val="20"/>
                <w:szCs w:val="20"/>
                <w:lang w:val="es-ES_tradnl" w:eastAsia="es-CO"/>
              </w:rPr>
              <w:t>[</w:t>
            </w:r>
            <w:r w:rsidRPr="00554FD8">
              <w:rPr>
                <w:iCs/>
                <w:sz w:val="20"/>
                <w:szCs w:val="20"/>
                <w:lang w:val="es-ES_tradnl" w:eastAsia="es-CO"/>
              </w:rPr>
              <w:t>...</w:t>
            </w:r>
            <w:r w:rsidR="00351032" w:rsidRPr="00554FD8">
              <w:rPr>
                <w:iCs/>
                <w:sz w:val="20"/>
                <w:szCs w:val="20"/>
                <w:lang w:val="es-ES_tradnl" w:eastAsia="es-CO"/>
              </w:rPr>
              <w:t>]</w:t>
            </w:r>
            <w:r w:rsidRPr="00554FD8">
              <w:rPr>
                <w:iCs/>
                <w:sz w:val="20"/>
                <w:szCs w:val="20"/>
                <w:lang w:val="es-ES_tradnl" w:eastAsia="es-CO"/>
              </w:rPr>
              <w:t xml:space="preserve">”, </w:t>
            </w:r>
            <w:r w:rsidRPr="00554FD8">
              <w:rPr>
                <w:sz w:val="20"/>
                <w:szCs w:val="20"/>
                <w:lang w:val="es-ES_tradnl" w:eastAsia="es-CO"/>
              </w:rPr>
              <w:t xml:space="preserve">guarda conexidad directa entre las disposiciones demandadas y las </w:t>
            </w:r>
            <w:r w:rsidR="00A21C73">
              <w:rPr>
                <w:sz w:val="20"/>
                <w:szCs w:val="20"/>
                <w:lang w:val="es-ES_tradnl" w:eastAsia="es-CO"/>
              </w:rPr>
              <w:t>[B]</w:t>
            </w:r>
            <w:r w:rsidRPr="00554FD8">
              <w:rPr>
                <w:sz w:val="20"/>
                <w:szCs w:val="20"/>
                <w:lang w:val="es-ES_tradnl" w:eastAsia="es-CO"/>
              </w:rPr>
              <w:t xml:space="preserve">ases del </w:t>
            </w:r>
            <w:r w:rsidR="00351032" w:rsidRPr="00554FD8">
              <w:rPr>
                <w:sz w:val="20"/>
                <w:szCs w:val="20"/>
                <w:lang w:val="es-ES_tradnl" w:eastAsia="es-CO"/>
              </w:rPr>
              <w:t>[p]</w:t>
            </w:r>
            <w:r w:rsidRPr="00554FD8">
              <w:rPr>
                <w:sz w:val="20"/>
                <w:szCs w:val="20"/>
                <w:lang w:val="es-ES_tradnl" w:eastAsia="es-CO"/>
              </w:rPr>
              <w:t xml:space="preserve">lan. </w:t>
            </w:r>
          </w:p>
          <w:p w14:paraId="5FF6422B" w14:textId="77777777" w:rsidR="002D5EAC" w:rsidRPr="00554FD8" w:rsidRDefault="002D5EAC" w:rsidP="003503DE">
            <w:pPr>
              <w:autoSpaceDE w:val="0"/>
              <w:autoSpaceDN w:val="0"/>
              <w:adjustRightInd w:val="0"/>
              <w:ind w:left="170" w:right="170"/>
              <w:jc w:val="both"/>
              <w:rPr>
                <w:sz w:val="20"/>
                <w:szCs w:val="20"/>
                <w:lang w:val="es-ES_tradnl" w:eastAsia="es-CO"/>
              </w:rPr>
            </w:pPr>
          </w:p>
          <w:p w14:paraId="3651BD46" w14:textId="13E91939" w:rsidR="005974A2" w:rsidRPr="00554FD8" w:rsidRDefault="005974A2" w:rsidP="003503DE">
            <w:pPr>
              <w:snapToGrid w:val="0"/>
              <w:ind w:left="170" w:right="170"/>
              <w:jc w:val="both"/>
              <w:rPr>
                <w:sz w:val="20"/>
                <w:szCs w:val="20"/>
                <w:u w:color="000000"/>
              </w:rPr>
            </w:pPr>
            <w:r w:rsidRPr="00554FD8">
              <w:rPr>
                <w:sz w:val="20"/>
                <w:szCs w:val="20"/>
                <w:lang w:val="es-ES_tradnl" w:eastAsia="es-CO"/>
              </w:rPr>
              <w:t xml:space="preserve">En suma, dentro del eje de transformación de Convergencia Regional, se encuentran los catalizadores sobre el </w:t>
            </w:r>
            <w:r w:rsidRPr="00554FD8">
              <w:rPr>
                <w:iCs/>
                <w:sz w:val="20"/>
                <w:szCs w:val="20"/>
                <w:lang w:val="es-ES_tradnl" w:eastAsia="es-CO"/>
              </w:rPr>
              <w:t xml:space="preserve">“5. Fortalecimiento institucional como motor de cambio” </w:t>
            </w:r>
            <w:r w:rsidRPr="00554FD8">
              <w:rPr>
                <w:sz w:val="20"/>
                <w:szCs w:val="20"/>
                <w:lang w:val="es-ES_tradnl" w:eastAsia="es-CO"/>
              </w:rPr>
              <w:t xml:space="preserve">y los </w:t>
            </w:r>
            <w:r w:rsidRPr="00554FD8">
              <w:rPr>
                <w:iCs/>
                <w:sz w:val="20"/>
                <w:szCs w:val="20"/>
                <w:lang w:val="es-ES_tradnl" w:eastAsia="es-CO"/>
              </w:rPr>
              <w:t>“6. Dispositivos democráticos de participación”</w:t>
            </w:r>
            <w:r w:rsidRPr="00554FD8">
              <w:rPr>
                <w:sz w:val="20"/>
                <w:szCs w:val="20"/>
                <w:lang w:val="es-ES_tradnl" w:eastAsia="es-CO"/>
              </w:rPr>
              <w:t>, los cuales tienen el propósito de realizar ajustes institucionales que permitan al estado involucrar a la ciudadanía con el fin de satisfacer sus necesidades”</w:t>
            </w:r>
            <w:r w:rsidR="00B44978" w:rsidRPr="00554FD8">
              <w:rPr>
                <w:rStyle w:val="Refdenotaalpie"/>
                <w:sz w:val="20"/>
                <w:szCs w:val="20"/>
              </w:rPr>
              <w:t xml:space="preserve"> </w:t>
            </w:r>
            <w:r w:rsidR="00B44978" w:rsidRPr="00554FD8">
              <w:rPr>
                <w:rStyle w:val="Refdenotaalpie"/>
                <w:sz w:val="20"/>
                <w:szCs w:val="20"/>
              </w:rPr>
              <w:footnoteReference w:id="28"/>
            </w:r>
            <w:r w:rsidRPr="00554FD8">
              <w:rPr>
                <w:sz w:val="20"/>
                <w:szCs w:val="20"/>
                <w:lang w:val="es-ES_tradnl" w:eastAsia="es-CO"/>
              </w:rPr>
              <w:t>.</w:t>
            </w:r>
          </w:p>
          <w:p w14:paraId="138F8310" w14:textId="77777777" w:rsidR="005974A2" w:rsidRPr="00554FD8" w:rsidRDefault="005974A2" w:rsidP="00EB6E10">
            <w:pPr>
              <w:snapToGrid w:val="0"/>
              <w:jc w:val="both"/>
              <w:rPr>
                <w:sz w:val="20"/>
                <w:szCs w:val="20"/>
                <w:u w:color="000000"/>
              </w:rPr>
            </w:pPr>
          </w:p>
          <w:p w14:paraId="5A0F0214" w14:textId="3EBA5AAC" w:rsidR="005974A2" w:rsidRPr="00554FD8" w:rsidRDefault="002D5EAC" w:rsidP="00EB6E10">
            <w:pPr>
              <w:snapToGrid w:val="0"/>
              <w:jc w:val="both"/>
              <w:rPr>
                <w:sz w:val="20"/>
                <w:szCs w:val="20"/>
                <w:lang w:val="es-ES_tradnl" w:eastAsia="es-CO"/>
              </w:rPr>
            </w:pPr>
            <w:r w:rsidRPr="00554FD8">
              <w:rPr>
                <w:sz w:val="20"/>
                <w:szCs w:val="20"/>
                <w:u w:color="000000"/>
              </w:rPr>
              <w:t>En tercer lugar, indicaron que las normas demandadas también guardan conexidad directa con el eje transversal denominado “Estabilidad Macroeconómica”</w:t>
            </w:r>
            <w:r w:rsidR="00251F78" w:rsidRPr="00554FD8">
              <w:rPr>
                <w:sz w:val="20"/>
                <w:szCs w:val="20"/>
                <w:u w:color="000000"/>
              </w:rPr>
              <w:t>, p</w:t>
            </w:r>
            <w:r w:rsidRPr="00554FD8">
              <w:rPr>
                <w:sz w:val="20"/>
                <w:szCs w:val="20"/>
                <w:u w:color="000000"/>
              </w:rPr>
              <w:t>ues este tiene el objetivo de “definir un conjunto de apuestas en materia económica para garantizar la disponibilidad de los recursos públicos que permitirán financiar las transformaciones”</w:t>
            </w:r>
            <w:r w:rsidR="00B44978" w:rsidRPr="00554FD8">
              <w:rPr>
                <w:rStyle w:val="Refdenotaalpie"/>
                <w:sz w:val="20"/>
                <w:szCs w:val="20"/>
              </w:rPr>
              <w:t xml:space="preserve"> </w:t>
            </w:r>
            <w:r w:rsidR="00B44978" w:rsidRPr="00554FD8">
              <w:rPr>
                <w:rStyle w:val="Refdenotaalpie"/>
                <w:sz w:val="20"/>
                <w:szCs w:val="20"/>
              </w:rPr>
              <w:footnoteReference w:id="29"/>
            </w:r>
            <w:r w:rsidRPr="00554FD8">
              <w:rPr>
                <w:sz w:val="20"/>
                <w:szCs w:val="20"/>
                <w:u w:color="000000"/>
              </w:rPr>
              <w:t xml:space="preserve">. En efecto, aseguraron que dicha relación se acredita porque “al garantizar la autonomía financiera y operativa del Consejo Nacional Electoral se </w:t>
            </w:r>
            <w:r w:rsidRPr="00554FD8">
              <w:rPr>
                <w:sz w:val="20"/>
                <w:szCs w:val="20"/>
                <w:lang w:val="es-ES_tradnl" w:eastAsia="es-CO"/>
              </w:rPr>
              <w:t>contribuye a la eficiencia y transparencia en la administración de los recursos públicos, asegurando una mayor estabilidad en la planeación del gasto electoral, constituyéndose como una norma instrumental que permiten la materialización del fortalecimiento democrático e institucional”</w:t>
            </w:r>
            <w:r w:rsidR="00B44978" w:rsidRPr="00554FD8">
              <w:rPr>
                <w:rStyle w:val="Refdenotaalpie"/>
                <w:sz w:val="20"/>
                <w:szCs w:val="20"/>
              </w:rPr>
              <w:footnoteReference w:id="30"/>
            </w:r>
            <w:r w:rsidRPr="00554FD8">
              <w:rPr>
                <w:sz w:val="20"/>
                <w:szCs w:val="20"/>
                <w:lang w:val="es-ES_tradnl" w:eastAsia="es-CO"/>
              </w:rPr>
              <w:t xml:space="preserve">. Esto último, por las siguientes razones: </w:t>
            </w:r>
          </w:p>
          <w:p w14:paraId="138A5621" w14:textId="77777777" w:rsidR="002D5EAC" w:rsidRPr="00554FD8" w:rsidRDefault="002D5EAC" w:rsidP="00EB6E10">
            <w:pPr>
              <w:snapToGrid w:val="0"/>
              <w:jc w:val="both"/>
              <w:rPr>
                <w:sz w:val="20"/>
                <w:szCs w:val="20"/>
                <w:u w:color="000000"/>
              </w:rPr>
            </w:pPr>
          </w:p>
          <w:p w14:paraId="7DD184EE" w14:textId="452E29EF" w:rsidR="002D5EAC" w:rsidRPr="00554FD8" w:rsidRDefault="002D5EAC" w:rsidP="00EB6E10">
            <w:pPr>
              <w:snapToGrid w:val="0"/>
              <w:jc w:val="both"/>
              <w:rPr>
                <w:sz w:val="20"/>
                <w:szCs w:val="20"/>
                <w:u w:color="000000"/>
              </w:rPr>
            </w:pPr>
            <w:r w:rsidRPr="00554FD8">
              <w:rPr>
                <w:sz w:val="20"/>
                <w:szCs w:val="20"/>
                <w:u w:color="000000"/>
              </w:rPr>
              <w:t>(i) Asegura que el CNE tenga independencia institucional y presupuestal, lo que, a su vez, consolida y fortalece la institucionalidad</w:t>
            </w:r>
            <w:r w:rsidR="00756314" w:rsidRPr="00554FD8">
              <w:rPr>
                <w:sz w:val="20"/>
                <w:szCs w:val="20"/>
                <w:u w:color="000000"/>
              </w:rPr>
              <w:t xml:space="preserve"> y</w:t>
            </w:r>
            <w:r w:rsidRPr="00554FD8">
              <w:rPr>
                <w:sz w:val="20"/>
                <w:szCs w:val="20"/>
                <w:u w:color="000000"/>
              </w:rPr>
              <w:t xml:space="preserve"> </w:t>
            </w:r>
            <w:r w:rsidR="00756314" w:rsidRPr="00554FD8">
              <w:rPr>
                <w:sz w:val="20"/>
                <w:szCs w:val="20"/>
                <w:u w:color="000000"/>
              </w:rPr>
              <w:t xml:space="preserve">el sistema político y electoral y </w:t>
            </w:r>
            <w:r w:rsidRPr="00554FD8">
              <w:rPr>
                <w:sz w:val="20"/>
                <w:szCs w:val="20"/>
                <w:u w:color="000000"/>
              </w:rPr>
              <w:t xml:space="preserve">garantiza su capacidad de autogestión y de administración eficiente de los recursos públicos. </w:t>
            </w:r>
          </w:p>
          <w:p w14:paraId="65F086FD" w14:textId="77777777" w:rsidR="002D5EAC" w:rsidRPr="00554FD8" w:rsidRDefault="002D5EAC" w:rsidP="00EB6E10">
            <w:pPr>
              <w:snapToGrid w:val="0"/>
              <w:jc w:val="both"/>
              <w:rPr>
                <w:sz w:val="20"/>
                <w:szCs w:val="20"/>
                <w:u w:color="000000"/>
              </w:rPr>
            </w:pPr>
          </w:p>
          <w:p w14:paraId="773BF549" w14:textId="77777777" w:rsidR="002D5EAC" w:rsidRPr="00554FD8" w:rsidRDefault="002D5EAC" w:rsidP="00EB6E10">
            <w:pPr>
              <w:snapToGrid w:val="0"/>
              <w:jc w:val="both"/>
              <w:rPr>
                <w:sz w:val="20"/>
                <w:szCs w:val="20"/>
                <w:u w:color="000000"/>
              </w:rPr>
            </w:pPr>
            <w:r w:rsidRPr="00554FD8">
              <w:rPr>
                <w:sz w:val="20"/>
                <w:szCs w:val="20"/>
                <w:u w:color="000000"/>
              </w:rPr>
              <w:t xml:space="preserve">(ii) La separación presupuestal del CNE de la sección asignada a la RNEC tiene el fin de garantizar la trazabilidad de los recursos destinados a procesos electorales a efectos de proteger la transparencia y la sostenibilidad. Lo anterior, en aras de evitar la discrecionalidad y asegurar la estabilidad macroeconómica. </w:t>
            </w:r>
          </w:p>
          <w:p w14:paraId="2D890DCB" w14:textId="77777777" w:rsidR="002D5EAC" w:rsidRPr="00554FD8" w:rsidRDefault="002D5EAC" w:rsidP="00EB6E10">
            <w:pPr>
              <w:snapToGrid w:val="0"/>
              <w:jc w:val="both"/>
              <w:rPr>
                <w:sz w:val="20"/>
                <w:szCs w:val="20"/>
                <w:u w:color="000000"/>
              </w:rPr>
            </w:pPr>
          </w:p>
          <w:p w14:paraId="60EF7751" w14:textId="77777777" w:rsidR="00756314" w:rsidRPr="00554FD8" w:rsidRDefault="00756314" w:rsidP="00EB6E10">
            <w:pPr>
              <w:snapToGrid w:val="0"/>
              <w:jc w:val="both"/>
              <w:rPr>
                <w:sz w:val="20"/>
                <w:szCs w:val="20"/>
                <w:u w:color="000000"/>
              </w:rPr>
            </w:pPr>
            <w:r w:rsidRPr="00554FD8">
              <w:rPr>
                <w:sz w:val="20"/>
                <w:szCs w:val="20"/>
                <w:u w:color="000000"/>
              </w:rPr>
              <w:t>(iii) Dicha independencia presupuestal del CNE cumple con las recomendaciones emitidas por órganos internacionales y de la sociedad civil.</w:t>
            </w:r>
          </w:p>
          <w:p w14:paraId="5CA32BD1" w14:textId="77777777" w:rsidR="00756314" w:rsidRPr="00554FD8" w:rsidRDefault="00756314" w:rsidP="00EB6E10">
            <w:pPr>
              <w:snapToGrid w:val="0"/>
              <w:jc w:val="both"/>
              <w:rPr>
                <w:sz w:val="20"/>
                <w:szCs w:val="20"/>
                <w:u w:color="000000"/>
              </w:rPr>
            </w:pPr>
          </w:p>
          <w:p w14:paraId="336D8918" w14:textId="4C859CF5" w:rsidR="00756314" w:rsidRPr="00554FD8" w:rsidRDefault="00756314" w:rsidP="00EB6E10">
            <w:pPr>
              <w:snapToGrid w:val="0"/>
              <w:jc w:val="both"/>
              <w:rPr>
                <w:iCs/>
                <w:sz w:val="20"/>
                <w:szCs w:val="20"/>
                <w:lang w:val="es-ES_tradnl" w:eastAsia="es-CO"/>
              </w:rPr>
            </w:pPr>
            <w:r w:rsidRPr="00554FD8">
              <w:rPr>
                <w:sz w:val="20"/>
                <w:szCs w:val="20"/>
                <w:u w:color="000000"/>
              </w:rPr>
              <w:t>Con fundamento en lo anterior, concluyeron que “</w:t>
            </w:r>
            <w:r w:rsidRPr="00554FD8">
              <w:rPr>
                <w:sz w:val="20"/>
                <w:szCs w:val="20"/>
                <w:lang w:val="es-ES_tradnl" w:eastAsia="es-CO"/>
              </w:rPr>
              <w:t xml:space="preserve">se logra evidenciar que las disposiciones demandadas se </w:t>
            </w:r>
            <w:r w:rsidRPr="00554FD8">
              <w:rPr>
                <w:iCs/>
                <w:sz w:val="20"/>
                <w:szCs w:val="20"/>
                <w:lang w:val="es-ES_tradnl" w:eastAsia="es-CO"/>
              </w:rPr>
              <w:t xml:space="preserve">reflejan como aquellas medidas instrumentales (presupuestales y normativas) destinadas a garantizar la efectiva y eficiente realización del Plan de Desarrollo, guardando conexidad directa con las normas que establecen los programas y proyectos contemplados en la parte general del </w:t>
            </w:r>
            <w:r w:rsidR="00351032" w:rsidRPr="00554FD8">
              <w:rPr>
                <w:iCs/>
                <w:sz w:val="20"/>
                <w:szCs w:val="20"/>
                <w:lang w:val="es-ES_tradnl" w:eastAsia="es-CO"/>
              </w:rPr>
              <w:t>[p]</w:t>
            </w:r>
            <w:r w:rsidRPr="00554FD8">
              <w:rPr>
                <w:iCs/>
                <w:sz w:val="20"/>
                <w:szCs w:val="20"/>
                <w:lang w:val="es-ES_tradnl" w:eastAsia="es-CO"/>
              </w:rPr>
              <w:t>lan y con aquellas que especifican los recursos para su ejecución”</w:t>
            </w:r>
            <w:r w:rsidR="00B44978" w:rsidRPr="00554FD8">
              <w:rPr>
                <w:rStyle w:val="Refdenotaalpie"/>
                <w:sz w:val="20"/>
                <w:szCs w:val="20"/>
              </w:rPr>
              <w:footnoteReference w:id="31"/>
            </w:r>
            <w:r w:rsidRPr="00554FD8">
              <w:rPr>
                <w:iCs/>
                <w:sz w:val="20"/>
                <w:szCs w:val="20"/>
                <w:lang w:val="es-ES_tradnl" w:eastAsia="es-CO"/>
              </w:rPr>
              <w:t>.</w:t>
            </w:r>
          </w:p>
          <w:p w14:paraId="52F18B60" w14:textId="77777777" w:rsidR="00756314" w:rsidRPr="00554FD8" w:rsidRDefault="00756314" w:rsidP="00EB6E10">
            <w:pPr>
              <w:snapToGrid w:val="0"/>
              <w:jc w:val="both"/>
              <w:rPr>
                <w:iCs/>
                <w:sz w:val="20"/>
                <w:szCs w:val="20"/>
                <w:lang w:val="es-ES_tradnl" w:eastAsia="es-CO"/>
              </w:rPr>
            </w:pPr>
          </w:p>
          <w:p w14:paraId="3E91A41A" w14:textId="3A7A0EC3" w:rsidR="002D5EAC" w:rsidRPr="00554FD8" w:rsidRDefault="00756314" w:rsidP="00EB6E10">
            <w:pPr>
              <w:snapToGrid w:val="0"/>
              <w:jc w:val="both"/>
              <w:rPr>
                <w:iCs/>
                <w:sz w:val="20"/>
                <w:szCs w:val="20"/>
                <w:lang w:val="es-ES_tradnl" w:eastAsia="es-CO"/>
              </w:rPr>
            </w:pPr>
            <w:r w:rsidRPr="00554FD8">
              <w:rPr>
                <w:iCs/>
                <w:sz w:val="20"/>
                <w:szCs w:val="20"/>
                <w:lang w:val="es-ES_tradnl" w:eastAsia="es-CO"/>
              </w:rPr>
              <w:t xml:space="preserve">Finalmente, se refirieron a la aplicabilidad del principio de unidad de materia a las leyes aprobatorias del plan nacional de desarrollo, al tener en cuenta que se trata de una normativa heterogénea y multitemática. Al respecto, afirmaron que, conforme con la jurisprudencia constitucional: </w:t>
            </w:r>
          </w:p>
          <w:p w14:paraId="77952142" w14:textId="77777777" w:rsidR="00756314" w:rsidRPr="00554FD8" w:rsidRDefault="00756314" w:rsidP="00EB6E10">
            <w:pPr>
              <w:snapToGrid w:val="0"/>
              <w:jc w:val="both"/>
              <w:rPr>
                <w:iCs/>
                <w:sz w:val="20"/>
                <w:szCs w:val="20"/>
                <w:lang w:val="es-ES_tradnl" w:eastAsia="es-CO"/>
              </w:rPr>
            </w:pPr>
          </w:p>
          <w:p w14:paraId="1D2B82F0" w14:textId="7CACB33E" w:rsidR="00756314" w:rsidRPr="00554FD8" w:rsidRDefault="00756314" w:rsidP="003503DE">
            <w:pPr>
              <w:snapToGrid w:val="0"/>
              <w:ind w:left="170" w:right="170"/>
              <w:jc w:val="both"/>
              <w:rPr>
                <w:sz w:val="20"/>
                <w:szCs w:val="20"/>
                <w:u w:color="000000"/>
              </w:rPr>
            </w:pPr>
            <w:r w:rsidRPr="00554FD8">
              <w:rPr>
                <w:sz w:val="20"/>
                <w:szCs w:val="20"/>
              </w:rPr>
              <w:t xml:space="preserve">“La ley aprobatoria del plan exige una conexión teleológica, directa e inmediata entre los objetivos, ejes, metas y estrategias de la parte general del plan y las normas </w:t>
            </w:r>
            <w:r w:rsidRPr="00554FD8">
              <w:rPr>
                <w:sz w:val="20"/>
                <w:szCs w:val="20"/>
                <w:lang w:val="es-ES_tradnl" w:eastAsia="es-CO"/>
              </w:rPr>
              <w:t>que constituyen los instrumentos para su ejecución y que buscan su efectiva materialización, siendo necesario que el cumplimiento de las normas instrumentales lleve inequívocamente a la realización de las metas generales del plan”</w:t>
            </w:r>
            <w:r w:rsidR="00B44978" w:rsidRPr="00554FD8">
              <w:rPr>
                <w:rStyle w:val="Refdenotaalpie"/>
                <w:sz w:val="20"/>
                <w:szCs w:val="20"/>
              </w:rPr>
              <w:t xml:space="preserve"> </w:t>
            </w:r>
            <w:r w:rsidR="00B44978" w:rsidRPr="00554FD8">
              <w:rPr>
                <w:rStyle w:val="Refdenotaalpie"/>
                <w:sz w:val="20"/>
                <w:szCs w:val="20"/>
              </w:rPr>
              <w:footnoteReference w:id="32"/>
            </w:r>
            <w:r w:rsidRPr="00554FD8">
              <w:rPr>
                <w:sz w:val="20"/>
                <w:szCs w:val="20"/>
                <w:lang w:val="es-ES_tradnl" w:eastAsia="es-CO"/>
              </w:rPr>
              <w:t>.</w:t>
            </w:r>
          </w:p>
        </w:tc>
      </w:tr>
      <w:tr w:rsidR="00F25669" w:rsidRPr="00554FD8" w14:paraId="36423B93" w14:textId="77777777" w:rsidTr="00BA77A1">
        <w:trPr>
          <w:trHeight w:val="261"/>
          <w:jc w:val="center"/>
        </w:trPr>
        <w:tc>
          <w:tcPr>
            <w:tcW w:w="881" w:type="pct"/>
            <w:shd w:val="clear" w:color="auto" w:fill="B8CCE4" w:themeFill="accent1" w:themeFillTint="66"/>
          </w:tcPr>
          <w:p w14:paraId="6FE55247" w14:textId="7F18BAB7" w:rsidR="008D098F" w:rsidRPr="00554FD8" w:rsidRDefault="001F17D3" w:rsidP="00393E45">
            <w:pPr>
              <w:pStyle w:val="Prrafodelista"/>
              <w:tabs>
                <w:tab w:val="left" w:pos="567"/>
              </w:tabs>
              <w:spacing w:line="240" w:lineRule="atLeast"/>
              <w:ind w:left="0"/>
              <w:jc w:val="center"/>
              <w:rPr>
                <w:bCs/>
                <w:sz w:val="20"/>
                <w:szCs w:val="20"/>
              </w:rPr>
            </w:pPr>
            <w:r w:rsidRPr="00554FD8">
              <w:rPr>
                <w:bCs/>
                <w:sz w:val="20"/>
                <w:szCs w:val="20"/>
              </w:rPr>
              <w:t>Ministerio de Hacienda y Crédito Público</w:t>
            </w:r>
            <w:r w:rsidRPr="00554FD8">
              <w:rPr>
                <w:rStyle w:val="Refdenotaalpie"/>
                <w:bCs/>
                <w:sz w:val="20"/>
                <w:szCs w:val="20"/>
              </w:rPr>
              <w:footnoteReference w:id="33"/>
            </w:r>
          </w:p>
        </w:tc>
        <w:tc>
          <w:tcPr>
            <w:tcW w:w="4119" w:type="pct"/>
          </w:tcPr>
          <w:p w14:paraId="0E8B2B32" w14:textId="0E355C11" w:rsidR="008D098F" w:rsidRPr="00554FD8" w:rsidRDefault="009C06CC" w:rsidP="00EB6E10">
            <w:pPr>
              <w:pStyle w:val="Prrafodelista"/>
              <w:tabs>
                <w:tab w:val="left" w:pos="567"/>
              </w:tabs>
              <w:spacing w:line="240" w:lineRule="atLeast"/>
              <w:ind w:left="0"/>
              <w:jc w:val="both"/>
              <w:rPr>
                <w:bCs/>
                <w:sz w:val="20"/>
                <w:szCs w:val="20"/>
              </w:rPr>
            </w:pPr>
            <w:r w:rsidRPr="00554FD8">
              <w:rPr>
                <w:bCs/>
                <w:sz w:val="20"/>
                <w:szCs w:val="20"/>
              </w:rPr>
              <w:t>En primer lugar, i</w:t>
            </w:r>
            <w:r w:rsidR="001F17D3" w:rsidRPr="00554FD8">
              <w:rPr>
                <w:bCs/>
                <w:sz w:val="20"/>
                <w:szCs w:val="20"/>
              </w:rPr>
              <w:t>ndicó que, con fundamento en los artículos 3° y 4° del PND,</w:t>
            </w:r>
            <w:r w:rsidR="00D6542E" w:rsidRPr="00554FD8">
              <w:rPr>
                <w:bCs/>
                <w:sz w:val="20"/>
                <w:szCs w:val="20"/>
              </w:rPr>
              <w:t xml:space="preserve"> así como </w:t>
            </w:r>
            <w:r w:rsidR="00251F78" w:rsidRPr="00554FD8">
              <w:rPr>
                <w:bCs/>
                <w:sz w:val="20"/>
                <w:szCs w:val="20"/>
              </w:rPr>
              <w:t xml:space="preserve">conforme </w:t>
            </w:r>
            <w:r w:rsidR="00D6542E" w:rsidRPr="00554FD8">
              <w:rPr>
                <w:bCs/>
                <w:sz w:val="20"/>
                <w:szCs w:val="20"/>
              </w:rPr>
              <w:t>lo</w:t>
            </w:r>
            <w:r w:rsidR="008F59DC" w:rsidRPr="00554FD8">
              <w:rPr>
                <w:bCs/>
                <w:sz w:val="20"/>
                <w:szCs w:val="20"/>
              </w:rPr>
              <w:t xml:space="preserve"> señalado por el Departamento Nacional de Planeación – DNP en la exposición de motivos de la norma, los apartes acusados de los artículos 336 y 337 del PND tienen una relación de conexidad directa e inmediata con el eje de transformación de la “</w:t>
            </w:r>
            <w:r w:rsidR="00D67444" w:rsidRPr="00554FD8">
              <w:rPr>
                <w:bCs/>
                <w:sz w:val="20"/>
                <w:szCs w:val="20"/>
              </w:rPr>
              <w:t>C</w:t>
            </w:r>
            <w:r w:rsidR="008F59DC" w:rsidRPr="00554FD8">
              <w:rPr>
                <w:bCs/>
                <w:sz w:val="20"/>
                <w:szCs w:val="20"/>
              </w:rPr>
              <w:t xml:space="preserve">onvergencia </w:t>
            </w:r>
            <w:r w:rsidR="00D67444" w:rsidRPr="00554FD8">
              <w:rPr>
                <w:bCs/>
                <w:sz w:val="20"/>
                <w:szCs w:val="20"/>
              </w:rPr>
              <w:t>R</w:t>
            </w:r>
            <w:r w:rsidR="008F59DC" w:rsidRPr="00554FD8">
              <w:rPr>
                <w:bCs/>
                <w:sz w:val="20"/>
                <w:szCs w:val="20"/>
              </w:rPr>
              <w:t>egional” y con el eje transversal de la “</w:t>
            </w:r>
            <w:r w:rsidR="00D67444" w:rsidRPr="00554FD8">
              <w:rPr>
                <w:bCs/>
                <w:sz w:val="20"/>
                <w:szCs w:val="20"/>
              </w:rPr>
              <w:t>E</w:t>
            </w:r>
            <w:r w:rsidR="008F59DC" w:rsidRPr="00554FD8">
              <w:rPr>
                <w:bCs/>
                <w:sz w:val="20"/>
                <w:szCs w:val="20"/>
              </w:rPr>
              <w:t xml:space="preserve">stabilidad </w:t>
            </w:r>
            <w:r w:rsidR="00D67444" w:rsidRPr="00554FD8">
              <w:rPr>
                <w:bCs/>
                <w:sz w:val="20"/>
                <w:szCs w:val="20"/>
              </w:rPr>
              <w:t>M</w:t>
            </w:r>
            <w:r w:rsidR="008F59DC" w:rsidRPr="00554FD8">
              <w:rPr>
                <w:bCs/>
                <w:sz w:val="20"/>
                <w:szCs w:val="20"/>
              </w:rPr>
              <w:t xml:space="preserve">acroeconómica”. </w:t>
            </w:r>
          </w:p>
          <w:p w14:paraId="2E0A492B" w14:textId="77777777" w:rsidR="008F59DC" w:rsidRPr="00554FD8" w:rsidRDefault="008F59DC" w:rsidP="00EB6E10">
            <w:pPr>
              <w:pStyle w:val="Prrafodelista"/>
              <w:tabs>
                <w:tab w:val="left" w:pos="567"/>
              </w:tabs>
              <w:spacing w:line="240" w:lineRule="atLeast"/>
              <w:ind w:left="0"/>
              <w:jc w:val="both"/>
              <w:rPr>
                <w:bCs/>
                <w:sz w:val="20"/>
                <w:szCs w:val="20"/>
              </w:rPr>
            </w:pPr>
          </w:p>
          <w:p w14:paraId="61CFC873" w14:textId="5F90BEEB" w:rsidR="008F59DC" w:rsidRPr="00554FD8" w:rsidRDefault="008F59DC" w:rsidP="00EB6E10">
            <w:pPr>
              <w:pStyle w:val="Prrafodelista"/>
              <w:tabs>
                <w:tab w:val="left" w:pos="567"/>
              </w:tabs>
              <w:spacing w:line="240" w:lineRule="atLeast"/>
              <w:ind w:left="0"/>
              <w:jc w:val="both"/>
              <w:rPr>
                <w:bCs/>
                <w:sz w:val="20"/>
                <w:szCs w:val="20"/>
              </w:rPr>
            </w:pPr>
            <w:r w:rsidRPr="00554FD8">
              <w:rPr>
                <w:bCs/>
                <w:i/>
                <w:sz w:val="20"/>
                <w:szCs w:val="20"/>
              </w:rPr>
              <w:t xml:space="preserve">Sobre el eje de </w:t>
            </w:r>
            <w:r w:rsidR="00D67444" w:rsidRPr="00554FD8">
              <w:rPr>
                <w:bCs/>
                <w:i/>
                <w:sz w:val="20"/>
                <w:szCs w:val="20"/>
              </w:rPr>
              <w:t>“C</w:t>
            </w:r>
            <w:r w:rsidRPr="00554FD8">
              <w:rPr>
                <w:bCs/>
                <w:i/>
                <w:sz w:val="20"/>
                <w:szCs w:val="20"/>
              </w:rPr>
              <w:t xml:space="preserve">onvergencia </w:t>
            </w:r>
            <w:r w:rsidR="00D67444" w:rsidRPr="00554FD8">
              <w:rPr>
                <w:bCs/>
                <w:i/>
                <w:sz w:val="20"/>
                <w:szCs w:val="20"/>
              </w:rPr>
              <w:t>R</w:t>
            </w:r>
            <w:r w:rsidRPr="00554FD8">
              <w:rPr>
                <w:bCs/>
                <w:i/>
                <w:sz w:val="20"/>
                <w:szCs w:val="20"/>
              </w:rPr>
              <w:t>egional</w:t>
            </w:r>
            <w:r w:rsidR="00D67444" w:rsidRPr="00554FD8">
              <w:rPr>
                <w:bCs/>
                <w:i/>
                <w:sz w:val="20"/>
                <w:szCs w:val="20"/>
              </w:rPr>
              <w:t>”</w:t>
            </w:r>
            <w:r w:rsidRPr="00554FD8">
              <w:rPr>
                <w:bCs/>
                <w:sz w:val="20"/>
                <w:szCs w:val="20"/>
              </w:rPr>
              <w:t xml:space="preserve">. </w:t>
            </w:r>
            <w:r w:rsidR="00A42171" w:rsidRPr="00554FD8">
              <w:rPr>
                <w:bCs/>
                <w:sz w:val="20"/>
                <w:szCs w:val="20"/>
              </w:rPr>
              <w:t>Refirió</w:t>
            </w:r>
            <w:r w:rsidRPr="00554FD8">
              <w:rPr>
                <w:bCs/>
                <w:sz w:val="20"/>
                <w:szCs w:val="20"/>
              </w:rPr>
              <w:t xml:space="preserve"> que en este objetivo se planteó la necesidad de transformar las instituciones y la gestión de lo público, a través de marcos regulatorios consistentes. En consecuencia, en las </w:t>
            </w:r>
            <w:r w:rsidR="00A21C73">
              <w:rPr>
                <w:bCs/>
                <w:sz w:val="20"/>
                <w:szCs w:val="20"/>
              </w:rPr>
              <w:t>B</w:t>
            </w:r>
            <w:r w:rsidRPr="00554FD8">
              <w:rPr>
                <w:bCs/>
                <w:sz w:val="20"/>
                <w:szCs w:val="20"/>
              </w:rPr>
              <w:t xml:space="preserve">ases del PND se plantearon como fines el fortalecimiento institucional y la modernización de las instituciones del orden nacional a través de un modelo de gobernanza descentralizada. Esto último, con el fin de promover la transformación de marcos normativos y asegurar que la gestión de los recursos sea eficiente y transparente. </w:t>
            </w:r>
          </w:p>
          <w:p w14:paraId="59AE0908" w14:textId="77777777" w:rsidR="008F59DC" w:rsidRPr="00554FD8" w:rsidRDefault="008F59DC" w:rsidP="00EB6E10">
            <w:pPr>
              <w:pStyle w:val="Prrafodelista"/>
              <w:tabs>
                <w:tab w:val="left" w:pos="567"/>
              </w:tabs>
              <w:spacing w:line="240" w:lineRule="atLeast"/>
              <w:ind w:left="0"/>
              <w:jc w:val="both"/>
              <w:rPr>
                <w:bCs/>
                <w:sz w:val="20"/>
                <w:szCs w:val="20"/>
              </w:rPr>
            </w:pPr>
          </w:p>
          <w:p w14:paraId="3DB987F4" w14:textId="77777777" w:rsidR="008F59DC" w:rsidRPr="00554FD8" w:rsidRDefault="008F59DC" w:rsidP="00EB6E10">
            <w:pPr>
              <w:pStyle w:val="Prrafodelista"/>
              <w:tabs>
                <w:tab w:val="left" w:pos="567"/>
              </w:tabs>
              <w:spacing w:line="240" w:lineRule="atLeast"/>
              <w:ind w:left="0"/>
              <w:jc w:val="both"/>
              <w:rPr>
                <w:bCs/>
                <w:sz w:val="20"/>
                <w:szCs w:val="20"/>
              </w:rPr>
            </w:pPr>
            <w:r w:rsidRPr="00554FD8">
              <w:rPr>
                <w:bCs/>
                <w:sz w:val="20"/>
                <w:szCs w:val="20"/>
              </w:rPr>
              <w:t>Asimismo, señaló que la relación de conexidad con este eje se justifica en el hecho de que, “con el fin de generar convergencia regional y social, se trabajarían algunos habilitadores como la participación ciudadana para garantizar procesos electorales y fortalecer la democracia representativa, así como para darle un verdadero valor y reconocimiento a la democracia participativa”</w:t>
            </w:r>
            <w:r w:rsidRPr="00554FD8">
              <w:rPr>
                <w:rStyle w:val="Refdenotaalpie"/>
                <w:bCs/>
                <w:sz w:val="20"/>
                <w:szCs w:val="20"/>
              </w:rPr>
              <w:footnoteReference w:id="34"/>
            </w:r>
            <w:r w:rsidRPr="00554FD8">
              <w:rPr>
                <w:bCs/>
                <w:sz w:val="20"/>
                <w:szCs w:val="20"/>
              </w:rPr>
              <w:t xml:space="preserve">. Lo anterior, con el objetivo de generar vínculos Nación – territorio e instituciones – ciudadanía, a través de catalizadores como los dispositivos democráticos de participación política y electoral. </w:t>
            </w:r>
          </w:p>
          <w:p w14:paraId="7A1941DF" w14:textId="77777777" w:rsidR="00A42171" w:rsidRPr="00554FD8" w:rsidRDefault="00A42171" w:rsidP="00EB6E10">
            <w:pPr>
              <w:pStyle w:val="Prrafodelista"/>
              <w:tabs>
                <w:tab w:val="left" w:pos="567"/>
              </w:tabs>
              <w:spacing w:line="240" w:lineRule="atLeast"/>
              <w:ind w:left="0"/>
              <w:jc w:val="both"/>
              <w:rPr>
                <w:bCs/>
                <w:sz w:val="20"/>
                <w:szCs w:val="20"/>
              </w:rPr>
            </w:pPr>
          </w:p>
          <w:p w14:paraId="2B4A7297" w14:textId="49B66DD8" w:rsidR="00A42171" w:rsidRPr="00554FD8" w:rsidRDefault="00A42171" w:rsidP="00EB6E10">
            <w:pPr>
              <w:pStyle w:val="Prrafodelista"/>
              <w:tabs>
                <w:tab w:val="left" w:pos="567"/>
              </w:tabs>
              <w:spacing w:line="240" w:lineRule="atLeast"/>
              <w:ind w:left="0"/>
              <w:jc w:val="both"/>
              <w:rPr>
                <w:rFonts w:ascii="AppleSystemUIFont" w:hAnsi="AppleSystemUIFont" w:cs="AppleSystemUIFont"/>
                <w:sz w:val="20"/>
                <w:szCs w:val="20"/>
                <w:lang w:val="es-ES_tradnl" w:eastAsia="es-CO"/>
              </w:rPr>
            </w:pPr>
            <w:r w:rsidRPr="00554FD8">
              <w:rPr>
                <w:bCs/>
                <w:sz w:val="20"/>
                <w:szCs w:val="20"/>
              </w:rPr>
              <w:t xml:space="preserve">Al respecto, precisó que en las </w:t>
            </w:r>
            <w:r w:rsidR="00A21C73">
              <w:rPr>
                <w:bCs/>
                <w:sz w:val="20"/>
                <w:szCs w:val="20"/>
              </w:rPr>
              <w:t>B</w:t>
            </w:r>
            <w:r w:rsidRPr="00554FD8">
              <w:rPr>
                <w:bCs/>
                <w:sz w:val="20"/>
                <w:szCs w:val="20"/>
              </w:rPr>
              <w:t xml:space="preserve">ases del PND se señaló que: </w:t>
            </w:r>
            <w:r w:rsidRPr="00554FD8">
              <w:rPr>
                <w:sz w:val="20"/>
                <w:szCs w:val="20"/>
                <w:lang w:val="es-ES_tradnl" w:eastAsia="es-CO"/>
              </w:rPr>
              <w:t>“[t]ambién se robustecerá el sistema político y electoral del país. Además, el Consejo Nacional Electoral conservará su autonomía administrativa y presupuestal, así como las facultades administrativas que le corresponden para el cumplimiento de sus funciones consagradas en el artículo 265 de la Constitución Política”</w:t>
            </w:r>
            <w:r w:rsidRPr="00554FD8">
              <w:rPr>
                <w:rStyle w:val="Refdenotaalpie"/>
                <w:sz w:val="20"/>
                <w:szCs w:val="20"/>
                <w:lang w:val="es-ES_tradnl" w:eastAsia="es-CO"/>
              </w:rPr>
              <w:footnoteReference w:id="35"/>
            </w:r>
            <w:r w:rsidRPr="00554FD8">
              <w:rPr>
                <w:sz w:val="20"/>
                <w:szCs w:val="20"/>
                <w:lang w:val="es-ES_tradnl" w:eastAsia="es-CO"/>
              </w:rPr>
              <w:t>.</w:t>
            </w:r>
            <w:r w:rsidRPr="00554FD8">
              <w:rPr>
                <w:rFonts w:ascii="AppleSystemUIFont" w:hAnsi="AppleSystemUIFont" w:cs="AppleSystemUIFont"/>
                <w:sz w:val="20"/>
                <w:szCs w:val="20"/>
                <w:lang w:val="es-ES_tradnl" w:eastAsia="es-CO"/>
              </w:rPr>
              <w:t xml:space="preserve"> </w:t>
            </w:r>
          </w:p>
          <w:p w14:paraId="3CF25044" w14:textId="77777777" w:rsidR="00A42171" w:rsidRPr="00554FD8" w:rsidRDefault="00A42171" w:rsidP="00EB6E10">
            <w:pPr>
              <w:pStyle w:val="Prrafodelista"/>
              <w:tabs>
                <w:tab w:val="left" w:pos="567"/>
              </w:tabs>
              <w:spacing w:line="240" w:lineRule="atLeast"/>
              <w:ind w:left="0"/>
              <w:jc w:val="both"/>
              <w:rPr>
                <w:bCs/>
                <w:sz w:val="20"/>
                <w:szCs w:val="20"/>
              </w:rPr>
            </w:pPr>
          </w:p>
          <w:p w14:paraId="4B4336FB" w14:textId="259AF6EC" w:rsidR="00A42171" w:rsidRPr="00554FD8" w:rsidRDefault="00A42171" w:rsidP="00EB6E10">
            <w:pPr>
              <w:pStyle w:val="Prrafodelista"/>
              <w:tabs>
                <w:tab w:val="left" w:pos="567"/>
              </w:tabs>
              <w:spacing w:line="240" w:lineRule="atLeast"/>
              <w:ind w:left="0"/>
              <w:jc w:val="both"/>
              <w:rPr>
                <w:bCs/>
                <w:sz w:val="20"/>
                <w:szCs w:val="20"/>
              </w:rPr>
            </w:pPr>
            <w:r w:rsidRPr="00554FD8">
              <w:rPr>
                <w:bCs/>
                <w:i/>
                <w:sz w:val="20"/>
                <w:szCs w:val="20"/>
              </w:rPr>
              <w:t xml:space="preserve">Sobre el eje de </w:t>
            </w:r>
            <w:r w:rsidR="00D67444" w:rsidRPr="00554FD8">
              <w:rPr>
                <w:bCs/>
                <w:i/>
                <w:sz w:val="20"/>
                <w:szCs w:val="20"/>
              </w:rPr>
              <w:t>“E</w:t>
            </w:r>
            <w:r w:rsidRPr="00554FD8">
              <w:rPr>
                <w:bCs/>
                <w:i/>
                <w:sz w:val="20"/>
                <w:szCs w:val="20"/>
              </w:rPr>
              <w:t xml:space="preserve">stabilidad </w:t>
            </w:r>
            <w:r w:rsidR="00D67444" w:rsidRPr="00554FD8">
              <w:rPr>
                <w:bCs/>
                <w:i/>
                <w:sz w:val="20"/>
                <w:szCs w:val="20"/>
              </w:rPr>
              <w:t>M</w:t>
            </w:r>
            <w:r w:rsidRPr="00554FD8">
              <w:rPr>
                <w:bCs/>
                <w:i/>
                <w:sz w:val="20"/>
                <w:szCs w:val="20"/>
              </w:rPr>
              <w:t>acroeconómic</w:t>
            </w:r>
            <w:r w:rsidR="00D67444" w:rsidRPr="00554FD8">
              <w:rPr>
                <w:bCs/>
                <w:i/>
                <w:sz w:val="20"/>
                <w:szCs w:val="20"/>
              </w:rPr>
              <w:t>a”</w:t>
            </w:r>
            <w:r w:rsidRPr="00554FD8">
              <w:rPr>
                <w:bCs/>
                <w:sz w:val="20"/>
                <w:szCs w:val="20"/>
              </w:rPr>
              <w:t xml:space="preserve">. </w:t>
            </w:r>
            <w:r w:rsidR="00055057" w:rsidRPr="00554FD8">
              <w:rPr>
                <w:bCs/>
                <w:sz w:val="20"/>
                <w:szCs w:val="20"/>
              </w:rPr>
              <w:t xml:space="preserve">Indicó que este eje </w:t>
            </w:r>
            <w:r w:rsidR="009C06CC" w:rsidRPr="00554FD8">
              <w:rPr>
                <w:bCs/>
                <w:sz w:val="20"/>
                <w:szCs w:val="20"/>
              </w:rPr>
              <w:t xml:space="preserve">transversal tiene el fin de adoptar medidas en materia económica que garanticen la disponibilidad de los recursos que permitan financiar las transformaciones propuestas. </w:t>
            </w:r>
          </w:p>
          <w:p w14:paraId="7AB61897" w14:textId="77777777" w:rsidR="009C06CC" w:rsidRPr="00554FD8" w:rsidRDefault="009C06CC" w:rsidP="00EB6E10">
            <w:pPr>
              <w:pStyle w:val="Prrafodelista"/>
              <w:tabs>
                <w:tab w:val="left" w:pos="567"/>
              </w:tabs>
              <w:spacing w:line="240" w:lineRule="atLeast"/>
              <w:ind w:left="0"/>
              <w:jc w:val="both"/>
              <w:rPr>
                <w:bCs/>
                <w:sz w:val="20"/>
                <w:szCs w:val="20"/>
              </w:rPr>
            </w:pPr>
          </w:p>
          <w:p w14:paraId="2D2B3B02" w14:textId="6F1FACC5" w:rsidR="009C06CC" w:rsidRPr="00554FD8" w:rsidRDefault="009C06CC" w:rsidP="009C06CC">
            <w:pPr>
              <w:pStyle w:val="Prrafodelista"/>
              <w:tabs>
                <w:tab w:val="left" w:pos="567"/>
              </w:tabs>
              <w:spacing w:line="240" w:lineRule="atLeast"/>
              <w:ind w:left="0"/>
              <w:jc w:val="both"/>
              <w:rPr>
                <w:sz w:val="20"/>
                <w:szCs w:val="20"/>
                <w:lang w:val="es-ES_tradnl" w:eastAsia="es-CO"/>
              </w:rPr>
            </w:pPr>
            <w:r w:rsidRPr="00554FD8">
              <w:rPr>
                <w:bCs/>
                <w:sz w:val="20"/>
                <w:szCs w:val="20"/>
              </w:rPr>
              <w:t>En cuanto a la relación de las normas bajo examen con este objetivo, señaló que “[a]</w:t>
            </w:r>
            <w:r w:rsidRPr="00554FD8">
              <w:rPr>
                <w:sz w:val="20"/>
                <w:szCs w:val="20"/>
                <w:lang w:val="es-ES_tradnl" w:eastAsia="es-CO"/>
              </w:rPr>
              <w:t xml:space="preserve">quella finalidad está vinculada con las disposiciones objeto de control, pues al garantizar la autonomía financiera y operativa del Consejo Nacional Electoral se contribuye a la eficiencia y transparencia en la administración de los recursos públicos, asegurando una mayor estabilidad en la planeación del gasto electoral. Así, las disposiciones acusadas se constituyen como normas instrumentales que permiten la materialización del fortalecimiento democrático e institucional”. Lo anterior, porque: </w:t>
            </w:r>
          </w:p>
          <w:p w14:paraId="3FAC55B0" w14:textId="099B63A6"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Garantizan que el CNE sea independiente institucional y presupuestalmente, para asegurar su fortalecimiento, capacidad de autogestión y administración eficiente de los recursos. </w:t>
            </w:r>
          </w:p>
          <w:p w14:paraId="294A8A2F" w14:textId="77777777" w:rsidR="00B6079E" w:rsidRPr="00554FD8" w:rsidRDefault="00B6079E" w:rsidP="00B6079E">
            <w:pPr>
              <w:pStyle w:val="Prrafodelista"/>
              <w:tabs>
                <w:tab w:val="left" w:pos="567"/>
              </w:tabs>
              <w:spacing w:line="240" w:lineRule="atLeast"/>
              <w:ind w:left="360"/>
              <w:jc w:val="both"/>
              <w:rPr>
                <w:sz w:val="20"/>
                <w:szCs w:val="20"/>
                <w:lang w:val="es-ES_tradnl" w:eastAsia="es-CO"/>
              </w:rPr>
            </w:pPr>
          </w:p>
          <w:p w14:paraId="1E2378EF" w14:textId="2BA3ED5D"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La separación presupuestal del CNE de la Registraduría Nacional del Estado Civil permite mayor trazabilidad de los recursos destinados a procesos electorales, lo que responde a la estabilidad macroeconómica y a los principios de sostenibilidad y transparencia. </w:t>
            </w:r>
          </w:p>
          <w:p w14:paraId="4AD5DCC8" w14:textId="77777777" w:rsidR="00B6079E" w:rsidRPr="00554FD8" w:rsidRDefault="00B6079E" w:rsidP="00B6079E">
            <w:pPr>
              <w:tabs>
                <w:tab w:val="left" w:pos="567"/>
              </w:tabs>
              <w:spacing w:line="240" w:lineRule="atLeast"/>
              <w:jc w:val="both"/>
              <w:rPr>
                <w:sz w:val="20"/>
                <w:szCs w:val="20"/>
                <w:lang w:val="es-ES_tradnl" w:eastAsia="es-CO"/>
              </w:rPr>
            </w:pPr>
          </w:p>
          <w:p w14:paraId="5ED0E877" w14:textId="498AD694"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Se alinea con recomendaciones efectuadas por organizaciones de la sociedad civil como la Misión de Observación Electoral y Transparencia por Colombia. </w:t>
            </w:r>
          </w:p>
          <w:p w14:paraId="6E56B8A4" w14:textId="77777777" w:rsidR="00B6079E" w:rsidRPr="00554FD8" w:rsidRDefault="00B6079E" w:rsidP="00B6079E">
            <w:pPr>
              <w:tabs>
                <w:tab w:val="left" w:pos="567"/>
              </w:tabs>
              <w:spacing w:line="240" w:lineRule="atLeast"/>
              <w:jc w:val="both"/>
              <w:rPr>
                <w:sz w:val="20"/>
                <w:szCs w:val="20"/>
                <w:lang w:val="es-ES_tradnl" w:eastAsia="es-CO"/>
              </w:rPr>
            </w:pPr>
          </w:p>
          <w:p w14:paraId="75279D67" w14:textId="067F251D"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De acuerdo a lo informado por el DNP, los artículos demandados desarrollan, complementan y fortalecen la autonomía presupuestal del CNE conferida mediante el Decreto 2085 de 2019. </w:t>
            </w:r>
          </w:p>
          <w:p w14:paraId="56BF797D" w14:textId="77777777" w:rsidR="00B6079E" w:rsidRPr="00554FD8" w:rsidRDefault="00B6079E" w:rsidP="00B6079E">
            <w:pPr>
              <w:tabs>
                <w:tab w:val="left" w:pos="567"/>
              </w:tabs>
              <w:spacing w:line="240" w:lineRule="atLeast"/>
              <w:jc w:val="both"/>
              <w:rPr>
                <w:sz w:val="20"/>
                <w:szCs w:val="20"/>
                <w:lang w:val="es-ES_tradnl" w:eastAsia="es-CO"/>
              </w:rPr>
            </w:pPr>
          </w:p>
          <w:p w14:paraId="431A7867" w14:textId="0CCDEE74"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Garantiza la consolidación de la confianza ciudadana en los procesos electorales y fortalece el sistema político y electoral del país. </w:t>
            </w:r>
          </w:p>
          <w:p w14:paraId="53419A27" w14:textId="77777777" w:rsidR="00B6079E" w:rsidRPr="00554FD8" w:rsidRDefault="00B6079E" w:rsidP="00B6079E">
            <w:pPr>
              <w:tabs>
                <w:tab w:val="left" w:pos="567"/>
              </w:tabs>
              <w:spacing w:line="240" w:lineRule="atLeast"/>
              <w:jc w:val="both"/>
              <w:rPr>
                <w:sz w:val="20"/>
                <w:szCs w:val="20"/>
                <w:lang w:val="es-ES_tradnl" w:eastAsia="es-CO"/>
              </w:rPr>
            </w:pPr>
          </w:p>
          <w:p w14:paraId="3276506A" w14:textId="5300CAC4" w:rsidR="009C06CC" w:rsidRPr="00554FD8" w:rsidRDefault="009C06CC" w:rsidP="0003283E">
            <w:pPr>
              <w:pStyle w:val="Prrafodelista"/>
              <w:numPr>
                <w:ilvl w:val="0"/>
                <w:numId w:val="3"/>
              </w:numPr>
              <w:tabs>
                <w:tab w:val="left" w:pos="567"/>
              </w:tabs>
              <w:spacing w:line="240" w:lineRule="atLeast"/>
              <w:jc w:val="both"/>
              <w:rPr>
                <w:sz w:val="20"/>
                <w:szCs w:val="20"/>
                <w:lang w:val="es-ES_tradnl" w:eastAsia="es-CO"/>
              </w:rPr>
            </w:pPr>
            <w:r w:rsidRPr="00554FD8">
              <w:rPr>
                <w:sz w:val="20"/>
                <w:szCs w:val="20"/>
                <w:lang w:val="es-ES_tradnl" w:eastAsia="es-CO"/>
              </w:rPr>
              <w:t xml:space="preserve">Asegura mayor estabilidad en la planeación del gasto electoral. </w:t>
            </w:r>
          </w:p>
          <w:p w14:paraId="6A8308A7" w14:textId="2C50B5CF" w:rsidR="009C06CC" w:rsidRPr="00554FD8" w:rsidRDefault="009C06CC" w:rsidP="009C06CC">
            <w:pPr>
              <w:tabs>
                <w:tab w:val="left" w:pos="567"/>
              </w:tabs>
              <w:spacing w:line="240" w:lineRule="atLeast"/>
              <w:jc w:val="both"/>
              <w:rPr>
                <w:sz w:val="20"/>
                <w:szCs w:val="20"/>
                <w:lang w:val="es-ES_tradnl" w:eastAsia="es-CO"/>
              </w:rPr>
            </w:pPr>
          </w:p>
          <w:p w14:paraId="2F5B9B65" w14:textId="606FA681" w:rsidR="009C06CC" w:rsidRPr="00554FD8" w:rsidRDefault="009C06CC" w:rsidP="009C06CC">
            <w:pPr>
              <w:tabs>
                <w:tab w:val="left" w:pos="567"/>
              </w:tabs>
              <w:spacing w:line="240" w:lineRule="atLeast"/>
              <w:jc w:val="both"/>
              <w:rPr>
                <w:sz w:val="20"/>
                <w:szCs w:val="20"/>
                <w:lang w:val="es-ES_tradnl" w:eastAsia="es-CO"/>
              </w:rPr>
            </w:pPr>
            <w:r w:rsidRPr="00554FD8">
              <w:rPr>
                <w:sz w:val="20"/>
                <w:szCs w:val="20"/>
                <w:lang w:val="es-ES_tradnl" w:eastAsia="es-CO"/>
              </w:rPr>
              <w:t xml:space="preserve">En segundo lugar, informó que, de acuerdo a lo establecido en las normas acusadas, al CNE se le hicieron las siguientes asignaciones para la vigencia 2025: </w:t>
            </w:r>
          </w:p>
          <w:p w14:paraId="21749C33" w14:textId="11991145" w:rsidR="009C06CC" w:rsidRPr="00554FD8" w:rsidRDefault="009C06CC" w:rsidP="009C06CC">
            <w:pPr>
              <w:tabs>
                <w:tab w:val="left" w:pos="567"/>
              </w:tabs>
              <w:spacing w:line="240" w:lineRule="atLeast"/>
              <w:jc w:val="both"/>
              <w:rPr>
                <w:sz w:val="20"/>
                <w:szCs w:val="20"/>
                <w:lang w:val="es-ES_tradnl" w:eastAsia="es-CO"/>
              </w:rPr>
            </w:pPr>
          </w:p>
          <w:p w14:paraId="38383525" w14:textId="13105FE1" w:rsidR="009C06CC" w:rsidRPr="00554FD8" w:rsidRDefault="009C06CC" w:rsidP="009C06CC">
            <w:pPr>
              <w:tabs>
                <w:tab w:val="left" w:pos="567"/>
              </w:tabs>
              <w:spacing w:line="240" w:lineRule="atLeast"/>
              <w:jc w:val="center"/>
              <w:rPr>
                <w:sz w:val="20"/>
                <w:szCs w:val="20"/>
                <w:lang w:val="es-ES_tradnl" w:eastAsia="es-CO"/>
              </w:rPr>
            </w:pPr>
            <w:r w:rsidRPr="00554FD8">
              <w:rPr>
                <w:noProof/>
                <w:sz w:val="20"/>
                <w:szCs w:val="20"/>
                <w:lang w:val="es-ES_tradnl" w:eastAsia="es-CO"/>
              </w:rPr>
              <w:drawing>
                <wp:inline distT="0" distB="0" distL="0" distR="0" wp14:anchorId="763B0344" wp14:editId="331B39F6">
                  <wp:extent cx="4349966" cy="189591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6-01-29 a la(s) 4.04.03 p. m..png"/>
                          <pic:cNvPicPr/>
                        </pic:nvPicPr>
                        <pic:blipFill>
                          <a:blip r:embed="rId9">
                            <a:extLst>
                              <a:ext uri="{28A0092B-C50C-407E-A947-70E740481C1C}">
                                <a14:useLocalDpi xmlns:a14="http://schemas.microsoft.com/office/drawing/2010/main" val="0"/>
                              </a:ext>
                            </a:extLst>
                          </a:blip>
                          <a:stretch>
                            <a:fillRect/>
                          </a:stretch>
                        </pic:blipFill>
                        <pic:spPr>
                          <a:xfrm>
                            <a:off x="0" y="0"/>
                            <a:ext cx="4379330" cy="1908710"/>
                          </a:xfrm>
                          <a:prstGeom prst="rect">
                            <a:avLst/>
                          </a:prstGeom>
                        </pic:spPr>
                      </pic:pic>
                    </a:graphicData>
                  </a:graphic>
                </wp:inline>
              </w:drawing>
            </w:r>
          </w:p>
          <w:p w14:paraId="17FD1894" w14:textId="4B0112E9" w:rsidR="009C06CC" w:rsidRPr="00554FD8" w:rsidRDefault="009C06CC" w:rsidP="009C06CC">
            <w:pPr>
              <w:tabs>
                <w:tab w:val="left" w:pos="567"/>
              </w:tabs>
              <w:spacing w:line="240" w:lineRule="atLeast"/>
              <w:jc w:val="center"/>
              <w:rPr>
                <w:i/>
                <w:sz w:val="20"/>
                <w:szCs w:val="20"/>
                <w:lang w:val="es-ES_tradnl" w:eastAsia="es-CO"/>
              </w:rPr>
            </w:pPr>
            <w:r w:rsidRPr="00554FD8">
              <w:rPr>
                <w:sz w:val="20"/>
                <w:szCs w:val="20"/>
                <w:lang w:val="es-ES_tradnl" w:eastAsia="es-CO"/>
              </w:rPr>
              <w:t xml:space="preserve">Imagen 1. </w:t>
            </w:r>
            <w:r w:rsidRPr="00554FD8">
              <w:rPr>
                <w:i/>
                <w:sz w:val="20"/>
                <w:szCs w:val="20"/>
                <w:lang w:val="es-ES_tradnl" w:eastAsia="es-CO"/>
              </w:rPr>
              <w:t>Asignaciones al CNE para la vigencia 2025</w:t>
            </w:r>
            <w:r w:rsidRPr="00554FD8">
              <w:rPr>
                <w:rStyle w:val="Refdenotaalpie"/>
                <w:sz w:val="20"/>
                <w:szCs w:val="20"/>
                <w:lang w:val="es-ES_tradnl" w:eastAsia="es-CO"/>
              </w:rPr>
              <w:footnoteReference w:id="36"/>
            </w:r>
          </w:p>
          <w:p w14:paraId="2C18EB3E" w14:textId="68CAA47C" w:rsidR="009C06CC" w:rsidRPr="00554FD8" w:rsidRDefault="009C06CC" w:rsidP="009C06CC">
            <w:pPr>
              <w:tabs>
                <w:tab w:val="left" w:pos="567"/>
              </w:tabs>
              <w:spacing w:line="240" w:lineRule="atLeast"/>
              <w:rPr>
                <w:i/>
                <w:sz w:val="20"/>
                <w:szCs w:val="20"/>
                <w:lang w:val="es-ES_tradnl" w:eastAsia="es-CO"/>
              </w:rPr>
            </w:pPr>
          </w:p>
          <w:p w14:paraId="41150D60" w14:textId="770BDE9D" w:rsidR="00697D2F" w:rsidRPr="00554FD8" w:rsidRDefault="00697D2F" w:rsidP="00075E3C">
            <w:pPr>
              <w:widowControl w:val="0"/>
              <w:tabs>
                <w:tab w:val="left" w:pos="567"/>
              </w:tabs>
              <w:spacing w:line="240" w:lineRule="atLeast"/>
              <w:jc w:val="both"/>
              <w:rPr>
                <w:sz w:val="20"/>
                <w:szCs w:val="20"/>
                <w:lang w:val="es-ES_tradnl" w:eastAsia="es-CO"/>
              </w:rPr>
            </w:pPr>
            <w:r w:rsidRPr="00554FD8">
              <w:rPr>
                <w:sz w:val="20"/>
                <w:szCs w:val="20"/>
                <w:lang w:val="es-ES_tradnl" w:eastAsia="es-CO"/>
              </w:rPr>
              <w:t>Adicionalmente, aportó la</w:t>
            </w:r>
            <w:r w:rsidR="00F25669" w:rsidRPr="00554FD8">
              <w:rPr>
                <w:sz w:val="20"/>
                <w:szCs w:val="20"/>
                <w:lang w:val="es-ES_tradnl" w:eastAsia="es-CO"/>
              </w:rPr>
              <w:t>s</w:t>
            </w:r>
            <w:r w:rsidRPr="00554FD8">
              <w:rPr>
                <w:sz w:val="20"/>
                <w:szCs w:val="20"/>
                <w:lang w:val="es-ES_tradnl" w:eastAsia="es-CO"/>
              </w:rPr>
              <w:t xml:space="preserve"> siguiente</w:t>
            </w:r>
            <w:r w:rsidR="00F25669" w:rsidRPr="00554FD8">
              <w:rPr>
                <w:sz w:val="20"/>
                <w:szCs w:val="20"/>
                <w:lang w:val="es-ES_tradnl" w:eastAsia="es-CO"/>
              </w:rPr>
              <w:t>s</w:t>
            </w:r>
            <w:r w:rsidRPr="00554FD8">
              <w:rPr>
                <w:sz w:val="20"/>
                <w:szCs w:val="20"/>
                <w:lang w:val="es-ES_tradnl" w:eastAsia="es-CO"/>
              </w:rPr>
              <w:t xml:space="preserve"> tabla</w:t>
            </w:r>
            <w:r w:rsidR="00F25669" w:rsidRPr="00554FD8">
              <w:rPr>
                <w:sz w:val="20"/>
                <w:szCs w:val="20"/>
                <w:lang w:val="es-ES_tradnl" w:eastAsia="es-CO"/>
              </w:rPr>
              <w:t>s</w:t>
            </w:r>
            <w:r w:rsidRPr="00554FD8">
              <w:rPr>
                <w:sz w:val="20"/>
                <w:szCs w:val="20"/>
                <w:lang w:val="es-ES_tradnl" w:eastAsia="es-CO"/>
              </w:rPr>
              <w:t xml:space="preserve"> comparativa</w:t>
            </w:r>
            <w:r w:rsidR="00F25669" w:rsidRPr="00554FD8">
              <w:rPr>
                <w:sz w:val="20"/>
                <w:szCs w:val="20"/>
                <w:lang w:val="es-ES_tradnl" w:eastAsia="es-CO"/>
              </w:rPr>
              <w:t>s</w:t>
            </w:r>
            <w:r w:rsidRPr="00554FD8">
              <w:rPr>
                <w:sz w:val="20"/>
                <w:szCs w:val="20"/>
                <w:lang w:val="es-ES_tradnl" w:eastAsia="es-CO"/>
              </w:rPr>
              <w:t xml:space="preserve"> sobre las apropiaciones del CNE en los años 2023</w:t>
            </w:r>
            <w:r w:rsidR="00F25669" w:rsidRPr="00554FD8">
              <w:rPr>
                <w:sz w:val="20"/>
                <w:szCs w:val="20"/>
                <w:lang w:val="es-ES_tradnl" w:eastAsia="es-CO"/>
              </w:rPr>
              <w:t>, 2024 y 2025</w:t>
            </w:r>
            <w:r w:rsidRPr="00554FD8">
              <w:rPr>
                <w:sz w:val="20"/>
                <w:szCs w:val="20"/>
                <w:lang w:val="es-ES_tradnl" w:eastAsia="es-CO"/>
              </w:rPr>
              <w:t xml:space="preserve">: </w:t>
            </w:r>
          </w:p>
          <w:p w14:paraId="0292DF96" w14:textId="77777777" w:rsidR="00F25669" w:rsidRPr="00554FD8" w:rsidRDefault="00F25669" w:rsidP="00075E3C">
            <w:pPr>
              <w:widowControl w:val="0"/>
              <w:tabs>
                <w:tab w:val="left" w:pos="567"/>
              </w:tabs>
              <w:spacing w:line="240" w:lineRule="atLeast"/>
              <w:jc w:val="both"/>
              <w:rPr>
                <w:sz w:val="20"/>
                <w:szCs w:val="20"/>
                <w:lang w:val="es-ES_tradnl" w:eastAsia="es-CO"/>
              </w:rPr>
            </w:pPr>
          </w:p>
          <w:p w14:paraId="1F5FC0B2" w14:textId="62EA14DA" w:rsidR="00697D2F" w:rsidRPr="00554FD8" w:rsidRDefault="00F25669" w:rsidP="00075E3C">
            <w:pPr>
              <w:widowControl w:val="0"/>
              <w:tabs>
                <w:tab w:val="left" w:pos="567"/>
              </w:tabs>
              <w:spacing w:line="240" w:lineRule="atLeast"/>
              <w:jc w:val="center"/>
              <w:rPr>
                <w:sz w:val="20"/>
                <w:szCs w:val="20"/>
                <w:lang w:val="es-ES_tradnl" w:eastAsia="es-CO"/>
              </w:rPr>
            </w:pPr>
            <w:r w:rsidRPr="00554FD8">
              <w:rPr>
                <w:noProof/>
                <w:sz w:val="20"/>
                <w:szCs w:val="20"/>
                <w:lang w:val="es-ES_tradnl" w:eastAsia="es-CO"/>
              </w:rPr>
              <w:drawing>
                <wp:inline distT="0" distB="0" distL="0" distR="0" wp14:anchorId="492EE282" wp14:editId="197BE554">
                  <wp:extent cx="3774332" cy="20592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a de pantalla 2026-01-29 a la(s) 4.17.52 p. 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06821" cy="2076996"/>
                          </a:xfrm>
                          <a:prstGeom prst="rect">
                            <a:avLst/>
                          </a:prstGeom>
                        </pic:spPr>
                      </pic:pic>
                    </a:graphicData>
                  </a:graphic>
                </wp:inline>
              </w:drawing>
            </w:r>
          </w:p>
          <w:p w14:paraId="365BFBF5" w14:textId="1D682346" w:rsidR="00697D2F" w:rsidRPr="00554FD8" w:rsidRDefault="00F25669" w:rsidP="00075E3C">
            <w:pPr>
              <w:widowControl w:val="0"/>
              <w:tabs>
                <w:tab w:val="left" w:pos="567"/>
              </w:tabs>
              <w:spacing w:line="240" w:lineRule="atLeast"/>
              <w:jc w:val="center"/>
              <w:rPr>
                <w:i/>
                <w:sz w:val="20"/>
                <w:szCs w:val="20"/>
                <w:lang w:val="es-ES_tradnl" w:eastAsia="es-CO"/>
              </w:rPr>
            </w:pPr>
            <w:r w:rsidRPr="00554FD8">
              <w:rPr>
                <w:sz w:val="20"/>
                <w:szCs w:val="20"/>
                <w:lang w:val="es-ES_tradnl" w:eastAsia="es-CO"/>
              </w:rPr>
              <w:t xml:space="preserve">Imagen 2. </w:t>
            </w:r>
            <w:r w:rsidRPr="00554FD8">
              <w:rPr>
                <w:i/>
                <w:sz w:val="20"/>
                <w:szCs w:val="20"/>
                <w:lang w:val="es-ES_tradnl" w:eastAsia="es-CO"/>
              </w:rPr>
              <w:t>Apropiaciones CNE 2023 y 2024</w:t>
            </w:r>
            <w:r w:rsidRPr="00554FD8">
              <w:rPr>
                <w:rStyle w:val="Refdenotaalpie"/>
                <w:sz w:val="20"/>
                <w:szCs w:val="20"/>
                <w:lang w:val="es-ES_tradnl" w:eastAsia="es-CO"/>
              </w:rPr>
              <w:footnoteReference w:id="37"/>
            </w:r>
          </w:p>
          <w:p w14:paraId="3F1E002F" w14:textId="7CF9D70C" w:rsidR="00F25669" w:rsidRPr="00554FD8" w:rsidRDefault="00F25669" w:rsidP="00075E3C">
            <w:pPr>
              <w:widowControl w:val="0"/>
              <w:tabs>
                <w:tab w:val="left" w:pos="567"/>
              </w:tabs>
              <w:spacing w:line="240" w:lineRule="atLeast"/>
              <w:jc w:val="center"/>
              <w:rPr>
                <w:i/>
                <w:sz w:val="20"/>
                <w:szCs w:val="20"/>
                <w:lang w:val="es-ES_tradnl" w:eastAsia="es-CO"/>
              </w:rPr>
            </w:pPr>
          </w:p>
          <w:p w14:paraId="17BBEE9C" w14:textId="4742B026" w:rsidR="00F25669" w:rsidRPr="00554FD8" w:rsidRDefault="00F25669" w:rsidP="00075E3C">
            <w:pPr>
              <w:widowControl w:val="0"/>
              <w:tabs>
                <w:tab w:val="left" w:pos="567"/>
              </w:tabs>
              <w:spacing w:line="240" w:lineRule="atLeast"/>
              <w:jc w:val="center"/>
              <w:rPr>
                <w:i/>
                <w:sz w:val="20"/>
                <w:szCs w:val="20"/>
                <w:lang w:val="es-ES_tradnl" w:eastAsia="es-CO"/>
              </w:rPr>
            </w:pPr>
            <w:r w:rsidRPr="00554FD8">
              <w:rPr>
                <w:i/>
                <w:noProof/>
                <w:sz w:val="20"/>
                <w:szCs w:val="20"/>
                <w:lang w:val="es-ES_tradnl" w:eastAsia="es-CO"/>
              </w:rPr>
              <w:drawing>
                <wp:inline distT="0" distB="0" distL="0" distR="0" wp14:anchorId="646C7DE4" wp14:editId="17E724CF">
                  <wp:extent cx="3715966" cy="1468643"/>
                  <wp:effectExtent l="0" t="0" r="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26-01-29 a la(s) 4.19.28 p. 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48043" cy="1481321"/>
                          </a:xfrm>
                          <a:prstGeom prst="rect">
                            <a:avLst/>
                          </a:prstGeom>
                        </pic:spPr>
                      </pic:pic>
                    </a:graphicData>
                  </a:graphic>
                </wp:inline>
              </w:drawing>
            </w:r>
          </w:p>
          <w:p w14:paraId="419AD271" w14:textId="54559823" w:rsidR="00697D2F" w:rsidRPr="00554FD8" w:rsidRDefault="00F25669" w:rsidP="00075E3C">
            <w:pPr>
              <w:widowControl w:val="0"/>
              <w:tabs>
                <w:tab w:val="left" w:pos="567"/>
              </w:tabs>
              <w:spacing w:line="240" w:lineRule="atLeast"/>
              <w:jc w:val="center"/>
              <w:rPr>
                <w:b/>
                <w:i/>
                <w:sz w:val="20"/>
                <w:szCs w:val="20"/>
                <w:lang w:val="es-ES_tradnl" w:eastAsia="es-CO"/>
              </w:rPr>
            </w:pPr>
            <w:r w:rsidRPr="00554FD8">
              <w:rPr>
                <w:sz w:val="20"/>
                <w:szCs w:val="20"/>
                <w:lang w:val="es-ES_tradnl" w:eastAsia="es-CO"/>
              </w:rPr>
              <w:t xml:space="preserve">Imagen 3. </w:t>
            </w:r>
            <w:r w:rsidRPr="00554FD8">
              <w:rPr>
                <w:i/>
                <w:sz w:val="20"/>
                <w:szCs w:val="20"/>
                <w:lang w:val="es-ES_tradnl" w:eastAsia="es-CO"/>
              </w:rPr>
              <w:t>Apropiaciones CNE 2023, 2024 y 2025</w:t>
            </w:r>
            <w:r w:rsidRPr="00554FD8">
              <w:rPr>
                <w:rStyle w:val="Refdenotaalpie"/>
                <w:sz w:val="20"/>
                <w:szCs w:val="20"/>
                <w:lang w:val="es-ES_tradnl" w:eastAsia="es-CO"/>
              </w:rPr>
              <w:footnoteReference w:id="38"/>
            </w:r>
          </w:p>
          <w:p w14:paraId="7DDCAE25" w14:textId="77777777" w:rsidR="00F25669" w:rsidRPr="00554FD8" w:rsidRDefault="00F25669" w:rsidP="00075E3C">
            <w:pPr>
              <w:widowControl w:val="0"/>
              <w:tabs>
                <w:tab w:val="left" w:pos="567"/>
              </w:tabs>
              <w:spacing w:line="240" w:lineRule="atLeast"/>
              <w:rPr>
                <w:sz w:val="20"/>
                <w:szCs w:val="20"/>
                <w:lang w:val="es-ES_tradnl" w:eastAsia="es-CO"/>
              </w:rPr>
            </w:pPr>
          </w:p>
          <w:p w14:paraId="5B0168F3" w14:textId="66283CD3" w:rsidR="00697D2F" w:rsidRPr="00554FD8" w:rsidRDefault="00697D2F" w:rsidP="00075E3C">
            <w:pPr>
              <w:widowControl w:val="0"/>
              <w:tabs>
                <w:tab w:val="left" w:pos="567"/>
              </w:tabs>
              <w:spacing w:line="240" w:lineRule="atLeast"/>
              <w:jc w:val="both"/>
              <w:rPr>
                <w:sz w:val="20"/>
                <w:szCs w:val="20"/>
                <w:lang w:val="es-ES_tradnl" w:eastAsia="es-CO"/>
              </w:rPr>
            </w:pPr>
            <w:r w:rsidRPr="00554FD8">
              <w:rPr>
                <w:sz w:val="20"/>
                <w:szCs w:val="20"/>
                <w:lang w:val="es-ES_tradnl" w:eastAsia="es-CO"/>
              </w:rPr>
              <w:t>En tercer lugar, explicó que previo a la expedición de la Ley 2294 de 2023 los recursos del CNE se presupuestaban dentro de la sección del Presupuesto General de la Nación correspondiente a la Registraduría Nacional del Estado Civil. Lo anterior, de acuerdo con lo establecido en el artículo 36 del Decreto Ley 111 de 1996 – Estatuto Orgánico del Presupuesto.</w:t>
            </w:r>
          </w:p>
          <w:p w14:paraId="32559F07" w14:textId="19C2AFE7" w:rsidR="00697D2F" w:rsidRPr="00554FD8" w:rsidRDefault="00697D2F" w:rsidP="00697D2F">
            <w:pPr>
              <w:tabs>
                <w:tab w:val="left" w:pos="567"/>
              </w:tabs>
              <w:spacing w:line="240" w:lineRule="atLeast"/>
              <w:jc w:val="both"/>
              <w:rPr>
                <w:sz w:val="20"/>
                <w:szCs w:val="20"/>
                <w:lang w:val="es-ES_tradnl" w:eastAsia="es-CO"/>
              </w:rPr>
            </w:pPr>
          </w:p>
          <w:p w14:paraId="5CE2FB05" w14:textId="2C804E1E" w:rsidR="00697D2F" w:rsidRPr="00554FD8" w:rsidRDefault="00697D2F" w:rsidP="00697D2F">
            <w:pPr>
              <w:tabs>
                <w:tab w:val="left" w:pos="567"/>
              </w:tabs>
              <w:spacing w:line="240" w:lineRule="atLeast"/>
              <w:jc w:val="both"/>
              <w:rPr>
                <w:sz w:val="20"/>
                <w:szCs w:val="20"/>
              </w:rPr>
            </w:pPr>
            <w:r w:rsidRPr="00554FD8">
              <w:rPr>
                <w:sz w:val="20"/>
                <w:szCs w:val="20"/>
                <w:lang w:val="es-ES_tradnl" w:eastAsia="es-CO"/>
              </w:rPr>
              <w:t>En cuarto lugar, señaló que con ocasión de la entrada en vigencia de los artículos 336 y 337 del PND, “</w:t>
            </w:r>
            <w:r w:rsidRPr="00554FD8">
              <w:rPr>
                <w:sz w:val="20"/>
                <w:szCs w:val="20"/>
              </w:rPr>
              <w:t>el CNE requirió algunos ajustes dentro del PGN para poder gestionar como sección presupuestal sus recursos. Es así como solicitó, en primer lugar, el código de la sección presupuestal, seguido de la habilitación del Sistema Integrado de Información Financiera SIIF y el Plan de Cuentas presupuestal. Además, mediante Resolución número 1987 del 4 de agosto de 2023 (anexo 1), se realizó una distribución de recursos desde el Ministerio de Hacienda y Crédito Público para el inicio de gestión durante el año 2023 por la suma de $28.856.000.000”</w:t>
            </w:r>
            <w:r w:rsidRPr="00554FD8">
              <w:rPr>
                <w:rStyle w:val="Refdenotaalpie"/>
                <w:sz w:val="20"/>
                <w:szCs w:val="20"/>
              </w:rPr>
              <w:footnoteReference w:id="39"/>
            </w:r>
            <w:r w:rsidRPr="00554FD8">
              <w:rPr>
                <w:sz w:val="20"/>
                <w:szCs w:val="20"/>
              </w:rPr>
              <w:t xml:space="preserve">. </w:t>
            </w:r>
          </w:p>
          <w:p w14:paraId="5141A705" w14:textId="5EB147A7" w:rsidR="00F25669" w:rsidRPr="00554FD8" w:rsidRDefault="00F25669" w:rsidP="00697D2F">
            <w:pPr>
              <w:tabs>
                <w:tab w:val="left" w:pos="567"/>
              </w:tabs>
              <w:spacing w:line="240" w:lineRule="atLeast"/>
              <w:jc w:val="both"/>
              <w:rPr>
                <w:sz w:val="20"/>
                <w:szCs w:val="20"/>
                <w:lang w:val="es-ES_tradnl" w:eastAsia="es-CO"/>
              </w:rPr>
            </w:pPr>
          </w:p>
          <w:p w14:paraId="5216AD87" w14:textId="670E3D66" w:rsidR="00F25669" w:rsidRPr="00554FD8" w:rsidRDefault="00F25669" w:rsidP="00697D2F">
            <w:pPr>
              <w:tabs>
                <w:tab w:val="left" w:pos="567"/>
              </w:tabs>
              <w:spacing w:line="240" w:lineRule="atLeast"/>
              <w:jc w:val="both"/>
              <w:rPr>
                <w:sz w:val="20"/>
                <w:szCs w:val="20"/>
                <w:lang w:val="es-ES_tradnl" w:eastAsia="es-CO"/>
              </w:rPr>
            </w:pPr>
            <w:r w:rsidRPr="00554FD8">
              <w:rPr>
                <w:sz w:val="20"/>
                <w:szCs w:val="20"/>
                <w:lang w:val="es-ES_tradnl" w:eastAsia="es-CO"/>
              </w:rPr>
              <w:t xml:space="preserve">Finalmente, mencionó que la eventual declaratoria de inexequibilidad de las normas acusadas generaría los siguientes efectos: </w:t>
            </w:r>
          </w:p>
          <w:p w14:paraId="28566645" w14:textId="159E3458" w:rsidR="00F25669" w:rsidRPr="00554FD8" w:rsidRDefault="00F25669" w:rsidP="00697D2F">
            <w:pPr>
              <w:tabs>
                <w:tab w:val="left" w:pos="567"/>
              </w:tabs>
              <w:spacing w:line="240" w:lineRule="atLeast"/>
              <w:jc w:val="both"/>
              <w:rPr>
                <w:sz w:val="20"/>
                <w:szCs w:val="20"/>
                <w:lang w:val="es-ES_tradnl" w:eastAsia="es-CO"/>
              </w:rPr>
            </w:pPr>
          </w:p>
          <w:p w14:paraId="714ACE2F" w14:textId="0DB1A5E9" w:rsidR="00F25669" w:rsidRPr="00554FD8" w:rsidRDefault="00F25669" w:rsidP="00D7155D">
            <w:pPr>
              <w:jc w:val="both"/>
              <w:rPr>
                <w:sz w:val="20"/>
                <w:szCs w:val="20"/>
              </w:rPr>
            </w:pPr>
            <w:r w:rsidRPr="00554FD8">
              <w:rPr>
                <w:sz w:val="20"/>
                <w:szCs w:val="20"/>
                <w:lang w:val="es-ES_tradnl" w:eastAsia="es-CO"/>
              </w:rPr>
              <w:t xml:space="preserve">(i) </w:t>
            </w:r>
            <w:r w:rsidR="00D7155D" w:rsidRPr="00554FD8">
              <w:rPr>
                <w:sz w:val="20"/>
                <w:szCs w:val="20"/>
                <w:lang w:val="es-ES_tradnl"/>
              </w:rPr>
              <w:t>“[S]</w:t>
            </w:r>
            <w:r w:rsidR="00D7155D" w:rsidRPr="00554FD8">
              <w:rPr>
                <w:sz w:val="20"/>
                <w:szCs w:val="20"/>
              </w:rPr>
              <w:t>i las expresiones acusadas se declaran inexequibles, los compromisos presupuestarios y contractuales quedarían sin apropiación ni título de gasto, y no podrían ser ejecutados […] esto produciría una serie de litigios jurídicos que habría que analizar caso a caso”</w:t>
            </w:r>
            <w:r w:rsidRPr="00554FD8">
              <w:rPr>
                <w:rStyle w:val="Refdenotaalpie"/>
                <w:sz w:val="20"/>
                <w:szCs w:val="20"/>
              </w:rPr>
              <w:footnoteReference w:id="40"/>
            </w:r>
            <w:r w:rsidR="00D7155D" w:rsidRPr="00554FD8">
              <w:rPr>
                <w:sz w:val="20"/>
                <w:szCs w:val="20"/>
              </w:rPr>
              <w:t xml:space="preserve">. </w:t>
            </w:r>
          </w:p>
          <w:p w14:paraId="78405FCF" w14:textId="77777777" w:rsidR="00B6079E" w:rsidRPr="00554FD8" w:rsidRDefault="00B6079E" w:rsidP="009C06CC">
            <w:pPr>
              <w:tabs>
                <w:tab w:val="left" w:pos="567"/>
              </w:tabs>
              <w:spacing w:line="240" w:lineRule="atLeast"/>
              <w:jc w:val="both"/>
              <w:rPr>
                <w:sz w:val="20"/>
                <w:szCs w:val="20"/>
                <w:lang w:val="es-ES_tradnl" w:eastAsia="es-CO"/>
              </w:rPr>
            </w:pPr>
          </w:p>
          <w:p w14:paraId="486DC598" w14:textId="0633A9FE" w:rsidR="009C06CC" w:rsidRPr="00554FD8" w:rsidRDefault="00F25669" w:rsidP="009E3C3E">
            <w:pPr>
              <w:jc w:val="both"/>
              <w:rPr>
                <w:sz w:val="20"/>
                <w:szCs w:val="20"/>
              </w:rPr>
            </w:pPr>
            <w:r w:rsidRPr="00554FD8">
              <w:rPr>
                <w:sz w:val="20"/>
                <w:szCs w:val="20"/>
                <w:lang w:val="es-ES_tradnl" w:eastAsia="es-CO"/>
              </w:rPr>
              <w:t xml:space="preserve">(ii) </w:t>
            </w:r>
            <w:r w:rsidR="009E3C3E" w:rsidRPr="00554FD8">
              <w:rPr>
                <w:sz w:val="20"/>
                <w:szCs w:val="20"/>
                <w:lang w:val="es-ES_tradnl" w:eastAsia="es-CO"/>
              </w:rPr>
              <w:t>“</w:t>
            </w:r>
            <w:r w:rsidR="009E3C3E" w:rsidRPr="00554FD8">
              <w:rPr>
                <w:sz w:val="20"/>
                <w:szCs w:val="20"/>
                <w:lang w:val="es-ES_tradnl"/>
              </w:rPr>
              <w:t>[S]</w:t>
            </w:r>
            <w:r w:rsidR="009E3C3E" w:rsidRPr="00554FD8">
              <w:rPr>
                <w:sz w:val="20"/>
                <w:szCs w:val="20"/>
              </w:rPr>
              <w:t>i las expresiones objeto de control se declaran inexequibles y no se materializara un traslado de funciones o la creación de un nuevo ordenador del gasto [según lo establecido en el artículo 86 del Estatuto Orgánico del Presupuesto], el CNE volvería a ser parte de la sección presupuestal “Registraduría Nacional del estado Civil” que lo incluía y, en consecuencia, el presupuesto de gastos de aquel organismo se programaría nuevamente como una unidad de la RNEC, sin perjuicio de las implicaciones en materia de litigios jurídicos ya referida”</w:t>
            </w:r>
            <w:r w:rsidRPr="00554FD8">
              <w:rPr>
                <w:rStyle w:val="Refdenotaalpie"/>
                <w:sz w:val="20"/>
                <w:szCs w:val="20"/>
                <w:lang w:val="es-ES_tradnl" w:eastAsia="es-CO"/>
              </w:rPr>
              <w:footnoteReference w:id="41"/>
            </w:r>
            <w:r w:rsidRPr="00554FD8">
              <w:rPr>
                <w:sz w:val="20"/>
                <w:szCs w:val="20"/>
                <w:lang w:val="es-ES_tradnl" w:eastAsia="es-CO"/>
              </w:rPr>
              <w:t xml:space="preserve">. </w:t>
            </w:r>
          </w:p>
        </w:tc>
      </w:tr>
      <w:tr w:rsidR="001F7DED" w:rsidRPr="00554FD8" w14:paraId="6271726C" w14:textId="77777777" w:rsidTr="00BA77A1">
        <w:trPr>
          <w:trHeight w:val="261"/>
          <w:jc w:val="center"/>
        </w:trPr>
        <w:tc>
          <w:tcPr>
            <w:tcW w:w="881" w:type="pct"/>
            <w:shd w:val="clear" w:color="auto" w:fill="B8CCE4" w:themeFill="accent1" w:themeFillTint="66"/>
          </w:tcPr>
          <w:p w14:paraId="1AA7C339" w14:textId="7BE45E9E" w:rsidR="001F7DED" w:rsidRPr="00554FD8" w:rsidRDefault="001F7DED" w:rsidP="001F7DED">
            <w:pPr>
              <w:pStyle w:val="Prrafodelista"/>
              <w:tabs>
                <w:tab w:val="left" w:pos="567"/>
              </w:tabs>
              <w:spacing w:line="240" w:lineRule="atLeast"/>
              <w:ind w:left="0"/>
              <w:jc w:val="center"/>
              <w:rPr>
                <w:bCs/>
                <w:sz w:val="20"/>
                <w:szCs w:val="20"/>
              </w:rPr>
            </w:pPr>
            <w:r w:rsidRPr="00554FD8">
              <w:rPr>
                <w:sz w:val="20"/>
                <w:szCs w:val="20"/>
              </w:rPr>
              <w:t>Secretaría General del Senado de la República</w:t>
            </w:r>
            <w:r w:rsidRPr="00554FD8">
              <w:rPr>
                <w:rStyle w:val="Refdenotaalpie"/>
                <w:sz w:val="20"/>
                <w:szCs w:val="20"/>
              </w:rPr>
              <w:footnoteReference w:id="42"/>
            </w:r>
          </w:p>
        </w:tc>
        <w:tc>
          <w:tcPr>
            <w:tcW w:w="4119" w:type="pct"/>
          </w:tcPr>
          <w:p w14:paraId="6A1DB52C" w14:textId="77777777" w:rsidR="001F7DED" w:rsidRPr="00554FD8" w:rsidRDefault="001F7DED" w:rsidP="001F7DED">
            <w:pPr>
              <w:snapToGrid w:val="0"/>
              <w:jc w:val="both"/>
              <w:rPr>
                <w:sz w:val="20"/>
                <w:szCs w:val="20"/>
                <w:u w:color="000000"/>
              </w:rPr>
            </w:pPr>
            <w:r w:rsidRPr="00554FD8">
              <w:rPr>
                <w:sz w:val="20"/>
                <w:szCs w:val="20"/>
                <w:u w:color="000000"/>
              </w:rPr>
              <w:t xml:space="preserve">Mediante oficio n.° SGE-CS-0803-2025, la entidad aportó copia de la siguiente documentación: </w:t>
            </w:r>
          </w:p>
          <w:p w14:paraId="10BC3FA4" w14:textId="77777777" w:rsidR="001F7DED" w:rsidRPr="00554FD8" w:rsidRDefault="001F7DED" w:rsidP="001F7DED">
            <w:pPr>
              <w:snapToGrid w:val="0"/>
              <w:jc w:val="both"/>
              <w:rPr>
                <w:sz w:val="20"/>
                <w:szCs w:val="20"/>
                <w:u w:color="000000"/>
              </w:rPr>
            </w:pPr>
          </w:p>
          <w:p w14:paraId="20E23B37"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Antecedentes legislativos del proyecto de ley </w:t>
            </w:r>
            <w:r w:rsidRPr="00554FD8">
              <w:rPr>
                <w:sz w:val="20"/>
                <w:szCs w:val="20"/>
              </w:rPr>
              <w:t xml:space="preserve">n.° 274 de 2023 Senado, 338 de 2023 Cámara. </w:t>
            </w:r>
          </w:p>
          <w:p w14:paraId="22066F25" w14:textId="77777777" w:rsidR="001F7DED" w:rsidRPr="00554FD8" w:rsidRDefault="001F7DED" w:rsidP="001F7DED">
            <w:pPr>
              <w:pStyle w:val="Prrafodelista"/>
              <w:snapToGrid w:val="0"/>
              <w:ind w:left="360"/>
              <w:jc w:val="both"/>
              <w:rPr>
                <w:sz w:val="20"/>
                <w:szCs w:val="20"/>
                <w:u w:color="000000"/>
              </w:rPr>
            </w:pPr>
          </w:p>
          <w:p w14:paraId="6BE2A0D3"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Grabaciones de audio de las sesiones plenarias del Senado de la República los días 2, 3, 4 y 5 de mayo de 2023. </w:t>
            </w:r>
          </w:p>
          <w:p w14:paraId="7040BC4E" w14:textId="77777777" w:rsidR="001F7DED" w:rsidRPr="00554FD8" w:rsidRDefault="001F7DED" w:rsidP="001F7DED">
            <w:pPr>
              <w:pStyle w:val="Prrafodelista"/>
              <w:snapToGrid w:val="0"/>
              <w:ind w:left="360"/>
              <w:jc w:val="both"/>
              <w:rPr>
                <w:sz w:val="20"/>
                <w:szCs w:val="20"/>
                <w:u w:color="000000"/>
              </w:rPr>
            </w:pPr>
          </w:p>
          <w:p w14:paraId="7E84EDB3" w14:textId="6EC12E0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Las gacetas del Congreso de la República en las que consta el trámite legislativo seguido en el proyecto de ley de la referencia, así como las actas de </w:t>
            </w:r>
            <w:r w:rsidR="00251F78" w:rsidRPr="00554FD8">
              <w:rPr>
                <w:sz w:val="20"/>
                <w:szCs w:val="20"/>
                <w:u w:color="000000"/>
              </w:rPr>
              <w:t xml:space="preserve">las </w:t>
            </w:r>
            <w:r w:rsidRPr="00554FD8">
              <w:rPr>
                <w:sz w:val="20"/>
                <w:szCs w:val="20"/>
                <w:u w:color="000000"/>
              </w:rPr>
              <w:t>sesiones en las que se anunció, discutió y aprobó el mismo:</w:t>
            </w:r>
          </w:p>
          <w:p w14:paraId="4C9FE57C"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18 de 2023 (exposición de motivos del proyecto de ley </w:t>
            </w:r>
            <w:r w:rsidRPr="00554FD8">
              <w:rPr>
                <w:sz w:val="20"/>
                <w:szCs w:val="20"/>
              </w:rPr>
              <w:t xml:space="preserve">n.° 274 de 2023 Senado, 338 de 2023 Cámara). </w:t>
            </w:r>
          </w:p>
          <w:p w14:paraId="2D33B0D2"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181 de 2023 (ponencia para primer debate), </w:t>
            </w:r>
          </w:p>
          <w:p w14:paraId="33133BE9"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386 de 2023 (ponencia para segundo debate)</w:t>
            </w:r>
          </w:p>
          <w:p w14:paraId="03EE2866"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417 de 2023 (texto de plenaria)</w:t>
            </w:r>
          </w:p>
          <w:p w14:paraId="629080DB"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427 de 2023 (informe de conciliación en Senado), </w:t>
            </w:r>
          </w:p>
          <w:p w14:paraId="5CAC4D6A"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854 de 2023 (acta 48 de la sesión plenaria del 4 de mayo – anuncio informe de conciliación sobre el proyecto de ley de la referencia). </w:t>
            </w:r>
          </w:p>
          <w:p w14:paraId="5922BF03"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855 de 2023 (acta 49 de la sesión plenaria del 5 de mayo de 2023 – aprobación del informe de conciliación del proyecto de ley de la referencia)</w:t>
            </w:r>
          </w:p>
          <w:p w14:paraId="2506B853"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889 de 2023 (acta 46 de la sesión plenaria del 2 de mayo de 2023 – anuncio previo, discusión y aprobación de articulados)</w:t>
            </w:r>
          </w:p>
          <w:p w14:paraId="0DDA00A7"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902 de 2023 (acta 47 de la sesión plenaria del 3 de mayo de 2023 – discusión y aprobación de articulados) </w:t>
            </w:r>
          </w:p>
          <w:p w14:paraId="7F57B87E"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1011 de 2023 (acta 45 de la sesión plenaria del 26 de abril de 2023 – anuncio previo) </w:t>
            </w:r>
          </w:p>
          <w:p w14:paraId="634DB1F5" w14:textId="77777777" w:rsidR="001F7DED" w:rsidRPr="00554FD8" w:rsidRDefault="001F7DED" w:rsidP="0003283E">
            <w:pPr>
              <w:pStyle w:val="Prrafodelista"/>
              <w:numPr>
                <w:ilvl w:val="0"/>
                <w:numId w:val="4"/>
              </w:numPr>
              <w:snapToGrid w:val="0"/>
              <w:jc w:val="both"/>
              <w:rPr>
                <w:sz w:val="20"/>
                <w:szCs w:val="20"/>
                <w:u w:color="000000"/>
              </w:rPr>
            </w:pPr>
            <w:r w:rsidRPr="00554FD8">
              <w:rPr>
                <w:sz w:val="20"/>
                <w:szCs w:val="20"/>
                <w:u w:color="000000"/>
              </w:rPr>
              <w:t xml:space="preserve">1143 de 2024 (acta 73 de la sesión plenaria del 4 de junio de 2024 – aprobación informe de conciliación del proyecto de ley de la referencia, de acuerdo a lo ordenado por la Corte Constitucional en el Auto 705 de 2024. </w:t>
            </w:r>
          </w:p>
          <w:p w14:paraId="36B0EB55" w14:textId="77777777" w:rsidR="001F7DED" w:rsidRPr="00554FD8" w:rsidRDefault="001F7DED" w:rsidP="001F7DED">
            <w:pPr>
              <w:pStyle w:val="Prrafodelista"/>
              <w:snapToGrid w:val="0"/>
              <w:ind w:left="1080"/>
              <w:jc w:val="both"/>
              <w:rPr>
                <w:sz w:val="20"/>
                <w:szCs w:val="20"/>
                <w:u w:color="000000"/>
              </w:rPr>
            </w:pPr>
          </w:p>
          <w:p w14:paraId="3C40E1DD"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Los informes de conciliación del proyecto de ley </w:t>
            </w:r>
            <w:r w:rsidRPr="00554FD8">
              <w:rPr>
                <w:sz w:val="20"/>
                <w:szCs w:val="20"/>
              </w:rPr>
              <w:t xml:space="preserve">n.° 274 de 2023 Senado, 338 de 2023 Cámara. </w:t>
            </w:r>
          </w:p>
          <w:p w14:paraId="2025A7CA" w14:textId="77777777" w:rsidR="001F7DED" w:rsidRPr="00554FD8" w:rsidRDefault="001F7DED" w:rsidP="001F7DED">
            <w:pPr>
              <w:pStyle w:val="Prrafodelista"/>
              <w:snapToGrid w:val="0"/>
              <w:ind w:left="360"/>
              <w:jc w:val="both"/>
              <w:rPr>
                <w:sz w:val="20"/>
                <w:szCs w:val="20"/>
                <w:u w:color="000000"/>
              </w:rPr>
            </w:pPr>
          </w:p>
          <w:p w14:paraId="5FA2B551"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Enlaces de acceso a las grabaciones audiovisuales de las sesiones plenarias del 2, 3, 4 y 5 de mayo de 2023 y 4 de junio de 2024 que se encuentran en el canal oficial del Senado de la República en la plataforma YouTube. </w:t>
            </w:r>
          </w:p>
          <w:p w14:paraId="0012C277" w14:textId="77777777" w:rsidR="001F7DED" w:rsidRPr="00554FD8" w:rsidRDefault="001F7DED" w:rsidP="001F7DED">
            <w:pPr>
              <w:pStyle w:val="Prrafodelista"/>
              <w:snapToGrid w:val="0"/>
              <w:ind w:left="360"/>
              <w:jc w:val="both"/>
              <w:rPr>
                <w:sz w:val="20"/>
                <w:szCs w:val="20"/>
                <w:u w:color="000000"/>
              </w:rPr>
            </w:pPr>
          </w:p>
          <w:p w14:paraId="6ABB0121"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 xml:space="preserve">Certificación de los miembros del Senado de la República que integraron las sesiones al momento de discutir y votar los artículos 336 y 337 de la Ley 2294 de 2023. En esta se informa lo siguiente: </w:t>
            </w:r>
          </w:p>
          <w:p w14:paraId="23274E25" w14:textId="77777777" w:rsidR="001F7DED" w:rsidRPr="00554FD8" w:rsidRDefault="001F7DED" w:rsidP="001F7DED">
            <w:pPr>
              <w:pStyle w:val="Prrafodelista"/>
              <w:snapToGrid w:val="0"/>
              <w:ind w:left="360"/>
              <w:jc w:val="both"/>
              <w:rPr>
                <w:sz w:val="20"/>
                <w:szCs w:val="20"/>
                <w:u w:color="000000"/>
              </w:rPr>
            </w:pPr>
          </w:p>
          <w:p w14:paraId="35EDABEC" w14:textId="77777777" w:rsidR="001F7DED" w:rsidRPr="00554FD8" w:rsidRDefault="001F7DED" w:rsidP="003503DE">
            <w:pPr>
              <w:pStyle w:val="Prrafodelista"/>
              <w:snapToGrid w:val="0"/>
              <w:ind w:left="170" w:right="170"/>
              <w:jc w:val="center"/>
              <w:rPr>
                <w:b/>
                <w:sz w:val="20"/>
                <w:szCs w:val="20"/>
                <w:u w:color="000000"/>
              </w:rPr>
            </w:pPr>
            <w:r w:rsidRPr="00554FD8">
              <w:rPr>
                <w:sz w:val="20"/>
                <w:szCs w:val="20"/>
                <w:u w:color="000000"/>
              </w:rPr>
              <w:t>“</w:t>
            </w:r>
            <w:r w:rsidRPr="00554FD8">
              <w:rPr>
                <w:b/>
                <w:sz w:val="20"/>
                <w:szCs w:val="20"/>
                <w:u w:color="000000"/>
              </w:rPr>
              <w:t xml:space="preserve">EL SUSCRITO SECRETARIO GENERAL DEL SENADO DE LA REPÚBLICA, CON FUNDAMENTO EN LA INFORMACIÓN SUMINISTRADA POR LA SECCIÓN DE RELATORIA DEL SENADO DE LA REPÚBLICA </w:t>
            </w:r>
          </w:p>
          <w:p w14:paraId="79E94556" w14:textId="77777777" w:rsidR="001F7DED" w:rsidRPr="00554FD8" w:rsidRDefault="001F7DED" w:rsidP="003503DE">
            <w:pPr>
              <w:pStyle w:val="Prrafodelista"/>
              <w:snapToGrid w:val="0"/>
              <w:ind w:left="170" w:right="170"/>
              <w:jc w:val="center"/>
              <w:rPr>
                <w:b/>
                <w:sz w:val="20"/>
                <w:szCs w:val="20"/>
                <w:u w:color="000000"/>
              </w:rPr>
            </w:pPr>
          </w:p>
          <w:p w14:paraId="0515F4D3" w14:textId="77777777" w:rsidR="001F7DED" w:rsidRPr="00554FD8" w:rsidRDefault="001F7DED" w:rsidP="003503DE">
            <w:pPr>
              <w:pStyle w:val="Prrafodelista"/>
              <w:snapToGrid w:val="0"/>
              <w:ind w:left="170" w:right="170"/>
              <w:jc w:val="center"/>
              <w:rPr>
                <w:sz w:val="20"/>
                <w:szCs w:val="20"/>
                <w:u w:color="000000"/>
              </w:rPr>
            </w:pPr>
            <w:r w:rsidRPr="00554FD8">
              <w:rPr>
                <w:sz w:val="20"/>
                <w:szCs w:val="20"/>
                <w:u w:color="000000"/>
              </w:rPr>
              <w:t xml:space="preserve">CERTIFICA: </w:t>
            </w:r>
          </w:p>
          <w:p w14:paraId="365DEA71" w14:textId="77777777" w:rsidR="001F7DED" w:rsidRPr="00554FD8" w:rsidRDefault="001F7DED" w:rsidP="003503DE">
            <w:pPr>
              <w:pStyle w:val="Prrafodelista"/>
              <w:snapToGrid w:val="0"/>
              <w:ind w:left="170" w:right="170"/>
              <w:jc w:val="center"/>
              <w:rPr>
                <w:sz w:val="20"/>
                <w:szCs w:val="20"/>
                <w:u w:color="000000"/>
              </w:rPr>
            </w:pPr>
          </w:p>
          <w:p w14:paraId="4BF7B5D6" w14:textId="77777777" w:rsidR="001F7DED" w:rsidRPr="00554FD8" w:rsidRDefault="001F7DED" w:rsidP="003503DE">
            <w:pPr>
              <w:pStyle w:val="Prrafodelista"/>
              <w:snapToGrid w:val="0"/>
              <w:ind w:left="170" w:right="170"/>
              <w:jc w:val="both"/>
              <w:rPr>
                <w:sz w:val="20"/>
                <w:szCs w:val="20"/>
                <w:u w:color="000000"/>
              </w:rPr>
            </w:pPr>
            <w:r w:rsidRPr="00554FD8">
              <w:rPr>
                <w:sz w:val="20"/>
                <w:szCs w:val="20"/>
                <w:u w:color="000000"/>
              </w:rPr>
              <w:t xml:space="preserve">Que, en las sesiones plenaria [sic] del Senado de la República de los días 02, 03, y 05 de mayo de 2023, al momento de discutir y votar los artículo 336, 337 y el </w:t>
            </w:r>
            <w:r w:rsidRPr="00554FD8">
              <w:rPr>
                <w:b/>
                <w:sz w:val="20"/>
                <w:szCs w:val="20"/>
                <w:u w:color="000000"/>
              </w:rPr>
              <w:t>Informe de Conciliación al Proyecto de ley número 274 de 2023 Senado, 338 de 2024 Cámara</w:t>
            </w:r>
            <w:r w:rsidRPr="00554FD8">
              <w:rPr>
                <w:sz w:val="20"/>
                <w:szCs w:val="20"/>
                <w:u w:color="000000"/>
              </w:rPr>
              <w:t xml:space="preserve">: “Por el cual se expide el Plan Nacional de Desarrollo 2022-2026 “Colombia Potencia Mundial de la Vida”, el Senado de la República estaba conformado por 106 honorables Senadores. </w:t>
            </w:r>
          </w:p>
          <w:p w14:paraId="7907A2D6" w14:textId="77777777" w:rsidR="001F7DED" w:rsidRPr="00554FD8" w:rsidRDefault="001F7DED" w:rsidP="003503DE">
            <w:pPr>
              <w:pStyle w:val="Prrafodelista"/>
              <w:snapToGrid w:val="0"/>
              <w:ind w:left="170" w:right="170"/>
              <w:jc w:val="both"/>
              <w:rPr>
                <w:b/>
                <w:sz w:val="20"/>
                <w:szCs w:val="20"/>
                <w:u w:color="000000"/>
              </w:rPr>
            </w:pPr>
          </w:p>
          <w:p w14:paraId="30F92E49" w14:textId="4CDFDA7D" w:rsidR="001F7DED" w:rsidRPr="0094131C" w:rsidRDefault="001F7DED" w:rsidP="0094131C">
            <w:pPr>
              <w:pStyle w:val="Prrafodelista"/>
              <w:snapToGrid w:val="0"/>
              <w:ind w:left="170" w:right="170"/>
              <w:jc w:val="both"/>
              <w:rPr>
                <w:u w:color="000000"/>
              </w:rPr>
            </w:pPr>
            <w:r w:rsidRPr="0094131C">
              <w:rPr>
                <w:sz w:val="20"/>
                <w:szCs w:val="20"/>
                <w:u w:color="000000"/>
              </w:rPr>
              <w:t xml:space="preserve">Que, para la sesión plenaria del Senado de la República el día 04 de junio de 2024 y en cumplimiento del auto 705 del 10 de abril de 2024 proferido por la Corte Constitucional al momento de la discusión y aprobar el </w:t>
            </w:r>
            <w:r w:rsidRPr="0094131C">
              <w:rPr>
                <w:b/>
                <w:sz w:val="20"/>
                <w:szCs w:val="20"/>
                <w:u w:color="000000"/>
              </w:rPr>
              <w:t>Informe de Conciliación al Proyecto de ley número 274 de 2023 Senado, 338 de 2024 Cámara</w:t>
            </w:r>
            <w:r w:rsidRPr="0094131C">
              <w:rPr>
                <w:sz w:val="20"/>
                <w:szCs w:val="20"/>
                <w:u w:color="000000"/>
              </w:rPr>
              <w:t>: “Por el cual se expide el Plan Nacional de Desarrollo 2022-2026 “Colombia Potencia Mundial de la Vida”, el Senado de la República estaba conformado por 105 honorables Senadores</w:t>
            </w:r>
            <w:r w:rsidRPr="000E2455">
              <w:rPr>
                <w:sz w:val="20"/>
                <w:szCs w:val="20"/>
                <w:u w:color="000000"/>
              </w:rPr>
              <w:t>” (énfasis en el original)</w:t>
            </w:r>
            <w:r w:rsidRPr="0094131C">
              <w:rPr>
                <w:rStyle w:val="Refdenotaalpie"/>
                <w:sz w:val="20"/>
                <w:szCs w:val="20"/>
                <w:u w:color="000000"/>
              </w:rPr>
              <w:footnoteReference w:id="43"/>
            </w:r>
            <w:r w:rsidRPr="000E2455">
              <w:rPr>
                <w:sz w:val="20"/>
                <w:szCs w:val="20"/>
                <w:u w:color="000000"/>
              </w:rPr>
              <w:t>.</w:t>
            </w:r>
            <w:r w:rsidRPr="0094131C">
              <w:rPr>
                <w:u w:color="000000"/>
              </w:rPr>
              <w:t xml:space="preserve"> </w:t>
            </w:r>
          </w:p>
        </w:tc>
      </w:tr>
      <w:tr w:rsidR="001F7DED" w:rsidRPr="00554FD8" w14:paraId="008334B2" w14:textId="77777777" w:rsidTr="00BA77A1">
        <w:trPr>
          <w:trHeight w:val="261"/>
          <w:jc w:val="center"/>
        </w:trPr>
        <w:tc>
          <w:tcPr>
            <w:tcW w:w="881" w:type="pct"/>
            <w:shd w:val="clear" w:color="auto" w:fill="B8CCE4" w:themeFill="accent1" w:themeFillTint="66"/>
          </w:tcPr>
          <w:p w14:paraId="32510348" w14:textId="6A8C2D1B" w:rsidR="001F7DED" w:rsidRPr="00554FD8" w:rsidRDefault="001F7DED" w:rsidP="001F7DED">
            <w:pPr>
              <w:pStyle w:val="Prrafodelista"/>
              <w:tabs>
                <w:tab w:val="left" w:pos="567"/>
              </w:tabs>
              <w:spacing w:line="240" w:lineRule="atLeast"/>
              <w:ind w:left="0"/>
              <w:jc w:val="center"/>
              <w:rPr>
                <w:bCs/>
                <w:sz w:val="20"/>
                <w:szCs w:val="20"/>
              </w:rPr>
            </w:pPr>
            <w:r w:rsidRPr="00554FD8">
              <w:rPr>
                <w:sz w:val="20"/>
                <w:szCs w:val="20"/>
              </w:rPr>
              <w:t>Secretaría General de la Cámara de Representantes</w:t>
            </w:r>
            <w:r w:rsidRPr="00554FD8">
              <w:rPr>
                <w:rStyle w:val="Refdenotaalpie"/>
                <w:sz w:val="20"/>
                <w:szCs w:val="20"/>
              </w:rPr>
              <w:footnoteReference w:id="44"/>
            </w:r>
          </w:p>
        </w:tc>
        <w:tc>
          <w:tcPr>
            <w:tcW w:w="4119" w:type="pct"/>
          </w:tcPr>
          <w:p w14:paraId="2F5D80A0" w14:textId="77777777"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Mediante oficio n.° SG.2-365/2025, la entidad aportó copia de la siguiente documentación: </w:t>
            </w:r>
          </w:p>
          <w:p w14:paraId="311C546A" w14:textId="77777777" w:rsidR="001F7DED" w:rsidRPr="00554FD8" w:rsidRDefault="001F7DED" w:rsidP="001F7DED">
            <w:pPr>
              <w:pStyle w:val="Prrafodelista"/>
              <w:tabs>
                <w:tab w:val="left" w:pos="567"/>
              </w:tabs>
              <w:spacing w:line="240" w:lineRule="atLeast"/>
              <w:ind w:left="0"/>
              <w:jc w:val="both"/>
              <w:rPr>
                <w:bCs/>
                <w:sz w:val="20"/>
                <w:szCs w:val="20"/>
              </w:rPr>
            </w:pPr>
          </w:p>
          <w:p w14:paraId="26DF3BA1" w14:textId="4789476E" w:rsidR="001F7DED" w:rsidRPr="00554FD8" w:rsidRDefault="001F7DED" w:rsidP="0003283E">
            <w:pPr>
              <w:pStyle w:val="Prrafodelista"/>
              <w:numPr>
                <w:ilvl w:val="0"/>
                <w:numId w:val="3"/>
              </w:numPr>
              <w:snapToGrid w:val="0"/>
              <w:jc w:val="both"/>
              <w:rPr>
                <w:sz w:val="20"/>
                <w:szCs w:val="20"/>
                <w:u w:color="000000"/>
              </w:rPr>
            </w:pPr>
            <w:r w:rsidRPr="00554FD8">
              <w:rPr>
                <w:bCs/>
                <w:sz w:val="20"/>
                <w:szCs w:val="20"/>
              </w:rPr>
              <w:t xml:space="preserve">Ficha técnica del proyecto de ley </w:t>
            </w:r>
            <w:r w:rsidRPr="00554FD8">
              <w:rPr>
                <w:sz w:val="20"/>
                <w:szCs w:val="20"/>
              </w:rPr>
              <w:t>n.° 274 de 2023 Senado, 338 de 2023 Cámara</w:t>
            </w:r>
            <w:r w:rsidR="00251F78" w:rsidRPr="00554FD8">
              <w:rPr>
                <w:sz w:val="20"/>
                <w:szCs w:val="20"/>
              </w:rPr>
              <w:t xml:space="preserve"> e</w:t>
            </w:r>
            <w:r w:rsidRPr="00554FD8">
              <w:rPr>
                <w:sz w:val="20"/>
                <w:szCs w:val="20"/>
              </w:rPr>
              <w:t>n la que constan los datos de los ponentes en cada debate, los integrantes de la comisión accidental de conciliación, las fechas de anuncios, discusión y votación y la información relacionada con las actas de cada sesión</w:t>
            </w:r>
            <w:r w:rsidR="00251F78" w:rsidRPr="00554FD8">
              <w:rPr>
                <w:sz w:val="20"/>
                <w:szCs w:val="20"/>
              </w:rPr>
              <w:t>, así como</w:t>
            </w:r>
            <w:r w:rsidRPr="00554FD8">
              <w:rPr>
                <w:sz w:val="20"/>
                <w:szCs w:val="20"/>
              </w:rPr>
              <w:t xml:space="preserve"> la identificación de las gacetas en las que fueron publicadas. </w:t>
            </w:r>
          </w:p>
          <w:p w14:paraId="5CFF5026" w14:textId="77777777" w:rsidR="001F7DED" w:rsidRPr="00554FD8" w:rsidRDefault="001F7DED" w:rsidP="001F7DED">
            <w:pPr>
              <w:snapToGrid w:val="0"/>
              <w:jc w:val="both"/>
              <w:rPr>
                <w:sz w:val="20"/>
                <w:szCs w:val="20"/>
                <w:u w:color="000000"/>
              </w:rPr>
            </w:pPr>
          </w:p>
          <w:p w14:paraId="49B2B8A4" w14:textId="788619AE"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Copia de la proposición modificatoria por medio de la cual se incluyeron las normas acusadas en el proyecto de ley de la referencia. Proposición radicada el 1 de mayo de 2023 y aprobada en la sesión plenaria del 4 de mayo de 2023, de conformidad con lo expuesto en la Gaceta n.° 1143 de 2023</w:t>
            </w:r>
            <w:r w:rsidRPr="00554FD8">
              <w:rPr>
                <w:rStyle w:val="Refdenotaalpie"/>
                <w:sz w:val="20"/>
                <w:szCs w:val="20"/>
                <w:u w:color="000000"/>
              </w:rPr>
              <w:footnoteReference w:id="45"/>
            </w:r>
            <w:r w:rsidRPr="00554FD8">
              <w:rPr>
                <w:sz w:val="20"/>
                <w:szCs w:val="20"/>
                <w:u w:color="000000"/>
              </w:rPr>
              <w:t xml:space="preserve">. </w:t>
            </w:r>
          </w:p>
          <w:p w14:paraId="68624890" w14:textId="77777777" w:rsidR="001F7DED" w:rsidRPr="00554FD8" w:rsidRDefault="001F7DED" w:rsidP="001F7DED">
            <w:pPr>
              <w:snapToGrid w:val="0"/>
              <w:jc w:val="both"/>
              <w:rPr>
                <w:sz w:val="20"/>
                <w:szCs w:val="20"/>
                <w:u w:color="000000"/>
              </w:rPr>
            </w:pPr>
          </w:p>
          <w:p w14:paraId="1D86A61D" w14:textId="77777777" w:rsidR="001F7DED" w:rsidRPr="00554FD8" w:rsidRDefault="001F7DED" w:rsidP="0003283E">
            <w:pPr>
              <w:pStyle w:val="Prrafodelista"/>
              <w:numPr>
                <w:ilvl w:val="0"/>
                <w:numId w:val="3"/>
              </w:numPr>
              <w:snapToGrid w:val="0"/>
              <w:jc w:val="both"/>
              <w:rPr>
                <w:sz w:val="20"/>
                <w:szCs w:val="20"/>
                <w:u w:color="000000"/>
              </w:rPr>
            </w:pPr>
            <w:r w:rsidRPr="00554FD8">
              <w:rPr>
                <w:sz w:val="20"/>
                <w:szCs w:val="20"/>
                <w:u w:color="000000"/>
              </w:rPr>
              <w:t>Las gacetas del Congreso de la República en las que consta el trámite legislativo seguido en el proyecto de ley de la referencia, así como las actas de sesiones en las que se anunció, discutió y aprobó el mismo:</w:t>
            </w:r>
          </w:p>
          <w:p w14:paraId="519F6C4B"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18 de 2023 (exposición de motivos del proyecto de ley </w:t>
            </w:r>
            <w:r w:rsidRPr="00554FD8">
              <w:rPr>
                <w:sz w:val="20"/>
                <w:szCs w:val="20"/>
              </w:rPr>
              <w:t>n.° 274 de 2023 Senado, 338 de 2023 Cámara).</w:t>
            </w:r>
          </w:p>
          <w:p w14:paraId="6C0A5734"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180 de 2023 (ponencia primer debate)</w:t>
            </w:r>
          </w:p>
          <w:p w14:paraId="63C05D8D"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182 de 2023 (ponencia negativa para primer debate)</w:t>
            </w:r>
          </w:p>
          <w:p w14:paraId="65D1C735"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504 de 2023 (acta 002 de la sesión conjunta del 20 de marzo de 2023 entre las comisiones terceras y cuartas de la Cámara de Representantes y del Senado de la República – anuncio previo para primer debate). </w:t>
            </w:r>
          </w:p>
          <w:p w14:paraId="3BD4260E"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858 de 2023 (acta 003 de la sesión conjunta del 21 de marzo de 2023 – inició trámite de primer debate).</w:t>
            </w:r>
          </w:p>
          <w:p w14:paraId="54C4ACD8"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859 de 2023 (acta 004 de la sesión conjunta del 22 de marzo de 2023 – continúa con el trámite en primer debate). </w:t>
            </w:r>
          </w:p>
          <w:p w14:paraId="1827B86E"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860 de 2023 (acta 005 de la sesión conjunta del 23 de marzo de 2023 – aprobación en primer debate). </w:t>
            </w:r>
          </w:p>
          <w:p w14:paraId="46DB2542"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274 de 2023 (publicación texto aprobado en primer debate). </w:t>
            </w:r>
          </w:p>
          <w:p w14:paraId="603131E3"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388 de 2023 (ponencia para segundo debate)</w:t>
            </w:r>
          </w:p>
          <w:p w14:paraId="5A53B44B"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1095 de 2023 (acta 51 de la sesión plenaria del 26 de abril de 2023de la Cámara de Representantes – anuncio previo). </w:t>
            </w:r>
          </w:p>
          <w:p w14:paraId="5838917D"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904 de 2023 (acta 52 de la sesión plenaria del 28 de abril de 2023 – anuncio previo). </w:t>
            </w:r>
          </w:p>
          <w:p w14:paraId="0D324600"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892 de 2023 (acta 53 de la sesión plenaria del 2 de mayo de 2023 – inicio trámite segundo debate)</w:t>
            </w:r>
          </w:p>
          <w:p w14:paraId="5CB41C74"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1311 de 2023 (acta 54 de la sesión plenaria del 3 de mayo de 2023 – continuidad trámite segundo debate). </w:t>
            </w:r>
          </w:p>
          <w:p w14:paraId="04B47FA9"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1143 de 2023 (acta 55 de la sesión plenaria del 4 de mayo de 2023 – discusión y aprobación de las normas demandadas). </w:t>
            </w:r>
          </w:p>
          <w:p w14:paraId="1B9230FE" w14:textId="77777777" w:rsidR="001F7DED" w:rsidRPr="00554FD8" w:rsidRDefault="001F7DED" w:rsidP="0003283E">
            <w:pPr>
              <w:pStyle w:val="Prrafodelista"/>
              <w:numPr>
                <w:ilvl w:val="0"/>
                <w:numId w:val="5"/>
              </w:numPr>
              <w:snapToGrid w:val="0"/>
              <w:jc w:val="both"/>
              <w:rPr>
                <w:sz w:val="20"/>
                <w:szCs w:val="20"/>
                <w:u w:color="000000"/>
              </w:rPr>
            </w:pPr>
            <w:r w:rsidRPr="00554FD8">
              <w:rPr>
                <w:sz w:val="20"/>
                <w:szCs w:val="20"/>
                <w:u w:color="000000"/>
              </w:rPr>
              <w:t xml:space="preserve">923 de 2023 (acta 56 de la sesión plenaria del 5 de mayo de 2023 – aprobación del informe de conciliación).  </w:t>
            </w:r>
          </w:p>
          <w:p w14:paraId="526E3566" w14:textId="77777777" w:rsidR="001F7DED" w:rsidRPr="00554FD8" w:rsidRDefault="001F7DED" w:rsidP="001F7DED">
            <w:pPr>
              <w:pStyle w:val="Prrafodelista"/>
              <w:snapToGrid w:val="0"/>
              <w:ind w:left="1080"/>
              <w:jc w:val="both"/>
              <w:rPr>
                <w:sz w:val="20"/>
                <w:szCs w:val="20"/>
                <w:u w:color="000000"/>
              </w:rPr>
            </w:pPr>
          </w:p>
          <w:p w14:paraId="69035B93" w14:textId="77777777" w:rsidR="001F7DED" w:rsidRPr="00554FD8" w:rsidRDefault="001F7DED" w:rsidP="0003283E">
            <w:pPr>
              <w:pStyle w:val="Prrafodelista"/>
              <w:numPr>
                <w:ilvl w:val="0"/>
                <w:numId w:val="3"/>
              </w:numPr>
              <w:tabs>
                <w:tab w:val="left" w:pos="567"/>
              </w:tabs>
              <w:spacing w:line="240" w:lineRule="atLeast"/>
              <w:jc w:val="both"/>
              <w:rPr>
                <w:bCs/>
                <w:sz w:val="20"/>
                <w:szCs w:val="20"/>
              </w:rPr>
            </w:pPr>
            <w:r w:rsidRPr="00554FD8">
              <w:rPr>
                <w:bCs/>
                <w:sz w:val="20"/>
                <w:szCs w:val="20"/>
              </w:rPr>
              <w:t>Grabaciones audiovisuales de las sesiones del 2, 3, 4 y 5 de mayo de 2023.</w:t>
            </w:r>
          </w:p>
          <w:p w14:paraId="40DD0838" w14:textId="77777777" w:rsidR="001F7DED" w:rsidRPr="00554FD8" w:rsidRDefault="001F7DED" w:rsidP="001F7DED">
            <w:pPr>
              <w:pStyle w:val="Prrafodelista"/>
              <w:tabs>
                <w:tab w:val="left" w:pos="567"/>
              </w:tabs>
              <w:spacing w:line="240" w:lineRule="atLeast"/>
              <w:ind w:left="360"/>
              <w:jc w:val="both"/>
              <w:rPr>
                <w:bCs/>
                <w:sz w:val="20"/>
                <w:szCs w:val="20"/>
              </w:rPr>
            </w:pPr>
            <w:r w:rsidRPr="00554FD8">
              <w:rPr>
                <w:bCs/>
                <w:sz w:val="20"/>
                <w:szCs w:val="20"/>
              </w:rPr>
              <w:t xml:space="preserve"> </w:t>
            </w:r>
          </w:p>
          <w:p w14:paraId="7A9122CF" w14:textId="77777777" w:rsidR="001F7DED" w:rsidRPr="00554FD8" w:rsidRDefault="001F7DED" w:rsidP="0003283E">
            <w:pPr>
              <w:pStyle w:val="Prrafodelista"/>
              <w:numPr>
                <w:ilvl w:val="0"/>
                <w:numId w:val="3"/>
              </w:numPr>
              <w:snapToGrid w:val="0"/>
              <w:jc w:val="both"/>
              <w:rPr>
                <w:sz w:val="20"/>
                <w:szCs w:val="20"/>
                <w:u w:color="000000"/>
              </w:rPr>
            </w:pPr>
            <w:r w:rsidRPr="00554FD8">
              <w:rPr>
                <w:bCs/>
                <w:sz w:val="20"/>
                <w:szCs w:val="20"/>
              </w:rPr>
              <w:t xml:space="preserve">Certificación </w:t>
            </w:r>
            <w:r w:rsidRPr="00554FD8">
              <w:rPr>
                <w:sz w:val="20"/>
                <w:szCs w:val="20"/>
                <w:u w:color="000000"/>
              </w:rPr>
              <w:t xml:space="preserve">de los miembros del Senado de la República que integraron las sesiones al momento de discutir y votar los artículos 336 y 337 de la Ley 2294 de 2023. En esta se informa lo siguiente: </w:t>
            </w:r>
          </w:p>
          <w:p w14:paraId="2CF15091" w14:textId="77777777" w:rsidR="001F7DED" w:rsidRPr="00554FD8" w:rsidRDefault="001F7DED" w:rsidP="001F7DED">
            <w:pPr>
              <w:pStyle w:val="Prrafodelista"/>
              <w:snapToGrid w:val="0"/>
              <w:ind w:left="360"/>
              <w:jc w:val="both"/>
              <w:rPr>
                <w:sz w:val="20"/>
                <w:szCs w:val="20"/>
                <w:u w:color="000000"/>
              </w:rPr>
            </w:pPr>
          </w:p>
          <w:p w14:paraId="40AC9DC6" w14:textId="77777777" w:rsidR="001F7DED" w:rsidRPr="00554FD8" w:rsidRDefault="001F7DED" w:rsidP="003503DE">
            <w:pPr>
              <w:pStyle w:val="Prrafodelista"/>
              <w:snapToGrid w:val="0"/>
              <w:ind w:left="170" w:right="170"/>
              <w:jc w:val="both"/>
              <w:rPr>
                <w:sz w:val="20"/>
                <w:szCs w:val="20"/>
                <w:u w:color="000000"/>
              </w:rPr>
            </w:pPr>
            <w:r w:rsidRPr="00554FD8">
              <w:rPr>
                <w:sz w:val="20"/>
                <w:szCs w:val="20"/>
                <w:u w:color="000000"/>
              </w:rPr>
              <w:t xml:space="preserve">“Esta Secretaría, en el marco de su competencia, se permite se permite [sic] </w:t>
            </w:r>
            <w:r w:rsidRPr="00554FD8">
              <w:rPr>
                <w:b/>
                <w:sz w:val="20"/>
                <w:szCs w:val="20"/>
                <w:u w:color="000000"/>
              </w:rPr>
              <w:t>CERTIFICAR</w:t>
            </w:r>
            <w:r w:rsidRPr="00554FD8">
              <w:rPr>
                <w:sz w:val="20"/>
                <w:szCs w:val="20"/>
                <w:u w:color="000000"/>
              </w:rPr>
              <w:t xml:space="preserve"> que: </w:t>
            </w:r>
          </w:p>
          <w:p w14:paraId="392D7944" w14:textId="77777777" w:rsidR="001F7DED" w:rsidRPr="00554FD8" w:rsidRDefault="001F7DED" w:rsidP="003503DE">
            <w:pPr>
              <w:pStyle w:val="Prrafodelista"/>
              <w:snapToGrid w:val="0"/>
              <w:ind w:left="170" w:right="170"/>
              <w:jc w:val="both"/>
              <w:rPr>
                <w:sz w:val="20"/>
                <w:szCs w:val="20"/>
                <w:u w:color="000000"/>
              </w:rPr>
            </w:pPr>
          </w:p>
          <w:p w14:paraId="2091F25B" w14:textId="77777777" w:rsidR="001F7DED" w:rsidRPr="00554FD8" w:rsidRDefault="001F7DED" w:rsidP="003503DE">
            <w:pPr>
              <w:pStyle w:val="Prrafodelista"/>
              <w:snapToGrid w:val="0"/>
              <w:ind w:left="170" w:right="170"/>
              <w:jc w:val="both"/>
              <w:rPr>
                <w:sz w:val="20"/>
                <w:szCs w:val="20"/>
                <w:u w:color="000000"/>
              </w:rPr>
            </w:pPr>
            <w:r w:rsidRPr="00554FD8">
              <w:rPr>
                <w:sz w:val="20"/>
                <w:szCs w:val="20"/>
                <w:u w:color="000000"/>
              </w:rPr>
              <w:t xml:space="preserve">a) Para la Sesión Plenaria Ordinara realizada el día marte dos (2) de mayo de 2023, en la que se dio trámite en Segundo Debate en Cámara de Representantes, del Proyecto de Ley No. 338 de 2023 Cámara – 274 de 2023 Senado, la Corporación estaba integrada por </w:t>
            </w:r>
            <w:r w:rsidRPr="00554FD8">
              <w:rPr>
                <w:b/>
                <w:sz w:val="20"/>
                <w:szCs w:val="20"/>
                <w:u w:color="000000"/>
              </w:rPr>
              <w:t>CIENTO OCHENTA Y SIETE (187)</w:t>
            </w:r>
            <w:r w:rsidRPr="00554FD8">
              <w:rPr>
                <w:sz w:val="20"/>
                <w:szCs w:val="20"/>
                <w:u w:color="000000"/>
              </w:rPr>
              <w:t xml:space="preserve"> Representantes a la Cámara y, con ocasión de dicho trámite, fueron negados todos los </w:t>
            </w:r>
            <w:r w:rsidRPr="00554FD8">
              <w:rPr>
                <w:b/>
                <w:sz w:val="20"/>
                <w:szCs w:val="20"/>
                <w:u w:color="000000"/>
              </w:rPr>
              <w:t xml:space="preserve">IMPEDIMENTOS </w:t>
            </w:r>
            <w:r w:rsidRPr="00554FD8">
              <w:rPr>
                <w:sz w:val="20"/>
                <w:szCs w:val="20"/>
                <w:u w:color="000000"/>
              </w:rPr>
              <w:t xml:space="preserve">radicados, tal como se evidencia en la Gaceta del Congreso No. 982 de julio 21 de 2023, específicamente, remitirse a las páginas 9 a la 24; así mismo, en dicha sesión no fueron presentadas </w:t>
            </w:r>
            <w:r w:rsidRPr="00554FD8">
              <w:rPr>
                <w:b/>
                <w:sz w:val="20"/>
                <w:szCs w:val="20"/>
                <w:u w:color="000000"/>
              </w:rPr>
              <w:t>RECUSACIONES</w:t>
            </w:r>
            <w:r w:rsidRPr="00554FD8">
              <w:rPr>
                <w:sz w:val="20"/>
                <w:szCs w:val="20"/>
                <w:u w:color="000000"/>
              </w:rPr>
              <w:t xml:space="preserve"> en contra de los Congresistas (páginas 9 a la 73). </w:t>
            </w:r>
          </w:p>
          <w:p w14:paraId="1A0B5FEF" w14:textId="77777777" w:rsidR="001F7DED" w:rsidRPr="00554FD8" w:rsidRDefault="001F7DED" w:rsidP="003503DE">
            <w:pPr>
              <w:pStyle w:val="Prrafodelista"/>
              <w:snapToGrid w:val="0"/>
              <w:ind w:left="170" w:right="170"/>
              <w:jc w:val="both"/>
              <w:rPr>
                <w:sz w:val="20"/>
                <w:szCs w:val="20"/>
                <w:u w:color="000000"/>
              </w:rPr>
            </w:pPr>
          </w:p>
          <w:p w14:paraId="416C0341" w14:textId="77777777" w:rsidR="001F7DED" w:rsidRPr="00554FD8" w:rsidRDefault="001F7DED" w:rsidP="003503DE">
            <w:pPr>
              <w:pStyle w:val="Prrafodelista"/>
              <w:snapToGrid w:val="0"/>
              <w:ind w:left="170" w:right="170"/>
              <w:jc w:val="both"/>
              <w:rPr>
                <w:sz w:val="20"/>
                <w:szCs w:val="20"/>
                <w:u w:color="000000"/>
              </w:rPr>
            </w:pPr>
            <w:r w:rsidRPr="00554FD8">
              <w:rPr>
                <w:sz w:val="20"/>
                <w:szCs w:val="20"/>
                <w:u w:color="000000"/>
              </w:rPr>
              <w:t xml:space="preserve">b) Para la Sesión Plenaria Ordinaria realizada el día miércoles tres (3) de mayo de 2023, en la que continuó el trámite en Segundo Debate en Cámara de Representantes, del Proyecto de Ley No. 338 de 2023 Cámara – 274 de 2023 Senado, la Corporación estaba integrada por </w:t>
            </w:r>
            <w:r w:rsidRPr="00554FD8">
              <w:rPr>
                <w:b/>
                <w:sz w:val="20"/>
                <w:szCs w:val="20"/>
                <w:u w:color="000000"/>
              </w:rPr>
              <w:t>CIENTO OCHENTA Y SIETE (187)</w:t>
            </w:r>
            <w:r w:rsidRPr="00554FD8">
              <w:rPr>
                <w:sz w:val="20"/>
                <w:szCs w:val="20"/>
                <w:u w:color="000000"/>
              </w:rPr>
              <w:t xml:space="preserve"> Representantes a la Cámara y, con ocasión del mismo, no fueron tramitados </w:t>
            </w:r>
            <w:r w:rsidRPr="00554FD8">
              <w:rPr>
                <w:b/>
                <w:sz w:val="20"/>
                <w:szCs w:val="20"/>
                <w:u w:color="000000"/>
              </w:rPr>
              <w:t>IMPEDIMENTOS</w:t>
            </w:r>
            <w:r w:rsidRPr="00554FD8">
              <w:rPr>
                <w:sz w:val="20"/>
                <w:szCs w:val="20"/>
                <w:u w:color="000000"/>
              </w:rPr>
              <w:t xml:space="preserve">, tampoco </w:t>
            </w:r>
            <w:r w:rsidRPr="00554FD8">
              <w:rPr>
                <w:b/>
                <w:sz w:val="20"/>
                <w:szCs w:val="20"/>
                <w:u w:color="000000"/>
              </w:rPr>
              <w:t>RECUSACIONES</w:t>
            </w:r>
            <w:r w:rsidRPr="00554FD8">
              <w:rPr>
                <w:sz w:val="20"/>
                <w:szCs w:val="20"/>
                <w:u w:color="000000"/>
              </w:rPr>
              <w:t xml:space="preserve">, tal como se evidencia en la Gaceta del Congreso No. 1311 de septiembre 20 de 2023 (páginas 13 a la 126). </w:t>
            </w:r>
          </w:p>
          <w:p w14:paraId="67C5ADA0" w14:textId="77777777" w:rsidR="001F7DED" w:rsidRPr="00554FD8" w:rsidRDefault="001F7DED" w:rsidP="003503DE">
            <w:pPr>
              <w:pStyle w:val="Prrafodelista"/>
              <w:snapToGrid w:val="0"/>
              <w:ind w:left="170" w:right="170"/>
              <w:jc w:val="both"/>
              <w:rPr>
                <w:sz w:val="20"/>
                <w:szCs w:val="20"/>
                <w:u w:color="000000"/>
              </w:rPr>
            </w:pPr>
          </w:p>
          <w:p w14:paraId="25A2CB3D" w14:textId="492C3117" w:rsidR="001F7DED" w:rsidRPr="00554FD8" w:rsidRDefault="001F7DED" w:rsidP="003503DE">
            <w:pPr>
              <w:pStyle w:val="Prrafodelista"/>
              <w:snapToGrid w:val="0"/>
              <w:ind w:left="170" w:right="170"/>
              <w:jc w:val="both"/>
              <w:rPr>
                <w:sz w:val="20"/>
                <w:szCs w:val="20"/>
                <w:u w:color="000000"/>
              </w:rPr>
            </w:pPr>
            <w:r w:rsidRPr="00554FD8">
              <w:rPr>
                <w:sz w:val="20"/>
                <w:szCs w:val="20"/>
                <w:u w:color="000000"/>
              </w:rPr>
              <w:t xml:space="preserve">c) Para la Sesión Plenaria Ordinaria realizada el jueves cuatro (4) de mayo de 2023, en la que culminó el trámite de Segundo Debate en Cámara de Representantes, del Proyecto de Ley No. 338 de 2023 Cámara – 274 de 2023 Senado, la Corporación estaba integrada por </w:t>
            </w:r>
            <w:r w:rsidRPr="00554FD8">
              <w:rPr>
                <w:b/>
                <w:sz w:val="20"/>
                <w:szCs w:val="20"/>
                <w:u w:color="000000"/>
              </w:rPr>
              <w:t>CIENTO OCHENTA Y SIETE (187)</w:t>
            </w:r>
            <w:r w:rsidRPr="00554FD8">
              <w:rPr>
                <w:sz w:val="20"/>
                <w:szCs w:val="20"/>
                <w:u w:color="000000"/>
              </w:rPr>
              <w:t xml:space="preserve"> Representantes a la Cámara y, con ocasión de este tr</w:t>
            </w:r>
            <w:r w:rsidR="003C43B3" w:rsidRPr="00554FD8">
              <w:rPr>
                <w:sz w:val="20"/>
                <w:szCs w:val="20"/>
                <w:u w:color="000000"/>
              </w:rPr>
              <w:t>á</w:t>
            </w:r>
            <w:r w:rsidRPr="00554FD8">
              <w:rPr>
                <w:sz w:val="20"/>
                <w:szCs w:val="20"/>
                <w:u w:color="000000"/>
              </w:rPr>
              <w:t>m</w:t>
            </w:r>
            <w:r w:rsidR="003C43B3" w:rsidRPr="00554FD8">
              <w:rPr>
                <w:sz w:val="20"/>
                <w:szCs w:val="20"/>
                <w:u w:color="000000"/>
              </w:rPr>
              <w:t>i</w:t>
            </w:r>
            <w:r w:rsidRPr="00554FD8">
              <w:rPr>
                <w:sz w:val="20"/>
                <w:szCs w:val="20"/>
                <w:u w:color="000000"/>
              </w:rPr>
              <w:t xml:space="preserve">te, no se gestionaron </w:t>
            </w:r>
            <w:r w:rsidRPr="00554FD8">
              <w:rPr>
                <w:b/>
                <w:sz w:val="20"/>
                <w:szCs w:val="20"/>
                <w:u w:color="000000"/>
              </w:rPr>
              <w:t xml:space="preserve">IMPEDIMENTOS </w:t>
            </w:r>
            <w:r w:rsidRPr="00554FD8">
              <w:rPr>
                <w:sz w:val="20"/>
                <w:szCs w:val="20"/>
                <w:u w:color="000000"/>
              </w:rPr>
              <w:t xml:space="preserve">o </w:t>
            </w:r>
            <w:r w:rsidRPr="00554FD8">
              <w:rPr>
                <w:b/>
                <w:sz w:val="20"/>
                <w:szCs w:val="20"/>
                <w:u w:color="000000"/>
              </w:rPr>
              <w:t>RECUSACIONES</w:t>
            </w:r>
            <w:r w:rsidRPr="00554FD8">
              <w:rPr>
                <w:sz w:val="20"/>
                <w:szCs w:val="20"/>
                <w:u w:color="000000"/>
              </w:rPr>
              <w:t xml:space="preserve">, tal como se evidencia en la Gaceta del Congreso No. 1143 de 2023 (páginas 22 a la 136). </w:t>
            </w:r>
          </w:p>
          <w:p w14:paraId="715B9D27" w14:textId="77777777" w:rsidR="001F7DED" w:rsidRPr="00554FD8" w:rsidRDefault="001F7DED" w:rsidP="001F7DED">
            <w:pPr>
              <w:pStyle w:val="Prrafodelista"/>
              <w:snapToGrid w:val="0"/>
              <w:ind w:left="360"/>
              <w:jc w:val="both"/>
              <w:rPr>
                <w:sz w:val="20"/>
                <w:szCs w:val="20"/>
                <w:u w:color="000000"/>
              </w:rPr>
            </w:pPr>
          </w:p>
          <w:p w14:paraId="68F7ABB5" w14:textId="62A8D1A2" w:rsidR="001F7DED" w:rsidRPr="00554FD8" w:rsidRDefault="001F7DED" w:rsidP="003503DE">
            <w:pPr>
              <w:snapToGrid w:val="0"/>
              <w:ind w:left="170" w:right="170"/>
              <w:jc w:val="both"/>
              <w:rPr>
                <w:bCs/>
                <w:sz w:val="20"/>
                <w:szCs w:val="20"/>
              </w:rPr>
            </w:pPr>
            <w:r w:rsidRPr="00554FD8">
              <w:rPr>
                <w:sz w:val="20"/>
                <w:szCs w:val="20"/>
                <w:u w:color="000000"/>
              </w:rPr>
              <w:t xml:space="preserve">d) Para la Sesión Plenaria Ordinaria realizada el día viernes cinco (5) de mayo de 2023, en la que se tramitó el Informe de Conciliación en Cámara de Representantes, del Proyecto de Ley No. 338 de 2023 Cámara – 274 de 2023 Senado, la Corporación estaba integrada por </w:t>
            </w:r>
            <w:r w:rsidRPr="00554FD8">
              <w:rPr>
                <w:b/>
                <w:sz w:val="20"/>
                <w:szCs w:val="20"/>
                <w:u w:color="000000"/>
              </w:rPr>
              <w:t>CIENTO OCHENTA Y SIETE (187)</w:t>
            </w:r>
            <w:r w:rsidRPr="00554FD8">
              <w:rPr>
                <w:sz w:val="20"/>
                <w:szCs w:val="20"/>
                <w:u w:color="000000"/>
              </w:rPr>
              <w:t xml:space="preserve"> Representantes a la Cámara y, con ocasión del trámite de dicho informe, no se radicaron </w:t>
            </w:r>
            <w:r w:rsidRPr="00554FD8">
              <w:rPr>
                <w:b/>
                <w:sz w:val="20"/>
                <w:szCs w:val="20"/>
                <w:u w:color="000000"/>
              </w:rPr>
              <w:t xml:space="preserve">IMPEDIMENTOS </w:t>
            </w:r>
            <w:r w:rsidRPr="00554FD8">
              <w:rPr>
                <w:sz w:val="20"/>
                <w:szCs w:val="20"/>
                <w:u w:color="000000"/>
              </w:rPr>
              <w:t xml:space="preserve">o </w:t>
            </w:r>
            <w:r w:rsidRPr="00554FD8">
              <w:rPr>
                <w:b/>
                <w:sz w:val="20"/>
                <w:szCs w:val="20"/>
                <w:u w:color="000000"/>
              </w:rPr>
              <w:t>RECUSACIONES</w:t>
            </w:r>
            <w:r w:rsidRPr="00554FD8">
              <w:rPr>
                <w:sz w:val="20"/>
                <w:szCs w:val="20"/>
                <w:u w:color="000000"/>
              </w:rPr>
              <w:t>, tal como se evidencia en la Gaceta del Congreso No. 923 de julio 27 de 2023 (páginas 11 a la 18)”</w:t>
            </w:r>
            <w:r w:rsidRPr="00554FD8">
              <w:rPr>
                <w:rStyle w:val="Refdenotaalpie"/>
                <w:sz w:val="20"/>
                <w:szCs w:val="20"/>
                <w:u w:color="000000"/>
              </w:rPr>
              <w:footnoteReference w:id="46"/>
            </w:r>
            <w:r w:rsidRPr="00554FD8">
              <w:rPr>
                <w:sz w:val="20"/>
                <w:szCs w:val="20"/>
                <w:u w:color="000000"/>
              </w:rPr>
              <w:t xml:space="preserve">. </w:t>
            </w:r>
          </w:p>
        </w:tc>
      </w:tr>
      <w:tr w:rsidR="001F7DED" w:rsidRPr="00554FD8" w14:paraId="50893F67" w14:textId="77777777" w:rsidTr="00BA77A1">
        <w:trPr>
          <w:trHeight w:val="261"/>
          <w:jc w:val="center"/>
        </w:trPr>
        <w:tc>
          <w:tcPr>
            <w:tcW w:w="881" w:type="pct"/>
            <w:shd w:val="clear" w:color="auto" w:fill="B8CCE4" w:themeFill="accent1" w:themeFillTint="66"/>
          </w:tcPr>
          <w:p w14:paraId="23A379B4" w14:textId="584A4030" w:rsidR="001F7DED" w:rsidRPr="00554FD8" w:rsidRDefault="001F7DED" w:rsidP="001F7DED">
            <w:pPr>
              <w:pStyle w:val="Prrafodelista"/>
              <w:tabs>
                <w:tab w:val="left" w:pos="567"/>
              </w:tabs>
              <w:spacing w:line="240" w:lineRule="atLeast"/>
              <w:ind w:left="0"/>
              <w:jc w:val="center"/>
              <w:rPr>
                <w:bCs/>
                <w:sz w:val="20"/>
                <w:szCs w:val="20"/>
              </w:rPr>
            </w:pPr>
            <w:r w:rsidRPr="00554FD8">
              <w:rPr>
                <w:bCs/>
                <w:sz w:val="20"/>
                <w:szCs w:val="20"/>
              </w:rPr>
              <w:t>Comisión Cuarta Constitucional Permanente de la Cámara de Representantes</w:t>
            </w:r>
            <w:r w:rsidRPr="00554FD8">
              <w:rPr>
                <w:rStyle w:val="Refdenotaalpie"/>
                <w:bCs/>
                <w:sz w:val="20"/>
                <w:szCs w:val="20"/>
              </w:rPr>
              <w:footnoteReference w:id="47"/>
            </w:r>
          </w:p>
        </w:tc>
        <w:tc>
          <w:tcPr>
            <w:tcW w:w="4119" w:type="pct"/>
          </w:tcPr>
          <w:p w14:paraId="77DC29F5" w14:textId="2DA17367" w:rsidR="001F7DED" w:rsidRPr="00554FD8" w:rsidRDefault="001F7DED" w:rsidP="001F7DED">
            <w:pPr>
              <w:snapToGrid w:val="0"/>
              <w:jc w:val="both"/>
              <w:rPr>
                <w:sz w:val="20"/>
                <w:szCs w:val="20"/>
              </w:rPr>
            </w:pPr>
            <w:r w:rsidRPr="00554FD8">
              <w:rPr>
                <w:bCs/>
                <w:sz w:val="20"/>
                <w:szCs w:val="20"/>
              </w:rPr>
              <w:t xml:space="preserve">Indicó que la entidad competente para responder de fondo sobre los trámites legislativos adelantados respecto del proyecto de ley </w:t>
            </w:r>
            <w:r w:rsidRPr="00554FD8">
              <w:rPr>
                <w:sz w:val="20"/>
                <w:szCs w:val="20"/>
              </w:rPr>
              <w:t xml:space="preserve">n.° 274 de 2023 Senado, 338 de 2023 Cámara es la Comisión Tercera Constitucional Permanente de la Cámara de Representantes, por cuanto dicha célula legislativa ejerció la presidencia de las Comisiones Económicas Conjuntas Terceras y Cuartas del Senado y de la Cámara durante la legislatura en la que se tramitó el proyecto de la referencia. </w:t>
            </w:r>
          </w:p>
          <w:p w14:paraId="5180AD68" w14:textId="6C094C8C" w:rsidR="001F7DED" w:rsidRPr="00554FD8" w:rsidRDefault="001F7DED" w:rsidP="001F7DED">
            <w:pPr>
              <w:snapToGrid w:val="0"/>
              <w:jc w:val="both"/>
              <w:rPr>
                <w:sz w:val="20"/>
                <w:szCs w:val="20"/>
                <w:u w:color="000000"/>
              </w:rPr>
            </w:pPr>
            <w:r w:rsidRPr="00554FD8">
              <w:rPr>
                <w:sz w:val="20"/>
                <w:szCs w:val="20"/>
                <w:u w:color="000000"/>
              </w:rPr>
              <w:t xml:space="preserve">No obstante, aportó copia de las gacetas 485, 504, 858, 859 y 869, todas de 2023. </w:t>
            </w:r>
          </w:p>
        </w:tc>
      </w:tr>
      <w:tr w:rsidR="001F7DED" w:rsidRPr="00554FD8" w14:paraId="62FA55C3" w14:textId="77777777" w:rsidTr="00BA77A1">
        <w:trPr>
          <w:trHeight w:val="261"/>
          <w:jc w:val="center"/>
        </w:trPr>
        <w:tc>
          <w:tcPr>
            <w:tcW w:w="881" w:type="pct"/>
            <w:shd w:val="clear" w:color="auto" w:fill="B8CCE4" w:themeFill="accent1" w:themeFillTint="66"/>
          </w:tcPr>
          <w:p w14:paraId="3C523D57" w14:textId="4E4BA438" w:rsidR="001F7DED" w:rsidRPr="00554FD8" w:rsidRDefault="001F7DED" w:rsidP="001F7DED">
            <w:pPr>
              <w:pStyle w:val="Prrafodelista"/>
              <w:tabs>
                <w:tab w:val="left" w:pos="567"/>
              </w:tabs>
              <w:spacing w:line="240" w:lineRule="atLeast"/>
              <w:ind w:left="0"/>
              <w:jc w:val="center"/>
              <w:rPr>
                <w:bCs/>
                <w:sz w:val="20"/>
                <w:szCs w:val="20"/>
              </w:rPr>
            </w:pPr>
            <w:r w:rsidRPr="00554FD8">
              <w:rPr>
                <w:bCs/>
                <w:sz w:val="20"/>
                <w:szCs w:val="20"/>
              </w:rPr>
              <w:t>Comisión Tercera Constitucional Permanente de la Cámara de Representantes</w:t>
            </w:r>
            <w:r w:rsidRPr="00554FD8">
              <w:rPr>
                <w:rStyle w:val="Refdenotaalpie"/>
                <w:bCs/>
                <w:sz w:val="20"/>
                <w:szCs w:val="20"/>
              </w:rPr>
              <w:footnoteReference w:id="48"/>
            </w:r>
          </w:p>
        </w:tc>
        <w:tc>
          <w:tcPr>
            <w:tcW w:w="4119" w:type="pct"/>
          </w:tcPr>
          <w:p w14:paraId="69ECA302" w14:textId="473DB089" w:rsidR="001F7DED" w:rsidRPr="00554FD8" w:rsidRDefault="001F7DED" w:rsidP="001F7DED">
            <w:pPr>
              <w:pStyle w:val="Prrafodelista"/>
              <w:tabs>
                <w:tab w:val="left" w:pos="567"/>
              </w:tabs>
              <w:spacing w:line="240" w:lineRule="atLeast"/>
              <w:ind w:left="0"/>
              <w:jc w:val="both"/>
              <w:rPr>
                <w:sz w:val="20"/>
                <w:szCs w:val="20"/>
              </w:rPr>
            </w:pPr>
            <w:r w:rsidRPr="00554FD8">
              <w:rPr>
                <w:bCs/>
                <w:sz w:val="20"/>
                <w:szCs w:val="20"/>
              </w:rPr>
              <w:t xml:space="preserve">La entidad remitió informe sobre el procedimiento legislativo adelantado respecto del proyecto de ley </w:t>
            </w:r>
            <w:r w:rsidRPr="00554FD8">
              <w:rPr>
                <w:sz w:val="20"/>
                <w:szCs w:val="20"/>
              </w:rPr>
              <w:t xml:space="preserve">n.° 274 de 2023 Senado, 338 de 2023 Cámara. En este identificó las gacetas en las cuales se encuentran las ponencias para debate, las actas de sesiones y las proposiciones estudiadas en el trámite legislativo. </w:t>
            </w:r>
          </w:p>
          <w:p w14:paraId="54F25ABA" w14:textId="24AA5A14"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Señaló que el estudio del proyecto de ley de la referencia fue anunciado en la sesión ordinaria conjunta de la Comisiones Económicas Terceras y Cuartas de la Cámara de Representantes y el Senado de la República el 20 de marzo de 2023. Posteriormente, la discusión continuó los días 21, 22, 23 y 24 de marzo de 2023 y en esta última sesión fue aprobado el articulado del proyecto. </w:t>
            </w:r>
          </w:p>
          <w:p w14:paraId="3A08142A" w14:textId="2BCDAFA5"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Finalmente, aportó copia de las gacetas n.° 180, 274, 388, 417, 428, 429, 485, 504, 858, 859 y 860, todas de 2023. </w:t>
            </w:r>
          </w:p>
        </w:tc>
      </w:tr>
      <w:tr w:rsidR="001F7DED" w:rsidRPr="00554FD8" w14:paraId="7009F0F7" w14:textId="77777777" w:rsidTr="00BA77A1">
        <w:trPr>
          <w:trHeight w:val="261"/>
          <w:jc w:val="center"/>
        </w:trPr>
        <w:tc>
          <w:tcPr>
            <w:tcW w:w="881" w:type="pct"/>
            <w:shd w:val="clear" w:color="auto" w:fill="B8CCE4" w:themeFill="accent1" w:themeFillTint="66"/>
          </w:tcPr>
          <w:p w14:paraId="548F41B0" w14:textId="5780AB8B" w:rsidR="001F7DED" w:rsidRPr="00554FD8" w:rsidRDefault="001F7DED" w:rsidP="001F7DED">
            <w:pPr>
              <w:pStyle w:val="Prrafodelista"/>
              <w:tabs>
                <w:tab w:val="left" w:pos="567"/>
              </w:tabs>
              <w:spacing w:line="240" w:lineRule="atLeast"/>
              <w:ind w:left="0"/>
              <w:jc w:val="center"/>
              <w:rPr>
                <w:bCs/>
                <w:sz w:val="20"/>
                <w:szCs w:val="20"/>
              </w:rPr>
            </w:pPr>
            <w:r w:rsidRPr="00554FD8">
              <w:rPr>
                <w:bCs/>
                <w:sz w:val="20"/>
                <w:szCs w:val="20"/>
              </w:rPr>
              <w:t>Registraduría Nacional del Estado Civil</w:t>
            </w:r>
            <w:r w:rsidRPr="00554FD8">
              <w:rPr>
                <w:rStyle w:val="Refdenotaalpie"/>
                <w:bCs/>
                <w:sz w:val="20"/>
                <w:szCs w:val="20"/>
              </w:rPr>
              <w:footnoteReference w:id="49"/>
            </w:r>
          </w:p>
        </w:tc>
        <w:tc>
          <w:tcPr>
            <w:tcW w:w="4119" w:type="pct"/>
          </w:tcPr>
          <w:p w14:paraId="16D7CE16" w14:textId="2C2BDF0B" w:rsidR="001F7DED" w:rsidRPr="00554FD8" w:rsidRDefault="001F7DED" w:rsidP="001F7DED">
            <w:pPr>
              <w:pStyle w:val="Prrafodelista"/>
              <w:tabs>
                <w:tab w:val="left" w:pos="567"/>
              </w:tabs>
              <w:spacing w:line="240" w:lineRule="atLeast"/>
              <w:ind w:left="0"/>
              <w:jc w:val="both"/>
              <w:rPr>
                <w:bCs/>
                <w:sz w:val="20"/>
                <w:szCs w:val="20"/>
              </w:rPr>
            </w:pPr>
            <w:r w:rsidRPr="00554FD8">
              <w:rPr>
                <w:sz w:val="20"/>
                <w:szCs w:val="20"/>
                <w:u w:color="000000"/>
              </w:rPr>
              <w:t>Indicó que no cuenta con competencia para pronunciarse sobre los cuestionamiento</w:t>
            </w:r>
            <w:r w:rsidR="0075085E" w:rsidRPr="00554FD8">
              <w:rPr>
                <w:sz w:val="20"/>
                <w:szCs w:val="20"/>
                <w:u w:color="000000"/>
              </w:rPr>
              <w:t xml:space="preserve">s </w:t>
            </w:r>
            <w:r w:rsidRPr="00554FD8">
              <w:rPr>
                <w:sz w:val="20"/>
                <w:szCs w:val="20"/>
                <w:u w:color="000000"/>
              </w:rPr>
              <w:t xml:space="preserve">planteados en el Auto del 25 de febrero de 2025, pues se refieren a asuntos que son de conocimiento del CNE y del Ministerio de Hacienda y Crédito Público. </w:t>
            </w:r>
          </w:p>
        </w:tc>
      </w:tr>
      <w:tr w:rsidR="001F7DED" w:rsidRPr="00554FD8" w14:paraId="5FDEFCC6" w14:textId="77777777" w:rsidTr="00BA77A1">
        <w:trPr>
          <w:trHeight w:val="261"/>
          <w:jc w:val="center"/>
        </w:trPr>
        <w:tc>
          <w:tcPr>
            <w:tcW w:w="881" w:type="pct"/>
            <w:shd w:val="clear" w:color="auto" w:fill="B8CCE4" w:themeFill="accent1" w:themeFillTint="66"/>
          </w:tcPr>
          <w:p w14:paraId="38B9171F" w14:textId="60BB998D" w:rsidR="001F7DED" w:rsidRPr="00554FD8" w:rsidRDefault="001F7DED" w:rsidP="001F7DED">
            <w:pPr>
              <w:pStyle w:val="Prrafodelista"/>
              <w:tabs>
                <w:tab w:val="left" w:pos="567"/>
              </w:tabs>
              <w:spacing w:line="240" w:lineRule="atLeast"/>
              <w:ind w:left="0"/>
              <w:jc w:val="center"/>
              <w:rPr>
                <w:bCs/>
                <w:sz w:val="20"/>
                <w:szCs w:val="20"/>
              </w:rPr>
            </w:pPr>
            <w:r w:rsidRPr="00554FD8">
              <w:rPr>
                <w:bCs/>
                <w:sz w:val="20"/>
                <w:szCs w:val="20"/>
              </w:rPr>
              <w:t>Consejo Nacional Electoral – CNE</w:t>
            </w:r>
            <w:r w:rsidRPr="00554FD8">
              <w:rPr>
                <w:rStyle w:val="Refdenotaalpie"/>
                <w:bCs/>
                <w:sz w:val="20"/>
                <w:szCs w:val="20"/>
              </w:rPr>
              <w:footnoteReference w:id="50"/>
            </w:r>
          </w:p>
        </w:tc>
        <w:tc>
          <w:tcPr>
            <w:tcW w:w="4119" w:type="pct"/>
          </w:tcPr>
          <w:p w14:paraId="01B1AFD9" w14:textId="1CF73514"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En primer lugar, se refirió a la naturaleza y a las funciones del Consejo Nacional Electoral – CNE</w:t>
            </w:r>
            <w:r w:rsidR="0075085E" w:rsidRPr="00554FD8">
              <w:rPr>
                <w:bCs/>
                <w:sz w:val="20"/>
                <w:szCs w:val="20"/>
              </w:rPr>
              <w:t>.</w:t>
            </w:r>
            <w:r w:rsidRPr="00554FD8">
              <w:rPr>
                <w:bCs/>
                <w:sz w:val="20"/>
                <w:szCs w:val="20"/>
              </w:rPr>
              <w:t xml:space="preserve"> Indicó que es la entidad encargada de la sostenibilidad democrática a través del diseño de mecanismos de vigilancia, inspección y control de la actividad electoral de los partidos y movimientos políticos, de los grupos significativos de ciudadanos, </w:t>
            </w:r>
            <w:r w:rsidR="00251F78" w:rsidRPr="00554FD8">
              <w:rPr>
                <w:bCs/>
                <w:sz w:val="20"/>
                <w:szCs w:val="20"/>
              </w:rPr>
              <w:t xml:space="preserve">así como </w:t>
            </w:r>
            <w:r w:rsidRPr="00554FD8">
              <w:rPr>
                <w:bCs/>
                <w:sz w:val="20"/>
                <w:szCs w:val="20"/>
              </w:rPr>
              <w:t xml:space="preserve">de sus representantes legales, directivos y candidatos. Lo anterior, con el fin de garantizar la participación política, los derechos de la oposición y la confianza ciudadana en el sistema político y electoral colombiano. </w:t>
            </w:r>
          </w:p>
          <w:p w14:paraId="036EA7D9" w14:textId="77777777" w:rsidR="00251F78" w:rsidRPr="00554FD8" w:rsidRDefault="00251F78" w:rsidP="001F7DED">
            <w:pPr>
              <w:pStyle w:val="Prrafodelista"/>
              <w:tabs>
                <w:tab w:val="left" w:pos="567"/>
              </w:tabs>
              <w:spacing w:line="240" w:lineRule="atLeast"/>
              <w:ind w:left="0"/>
              <w:jc w:val="both"/>
              <w:rPr>
                <w:bCs/>
                <w:sz w:val="20"/>
                <w:szCs w:val="20"/>
              </w:rPr>
            </w:pPr>
          </w:p>
          <w:p w14:paraId="4A03D4FA" w14:textId="76F3D63C"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Adicionalmente, informó que, por disposición constitucional, el CNE es un órgano autónomo e independiente que cuenta con autonomía presupuestal. Asimismo, señaló que el Gobierno nacional, en ejercicio de las facultades extraordinarias otorgadas por la Ley 1955 de 2019, expidió los decretos ley 2085 y 2086 de 2019, por medio de los cuales definió la estructura organizacional y de planta de personal del CNE. No obstante, indicó que bajo dicha normativa, el CNE siguió dependiendo de la Registraduría Nacional del Estado Civil – RNEC en materia presupuestal. </w:t>
            </w:r>
          </w:p>
          <w:p w14:paraId="3C3AB59A" w14:textId="77777777" w:rsidR="001F7DED" w:rsidRPr="00554FD8" w:rsidRDefault="001F7DED" w:rsidP="001F7DED">
            <w:pPr>
              <w:pStyle w:val="Prrafodelista"/>
              <w:tabs>
                <w:tab w:val="left" w:pos="567"/>
              </w:tabs>
              <w:spacing w:line="240" w:lineRule="atLeast"/>
              <w:ind w:left="0"/>
              <w:jc w:val="both"/>
              <w:rPr>
                <w:bCs/>
                <w:sz w:val="20"/>
                <w:szCs w:val="20"/>
              </w:rPr>
            </w:pPr>
          </w:p>
          <w:p w14:paraId="2231EFCF" w14:textId="0B2D5B4C"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En segundo lugar, refirió las acciones llevadas a cabo entre 2020 y 2023 por la entidad para la composición in</w:t>
            </w:r>
            <w:r w:rsidR="00251F78" w:rsidRPr="00554FD8">
              <w:rPr>
                <w:bCs/>
                <w:sz w:val="20"/>
                <w:szCs w:val="20"/>
              </w:rPr>
              <w:t>s</w:t>
            </w:r>
            <w:r w:rsidRPr="00554FD8">
              <w:rPr>
                <w:bCs/>
                <w:sz w:val="20"/>
                <w:szCs w:val="20"/>
              </w:rPr>
              <w:t>titucional y la materialización de la autonomía administrativa. En particular, señaló que se adoptó la Resolución 1040 de 2021 por medio de la cual se adoptó la Plataforma Estratégica y Mapa de Procesos de la institución</w:t>
            </w:r>
            <w:r w:rsidR="00251F78" w:rsidRPr="00554FD8">
              <w:rPr>
                <w:bCs/>
                <w:sz w:val="20"/>
                <w:szCs w:val="20"/>
              </w:rPr>
              <w:t>,</w:t>
            </w:r>
            <w:r w:rsidRPr="00554FD8">
              <w:rPr>
                <w:bCs/>
                <w:sz w:val="20"/>
                <w:szCs w:val="20"/>
              </w:rPr>
              <w:t xml:space="preserve"> se estandarizaron las acciones requeridas para dar cumplimientos a las funciones del CNE y se logró la formulación, aprobación y ejecución de proyectos de inversión. Respecto de esto último, indicó que el diseño y la ejecución de esos pr</w:t>
            </w:r>
            <w:r w:rsidR="0075085E" w:rsidRPr="00554FD8">
              <w:rPr>
                <w:bCs/>
                <w:sz w:val="20"/>
                <w:szCs w:val="20"/>
              </w:rPr>
              <w:t>o</w:t>
            </w:r>
            <w:r w:rsidRPr="00554FD8">
              <w:rPr>
                <w:bCs/>
                <w:sz w:val="20"/>
                <w:szCs w:val="20"/>
              </w:rPr>
              <w:t xml:space="preserve">yectos de inversión se realizaron por medio de mesas de trabajo entre el CNE y la RNEC, al tener en cuenta la dependencia presupuestal a dicha entidad. </w:t>
            </w:r>
          </w:p>
          <w:p w14:paraId="7B13502F" w14:textId="77777777" w:rsidR="001F7DED" w:rsidRPr="00554FD8" w:rsidRDefault="001F7DED" w:rsidP="001F7DED">
            <w:pPr>
              <w:pStyle w:val="Prrafodelista"/>
              <w:tabs>
                <w:tab w:val="left" w:pos="567"/>
              </w:tabs>
              <w:spacing w:line="240" w:lineRule="atLeast"/>
              <w:ind w:left="0"/>
              <w:jc w:val="both"/>
              <w:rPr>
                <w:bCs/>
                <w:sz w:val="20"/>
                <w:szCs w:val="20"/>
              </w:rPr>
            </w:pPr>
          </w:p>
          <w:p w14:paraId="56295ED4" w14:textId="2EF826AB"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En tercer lugar, respecto de la norma bajo estudio, la entidad afirmó que: </w:t>
            </w:r>
          </w:p>
          <w:p w14:paraId="00F030E3" w14:textId="77777777" w:rsidR="001F7DED" w:rsidRPr="00554FD8" w:rsidRDefault="001F7DED" w:rsidP="001F7DED">
            <w:pPr>
              <w:pStyle w:val="Prrafodelista"/>
              <w:tabs>
                <w:tab w:val="left" w:pos="567"/>
              </w:tabs>
              <w:spacing w:line="240" w:lineRule="atLeast"/>
              <w:ind w:left="0"/>
              <w:jc w:val="both"/>
              <w:rPr>
                <w:bCs/>
                <w:sz w:val="20"/>
                <w:szCs w:val="20"/>
              </w:rPr>
            </w:pPr>
          </w:p>
          <w:p w14:paraId="4273FE9E" w14:textId="199021E0" w:rsidR="001F7DED" w:rsidRPr="00554FD8" w:rsidRDefault="001F7DED" w:rsidP="009E3C3E">
            <w:pPr>
              <w:pStyle w:val="Prrafodelista"/>
              <w:tabs>
                <w:tab w:val="left" w:pos="567"/>
              </w:tabs>
              <w:spacing w:line="240" w:lineRule="atLeast"/>
              <w:ind w:left="170" w:right="170"/>
              <w:jc w:val="both"/>
              <w:rPr>
                <w:sz w:val="20"/>
                <w:szCs w:val="20"/>
                <w:lang w:val="es-ES_tradnl" w:eastAsia="es-CO"/>
              </w:rPr>
            </w:pPr>
            <w:r w:rsidRPr="00554FD8">
              <w:rPr>
                <w:sz w:val="20"/>
                <w:szCs w:val="20"/>
                <w:lang w:val="es-ES_tradnl" w:eastAsia="es-CO"/>
              </w:rPr>
              <w:t>“[L]a implementación de los decretos Ley No. 2085 y 2086 de 2019 requerían de un proceso más complejo.[…] Por tanto, […] la creación de la sección presupuestal […] responde a un mandato constitucional que define al Consejo Nacional Electoral como una entidad autónoma dentro de la organización electoral y que requería de la creación de la sección presupuestal que permitiera la ordenación del gasto y la nominación, para poder independizar totalmente los procesos del Consejo Nacional Electoral de la Registraduría Nacional del Estado Civil, tal como lo establece la [C]onstitución [P]olítica de Colombia”</w:t>
            </w:r>
            <w:r w:rsidRPr="00554FD8">
              <w:rPr>
                <w:rStyle w:val="Refdenotaalpie"/>
                <w:bCs/>
                <w:sz w:val="20"/>
                <w:szCs w:val="20"/>
              </w:rPr>
              <w:footnoteReference w:id="51"/>
            </w:r>
            <w:r w:rsidRPr="00554FD8">
              <w:rPr>
                <w:sz w:val="20"/>
                <w:szCs w:val="20"/>
                <w:lang w:val="es-ES_tradnl" w:eastAsia="es-CO"/>
              </w:rPr>
              <w:t xml:space="preserve">. </w:t>
            </w:r>
          </w:p>
          <w:p w14:paraId="497044B3" w14:textId="77777777" w:rsidR="001F7DED" w:rsidRPr="00554FD8" w:rsidRDefault="001F7DED" w:rsidP="001F7DED">
            <w:pPr>
              <w:pStyle w:val="Prrafodelista"/>
              <w:tabs>
                <w:tab w:val="left" w:pos="567"/>
              </w:tabs>
              <w:spacing w:line="240" w:lineRule="atLeast"/>
              <w:ind w:left="0"/>
              <w:jc w:val="both"/>
              <w:rPr>
                <w:sz w:val="20"/>
                <w:szCs w:val="20"/>
                <w:lang w:val="es-ES_tradnl" w:eastAsia="es-CO"/>
              </w:rPr>
            </w:pPr>
          </w:p>
          <w:p w14:paraId="67365285" w14:textId="6F4E5AE1" w:rsidR="001F7DED" w:rsidRPr="00554FD8" w:rsidRDefault="001F7DED" w:rsidP="001F7DED">
            <w:pPr>
              <w:pStyle w:val="Prrafodelista"/>
              <w:tabs>
                <w:tab w:val="left" w:pos="567"/>
              </w:tabs>
              <w:spacing w:line="240" w:lineRule="atLeast"/>
              <w:ind w:left="0"/>
              <w:jc w:val="both"/>
              <w:rPr>
                <w:bCs/>
                <w:iCs/>
                <w:sz w:val="20"/>
                <w:szCs w:val="20"/>
              </w:rPr>
            </w:pPr>
            <w:r w:rsidRPr="00554FD8">
              <w:rPr>
                <w:bCs/>
                <w:sz w:val="20"/>
                <w:szCs w:val="20"/>
              </w:rPr>
              <w:t xml:space="preserve">En cuarto lugar, </w:t>
            </w:r>
            <w:r w:rsidR="00251F78" w:rsidRPr="00554FD8">
              <w:rPr>
                <w:bCs/>
                <w:sz w:val="20"/>
                <w:szCs w:val="20"/>
              </w:rPr>
              <w:t xml:space="preserve">manifestó </w:t>
            </w:r>
            <w:r w:rsidRPr="00554FD8">
              <w:rPr>
                <w:bCs/>
                <w:sz w:val="20"/>
                <w:szCs w:val="20"/>
              </w:rPr>
              <w:t xml:space="preserve">que de confomidad con la Ley 2294 de 2023, el CNE </w:t>
            </w:r>
            <w:r w:rsidR="00251F78" w:rsidRPr="00554FD8">
              <w:rPr>
                <w:bCs/>
                <w:sz w:val="20"/>
                <w:szCs w:val="20"/>
              </w:rPr>
              <w:t xml:space="preserve">articula </w:t>
            </w:r>
            <w:r w:rsidRPr="00554FD8">
              <w:rPr>
                <w:bCs/>
                <w:sz w:val="20"/>
                <w:szCs w:val="20"/>
              </w:rPr>
              <w:t>su planeación y gestión de acue</w:t>
            </w:r>
            <w:r w:rsidR="00251F78" w:rsidRPr="00554FD8">
              <w:rPr>
                <w:bCs/>
                <w:sz w:val="20"/>
                <w:szCs w:val="20"/>
              </w:rPr>
              <w:t>r</w:t>
            </w:r>
            <w:r w:rsidRPr="00554FD8">
              <w:rPr>
                <w:bCs/>
                <w:sz w:val="20"/>
                <w:szCs w:val="20"/>
              </w:rPr>
              <w:t>do al quinto eje de transformación del PND, esto es a la “Convergencia Regional”, particularmente en lo que tiene que ver con la tra</w:t>
            </w:r>
            <w:r w:rsidR="00251F78" w:rsidRPr="00554FD8">
              <w:rPr>
                <w:bCs/>
                <w:sz w:val="20"/>
                <w:szCs w:val="20"/>
              </w:rPr>
              <w:t>ns</w:t>
            </w:r>
            <w:r w:rsidRPr="00554FD8">
              <w:rPr>
                <w:bCs/>
                <w:sz w:val="20"/>
                <w:szCs w:val="20"/>
              </w:rPr>
              <w:t>formación de “</w:t>
            </w:r>
            <w:r w:rsidRPr="00554FD8">
              <w:rPr>
                <w:bCs/>
                <w:iCs/>
                <w:sz w:val="20"/>
                <w:szCs w:val="20"/>
                <w:lang w:val="es-ES_tradnl" w:eastAsia="es-CO"/>
              </w:rPr>
              <w:t xml:space="preserve">las instituciones y la gestión de lo público, poniendo al ciudadano en el centro de su accionar y construyendo un relacionamiento estrecho, mediado por la confianza, entre las comunidades y entre éstas y las instituciones, para responder de manera acertada a sus </w:t>
            </w:r>
            <w:r w:rsidRPr="00554FD8">
              <w:rPr>
                <w:bCs/>
                <w:iCs/>
                <w:sz w:val="20"/>
                <w:szCs w:val="20"/>
              </w:rPr>
              <w:t>necesidades y atender debidamente sus expectativas, a partir de marcos regulatorios consistentes”</w:t>
            </w:r>
            <w:r w:rsidRPr="00554FD8">
              <w:rPr>
                <w:rStyle w:val="Refdenotaalpie"/>
                <w:bCs/>
                <w:iCs/>
                <w:sz w:val="20"/>
                <w:szCs w:val="20"/>
              </w:rPr>
              <w:footnoteReference w:id="52"/>
            </w:r>
            <w:r w:rsidRPr="00554FD8">
              <w:rPr>
                <w:bCs/>
                <w:iCs/>
                <w:sz w:val="20"/>
                <w:szCs w:val="20"/>
              </w:rPr>
              <w:t xml:space="preserve">. </w:t>
            </w:r>
          </w:p>
          <w:p w14:paraId="201381C8" w14:textId="77777777" w:rsidR="001F7DED" w:rsidRPr="00554FD8" w:rsidRDefault="001F7DED" w:rsidP="001F7DED">
            <w:pPr>
              <w:pStyle w:val="Prrafodelista"/>
              <w:tabs>
                <w:tab w:val="left" w:pos="567"/>
              </w:tabs>
              <w:spacing w:line="240" w:lineRule="atLeast"/>
              <w:ind w:left="0"/>
              <w:jc w:val="both"/>
              <w:rPr>
                <w:bCs/>
                <w:iCs/>
                <w:sz w:val="20"/>
                <w:szCs w:val="20"/>
              </w:rPr>
            </w:pPr>
          </w:p>
          <w:p w14:paraId="569B696F" w14:textId="10F5B696"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Asimismo, indicó que </w:t>
            </w:r>
            <w:r w:rsidR="00251F78" w:rsidRPr="00554FD8">
              <w:rPr>
                <w:bCs/>
                <w:sz w:val="20"/>
                <w:szCs w:val="20"/>
              </w:rPr>
              <w:t xml:space="preserve">ello </w:t>
            </w:r>
            <w:r w:rsidRPr="00554FD8">
              <w:rPr>
                <w:bCs/>
                <w:sz w:val="20"/>
                <w:szCs w:val="20"/>
              </w:rPr>
              <w:t>guarda relación con el artículo 109 del PND sobre la participación democrática para la reconstrucción del tejido social y la planificación participativa del desarrollo y, específicamente, los artículos demandados se relacionan con el eje catalizador 6° denominado “dispositivos democráticos de participación: política de diálogo permanente con decisiones desde y para el territorio” en lo que tiene que ver con la efectividad de los dispositivos de participación ciudadana, política y electoral. Lo anterior, en la medida en que tal catalizador señala que “se robustecerá el sistema político y electoral del país. Además el Consejo Nacional Electoral conservará su autonomía administrativa y presupuestal, así como las facultades administrativas que le corresponden para el cumplimiento de sus funciones consagradas en el artículo 265 de la Constitución Política”</w:t>
            </w:r>
            <w:r w:rsidRPr="00554FD8">
              <w:rPr>
                <w:rStyle w:val="Refdenotaalpie"/>
                <w:bCs/>
                <w:sz w:val="20"/>
                <w:szCs w:val="20"/>
              </w:rPr>
              <w:footnoteReference w:id="53"/>
            </w:r>
            <w:r w:rsidRPr="00554FD8">
              <w:rPr>
                <w:bCs/>
                <w:sz w:val="20"/>
                <w:szCs w:val="20"/>
              </w:rPr>
              <w:t xml:space="preserve">. </w:t>
            </w:r>
          </w:p>
          <w:p w14:paraId="28B814B3" w14:textId="77777777" w:rsidR="001F7DED" w:rsidRPr="00554FD8" w:rsidRDefault="001F7DED" w:rsidP="001F7DED">
            <w:pPr>
              <w:pStyle w:val="Prrafodelista"/>
              <w:tabs>
                <w:tab w:val="left" w:pos="567"/>
              </w:tabs>
              <w:spacing w:line="240" w:lineRule="atLeast"/>
              <w:ind w:left="0"/>
              <w:jc w:val="both"/>
              <w:rPr>
                <w:bCs/>
                <w:sz w:val="20"/>
                <w:szCs w:val="20"/>
              </w:rPr>
            </w:pPr>
          </w:p>
          <w:p w14:paraId="15131AFD" w14:textId="2C0154F6"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En quinto lugar, informó que antes de la reforma incluida en los artículos 336 y 337 del PND, el CNE estaba sujeto a los procesos administrativos y organizacionales de la RNEC, por lo que no tenía autonomía presupuestal. En consecuencia, </w:t>
            </w:r>
            <w:r w:rsidR="003871A7" w:rsidRPr="00554FD8">
              <w:rPr>
                <w:bCs/>
                <w:sz w:val="20"/>
                <w:szCs w:val="20"/>
              </w:rPr>
              <w:t xml:space="preserve">el presupuesto correspondiente al CNE se administraba por medio de </w:t>
            </w:r>
            <w:r w:rsidRPr="00554FD8">
              <w:rPr>
                <w:bCs/>
                <w:sz w:val="20"/>
                <w:szCs w:val="20"/>
              </w:rPr>
              <w:t>la Unidad Ejecutora Especial para el Consejo Nacional Electoral</w:t>
            </w:r>
            <w:r w:rsidR="003871A7" w:rsidRPr="00554FD8">
              <w:rPr>
                <w:bCs/>
                <w:sz w:val="20"/>
                <w:szCs w:val="20"/>
              </w:rPr>
              <w:t xml:space="preserve"> que hacía parte</w:t>
            </w:r>
            <w:r w:rsidRPr="00554FD8">
              <w:rPr>
                <w:bCs/>
                <w:sz w:val="20"/>
                <w:szCs w:val="20"/>
              </w:rPr>
              <w:t xml:space="preserve"> de la sección presupuestal asignada a la RNEC. </w:t>
            </w:r>
            <w:r w:rsidR="003871A7" w:rsidRPr="00554FD8">
              <w:rPr>
                <w:bCs/>
                <w:sz w:val="20"/>
                <w:szCs w:val="20"/>
              </w:rPr>
              <w:t xml:space="preserve">Lo anterior, de conformidad con el Decreto 3487 de 2007. </w:t>
            </w:r>
          </w:p>
          <w:p w14:paraId="790A79AB" w14:textId="21EA7FE5" w:rsidR="001F7DED" w:rsidRPr="00554FD8" w:rsidRDefault="001F7DED" w:rsidP="001F7DED">
            <w:pPr>
              <w:pStyle w:val="Prrafodelista"/>
              <w:tabs>
                <w:tab w:val="left" w:pos="567"/>
              </w:tabs>
              <w:spacing w:line="240" w:lineRule="atLeast"/>
              <w:ind w:left="0"/>
              <w:jc w:val="both"/>
              <w:rPr>
                <w:bCs/>
                <w:sz w:val="20"/>
                <w:szCs w:val="20"/>
              </w:rPr>
            </w:pPr>
          </w:p>
          <w:p w14:paraId="3C3947E3" w14:textId="2E0DAEAF"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En sexto lugar, </w:t>
            </w:r>
            <w:r w:rsidR="00251F78" w:rsidRPr="00554FD8">
              <w:rPr>
                <w:bCs/>
                <w:sz w:val="20"/>
                <w:szCs w:val="20"/>
              </w:rPr>
              <w:t xml:space="preserve">expresó </w:t>
            </w:r>
            <w:r w:rsidRPr="00554FD8">
              <w:rPr>
                <w:bCs/>
                <w:sz w:val="20"/>
                <w:szCs w:val="20"/>
              </w:rPr>
              <w:t>que con lo dispuesto en los artículo 336 y 337 del PND, el CNE “se consolida como una entidad sostenible, democr</w:t>
            </w:r>
            <w:r w:rsidR="0075085E" w:rsidRPr="00554FD8">
              <w:rPr>
                <w:bCs/>
                <w:sz w:val="20"/>
                <w:szCs w:val="20"/>
              </w:rPr>
              <w:t>á</w:t>
            </w:r>
            <w:r w:rsidRPr="00554FD8">
              <w:rPr>
                <w:bCs/>
                <w:sz w:val="20"/>
                <w:szCs w:val="20"/>
              </w:rPr>
              <w:t>tica, eficiente, confiable y de alto rendimiento; impulsando decididamente la eficacia del sistema electoral”. Lo anterior, en la medida en que, a partir de la expedición de la Ley 2294 de 2023, ha ejercido sus funciones con total independencia y autonomía administrativa y financiera lo que ha permitido la asignación de recursos a los partidos y movimientos políticos del país, la modernización tecnológica, la implementación de estrategias de inspección y vigilancia y la capacitación de su planta de personal. Finalmente, aseguró que la independencia presupuesta</w:t>
            </w:r>
            <w:r w:rsidR="0075085E" w:rsidRPr="00554FD8">
              <w:rPr>
                <w:bCs/>
                <w:sz w:val="20"/>
                <w:szCs w:val="20"/>
              </w:rPr>
              <w:t>l</w:t>
            </w:r>
            <w:r w:rsidRPr="00554FD8">
              <w:rPr>
                <w:bCs/>
                <w:sz w:val="20"/>
                <w:szCs w:val="20"/>
              </w:rPr>
              <w:t xml:space="preserve"> evita riesgos derivados de una estructura organizativa fragmentada y asegura el uso razonable de los recursos. </w:t>
            </w:r>
          </w:p>
          <w:p w14:paraId="67E1E4D6" w14:textId="6014CF51" w:rsidR="001F7DED" w:rsidRPr="00554FD8" w:rsidRDefault="001F7DED" w:rsidP="001F7DED">
            <w:pPr>
              <w:pStyle w:val="Prrafodelista"/>
              <w:tabs>
                <w:tab w:val="left" w:pos="567"/>
              </w:tabs>
              <w:spacing w:line="240" w:lineRule="atLeast"/>
              <w:ind w:left="0"/>
              <w:jc w:val="both"/>
              <w:rPr>
                <w:bCs/>
                <w:sz w:val="20"/>
                <w:szCs w:val="20"/>
              </w:rPr>
            </w:pPr>
          </w:p>
          <w:p w14:paraId="19622DA5" w14:textId="43D258D9"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En séptimo lugar, señaló que de conformidad con lo establecido en</w:t>
            </w:r>
            <w:r w:rsidR="00251F78" w:rsidRPr="00554FD8">
              <w:rPr>
                <w:bCs/>
                <w:sz w:val="20"/>
                <w:szCs w:val="20"/>
              </w:rPr>
              <w:t xml:space="preserve"> </w:t>
            </w:r>
            <w:r w:rsidRPr="00554FD8">
              <w:rPr>
                <w:bCs/>
                <w:sz w:val="20"/>
                <w:szCs w:val="20"/>
              </w:rPr>
              <w:t xml:space="preserve">el Decreto 1523 del 18 de diciembre de 2024 el presupuesto de gastos del CNE, para la vigencia 2025, se fijó inicialmente en $1.066.862.897.934 M/Cte. No obstante, dicha cifra fue modificada mediante Decreto 0069 del 24 de enero de 2025, en el que se aplazaron algunas apropiaciones del Presupuesto General de la Nación, por lo que finalmente correspondió a $600.000.000.000 M/Cte. </w:t>
            </w:r>
          </w:p>
          <w:p w14:paraId="469CF293" w14:textId="0E12BFDB" w:rsidR="001F7DED" w:rsidRPr="00554FD8" w:rsidRDefault="001F7DED" w:rsidP="001F7DED">
            <w:pPr>
              <w:pStyle w:val="Prrafodelista"/>
              <w:tabs>
                <w:tab w:val="left" w:pos="567"/>
              </w:tabs>
              <w:spacing w:line="240" w:lineRule="atLeast"/>
              <w:ind w:left="0"/>
              <w:jc w:val="both"/>
              <w:rPr>
                <w:bCs/>
                <w:sz w:val="20"/>
                <w:szCs w:val="20"/>
              </w:rPr>
            </w:pPr>
          </w:p>
          <w:p w14:paraId="0056EEDB" w14:textId="79F3E586" w:rsidR="001F7DED" w:rsidRPr="00554FD8" w:rsidRDefault="001F7DED" w:rsidP="001F7DED">
            <w:pPr>
              <w:pStyle w:val="Prrafodelista"/>
              <w:tabs>
                <w:tab w:val="left" w:pos="567"/>
              </w:tabs>
              <w:spacing w:line="240" w:lineRule="atLeast"/>
              <w:ind w:left="0"/>
              <w:jc w:val="both"/>
              <w:rPr>
                <w:bCs/>
                <w:sz w:val="20"/>
                <w:szCs w:val="20"/>
              </w:rPr>
            </w:pPr>
            <w:r w:rsidRPr="00554FD8">
              <w:rPr>
                <w:bCs/>
                <w:sz w:val="20"/>
                <w:szCs w:val="20"/>
              </w:rPr>
              <w:t xml:space="preserve">En octavo lugar, señaló que, de conformidad con lo dispuesto en los artículos 336 y 337 del PND ha celebrado diversos contratos estatales para la adquisición de bienes y servicios. En particular, aportó la matriz de gestión contractual para las vigencias 2023, 2024 y 2025. En estas se señala que: </w:t>
            </w:r>
          </w:p>
          <w:p w14:paraId="1CB94D3A" w14:textId="77777777" w:rsidR="001F7DED" w:rsidRPr="00554FD8" w:rsidRDefault="001F7DED" w:rsidP="001F7DED">
            <w:pPr>
              <w:pStyle w:val="Prrafodelista"/>
              <w:tabs>
                <w:tab w:val="left" w:pos="567"/>
              </w:tabs>
              <w:spacing w:line="240" w:lineRule="atLeast"/>
              <w:ind w:left="0"/>
              <w:jc w:val="both"/>
              <w:rPr>
                <w:bCs/>
                <w:sz w:val="20"/>
                <w:szCs w:val="20"/>
              </w:rPr>
            </w:pPr>
          </w:p>
          <w:p w14:paraId="54099052" w14:textId="5C19F384" w:rsidR="001F7DED" w:rsidRPr="00554FD8" w:rsidRDefault="001F7DED" w:rsidP="0003283E">
            <w:pPr>
              <w:pStyle w:val="Prrafodelista"/>
              <w:numPr>
                <w:ilvl w:val="0"/>
                <w:numId w:val="3"/>
              </w:numPr>
              <w:tabs>
                <w:tab w:val="left" w:pos="567"/>
              </w:tabs>
              <w:spacing w:line="240" w:lineRule="atLeast"/>
              <w:jc w:val="both"/>
              <w:rPr>
                <w:bCs/>
                <w:sz w:val="20"/>
                <w:szCs w:val="20"/>
              </w:rPr>
            </w:pPr>
            <w:r w:rsidRPr="00554FD8">
              <w:rPr>
                <w:bCs/>
                <w:sz w:val="20"/>
                <w:szCs w:val="20"/>
              </w:rPr>
              <w:t>En 2023 se celebraron 12 contratos, de los cuales 9 fueron por contratación directa, 2 por selección abreviada – acuerdo marco de precios</w:t>
            </w:r>
            <w:r w:rsidR="0091245D" w:rsidRPr="00554FD8">
              <w:rPr>
                <w:bCs/>
                <w:sz w:val="20"/>
                <w:szCs w:val="20"/>
              </w:rPr>
              <w:t xml:space="preserve"> – </w:t>
            </w:r>
            <w:r w:rsidR="00251F78" w:rsidRPr="00554FD8">
              <w:rPr>
                <w:bCs/>
                <w:sz w:val="20"/>
                <w:szCs w:val="20"/>
              </w:rPr>
              <w:t xml:space="preserve"> </w:t>
            </w:r>
            <w:r w:rsidRPr="00554FD8">
              <w:rPr>
                <w:bCs/>
                <w:sz w:val="20"/>
                <w:szCs w:val="20"/>
              </w:rPr>
              <w:t xml:space="preserve">y 1 por selección abreviada – compra de bienes y servicios de características técnicas uniformes. </w:t>
            </w:r>
            <w:r w:rsidR="0056315D" w:rsidRPr="00554FD8">
              <w:rPr>
                <w:bCs/>
                <w:sz w:val="20"/>
                <w:szCs w:val="20"/>
              </w:rPr>
              <w:t>Del total de contratos celebrados, al momento de la respuesta allegada a la Corte Constitucional, 6 se habían liquidado, 2 habían terminado, 2 habían terminado y no se requería liquidación, 1 se encontraba en ejecución por haberse sus</w:t>
            </w:r>
            <w:r w:rsidR="0075085E" w:rsidRPr="00554FD8">
              <w:rPr>
                <w:bCs/>
                <w:sz w:val="20"/>
                <w:szCs w:val="20"/>
              </w:rPr>
              <w:t>c</w:t>
            </w:r>
            <w:r w:rsidR="0056315D" w:rsidRPr="00554FD8">
              <w:rPr>
                <w:bCs/>
                <w:sz w:val="20"/>
                <w:szCs w:val="20"/>
              </w:rPr>
              <w:t xml:space="preserve">rito 2 adiciones y 3 prórrogas y 1 se encontraba en ejecución por un contrato cedido por la Registraduría Nacional del Estado Civil. </w:t>
            </w:r>
          </w:p>
          <w:p w14:paraId="0C924D3C" w14:textId="77777777" w:rsidR="00062965" w:rsidRPr="00554FD8" w:rsidRDefault="00062965" w:rsidP="00062965">
            <w:pPr>
              <w:pStyle w:val="Prrafodelista"/>
              <w:tabs>
                <w:tab w:val="left" w:pos="567"/>
              </w:tabs>
              <w:spacing w:line="240" w:lineRule="atLeast"/>
              <w:ind w:left="360"/>
              <w:jc w:val="both"/>
              <w:rPr>
                <w:bCs/>
                <w:sz w:val="20"/>
                <w:szCs w:val="20"/>
              </w:rPr>
            </w:pPr>
          </w:p>
          <w:p w14:paraId="492DC9D2" w14:textId="3C90BC25" w:rsidR="001F7DED" w:rsidRPr="00554FD8" w:rsidRDefault="001F7DED" w:rsidP="008C551F">
            <w:pPr>
              <w:pStyle w:val="Prrafodelista"/>
              <w:numPr>
                <w:ilvl w:val="0"/>
                <w:numId w:val="3"/>
              </w:numPr>
              <w:tabs>
                <w:tab w:val="left" w:pos="567"/>
              </w:tabs>
              <w:spacing w:line="240" w:lineRule="atLeast"/>
              <w:jc w:val="both"/>
              <w:rPr>
                <w:bCs/>
                <w:sz w:val="20"/>
                <w:szCs w:val="20"/>
              </w:rPr>
            </w:pPr>
            <w:r w:rsidRPr="00554FD8">
              <w:rPr>
                <w:bCs/>
                <w:sz w:val="20"/>
                <w:szCs w:val="20"/>
              </w:rPr>
              <w:t xml:space="preserve">En 2024 se celebraron 32 contratos, de los cuales 11 fueron por contratación directa; </w:t>
            </w:r>
            <w:r w:rsidR="0056315D" w:rsidRPr="00554FD8">
              <w:rPr>
                <w:bCs/>
                <w:sz w:val="20"/>
                <w:szCs w:val="20"/>
              </w:rPr>
              <w:t>4</w:t>
            </w:r>
            <w:r w:rsidRPr="00554FD8">
              <w:rPr>
                <w:bCs/>
                <w:sz w:val="20"/>
                <w:szCs w:val="20"/>
              </w:rPr>
              <w:t xml:space="preserve"> por selección abreviada – acuerdo marco de precios; 2 por selección abreviada – compra de bienes y servicios de características técnicas uniformes; 3 por selección abreviada – subasta inversa; 4 por selección abreviada – menor cuantía</w:t>
            </w:r>
            <w:r w:rsidR="0056315D" w:rsidRPr="00554FD8">
              <w:rPr>
                <w:bCs/>
                <w:sz w:val="20"/>
                <w:szCs w:val="20"/>
              </w:rPr>
              <w:t>; 5 de mínima cuantía</w:t>
            </w:r>
            <w:r w:rsidRPr="00554FD8">
              <w:rPr>
                <w:bCs/>
                <w:sz w:val="20"/>
                <w:szCs w:val="20"/>
              </w:rPr>
              <w:t xml:space="preserve"> y 3 por concurso. </w:t>
            </w:r>
            <w:r w:rsidR="00062965" w:rsidRPr="00554FD8">
              <w:rPr>
                <w:bCs/>
                <w:sz w:val="20"/>
                <w:szCs w:val="20"/>
              </w:rPr>
              <w:t>Del total de contratos celebrados, al momento de la respuesta allegada a la Corte Constitucional, 2</w:t>
            </w:r>
            <w:r w:rsidR="0056315D" w:rsidRPr="00554FD8">
              <w:rPr>
                <w:bCs/>
                <w:sz w:val="20"/>
                <w:szCs w:val="20"/>
              </w:rPr>
              <w:t>0</w:t>
            </w:r>
            <w:r w:rsidR="00062965" w:rsidRPr="00554FD8">
              <w:rPr>
                <w:bCs/>
                <w:sz w:val="20"/>
                <w:szCs w:val="20"/>
              </w:rPr>
              <w:t xml:space="preserve"> habían terminado, 2 habían sido liquidados y 10 se encontraban en ejecución. </w:t>
            </w:r>
          </w:p>
          <w:p w14:paraId="353249D8" w14:textId="77777777" w:rsidR="00062965" w:rsidRPr="00554FD8" w:rsidRDefault="00062965" w:rsidP="00062965">
            <w:pPr>
              <w:pStyle w:val="Prrafodelista"/>
              <w:tabs>
                <w:tab w:val="left" w:pos="567"/>
              </w:tabs>
              <w:spacing w:line="240" w:lineRule="atLeast"/>
              <w:ind w:left="360"/>
              <w:jc w:val="both"/>
              <w:rPr>
                <w:bCs/>
                <w:sz w:val="20"/>
                <w:szCs w:val="20"/>
              </w:rPr>
            </w:pPr>
          </w:p>
          <w:p w14:paraId="03E14B2A" w14:textId="7AC8694D" w:rsidR="001F7DED" w:rsidRPr="00554FD8" w:rsidRDefault="001F7DED" w:rsidP="0003283E">
            <w:pPr>
              <w:pStyle w:val="Prrafodelista"/>
              <w:numPr>
                <w:ilvl w:val="0"/>
                <w:numId w:val="3"/>
              </w:numPr>
              <w:tabs>
                <w:tab w:val="left" w:pos="567"/>
              </w:tabs>
              <w:spacing w:line="240" w:lineRule="atLeast"/>
              <w:jc w:val="both"/>
              <w:rPr>
                <w:bCs/>
                <w:sz w:val="20"/>
                <w:szCs w:val="20"/>
              </w:rPr>
            </w:pPr>
            <w:r w:rsidRPr="00554FD8">
              <w:rPr>
                <w:bCs/>
                <w:sz w:val="20"/>
                <w:szCs w:val="20"/>
              </w:rPr>
              <w:t xml:space="preserve">A marzo de 2025 se celebraron 9 contratos, de los cuales 3 fueron por contratación directa, 2 por acuerdo marco de precios, 2 por mínima cuantía, 1 por subasta inversa y 1 por licitación pública. </w:t>
            </w:r>
            <w:r w:rsidR="00062965" w:rsidRPr="00554FD8">
              <w:rPr>
                <w:bCs/>
                <w:sz w:val="20"/>
                <w:szCs w:val="20"/>
              </w:rPr>
              <w:t xml:space="preserve">Del total de contratos celebrados, al momento de la respuesta allegada a la Corte Constitucional, 6 se encontraban en ejecución y 3 en trámite. </w:t>
            </w:r>
          </w:p>
          <w:p w14:paraId="482BCA32" w14:textId="77777777" w:rsidR="001F7DED" w:rsidRPr="00554FD8" w:rsidRDefault="001F7DED" w:rsidP="001F7DED">
            <w:pPr>
              <w:pStyle w:val="Prrafodelista"/>
              <w:rPr>
                <w:bCs/>
                <w:sz w:val="20"/>
                <w:szCs w:val="20"/>
              </w:rPr>
            </w:pPr>
          </w:p>
          <w:p w14:paraId="3DA22C7F" w14:textId="09888B3A" w:rsidR="009E3C3E" w:rsidRPr="00554FD8" w:rsidRDefault="001F7DED" w:rsidP="009E3C3E">
            <w:pPr>
              <w:tabs>
                <w:tab w:val="left" w:pos="567"/>
              </w:tabs>
              <w:spacing w:line="240" w:lineRule="atLeast"/>
              <w:jc w:val="both"/>
              <w:rPr>
                <w:bCs/>
                <w:sz w:val="20"/>
                <w:szCs w:val="20"/>
              </w:rPr>
            </w:pPr>
            <w:r w:rsidRPr="00554FD8">
              <w:rPr>
                <w:bCs/>
                <w:sz w:val="20"/>
                <w:szCs w:val="20"/>
              </w:rPr>
              <w:t xml:space="preserve">Finalmente, señaló que una eventual declaratoria de inexequibilidad de los artículo 336 y 337 del PND: (i) generaría un retroceso en la autonomía constitucionalmente otorgada al CNE; (ii) impactaría la capacidad de planificación y ejecución presupuestal, al depender de nuevo de la RNEC; (iii) causaría ineficiencias en la distribución del gasto público; (iv) pondría en riesgo la ejecución de los contratos vigentes y que fueron suscritos con fundamento en la autonomía presupuestal del CNE. Lo anterior, generaría rescisiones contractuales, sanciones económicas por incumplimiento e incertidumbre jurídica. Y (v) impactaría los compromisos de inversión ya adquiridos para el fortalecimiento de la capacidad operativa del CNE.  </w:t>
            </w:r>
            <w:r w:rsidR="003871A7" w:rsidRPr="00554FD8">
              <w:rPr>
                <w:bCs/>
                <w:sz w:val="20"/>
                <w:szCs w:val="20"/>
              </w:rPr>
              <w:t>Particularmente, sobre los compromisos de inversión, el CNE precisó que</w:t>
            </w:r>
            <w:r w:rsidR="009E3C3E" w:rsidRPr="00554FD8">
              <w:rPr>
                <w:bCs/>
                <w:sz w:val="20"/>
                <w:szCs w:val="20"/>
              </w:rPr>
              <w:t xml:space="preserve">: </w:t>
            </w:r>
          </w:p>
          <w:p w14:paraId="5651E4F8" w14:textId="77777777" w:rsidR="009E3C3E" w:rsidRPr="00554FD8" w:rsidRDefault="009E3C3E" w:rsidP="009E3C3E">
            <w:pPr>
              <w:tabs>
                <w:tab w:val="left" w:pos="567"/>
              </w:tabs>
              <w:spacing w:line="240" w:lineRule="atLeast"/>
              <w:jc w:val="both"/>
              <w:rPr>
                <w:bCs/>
                <w:sz w:val="20"/>
                <w:szCs w:val="20"/>
              </w:rPr>
            </w:pPr>
          </w:p>
          <w:p w14:paraId="2FB8CEB7" w14:textId="77D39131" w:rsidR="009E3C3E" w:rsidRPr="00554FD8" w:rsidRDefault="009E3C3E" w:rsidP="009E3C3E">
            <w:pPr>
              <w:tabs>
                <w:tab w:val="left" w:pos="567"/>
              </w:tabs>
              <w:ind w:left="170" w:right="170"/>
              <w:jc w:val="both"/>
              <w:rPr>
                <w:bCs/>
                <w:sz w:val="20"/>
                <w:szCs w:val="20"/>
              </w:rPr>
            </w:pPr>
            <w:r w:rsidRPr="00554FD8">
              <w:rPr>
                <w:sz w:val="20"/>
                <w:szCs w:val="20"/>
              </w:rPr>
              <w:t xml:space="preserve">“[A] partir del mes de agosto de la vigencia fiscal 2023 el Consejo Nacional Electoral, inició labores relacionadas con la materialización de la autonomía administrativa y presupuestal, trabajo que ha implicado desafíos en materia operativa para la entidad , la creación de la sección presupuestal dentro del el </w:t>
            </w:r>
            <w:r w:rsidR="00A76F4A" w:rsidRPr="00554FD8">
              <w:rPr>
                <w:sz w:val="20"/>
                <w:szCs w:val="20"/>
              </w:rPr>
              <w:t xml:space="preserve">[sic] </w:t>
            </w:r>
            <w:r w:rsidRPr="00554FD8">
              <w:rPr>
                <w:sz w:val="20"/>
                <w:szCs w:val="20"/>
              </w:rPr>
              <w:t>presupuesto de gastos de funcionamiento, del servicio de la deuda pública y de los gastos de inversión. […] La reversión del régimen presupuestal impactaría los compromisos de inversión ya adquiridos para fortalecer la capacidad operativa del Consejo Nacional Electoral. Proyectos estratégicos como la implementación del sistema de gestión documental, el modelo de arquitectura empresarial y la modernización tecnológica podrían quedar sin financiamiento, lo que afectaría la eficiencia institucional y la capacidad del CNE para garantizar la transparencia electoral. Además, la pérdida de autonomía presupuestal limitaría la planificación de largo plazo, ya que el acceso a los recursos dependería nuevamente de decisiones externas”</w:t>
            </w:r>
            <w:r w:rsidRPr="00554FD8">
              <w:rPr>
                <w:rStyle w:val="Refdenotaalpie"/>
                <w:bCs/>
                <w:sz w:val="20"/>
                <w:szCs w:val="20"/>
              </w:rPr>
              <w:footnoteReference w:id="54"/>
            </w:r>
            <w:r w:rsidRPr="00554FD8">
              <w:rPr>
                <w:sz w:val="20"/>
                <w:szCs w:val="20"/>
              </w:rPr>
              <w:t>.</w:t>
            </w:r>
          </w:p>
        </w:tc>
      </w:tr>
    </w:tbl>
    <w:p w14:paraId="03A12B3B" w14:textId="77777777" w:rsidR="0094131C" w:rsidRDefault="0094131C" w:rsidP="001C2D01">
      <w:pPr>
        <w:keepNext/>
        <w:widowControl w:val="0"/>
        <w:pBdr>
          <w:top w:val="nil"/>
          <w:left w:val="nil"/>
          <w:bottom w:val="nil"/>
          <w:right w:val="nil"/>
          <w:between w:val="nil"/>
        </w:pBdr>
        <w:tabs>
          <w:tab w:val="left" w:pos="284"/>
        </w:tabs>
        <w:jc w:val="both"/>
        <w:rPr>
          <w:b/>
          <w:sz w:val="28"/>
          <w:szCs w:val="28"/>
        </w:rPr>
      </w:pPr>
    </w:p>
    <w:p w14:paraId="18582CD0" w14:textId="199EFEC9" w:rsidR="00B55BBA" w:rsidRPr="003239AA" w:rsidRDefault="001A5115" w:rsidP="003239AA">
      <w:pPr>
        <w:pStyle w:val="Ttulo1"/>
        <w:spacing w:before="0"/>
        <w:rPr>
          <w:rFonts w:ascii="Times New Roman" w:hAnsi="Times New Roman" w:cs="Times New Roman"/>
          <w:b/>
          <w:sz w:val="28"/>
          <w:szCs w:val="28"/>
        </w:rPr>
      </w:pPr>
      <w:bookmarkStart w:id="6" w:name="_Toc230846360"/>
      <w:r w:rsidRPr="003239AA">
        <w:rPr>
          <w:rFonts w:ascii="Times New Roman" w:hAnsi="Times New Roman" w:cs="Times New Roman"/>
          <w:b/>
          <w:color w:val="auto"/>
          <w:sz w:val="28"/>
          <w:szCs w:val="28"/>
        </w:rPr>
        <w:t xml:space="preserve">V. </w:t>
      </w:r>
      <w:r w:rsidR="001A5CEC" w:rsidRPr="003239AA">
        <w:rPr>
          <w:rFonts w:ascii="Times New Roman" w:hAnsi="Times New Roman" w:cs="Times New Roman"/>
          <w:b/>
          <w:color w:val="auto"/>
          <w:sz w:val="28"/>
          <w:szCs w:val="28"/>
        </w:rPr>
        <w:t>INTERVINIENTES</w:t>
      </w:r>
      <w:bookmarkEnd w:id="6"/>
    </w:p>
    <w:p w14:paraId="4A5ECF1D" w14:textId="77777777" w:rsidR="00B55BBA" w:rsidRPr="00554FD8" w:rsidRDefault="00B55BBA" w:rsidP="001C2D01">
      <w:pPr>
        <w:keepNext/>
        <w:widowControl w:val="0"/>
        <w:pBdr>
          <w:top w:val="nil"/>
          <w:left w:val="nil"/>
          <w:bottom w:val="nil"/>
          <w:right w:val="nil"/>
          <w:between w:val="nil"/>
        </w:pBdr>
        <w:tabs>
          <w:tab w:val="left" w:pos="284"/>
        </w:tabs>
        <w:jc w:val="both"/>
        <w:rPr>
          <w:sz w:val="28"/>
          <w:szCs w:val="28"/>
        </w:rPr>
      </w:pPr>
    </w:p>
    <w:p w14:paraId="54EE127D" w14:textId="7C4CF367" w:rsidR="001A5115" w:rsidRPr="00554FD8" w:rsidRDefault="00CD44F7" w:rsidP="0056315D">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rPr>
      </w:pPr>
      <w:r w:rsidRPr="00554FD8">
        <w:rPr>
          <w:sz w:val="28"/>
          <w:szCs w:val="28"/>
        </w:rPr>
        <w:t>D</w:t>
      </w:r>
      <w:r w:rsidR="00817F87" w:rsidRPr="00554FD8">
        <w:rPr>
          <w:sz w:val="28"/>
          <w:szCs w:val="28"/>
        </w:rPr>
        <w:t>urante e</w:t>
      </w:r>
      <w:r w:rsidR="009740F5" w:rsidRPr="00554FD8">
        <w:rPr>
          <w:sz w:val="28"/>
          <w:szCs w:val="28"/>
        </w:rPr>
        <w:t>l término de</w:t>
      </w:r>
      <w:r w:rsidR="00817F87" w:rsidRPr="00554FD8">
        <w:rPr>
          <w:sz w:val="28"/>
          <w:szCs w:val="28"/>
        </w:rPr>
        <w:t xml:space="preserve"> fijación en lista</w:t>
      </w:r>
      <w:r w:rsidR="00236769" w:rsidRPr="00554FD8">
        <w:rPr>
          <w:sz w:val="28"/>
          <w:szCs w:val="28"/>
        </w:rPr>
        <w:t>,</w:t>
      </w:r>
      <w:r w:rsidR="003910CE" w:rsidRPr="00554FD8">
        <w:rPr>
          <w:sz w:val="28"/>
          <w:szCs w:val="28"/>
        </w:rPr>
        <w:t xml:space="preserve"> </w:t>
      </w:r>
      <w:r w:rsidR="00C204D6" w:rsidRPr="00554FD8">
        <w:rPr>
          <w:sz w:val="28"/>
          <w:szCs w:val="28"/>
        </w:rPr>
        <w:t xml:space="preserve">el cual </w:t>
      </w:r>
      <w:r w:rsidR="003910CE" w:rsidRPr="00554FD8">
        <w:rPr>
          <w:sz w:val="28"/>
          <w:szCs w:val="28"/>
        </w:rPr>
        <w:t>transcurrió entre el 14 y el 27  de mayo de 2025,</w:t>
      </w:r>
      <w:r w:rsidR="00236769" w:rsidRPr="00554FD8">
        <w:rPr>
          <w:sz w:val="28"/>
          <w:szCs w:val="28"/>
        </w:rPr>
        <w:t xml:space="preserve"> la Corte Constitucional recibió</w:t>
      </w:r>
      <w:r w:rsidR="001C0F27" w:rsidRPr="00554FD8">
        <w:rPr>
          <w:sz w:val="28"/>
          <w:szCs w:val="28"/>
        </w:rPr>
        <w:t xml:space="preserve"> </w:t>
      </w:r>
      <w:r w:rsidR="00FD3203" w:rsidRPr="00554FD8">
        <w:rPr>
          <w:sz w:val="28"/>
          <w:szCs w:val="28"/>
        </w:rPr>
        <w:t>cuatro</w:t>
      </w:r>
      <w:r w:rsidR="001C0F27" w:rsidRPr="00554FD8">
        <w:rPr>
          <w:sz w:val="28"/>
          <w:szCs w:val="28"/>
        </w:rPr>
        <w:t xml:space="preserve"> intervenciones. Luego del vencimiento de dicha etapa procesal, se recibieron tres escritos adicionales</w:t>
      </w:r>
      <w:r w:rsidR="001C0F27" w:rsidRPr="00554FD8">
        <w:rPr>
          <w:rStyle w:val="Refdenotaalpie"/>
          <w:sz w:val="28"/>
          <w:szCs w:val="28"/>
        </w:rPr>
        <w:footnoteReference w:id="55"/>
      </w:r>
      <w:r w:rsidR="001C0F27" w:rsidRPr="00554FD8">
        <w:rPr>
          <w:sz w:val="28"/>
          <w:szCs w:val="28"/>
        </w:rPr>
        <w:t xml:space="preserve">. Aquellas que fueron </w:t>
      </w:r>
      <w:r w:rsidR="00C204D6" w:rsidRPr="00554FD8">
        <w:rPr>
          <w:sz w:val="28"/>
          <w:szCs w:val="28"/>
        </w:rPr>
        <w:t xml:space="preserve">radicadas </w:t>
      </w:r>
      <w:r w:rsidR="001C0F27" w:rsidRPr="00554FD8">
        <w:rPr>
          <w:sz w:val="28"/>
          <w:szCs w:val="28"/>
        </w:rPr>
        <w:t xml:space="preserve">de manera oportuna </w:t>
      </w:r>
      <w:r w:rsidR="00236769" w:rsidRPr="00554FD8">
        <w:rPr>
          <w:sz w:val="28"/>
          <w:szCs w:val="28"/>
        </w:rPr>
        <w:t>se identifican en la siguiente tabla</w:t>
      </w:r>
      <w:r w:rsidR="001C0F27" w:rsidRPr="00554FD8">
        <w:rPr>
          <w:rStyle w:val="Refdenotaalpie"/>
          <w:sz w:val="28"/>
          <w:szCs w:val="28"/>
        </w:rPr>
        <w:footnoteReference w:id="56"/>
      </w:r>
      <w:r w:rsidR="00C204D6" w:rsidRPr="00554FD8">
        <w:rPr>
          <w:sz w:val="28"/>
          <w:szCs w:val="28"/>
        </w:rPr>
        <w:t xml:space="preserve">, en la que </w:t>
      </w:r>
      <w:r w:rsidR="00236769" w:rsidRPr="00554FD8">
        <w:rPr>
          <w:sz w:val="28"/>
          <w:szCs w:val="28"/>
        </w:rPr>
        <w:t xml:space="preserve">se presenta la síntesis de los argumentos expuestos en cada uno de los escritos: </w:t>
      </w:r>
    </w:p>
    <w:p w14:paraId="00A20326" w14:textId="77777777" w:rsidR="002904E2" w:rsidRPr="00554FD8" w:rsidRDefault="002904E2" w:rsidP="0056315D">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rPr>
      </w:pPr>
    </w:p>
    <w:p w14:paraId="70BB7760" w14:textId="6B876CEC" w:rsidR="00236769" w:rsidRPr="00554FD8" w:rsidRDefault="00236769" w:rsidP="0056315D">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center"/>
        <w:rPr>
          <w:i/>
          <w:sz w:val="20"/>
          <w:szCs w:val="20"/>
        </w:rPr>
      </w:pPr>
      <w:r w:rsidRPr="00554FD8">
        <w:rPr>
          <w:sz w:val="20"/>
          <w:szCs w:val="20"/>
        </w:rPr>
        <w:t xml:space="preserve">Tabla </w:t>
      </w:r>
      <w:r w:rsidR="00B64630" w:rsidRPr="00554FD8">
        <w:rPr>
          <w:sz w:val="20"/>
          <w:szCs w:val="20"/>
        </w:rPr>
        <w:t>2</w:t>
      </w:r>
      <w:r w:rsidRPr="00554FD8">
        <w:rPr>
          <w:sz w:val="20"/>
          <w:szCs w:val="20"/>
        </w:rPr>
        <w:t xml:space="preserve">. </w:t>
      </w:r>
      <w:r w:rsidRPr="00554FD8">
        <w:rPr>
          <w:i/>
          <w:sz w:val="20"/>
          <w:szCs w:val="20"/>
        </w:rPr>
        <w:t>Intervenciones</w:t>
      </w:r>
    </w:p>
    <w:tbl>
      <w:tblPr>
        <w:tblStyle w:val="Tablaconcuadrcula"/>
        <w:tblW w:w="5000" w:type="pct"/>
        <w:jc w:val="center"/>
        <w:tblLook w:val="04A0" w:firstRow="1" w:lastRow="0" w:firstColumn="1" w:lastColumn="0" w:noHBand="0" w:noVBand="1"/>
      </w:tblPr>
      <w:tblGrid>
        <w:gridCol w:w="1806"/>
        <w:gridCol w:w="1472"/>
        <w:gridCol w:w="5550"/>
      </w:tblGrid>
      <w:tr w:rsidR="00FB41CB" w:rsidRPr="00554FD8" w14:paraId="151FA1F8" w14:textId="77777777" w:rsidTr="000E2455">
        <w:trPr>
          <w:trHeight w:val="261"/>
          <w:jc w:val="center"/>
        </w:trPr>
        <w:tc>
          <w:tcPr>
            <w:tcW w:w="1116" w:type="pct"/>
            <w:shd w:val="clear" w:color="auto" w:fill="B8CCE4" w:themeFill="accent1" w:themeFillTint="66"/>
          </w:tcPr>
          <w:p w14:paraId="0AD1A21C" w14:textId="77777777" w:rsidR="00236769" w:rsidRPr="00554FD8" w:rsidRDefault="00236769" w:rsidP="00FD3203">
            <w:pPr>
              <w:pStyle w:val="Prrafodelista"/>
              <w:widowControl w:val="0"/>
              <w:tabs>
                <w:tab w:val="left" w:pos="567"/>
              </w:tabs>
              <w:ind w:left="0"/>
              <w:jc w:val="center"/>
              <w:rPr>
                <w:b/>
                <w:bCs/>
                <w:sz w:val="20"/>
                <w:szCs w:val="20"/>
              </w:rPr>
            </w:pPr>
            <w:r w:rsidRPr="00554FD8">
              <w:rPr>
                <w:b/>
                <w:bCs/>
                <w:sz w:val="20"/>
                <w:szCs w:val="20"/>
              </w:rPr>
              <w:t xml:space="preserve">Interviniente </w:t>
            </w:r>
          </w:p>
        </w:tc>
        <w:tc>
          <w:tcPr>
            <w:tcW w:w="648" w:type="pct"/>
            <w:shd w:val="clear" w:color="auto" w:fill="B8CCE4" w:themeFill="accent1" w:themeFillTint="66"/>
          </w:tcPr>
          <w:p w14:paraId="77BE86AF" w14:textId="56605A99" w:rsidR="00236769" w:rsidRPr="00554FD8" w:rsidRDefault="00236769" w:rsidP="00FD3203">
            <w:pPr>
              <w:pStyle w:val="Prrafodelista"/>
              <w:widowControl w:val="0"/>
              <w:tabs>
                <w:tab w:val="left" w:pos="567"/>
              </w:tabs>
              <w:ind w:left="0"/>
              <w:jc w:val="center"/>
              <w:rPr>
                <w:b/>
                <w:bCs/>
                <w:sz w:val="20"/>
                <w:szCs w:val="20"/>
              </w:rPr>
            </w:pPr>
            <w:r w:rsidRPr="00554FD8">
              <w:rPr>
                <w:b/>
                <w:bCs/>
                <w:sz w:val="20"/>
                <w:szCs w:val="20"/>
              </w:rPr>
              <w:t>Solicitud</w:t>
            </w:r>
          </w:p>
        </w:tc>
        <w:tc>
          <w:tcPr>
            <w:tcW w:w="3236" w:type="pct"/>
            <w:shd w:val="clear" w:color="auto" w:fill="B8CCE4" w:themeFill="accent1" w:themeFillTint="66"/>
          </w:tcPr>
          <w:p w14:paraId="2744CAAA" w14:textId="4761386D" w:rsidR="00236769" w:rsidRPr="00554FD8" w:rsidRDefault="00236769" w:rsidP="00FD3203">
            <w:pPr>
              <w:pStyle w:val="Prrafodelista"/>
              <w:widowControl w:val="0"/>
              <w:tabs>
                <w:tab w:val="left" w:pos="567"/>
              </w:tabs>
              <w:ind w:left="0"/>
              <w:jc w:val="center"/>
              <w:rPr>
                <w:b/>
                <w:bCs/>
                <w:sz w:val="20"/>
                <w:szCs w:val="20"/>
              </w:rPr>
            </w:pPr>
            <w:r w:rsidRPr="00554FD8">
              <w:rPr>
                <w:b/>
                <w:bCs/>
                <w:sz w:val="20"/>
                <w:szCs w:val="20"/>
              </w:rPr>
              <w:t>Argumentos</w:t>
            </w:r>
          </w:p>
        </w:tc>
      </w:tr>
      <w:tr w:rsidR="00E22973" w:rsidRPr="00554FD8" w14:paraId="7D995DC6" w14:textId="77777777" w:rsidTr="000E2455">
        <w:trPr>
          <w:trHeight w:val="261"/>
          <w:jc w:val="center"/>
        </w:trPr>
        <w:tc>
          <w:tcPr>
            <w:tcW w:w="1116" w:type="pct"/>
            <w:shd w:val="clear" w:color="auto" w:fill="B8CCE4" w:themeFill="accent1" w:themeFillTint="66"/>
          </w:tcPr>
          <w:p w14:paraId="54A8960A" w14:textId="3C59C906" w:rsidR="008E0D35" w:rsidRPr="00554FD8" w:rsidRDefault="00E22973" w:rsidP="00FD3203">
            <w:pPr>
              <w:pStyle w:val="Prrafodelista"/>
              <w:widowControl w:val="0"/>
              <w:tabs>
                <w:tab w:val="left" w:pos="567"/>
              </w:tabs>
              <w:ind w:left="0"/>
              <w:jc w:val="center"/>
              <w:rPr>
                <w:bCs/>
                <w:sz w:val="20"/>
                <w:szCs w:val="20"/>
              </w:rPr>
            </w:pPr>
            <w:r w:rsidRPr="00554FD8">
              <w:rPr>
                <w:bCs/>
                <w:sz w:val="20"/>
                <w:szCs w:val="20"/>
              </w:rPr>
              <w:t>Nicol Stephany Doncel Agudelo, Danna Carolina Ramírez Escobar y Danna Valentina Plazas Ramírez</w:t>
            </w:r>
            <w:r w:rsidR="00EE7BAA" w:rsidRPr="00554FD8">
              <w:rPr>
                <w:bCs/>
                <w:sz w:val="20"/>
                <w:szCs w:val="20"/>
              </w:rPr>
              <w:t xml:space="preserve"> – Institución Universitaria Colegios de Colombia</w:t>
            </w:r>
            <w:r w:rsidRPr="00554FD8">
              <w:rPr>
                <w:rStyle w:val="Refdenotaalpie"/>
                <w:bCs/>
                <w:sz w:val="20"/>
                <w:szCs w:val="20"/>
              </w:rPr>
              <w:footnoteReference w:id="57"/>
            </w:r>
          </w:p>
        </w:tc>
        <w:tc>
          <w:tcPr>
            <w:tcW w:w="648" w:type="pct"/>
          </w:tcPr>
          <w:p w14:paraId="6290EABA" w14:textId="23FD4A39" w:rsidR="008E0D35" w:rsidRPr="00554FD8" w:rsidRDefault="008074A0" w:rsidP="00FD3203">
            <w:pPr>
              <w:pStyle w:val="Prrafodelista"/>
              <w:widowControl w:val="0"/>
              <w:tabs>
                <w:tab w:val="left" w:pos="567"/>
              </w:tabs>
              <w:ind w:left="0"/>
              <w:jc w:val="both"/>
              <w:rPr>
                <w:bCs/>
                <w:sz w:val="20"/>
                <w:szCs w:val="20"/>
              </w:rPr>
            </w:pPr>
            <w:r w:rsidRPr="00554FD8">
              <w:rPr>
                <w:bCs/>
                <w:sz w:val="20"/>
                <w:szCs w:val="20"/>
              </w:rPr>
              <w:t xml:space="preserve">Inexequibilidad parcial del artículo 336 del PND. </w:t>
            </w:r>
          </w:p>
        </w:tc>
        <w:tc>
          <w:tcPr>
            <w:tcW w:w="3236" w:type="pct"/>
          </w:tcPr>
          <w:p w14:paraId="3C43A0CC" w14:textId="73224DDC" w:rsidR="008E0D35" w:rsidRPr="00554FD8" w:rsidRDefault="00CD3474" w:rsidP="00FD3203">
            <w:pPr>
              <w:pStyle w:val="Prrafodelista"/>
              <w:widowControl w:val="0"/>
              <w:tabs>
                <w:tab w:val="left" w:pos="567"/>
              </w:tabs>
              <w:ind w:left="0"/>
              <w:jc w:val="both"/>
              <w:rPr>
                <w:sz w:val="20"/>
                <w:szCs w:val="20"/>
              </w:rPr>
            </w:pPr>
            <w:r w:rsidRPr="00554FD8">
              <w:rPr>
                <w:sz w:val="20"/>
                <w:szCs w:val="20"/>
              </w:rPr>
              <w:t xml:space="preserve">En primer lugar, señalaron que </w:t>
            </w:r>
            <w:r w:rsidR="0066490D" w:rsidRPr="00554FD8">
              <w:rPr>
                <w:sz w:val="20"/>
                <w:szCs w:val="20"/>
              </w:rPr>
              <w:t xml:space="preserve">en la formulación del PND es necesario definir, de manera rigurosa,  </w:t>
            </w:r>
            <w:r w:rsidRPr="00554FD8">
              <w:rPr>
                <w:sz w:val="20"/>
                <w:szCs w:val="20"/>
              </w:rPr>
              <w:t xml:space="preserve">las metas programáticas y las estrategias gubernamentales que se plantean para el cuatrienio presidencial. </w:t>
            </w:r>
            <w:r w:rsidR="0066490D" w:rsidRPr="00554FD8">
              <w:rPr>
                <w:sz w:val="20"/>
                <w:szCs w:val="20"/>
              </w:rPr>
              <w:t xml:space="preserve">En ese sentido, la planificación no puede ser vaga o difusa, ya que </w:t>
            </w:r>
            <w:r w:rsidRPr="00554FD8">
              <w:rPr>
                <w:sz w:val="20"/>
                <w:szCs w:val="20"/>
              </w:rPr>
              <w:t xml:space="preserve">el PND debe definir con claridad el alcance al que se aspira llegar y los objetivos específicos que se persiguen. </w:t>
            </w:r>
          </w:p>
          <w:p w14:paraId="0611F254" w14:textId="798A284D" w:rsidR="0066490D" w:rsidRPr="00554FD8" w:rsidRDefault="0066490D" w:rsidP="00FD3203">
            <w:pPr>
              <w:pStyle w:val="Prrafodelista"/>
              <w:widowControl w:val="0"/>
              <w:tabs>
                <w:tab w:val="left" w:pos="567"/>
              </w:tabs>
              <w:ind w:left="0"/>
              <w:jc w:val="both"/>
              <w:rPr>
                <w:sz w:val="20"/>
                <w:szCs w:val="20"/>
              </w:rPr>
            </w:pPr>
          </w:p>
          <w:p w14:paraId="5A430F93" w14:textId="469E596A" w:rsidR="0066490D" w:rsidRPr="00554FD8" w:rsidRDefault="0066490D" w:rsidP="00FD3203">
            <w:pPr>
              <w:pStyle w:val="Prrafodelista"/>
              <w:widowControl w:val="0"/>
              <w:tabs>
                <w:tab w:val="left" w:pos="567"/>
              </w:tabs>
              <w:ind w:left="0"/>
              <w:jc w:val="both"/>
              <w:rPr>
                <w:sz w:val="20"/>
                <w:szCs w:val="20"/>
              </w:rPr>
            </w:pPr>
            <w:r w:rsidRPr="00554FD8">
              <w:rPr>
                <w:sz w:val="20"/>
                <w:szCs w:val="20"/>
              </w:rPr>
              <w:t xml:space="preserve">En segundo lugar, se refirieron exclusivamente sobre la constitucionalidad del artículo 336 de la Ley 2294 de 2023. Al respecto, indicaron que vulnera el principio de unidad de materia porque: </w:t>
            </w:r>
          </w:p>
          <w:p w14:paraId="43D91C10" w14:textId="7B166282" w:rsidR="0066490D" w:rsidRPr="00554FD8" w:rsidRDefault="0066490D" w:rsidP="00FD3203">
            <w:pPr>
              <w:pStyle w:val="Prrafodelista"/>
              <w:widowControl w:val="0"/>
              <w:tabs>
                <w:tab w:val="left" w:pos="567"/>
              </w:tabs>
              <w:ind w:left="0"/>
              <w:jc w:val="both"/>
              <w:rPr>
                <w:sz w:val="20"/>
                <w:szCs w:val="20"/>
              </w:rPr>
            </w:pPr>
          </w:p>
          <w:p w14:paraId="54984B3E" w14:textId="112EC506" w:rsidR="00CD3474" w:rsidRPr="00554FD8" w:rsidRDefault="0066490D" w:rsidP="00FD3203">
            <w:pPr>
              <w:pStyle w:val="Prrafodelista"/>
              <w:widowControl w:val="0"/>
              <w:tabs>
                <w:tab w:val="left" w:pos="567"/>
              </w:tabs>
              <w:ind w:left="0"/>
              <w:jc w:val="both"/>
              <w:rPr>
                <w:sz w:val="20"/>
                <w:szCs w:val="20"/>
                <w:lang w:val="es-ES_tradnl" w:eastAsia="es-CO"/>
              </w:rPr>
            </w:pPr>
            <w:r w:rsidRPr="00554FD8">
              <w:rPr>
                <w:sz w:val="20"/>
                <w:szCs w:val="20"/>
              </w:rPr>
              <w:t xml:space="preserve">(i) </w:t>
            </w:r>
            <w:r w:rsidR="007A3878" w:rsidRPr="00554FD8">
              <w:rPr>
                <w:sz w:val="20"/>
                <w:szCs w:val="20"/>
              </w:rPr>
              <w:t>N</w:t>
            </w:r>
            <w:r w:rsidR="00CD3474" w:rsidRPr="00554FD8">
              <w:rPr>
                <w:sz w:val="20"/>
                <w:szCs w:val="20"/>
                <w:lang w:val="es-ES_tradnl" w:eastAsia="es-CO"/>
              </w:rPr>
              <w:t xml:space="preserve">o guarda una relación temática, teleológica ni instrumental con los fines, objetivos ni estrategias formuladas en la </w:t>
            </w:r>
            <w:r w:rsidR="00351032" w:rsidRPr="00554FD8">
              <w:rPr>
                <w:sz w:val="20"/>
                <w:szCs w:val="20"/>
                <w:lang w:val="es-ES_tradnl" w:eastAsia="es-CO"/>
              </w:rPr>
              <w:t>p</w:t>
            </w:r>
            <w:r w:rsidR="00CD3474" w:rsidRPr="00554FD8">
              <w:rPr>
                <w:sz w:val="20"/>
                <w:szCs w:val="20"/>
                <w:lang w:val="es-ES_tradnl" w:eastAsia="es-CO"/>
              </w:rPr>
              <w:t xml:space="preserve">arte </w:t>
            </w:r>
            <w:r w:rsidR="00351032" w:rsidRPr="00554FD8">
              <w:rPr>
                <w:sz w:val="20"/>
                <w:szCs w:val="20"/>
                <w:lang w:val="es-ES_tradnl" w:eastAsia="es-CO"/>
              </w:rPr>
              <w:t>g</w:t>
            </w:r>
            <w:r w:rsidR="00CD3474" w:rsidRPr="00554FD8">
              <w:rPr>
                <w:sz w:val="20"/>
                <w:szCs w:val="20"/>
                <w:lang w:val="es-ES_tradnl" w:eastAsia="es-CO"/>
              </w:rPr>
              <w:t xml:space="preserve">eneral ni en las </w:t>
            </w:r>
            <w:r w:rsidR="00A21C73">
              <w:rPr>
                <w:sz w:val="20"/>
                <w:szCs w:val="20"/>
                <w:lang w:val="es-ES_tradnl" w:eastAsia="es-CO"/>
              </w:rPr>
              <w:t>B</w:t>
            </w:r>
            <w:r w:rsidR="00CD3474" w:rsidRPr="00554FD8">
              <w:rPr>
                <w:sz w:val="20"/>
                <w:szCs w:val="20"/>
                <w:lang w:val="es-ES_tradnl" w:eastAsia="es-CO"/>
              </w:rPr>
              <w:t xml:space="preserve">ases del </w:t>
            </w:r>
            <w:r w:rsidR="00351032" w:rsidRPr="00554FD8">
              <w:rPr>
                <w:sz w:val="20"/>
                <w:szCs w:val="20"/>
                <w:lang w:val="es-ES_tradnl" w:eastAsia="es-CO"/>
              </w:rPr>
              <w:t>p</w:t>
            </w:r>
            <w:r w:rsidR="00CD3474" w:rsidRPr="00554FD8">
              <w:rPr>
                <w:sz w:val="20"/>
                <w:szCs w:val="20"/>
                <w:lang w:val="es-ES_tradnl" w:eastAsia="es-CO"/>
              </w:rPr>
              <w:t>lan. Por el contrario, tiene un contenido normativo autónomo</w:t>
            </w:r>
            <w:r w:rsidR="007A3878" w:rsidRPr="00554FD8">
              <w:rPr>
                <w:sz w:val="20"/>
                <w:szCs w:val="20"/>
                <w:lang w:val="es-ES_tradnl" w:eastAsia="es-CO"/>
              </w:rPr>
              <w:t xml:space="preserve"> y</w:t>
            </w:r>
            <w:r w:rsidR="00CD3474" w:rsidRPr="00554FD8">
              <w:rPr>
                <w:sz w:val="20"/>
                <w:szCs w:val="20"/>
                <w:lang w:val="es-ES_tradnl" w:eastAsia="es-CO"/>
              </w:rPr>
              <w:t xml:space="preserve"> con vocación de permanencia</w:t>
            </w:r>
            <w:r w:rsidR="007A3878" w:rsidRPr="00554FD8">
              <w:rPr>
                <w:sz w:val="20"/>
                <w:szCs w:val="20"/>
                <w:lang w:val="es-ES_tradnl" w:eastAsia="es-CO"/>
              </w:rPr>
              <w:t xml:space="preserve">. </w:t>
            </w:r>
          </w:p>
          <w:p w14:paraId="7A8E8F21" w14:textId="568DEEB3" w:rsidR="007A3878" w:rsidRPr="00554FD8" w:rsidRDefault="007A3878" w:rsidP="00FD3203">
            <w:pPr>
              <w:pStyle w:val="Prrafodelista"/>
              <w:widowControl w:val="0"/>
              <w:tabs>
                <w:tab w:val="left" w:pos="567"/>
              </w:tabs>
              <w:ind w:left="0"/>
              <w:jc w:val="both"/>
              <w:rPr>
                <w:sz w:val="20"/>
                <w:szCs w:val="20"/>
              </w:rPr>
            </w:pPr>
          </w:p>
          <w:p w14:paraId="3E9B1F1E" w14:textId="71C05902" w:rsidR="007A3878" w:rsidRPr="00554FD8" w:rsidRDefault="007A3878" w:rsidP="00FD3203">
            <w:pPr>
              <w:pStyle w:val="Prrafodelista"/>
              <w:widowControl w:val="0"/>
              <w:tabs>
                <w:tab w:val="left" w:pos="567"/>
              </w:tabs>
              <w:ind w:left="0"/>
              <w:jc w:val="both"/>
              <w:rPr>
                <w:sz w:val="20"/>
                <w:szCs w:val="20"/>
                <w:lang w:val="es-ES_tradnl" w:eastAsia="es-CO"/>
              </w:rPr>
            </w:pPr>
            <w:r w:rsidRPr="00554FD8">
              <w:rPr>
                <w:sz w:val="20"/>
                <w:szCs w:val="20"/>
              </w:rPr>
              <w:t>(ii)</w:t>
            </w:r>
            <w:r w:rsidR="002904E2" w:rsidRPr="00554FD8">
              <w:rPr>
                <w:sz w:val="20"/>
                <w:szCs w:val="20"/>
              </w:rPr>
              <w:t xml:space="preserve"> </w:t>
            </w:r>
            <w:r w:rsidRPr="00554FD8">
              <w:rPr>
                <w:sz w:val="20"/>
                <w:szCs w:val="20"/>
              </w:rPr>
              <w:t>Aunque las leyes del PND tienen una naturaleza especial al ser multitemáticas, ello no implica que no se apliquen límites a su diseño. En efecto, s</w:t>
            </w:r>
            <w:r w:rsidR="00373649" w:rsidRPr="00554FD8">
              <w:rPr>
                <w:sz w:val="20"/>
                <w:szCs w:val="20"/>
              </w:rPr>
              <w:t>o</w:t>
            </w:r>
            <w:r w:rsidR="00CD3474" w:rsidRPr="00554FD8">
              <w:rPr>
                <w:sz w:val="20"/>
                <w:szCs w:val="20"/>
                <w:lang w:val="es-ES_tradnl" w:eastAsia="es-CO"/>
              </w:rPr>
              <w:t>lo es constitucionalmente admisible la inclusión de normas que permitan viabilizar, ejecutar o desarrollar lo contemplado expresamente en la parte general del plan. Es decir, debe existir una relación de conexidad directa e inmediata entre las disposiciones normativas y las finalidades</w:t>
            </w:r>
            <w:r w:rsidRPr="00554FD8">
              <w:rPr>
                <w:sz w:val="20"/>
                <w:szCs w:val="20"/>
                <w:lang w:val="es-ES_tradnl" w:eastAsia="es-CO"/>
              </w:rPr>
              <w:t xml:space="preserve"> del PND. </w:t>
            </w:r>
          </w:p>
          <w:p w14:paraId="53F7BF07" w14:textId="77777777" w:rsidR="007A3878" w:rsidRPr="00554FD8" w:rsidRDefault="007A3878" w:rsidP="00FD3203">
            <w:pPr>
              <w:pStyle w:val="Prrafodelista"/>
              <w:widowControl w:val="0"/>
              <w:tabs>
                <w:tab w:val="left" w:pos="567"/>
              </w:tabs>
              <w:ind w:left="0"/>
              <w:jc w:val="both"/>
              <w:rPr>
                <w:sz w:val="20"/>
                <w:szCs w:val="20"/>
                <w:lang w:val="es-ES_tradnl" w:eastAsia="es-CO"/>
              </w:rPr>
            </w:pPr>
          </w:p>
          <w:p w14:paraId="4A99D44B" w14:textId="73E5017A" w:rsidR="000E2223" w:rsidRPr="00554FD8" w:rsidRDefault="007A3878" w:rsidP="00FD3203">
            <w:pPr>
              <w:pStyle w:val="Prrafodelista"/>
              <w:widowControl w:val="0"/>
              <w:tabs>
                <w:tab w:val="left" w:pos="567"/>
              </w:tabs>
              <w:ind w:left="0"/>
              <w:jc w:val="both"/>
              <w:rPr>
                <w:sz w:val="20"/>
                <w:szCs w:val="20"/>
                <w:lang w:val="es-ES_tradnl" w:eastAsia="es-CO"/>
              </w:rPr>
            </w:pPr>
            <w:r w:rsidRPr="00554FD8">
              <w:rPr>
                <w:sz w:val="20"/>
                <w:szCs w:val="20"/>
                <w:lang w:val="es-ES_tradnl" w:eastAsia="es-CO"/>
              </w:rPr>
              <w:t>(iii) L</w:t>
            </w:r>
            <w:r w:rsidR="00CD3474" w:rsidRPr="00554FD8">
              <w:rPr>
                <w:sz w:val="20"/>
                <w:szCs w:val="20"/>
                <w:lang w:val="es-ES_tradnl" w:eastAsia="es-CO"/>
              </w:rPr>
              <w:t>a creación de una sección presupuestal independiente para el CNE no se encuentra orientada a garantizar la ejecución de programas, proyectos ni metas del</w:t>
            </w:r>
            <w:r w:rsidR="000E2223" w:rsidRPr="00554FD8">
              <w:rPr>
                <w:sz w:val="20"/>
                <w:szCs w:val="20"/>
                <w:lang w:val="es-ES_tradnl" w:eastAsia="es-CO"/>
              </w:rPr>
              <w:t xml:space="preserve"> PND</w:t>
            </w:r>
            <w:r w:rsidR="00CD3474" w:rsidRPr="00554FD8">
              <w:rPr>
                <w:sz w:val="20"/>
                <w:szCs w:val="20"/>
                <w:lang w:val="es-ES_tradnl" w:eastAsia="es-CO"/>
              </w:rPr>
              <w:t xml:space="preserve">. </w:t>
            </w:r>
            <w:r w:rsidRPr="00554FD8">
              <w:rPr>
                <w:sz w:val="20"/>
                <w:szCs w:val="20"/>
                <w:lang w:val="es-ES_tradnl" w:eastAsia="es-CO"/>
              </w:rPr>
              <w:t>“</w:t>
            </w:r>
            <w:r w:rsidR="00CD3474" w:rsidRPr="00554FD8">
              <w:rPr>
                <w:sz w:val="20"/>
                <w:szCs w:val="20"/>
                <w:lang w:val="es-ES_tradnl" w:eastAsia="es-CO"/>
              </w:rPr>
              <w:t xml:space="preserve">Aunque en el trámite legislativo se insertó una mención genérica en las </w:t>
            </w:r>
            <w:r w:rsidR="00A21C73">
              <w:rPr>
                <w:sz w:val="20"/>
                <w:szCs w:val="20"/>
                <w:lang w:val="es-ES_tradnl" w:eastAsia="es-CO"/>
              </w:rPr>
              <w:t>B</w:t>
            </w:r>
            <w:r w:rsidR="00CD3474" w:rsidRPr="00554FD8">
              <w:rPr>
                <w:sz w:val="20"/>
                <w:szCs w:val="20"/>
                <w:lang w:val="es-ES_tradnl" w:eastAsia="es-CO"/>
              </w:rPr>
              <w:t xml:space="preserve">ases del </w:t>
            </w:r>
            <w:r w:rsidR="00351032" w:rsidRPr="00554FD8">
              <w:rPr>
                <w:sz w:val="20"/>
                <w:szCs w:val="20"/>
                <w:lang w:val="es-ES_tradnl" w:eastAsia="es-CO"/>
              </w:rPr>
              <w:t>p</w:t>
            </w:r>
            <w:r w:rsidR="00CD3474" w:rsidRPr="00554FD8">
              <w:rPr>
                <w:sz w:val="20"/>
                <w:szCs w:val="20"/>
                <w:lang w:val="es-ES_tradnl" w:eastAsia="es-CO"/>
              </w:rPr>
              <w:t>lan relativa a la necesidad de asegurar la autonomía del CNE, dicha inclusión fue posterior a la radicación inicial y no responde a una necesidad de planificación sino a un interés político coyuntural</w:t>
            </w:r>
            <w:r w:rsidR="000E2223" w:rsidRPr="00554FD8">
              <w:rPr>
                <w:sz w:val="20"/>
                <w:szCs w:val="20"/>
                <w:lang w:val="es-ES_tradnl" w:eastAsia="es-CO"/>
              </w:rPr>
              <w:t>”</w:t>
            </w:r>
            <w:r w:rsidR="002904E2" w:rsidRPr="00554FD8">
              <w:rPr>
                <w:rStyle w:val="Refdenotaalpie"/>
                <w:bCs/>
                <w:sz w:val="20"/>
                <w:szCs w:val="20"/>
              </w:rPr>
              <w:footnoteReference w:id="58"/>
            </w:r>
            <w:r w:rsidR="00CD3474" w:rsidRPr="00554FD8">
              <w:rPr>
                <w:sz w:val="20"/>
                <w:szCs w:val="20"/>
                <w:lang w:val="es-ES_tradnl" w:eastAsia="es-CO"/>
              </w:rPr>
              <w:t xml:space="preserve">. </w:t>
            </w:r>
          </w:p>
          <w:p w14:paraId="5435C74E" w14:textId="77777777" w:rsidR="000E2223" w:rsidRPr="00554FD8" w:rsidRDefault="000E2223" w:rsidP="00FD3203">
            <w:pPr>
              <w:pStyle w:val="Prrafodelista"/>
              <w:widowControl w:val="0"/>
              <w:tabs>
                <w:tab w:val="left" w:pos="567"/>
              </w:tabs>
              <w:ind w:left="0"/>
              <w:jc w:val="both"/>
              <w:rPr>
                <w:sz w:val="20"/>
                <w:szCs w:val="20"/>
                <w:lang w:val="es-ES_tradnl" w:eastAsia="es-CO"/>
              </w:rPr>
            </w:pPr>
          </w:p>
          <w:p w14:paraId="3E469975" w14:textId="679C6FBD" w:rsidR="00CD3474" w:rsidRPr="00554FD8" w:rsidRDefault="000E2223" w:rsidP="00FD3203">
            <w:pPr>
              <w:pStyle w:val="Prrafodelista"/>
              <w:widowControl w:val="0"/>
              <w:tabs>
                <w:tab w:val="left" w:pos="567"/>
              </w:tabs>
              <w:ind w:left="0"/>
              <w:jc w:val="both"/>
              <w:rPr>
                <w:sz w:val="20"/>
                <w:szCs w:val="20"/>
                <w:lang w:val="es-ES_tradnl" w:eastAsia="es-CO"/>
              </w:rPr>
            </w:pPr>
            <w:r w:rsidRPr="00554FD8">
              <w:rPr>
                <w:sz w:val="20"/>
                <w:szCs w:val="20"/>
                <w:lang w:val="es-ES_tradnl" w:eastAsia="es-CO"/>
              </w:rPr>
              <w:t xml:space="preserve">(iv) </w:t>
            </w:r>
            <w:r w:rsidR="00CD3474" w:rsidRPr="00554FD8">
              <w:rPr>
                <w:sz w:val="20"/>
                <w:szCs w:val="20"/>
                <w:lang w:val="es-ES_tradnl" w:eastAsia="es-CO"/>
              </w:rPr>
              <w:t xml:space="preserve">La incorporación tardía de esa referencia </w:t>
            </w:r>
            <w:r w:rsidRPr="00554FD8">
              <w:rPr>
                <w:sz w:val="20"/>
                <w:szCs w:val="20"/>
                <w:lang w:val="es-ES_tradnl" w:eastAsia="es-CO"/>
              </w:rPr>
              <w:t xml:space="preserve">al CNE </w:t>
            </w:r>
            <w:r w:rsidR="00CD3474" w:rsidRPr="00554FD8">
              <w:rPr>
                <w:sz w:val="20"/>
                <w:szCs w:val="20"/>
                <w:lang w:val="es-ES_tradnl" w:eastAsia="es-CO"/>
              </w:rPr>
              <w:t xml:space="preserve">en las </w:t>
            </w:r>
            <w:r w:rsidR="00A21C73">
              <w:rPr>
                <w:sz w:val="20"/>
                <w:szCs w:val="20"/>
                <w:lang w:val="es-ES_tradnl" w:eastAsia="es-CO"/>
              </w:rPr>
              <w:t>B</w:t>
            </w:r>
            <w:r w:rsidR="00CD3474" w:rsidRPr="00554FD8">
              <w:rPr>
                <w:sz w:val="20"/>
                <w:szCs w:val="20"/>
                <w:lang w:val="es-ES_tradnl" w:eastAsia="es-CO"/>
              </w:rPr>
              <w:t xml:space="preserve">ases </w:t>
            </w:r>
            <w:r w:rsidRPr="00554FD8">
              <w:rPr>
                <w:sz w:val="20"/>
                <w:szCs w:val="20"/>
                <w:lang w:val="es-ES_tradnl" w:eastAsia="es-CO"/>
              </w:rPr>
              <w:t>“</w:t>
            </w:r>
            <w:r w:rsidR="00CD3474" w:rsidRPr="00554FD8">
              <w:rPr>
                <w:sz w:val="20"/>
                <w:szCs w:val="20"/>
                <w:lang w:val="es-ES_tradnl" w:eastAsia="es-CO"/>
              </w:rPr>
              <w:t>distorsiona el sentido técnico y democrático del proceso de planificación del desarrollo y vacía de contenido el principio de unidad de materia</w:t>
            </w:r>
            <w:r w:rsidRPr="00554FD8">
              <w:rPr>
                <w:sz w:val="20"/>
                <w:szCs w:val="20"/>
                <w:lang w:val="es-ES_tradnl" w:eastAsia="es-CO"/>
              </w:rPr>
              <w:t>”</w:t>
            </w:r>
            <w:r w:rsidR="00CD3474" w:rsidRPr="00554FD8">
              <w:rPr>
                <w:sz w:val="20"/>
                <w:szCs w:val="20"/>
                <w:lang w:val="es-ES_tradnl" w:eastAsia="es-CO"/>
              </w:rPr>
              <w:t xml:space="preserve">. </w:t>
            </w:r>
          </w:p>
          <w:p w14:paraId="1F8F051F" w14:textId="77777777" w:rsidR="002904E2" w:rsidRPr="00554FD8" w:rsidRDefault="002904E2" w:rsidP="00FD3203">
            <w:pPr>
              <w:widowControl w:val="0"/>
              <w:autoSpaceDE w:val="0"/>
              <w:autoSpaceDN w:val="0"/>
              <w:adjustRightInd w:val="0"/>
              <w:jc w:val="both"/>
              <w:rPr>
                <w:sz w:val="20"/>
                <w:szCs w:val="20"/>
                <w:lang w:val="es-ES_tradnl"/>
              </w:rPr>
            </w:pPr>
          </w:p>
          <w:p w14:paraId="444455CC" w14:textId="75162678" w:rsidR="002904E2" w:rsidRPr="00554FD8" w:rsidRDefault="002904E2" w:rsidP="00FD32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sz w:val="20"/>
                <w:szCs w:val="20"/>
                <w:lang w:val="es-ES_tradnl" w:eastAsia="es-CO"/>
              </w:rPr>
            </w:pPr>
            <w:r w:rsidRPr="00554FD8">
              <w:rPr>
                <w:sz w:val="20"/>
                <w:szCs w:val="20"/>
                <w:lang w:val="es-ES_tradnl"/>
              </w:rPr>
              <w:t>En tercer lugar, argumentaron que “</w:t>
            </w:r>
            <w:r w:rsidRPr="00554FD8">
              <w:rPr>
                <w:color w:val="000000"/>
                <w:sz w:val="20"/>
                <w:szCs w:val="20"/>
                <w:lang w:val="es-ES_tradnl" w:eastAsia="es-CO"/>
              </w:rPr>
              <w:t>el artículo 336 interviene directamente en una norma orgánica —el artículo 36 del Decreto 111 de 1996— sin que se hubiere tramitado conforme al régimen especial que exige la Constitución”</w:t>
            </w:r>
            <w:r w:rsidRPr="00554FD8">
              <w:rPr>
                <w:rStyle w:val="Refdenotaalpie"/>
                <w:bCs/>
                <w:sz w:val="20"/>
                <w:szCs w:val="20"/>
              </w:rPr>
              <w:footnoteReference w:id="59"/>
            </w:r>
            <w:r w:rsidRPr="00554FD8">
              <w:rPr>
                <w:color w:val="000000"/>
                <w:sz w:val="20"/>
                <w:szCs w:val="20"/>
                <w:lang w:val="es-ES_tradnl" w:eastAsia="es-CO"/>
              </w:rPr>
              <w:t xml:space="preserve">. </w:t>
            </w:r>
          </w:p>
          <w:p w14:paraId="63A57EE3" w14:textId="77777777" w:rsidR="002904E2" w:rsidRPr="00554FD8" w:rsidRDefault="002904E2" w:rsidP="00FD3203">
            <w:pPr>
              <w:widowControl w:val="0"/>
              <w:autoSpaceDE w:val="0"/>
              <w:autoSpaceDN w:val="0"/>
              <w:adjustRightInd w:val="0"/>
              <w:jc w:val="both"/>
              <w:rPr>
                <w:color w:val="000000"/>
                <w:sz w:val="20"/>
                <w:szCs w:val="20"/>
                <w:lang w:val="es-ES_tradnl" w:eastAsia="es-CO"/>
              </w:rPr>
            </w:pPr>
          </w:p>
          <w:p w14:paraId="6C89CD64" w14:textId="1CCF3E12" w:rsidR="002904E2" w:rsidRPr="00554FD8" w:rsidRDefault="002904E2" w:rsidP="00FD3203">
            <w:pPr>
              <w:widowControl w:val="0"/>
              <w:autoSpaceDE w:val="0"/>
              <w:autoSpaceDN w:val="0"/>
              <w:adjustRightInd w:val="0"/>
              <w:jc w:val="both"/>
              <w:rPr>
                <w:sz w:val="20"/>
                <w:szCs w:val="20"/>
                <w:lang w:val="es-ES_tradnl"/>
              </w:rPr>
            </w:pPr>
            <w:r w:rsidRPr="00554FD8">
              <w:rPr>
                <w:color w:val="000000"/>
                <w:sz w:val="20"/>
                <w:szCs w:val="20"/>
                <w:lang w:val="es-ES_tradnl" w:eastAsia="es-CO"/>
              </w:rPr>
              <w:t xml:space="preserve">Además, afirmaron que </w:t>
            </w:r>
            <w:r w:rsidRPr="00554FD8">
              <w:rPr>
                <w:color w:val="000000"/>
                <w:sz w:val="20"/>
                <w:szCs w:val="20"/>
                <w:lang w:val="es-ES_tradnl"/>
              </w:rPr>
              <w:t>n</w:t>
            </w:r>
            <w:r w:rsidRPr="00554FD8">
              <w:rPr>
                <w:sz w:val="20"/>
                <w:szCs w:val="20"/>
                <w:lang w:val="es-ES_tradnl"/>
              </w:rPr>
              <w:t xml:space="preserve">o existe </w:t>
            </w:r>
            <w:r w:rsidRPr="00554FD8">
              <w:rPr>
                <w:sz w:val="20"/>
                <w:szCs w:val="20"/>
                <w:lang w:val="es-ES_tradnl" w:eastAsia="es-CO"/>
              </w:rPr>
              <w:t xml:space="preserve">una justificación técnica o financiera que sustente por qué la autonomía presupuestal del CNE debe implementarse en el marco de la ley del plan. En efecto, indicaron que no existe un diagnóstico, un análisis de impacto fiscal ni un estudio que demuestre que esta reforma estructural es necesaria o funcional para la ejecución de las metas de inversión pública contenidas en la Ley 2294 de 2023. </w:t>
            </w:r>
          </w:p>
        </w:tc>
      </w:tr>
      <w:tr w:rsidR="00E22973" w:rsidRPr="00554FD8" w14:paraId="3D570004" w14:textId="77777777" w:rsidTr="000E2455">
        <w:trPr>
          <w:trHeight w:val="261"/>
          <w:jc w:val="center"/>
        </w:trPr>
        <w:tc>
          <w:tcPr>
            <w:tcW w:w="1116" w:type="pct"/>
            <w:shd w:val="clear" w:color="auto" w:fill="B8CCE4" w:themeFill="accent1" w:themeFillTint="66"/>
          </w:tcPr>
          <w:p w14:paraId="5DCE5C0D" w14:textId="61339E00" w:rsidR="00E22973" w:rsidRPr="00554FD8" w:rsidRDefault="00E22973" w:rsidP="00FD3203">
            <w:pPr>
              <w:pStyle w:val="Prrafodelista"/>
              <w:tabs>
                <w:tab w:val="left" w:pos="567"/>
              </w:tabs>
              <w:ind w:left="0"/>
              <w:jc w:val="center"/>
              <w:rPr>
                <w:bCs/>
                <w:sz w:val="20"/>
                <w:szCs w:val="20"/>
              </w:rPr>
            </w:pPr>
            <w:r w:rsidRPr="00554FD8">
              <w:rPr>
                <w:bCs/>
                <w:sz w:val="20"/>
                <w:szCs w:val="20"/>
              </w:rPr>
              <w:t>Jhon Davis Gutiérrez Pinzón, Danicca Lorena Amórtegui Pulido y Juan Esteban Montenegro Torres</w:t>
            </w:r>
            <w:r w:rsidR="00EE7BAA" w:rsidRPr="00554FD8">
              <w:rPr>
                <w:bCs/>
                <w:sz w:val="20"/>
                <w:szCs w:val="20"/>
              </w:rPr>
              <w:t xml:space="preserve"> – Institución Universitaria Colegios de Colombia</w:t>
            </w:r>
            <w:r w:rsidRPr="00554FD8">
              <w:rPr>
                <w:rStyle w:val="Refdenotaalpie"/>
                <w:bCs/>
                <w:sz w:val="20"/>
                <w:szCs w:val="20"/>
              </w:rPr>
              <w:footnoteReference w:id="60"/>
            </w:r>
          </w:p>
        </w:tc>
        <w:tc>
          <w:tcPr>
            <w:tcW w:w="648" w:type="pct"/>
          </w:tcPr>
          <w:p w14:paraId="50AE5808" w14:textId="7C520066" w:rsidR="00E22973" w:rsidRPr="00554FD8" w:rsidRDefault="005B3A8B" w:rsidP="00FD3203">
            <w:pPr>
              <w:pStyle w:val="Prrafodelista"/>
              <w:tabs>
                <w:tab w:val="left" w:pos="567"/>
              </w:tabs>
              <w:ind w:left="0"/>
              <w:jc w:val="both"/>
              <w:rPr>
                <w:bCs/>
                <w:sz w:val="20"/>
                <w:szCs w:val="20"/>
              </w:rPr>
            </w:pPr>
            <w:r w:rsidRPr="00554FD8">
              <w:rPr>
                <w:bCs/>
                <w:sz w:val="20"/>
                <w:szCs w:val="20"/>
              </w:rPr>
              <w:t>Inexequibilidad parcial de los artículos 336 y 337 del PND</w:t>
            </w:r>
          </w:p>
        </w:tc>
        <w:tc>
          <w:tcPr>
            <w:tcW w:w="3236" w:type="pct"/>
          </w:tcPr>
          <w:p w14:paraId="6F5073E9" w14:textId="77777777" w:rsidR="00E22973" w:rsidRPr="00554FD8" w:rsidRDefault="005B3A8B" w:rsidP="00FD3203">
            <w:pPr>
              <w:pStyle w:val="Prrafodelista"/>
              <w:tabs>
                <w:tab w:val="left" w:pos="567"/>
              </w:tabs>
              <w:ind w:left="0"/>
              <w:jc w:val="both"/>
              <w:rPr>
                <w:bCs/>
                <w:sz w:val="20"/>
                <w:szCs w:val="20"/>
              </w:rPr>
            </w:pPr>
            <w:r w:rsidRPr="00554FD8">
              <w:rPr>
                <w:bCs/>
                <w:sz w:val="20"/>
                <w:szCs w:val="20"/>
              </w:rPr>
              <w:t xml:space="preserve">En primer lugar, se refirieron el principio de planeación participativa y reseñaron los fundamentos de la demanda. </w:t>
            </w:r>
          </w:p>
          <w:p w14:paraId="2F2F1158" w14:textId="77777777" w:rsidR="005B3A8B" w:rsidRPr="00554FD8" w:rsidRDefault="005B3A8B" w:rsidP="00FD3203">
            <w:pPr>
              <w:pStyle w:val="Prrafodelista"/>
              <w:tabs>
                <w:tab w:val="left" w:pos="567"/>
              </w:tabs>
              <w:ind w:left="0"/>
              <w:jc w:val="both"/>
              <w:rPr>
                <w:bCs/>
                <w:sz w:val="20"/>
                <w:szCs w:val="20"/>
              </w:rPr>
            </w:pPr>
          </w:p>
          <w:p w14:paraId="01B33B57" w14:textId="2147E38B" w:rsidR="005B3A8B" w:rsidRPr="00554FD8" w:rsidRDefault="005B3A8B" w:rsidP="00FD3203">
            <w:pPr>
              <w:pStyle w:val="Prrafodelista"/>
              <w:tabs>
                <w:tab w:val="left" w:pos="567"/>
              </w:tabs>
              <w:ind w:left="0"/>
              <w:jc w:val="both"/>
              <w:rPr>
                <w:bCs/>
                <w:sz w:val="20"/>
                <w:szCs w:val="20"/>
              </w:rPr>
            </w:pPr>
            <w:r w:rsidRPr="00554FD8">
              <w:rPr>
                <w:bCs/>
                <w:sz w:val="20"/>
                <w:szCs w:val="20"/>
              </w:rPr>
              <w:t xml:space="preserve">En segundo lugar, indicaron que los artículos 336 y 337 de la Ley 2294 de 2023 </w:t>
            </w:r>
            <w:r w:rsidR="0044269A" w:rsidRPr="00554FD8">
              <w:rPr>
                <w:bCs/>
                <w:sz w:val="20"/>
                <w:szCs w:val="20"/>
              </w:rPr>
              <w:t>son</w:t>
            </w:r>
            <w:r w:rsidRPr="00554FD8">
              <w:rPr>
                <w:bCs/>
                <w:sz w:val="20"/>
                <w:szCs w:val="20"/>
              </w:rPr>
              <w:t xml:space="preserve"> inconstitucional</w:t>
            </w:r>
            <w:r w:rsidR="0044269A" w:rsidRPr="00554FD8">
              <w:rPr>
                <w:bCs/>
                <w:sz w:val="20"/>
                <w:szCs w:val="20"/>
              </w:rPr>
              <w:t>es</w:t>
            </w:r>
            <w:r w:rsidRPr="00554FD8">
              <w:rPr>
                <w:bCs/>
                <w:sz w:val="20"/>
                <w:szCs w:val="20"/>
              </w:rPr>
              <w:t xml:space="preserve"> porque</w:t>
            </w:r>
            <w:r w:rsidR="00373649" w:rsidRPr="00554FD8">
              <w:rPr>
                <w:bCs/>
                <w:sz w:val="20"/>
                <w:szCs w:val="20"/>
              </w:rPr>
              <w:t xml:space="preserve"> con ellos</w:t>
            </w:r>
            <w:r w:rsidRPr="00554FD8">
              <w:rPr>
                <w:bCs/>
                <w:sz w:val="20"/>
                <w:szCs w:val="20"/>
              </w:rPr>
              <w:t xml:space="preserve"> se vulnera el principio de unidad de materia y se desconoce la reserva de ley orgánica. Lo anterior, porque:  </w:t>
            </w:r>
          </w:p>
          <w:p w14:paraId="10CB3A1C" w14:textId="5F80FDB7" w:rsidR="005B3A8B" w:rsidRPr="00554FD8" w:rsidRDefault="005B3A8B" w:rsidP="00FD3203">
            <w:pPr>
              <w:pStyle w:val="Prrafodelista"/>
              <w:tabs>
                <w:tab w:val="left" w:pos="567"/>
              </w:tabs>
              <w:ind w:left="0"/>
              <w:jc w:val="both"/>
              <w:rPr>
                <w:bCs/>
                <w:sz w:val="20"/>
                <w:szCs w:val="20"/>
              </w:rPr>
            </w:pPr>
          </w:p>
          <w:p w14:paraId="72924280" w14:textId="7B239629" w:rsidR="005B3A8B" w:rsidRPr="00554FD8" w:rsidRDefault="005B3A8B" w:rsidP="00FD3203">
            <w:pPr>
              <w:pStyle w:val="Prrafodelista"/>
              <w:tabs>
                <w:tab w:val="left" w:pos="567"/>
              </w:tabs>
              <w:ind w:left="0"/>
              <w:jc w:val="both"/>
              <w:rPr>
                <w:bCs/>
                <w:sz w:val="20"/>
                <w:szCs w:val="20"/>
              </w:rPr>
            </w:pPr>
            <w:r w:rsidRPr="00554FD8">
              <w:rPr>
                <w:bCs/>
                <w:sz w:val="20"/>
                <w:szCs w:val="20"/>
              </w:rPr>
              <w:t xml:space="preserve">(i) </w:t>
            </w:r>
            <w:r w:rsidR="0044269A" w:rsidRPr="00554FD8">
              <w:rPr>
                <w:sz w:val="20"/>
                <w:szCs w:val="20"/>
                <w:lang w:val="es-ES_tradnl" w:eastAsia="es-CO"/>
              </w:rPr>
              <w:t xml:space="preserve">De conformidad con los artículos 151, 349 y 352 de la Constitución Política los asuntos relacionados con la estructura del Presupuesto General de la Nación, la distribución de sus secciones y la habilitación para contratar con cargo a recursos públicos están sometidos a reserva de ley orgánica. En este caso, el Congreso de la República introdujo las reformas presupuestales previstas en las normas demandadas por medio del trámite de una ley ordinaria. </w:t>
            </w:r>
          </w:p>
          <w:p w14:paraId="64C756DC" w14:textId="5E3F66D4" w:rsidR="005B3A8B" w:rsidRPr="00554FD8" w:rsidRDefault="005B3A8B" w:rsidP="00FD3203">
            <w:pPr>
              <w:pStyle w:val="Prrafodelista"/>
              <w:tabs>
                <w:tab w:val="left" w:pos="567"/>
              </w:tabs>
              <w:ind w:left="0"/>
              <w:jc w:val="both"/>
              <w:rPr>
                <w:bCs/>
                <w:sz w:val="20"/>
                <w:szCs w:val="20"/>
              </w:rPr>
            </w:pPr>
          </w:p>
          <w:p w14:paraId="4B7407AB" w14:textId="56724B23" w:rsidR="005B3A8B" w:rsidRPr="00554FD8" w:rsidRDefault="005B3A8B" w:rsidP="00FD3203">
            <w:pPr>
              <w:pStyle w:val="Prrafodelista"/>
              <w:tabs>
                <w:tab w:val="left" w:pos="567"/>
              </w:tabs>
              <w:ind w:left="0"/>
              <w:jc w:val="both"/>
              <w:rPr>
                <w:sz w:val="20"/>
                <w:szCs w:val="20"/>
              </w:rPr>
            </w:pPr>
            <w:r w:rsidRPr="00554FD8">
              <w:rPr>
                <w:bCs/>
                <w:sz w:val="20"/>
                <w:szCs w:val="20"/>
              </w:rPr>
              <w:t>(ii)</w:t>
            </w:r>
            <w:r w:rsidR="0044269A" w:rsidRPr="00554FD8">
              <w:rPr>
                <w:bCs/>
                <w:sz w:val="20"/>
                <w:szCs w:val="20"/>
              </w:rPr>
              <w:t xml:space="preserve"> </w:t>
            </w:r>
            <w:r w:rsidRPr="00554FD8">
              <w:rPr>
                <w:bCs/>
                <w:sz w:val="20"/>
                <w:szCs w:val="20"/>
              </w:rPr>
              <w:t>“</w:t>
            </w:r>
            <w:r w:rsidRPr="00554FD8">
              <w:rPr>
                <w:sz w:val="20"/>
                <w:szCs w:val="20"/>
              </w:rPr>
              <w:t>Estas disposiciones no tienen ninguna conexión directa, ni causal, teleológica, temática ni sistemática con los objetivos o ejes centrales del Plan Nacional de Desarrollo, cuyo enfoque general se encuentra orientado hacia temas de desarrollo económico, social, ambiental y territorial”</w:t>
            </w:r>
            <w:r w:rsidR="0044269A" w:rsidRPr="00554FD8">
              <w:rPr>
                <w:rStyle w:val="Refdenotaalpie"/>
                <w:bCs/>
                <w:sz w:val="20"/>
                <w:szCs w:val="20"/>
              </w:rPr>
              <w:footnoteReference w:id="61"/>
            </w:r>
            <w:r w:rsidRPr="00554FD8">
              <w:rPr>
                <w:sz w:val="20"/>
                <w:szCs w:val="20"/>
              </w:rPr>
              <w:t xml:space="preserve">. </w:t>
            </w:r>
          </w:p>
        </w:tc>
      </w:tr>
      <w:tr w:rsidR="00FD3203" w:rsidRPr="00554FD8" w14:paraId="5D9E34EC" w14:textId="77777777" w:rsidTr="000E2455">
        <w:trPr>
          <w:trHeight w:val="261"/>
          <w:jc w:val="center"/>
        </w:trPr>
        <w:tc>
          <w:tcPr>
            <w:tcW w:w="1116" w:type="pct"/>
            <w:shd w:val="clear" w:color="auto" w:fill="B8CCE4" w:themeFill="accent1" w:themeFillTint="66"/>
          </w:tcPr>
          <w:p w14:paraId="60754D99" w14:textId="77777777" w:rsidR="00FD3203" w:rsidRPr="00554FD8" w:rsidRDefault="00FD3203" w:rsidP="00FD3203">
            <w:pPr>
              <w:pStyle w:val="Prrafodelista"/>
              <w:tabs>
                <w:tab w:val="left" w:pos="567"/>
              </w:tabs>
              <w:ind w:left="0"/>
              <w:jc w:val="center"/>
              <w:rPr>
                <w:bCs/>
                <w:sz w:val="20"/>
                <w:szCs w:val="20"/>
              </w:rPr>
            </w:pPr>
            <w:r w:rsidRPr="00554FD8">
              <w:rPr>
                <w:bCs/>
                <w:sz w:val="20"/>
                <w:szCs w:val="20"/>
              </w:rPr>
              <w:t>Charol Johana Mendivelso Roncancio y Julieth Sthepany Charparro Castillo</w:t>
            </w:r>
            <w:r w:rsidRPr="00554FD8">
              <w:rPr>
                <w:rStyle w:val="Refdenotaalpie"/>
                <w:bCs/>
                <w:sz w:val="20"/>
                <w:szCs w:val="20"/>
              </w:rPr>
              <w:footnoteReference w:id="62"/>
            </w:r>
          </w:p>
          <w:p w14:paraId="11450DA4" w14:textId="77777777" w:rsidR="00FD3203" w:rsidRPr="00554FD8" w:rsidRDefault="00FD3203" w:rsidP="00FD3203">
            <w:pPr>
              <w:pStyle w:val="Prrafodelista"/>
              <w:tabs>
                <w:tab w:val="left" w:pos="567"/>
              </w:tabs>
              <w:ind w:left="0"/>
              <w:jc w:val="center"/>
              <w:rPr>
                <w:bCs/>
                <w:sz w:val="20"/>
                <w:szCs w:val="20"/>
              </w:rPr>
            </w:pPr>
          </w:p>
          <w:p w14:paraId="13917782" w14:textId="346D13B3" w:rsidR="00FD3203" w:rsidRPr="00554FD8" w:rsidRDefault="00FD3203" w:rsidP="00FD3203">
            <w:pPr>
              <w:pStyle w:val="Prrafodelista"/>
              <w:tabs>
                <w:tab w:val="left" w:pos="567"/>
              </w:tabs>
              <w:ind w:left="0"/>
              <w:jc w:val="center"/>
              <w:rPr>
                <w:bCs/>
                <w:sz w:val="20"/>
                <w:szCs w:val="20"/>
              </w:rPr>
            </w:pPr>
            <w:r w:rsidRPr="00554FD8">
              <w:rPr>
                <w:bCs/>
                <w:sz w:val="20"/>
                <w:szCs w:val="20"/>
              </w:rPr>
              <w:t xml:space="preserve">Shaquille Aimar Porras Rebolledo y </w:t>
            </w:r>
          </w:p>
          <w:p w14:paraId="7FAF7D38" w14:textId="4909F49A" w:rsidR="00FD3203" w:rsidRPr="00554FD8" w:rsidRDefault="00FD3203" w:rsidP="00FD3203">
            <w:pPr>
              <w:pStyle w:val="Prrafodelista"/>
              <w:tabs>
                <w:tab w:val="left" w:pos="567"/>
              </w:tabs>
              <w:ind w:left="0"/>
              <w:jc w:val="center"/>
              <w:rPr>
                <w:bCs/>
                <w:sz w:val="20"/>
                <w:szCs w:val="20"/>
              </w:rPr>
            </w:pPr>
            <w:r w:rsidRPr="00554FD8">
              <w:rPr>
                <w:bCs/>
                <w:sz w:val="20"/>
                <w:szCs w:val="20"/>
              </w:rPr>
              <w:t>Maura Felisa Caicedo Rentería</w:t>
            </w:r>
            <w:r w:rsidRPr="00554FD8">
              <w:rPr>
                <w:rStyle w:val="Refdenotaalpie"/>
                <w:bCs/>
                <w:sz w:val="20"/>
                <w:szCs w:val="20"/>
              </w:rPr>
              <w:footnoteReference w:id="63"/>
            </w:r>
          </w:p>
        </w:tc>
        <w:tc>
          <w:tcPr>
            <w:tcW w:w="648" w:type="pct"/>
            <w:vMerge w:val="restart"/>
          </w:tcPr>
          <w:p w14:paraId="32E3A520" w14:textId="5677D7B7" w:rsidR="00FD3203" w:rsidRPr="00554FD8" w:rsidRDefault="00FD3203" w:rsidP="00FD3203">
            <w:pPr>
              <w:pStyle w:val="Prrafodelista"/>
              <w:tabs>
                <w:tab w:val="left" w:pos="567"/>
              </w:tabs>
              <w:ind w:left="0"/>
              <w:jc w:val="both"/>
              <w:rPr>
                <w:bCs/>
                <w:sz w:val="20"/>
                <w:szCs w:val="20"/>
              </w:rPr>
            </w:pPr>
            <w:r w:rsidRPr="00554FD8">
              <w:rPr>
                <w:bCs/>
                <w:sz w:val="20"/>
                <w:szCs w:val="20"/>
              </w:rPr>
              <w:t>Inexequibilidad parcial de los artículos 336 y 337 del PND</w:t>
            </w:r>
            <w:r w:rsidRPr="00554FD8">
              <w:rPr>
                <w:rStyle w:val="Refdenotaalpie"/>
                <w:bCs/>
                <w:sz w:val="20"/>
                <w:szCs w:val="20"/>
              </w:rPr>
              <w:footnoteReference w:id="64"/>
            </w:r>
            <w:r w:rsidRPr="00554FD8">
              <w:rPr>
                <w:bCs/>
                <w:sz w:val="20"/>
                <w:szCs w:val="20"/>
              </w:rPr>
              <w:t xml:space="preserve">. </w:t>
            </w:r>
          </w:p>
          <w:p w14:paraId="309E78E0" w14:textId="77777777" w:rsidR="00FD3203" w:rsidRPr="00554FD8" w:rsidRDefault="00FD3203" w:rsidP="00FD3203">
            <w:pPr>
              <w:pStyle w:val="Prrafodelista"/>
              <w:tabs>
                <w:tab w:val="left" w:pos="567"/>
              </w:tabs>
              <w:ind w:left="0"/>
              <w:jc w:val="both"/>
              <w:rPr>
                <w:bCs/>
                <w:sz w:val="20"/>
                <w:szCs w:val="20"/>
              </w:rPr>
            </w:pPr>
          </w:p>
          <w:p w14:paraId="0A63DD22" w14:textId="63712DA2" w:rsidR="00FD3203" w:rsidRPr="00554FD8" w:rsidRDefault="00FD3203" w:rsidP="00FD3203">
            <w:pPr>
              <w:pStyle w:val="Prrafodelista"/>
              <w:tabs>
                <w:tab w:val="left" w:pos="567"/>
              </w:tabs>
              <w:ind w:left="0"/>
              <w:jc w:val="both"/>
              <w:rPr>
                <w:bCs/>
                <w:sz w:val="20"/>
                <w:szCs w:val="20"/>
              </w:rPr>
            </w:pPr>
          </w:p>
        </w:tc>
        <w:tc>
          <w:tcPr>
            <w:tcW w:w="3236" w:type="pct"/>
            <w:vMerge w:val="restart"/>
          </w:tcPr>
          <w:p w14:paraId="6E17DE0F" w14:textId="77777777" w:rsidR="00FD3203" w:rsidRPr="00554FD8" w:rsidRDefault="00FD3203" w:rsidP="00FD3203">
            <w:pPr>
              <w:pStyle w:val="Prrafodelista"/>
              <w:tabs>
                <w:tab w:val="left" w:pos="567"/>
              </w:tabs>
              <w:ind w:left="0"/>
              <w:jc w:val="both"/>
              <w:rPr>
                <w:bCs/>
                <w:sz w:val="20"/>
                <w:szCs w:val="20"/>
              </w:rPr>
            </w:pPr>
            <w:r w:rsidRPr="00554FD8">
              <w:rPr>
                <w:bCs/>
                <w:sz w:val="20"/>
                <w:szCs w:val="20"/>
              </w:rPr>
              <w:t xml:space="preserve">Aseguraron que las normas demandadas le otorgan al Gobierno nacional amplias facultades para definir e intervenir en proyectos de inversión pública que se consideren “estratégicos”, sin que existan límites claros ni control parlamentario previo. </w:t>
            </w:r>
          </w:p>
          <w:p w14:paraId="6387D69B" w14:textId="77777777" w:rsidR="00FD3203" w:rsidRPr="00554FD8" w:rsidRDefault="00FD3203" w:rsidP="00FD3203">
            <w:pPr>
              <w:pStyle w:val="Prrafodelista"/>
              <w:tabs>
                <w:tab w:val="left" w:pos="567"/>
              </w:tabs>
              <w:ind w:left="0"/>
              <w:jc w:val="both"/>
              <w:rPr>
                <w:bCs/>
                <w:sz w:val="20"/>
                <w:szCs w:val="20"/>
              </w:rPr>
            </w:pPr>
          </w:p>
          <w:p w14:paraId="34272AB5" w14:textId="42908545" w:rsidR="00FD3203" w:rsidRPr="00554FD8" w:rsidRDefault="00FD3203" w:rsidP="00FD3203">
            <w:pPr>
              <w:pStyle w:val="Prrafodelista"/>
              <w:tabs>
                <w:tab w:val="left" w:pos="567"/>
              </w:tabs>
              <w:ind w:left="0"/>
              <w:jc w:val="both"/>
              <w:rPr>
                <w:bCs/>
                <w:sz w:val="20"/>
                <w:szCs w:val="20"/>
              </w:rPr>
            </w:pPr>
            <w:r w:rsidRPr="00554FD8">
              <w:rPr>
                <w:bCs/>
                <w:sz w:val="20"/>
                <w:szCs w:val="20"/>
              </w:rPr>
              <w:t xml:space="preserve">Al respecto, señalaron que dichas facultades excepcionales debilitan el principio de separación de poderes, al permitir que el ejecutivo actúe con discrecionalidad desmedida. Asimismo, violan el principio de legalidad, ya que el Gobierno nacional actuaría sin habilitación expresa, clara y específica del legislador.  Finalmente, </w:t>
            </w:r>
            <w:r w:rsidR="00085E19" w:rsidRPr="00554FD8">
              <w:rPr>
                <w:bCs/>
                <w:sz w:val="20"/>
                <w:szCs w:val="20"/>
              </w:rPr>
              <w:t>“</w:t>
            </w:r>
            <w:r w:rsidRPr="00554FD8">
              <w:rPr>
                <w:bCs/>
                <w:sz w:val="20"/>
                <w:szCs w:val="20"/>
              </w:rPr>
              <w:t>desconoce el principio de planeación participativa y la descentralización y autonomía territorial</w:t>
            </w:r>
            <w:r w:rsidR="00085E19" w:rsidRPr="00554FD8">
              <w:rPr>
                <w:bCs/>
                <w:sz w:val="20"/>
                <w:szCs w:val="20"/>
              </w:rPr>
              <w:t>”</w:t>
            </w:r>
            <w:r w:rsidR="00085E19" w:rsidRPr="00554FD8">
              <w:rPr>
                <w:rStyle w:val="Refdenotaalpie"/>
                <w:bCs/>
                <w:sz w:val="20"/>
                <w:szCs w:val="20"/>
              </w:rPr>
              <w:footnoteReference w:id="65"/>
            </w:r>
            <w:r w:rsidRPr="00554FD8">
              <w:rPr>
                <w:bCs/>
                <w:sz w:val="20"/>
                <w:szCs w:val="20"/>
              </w:rPr>
              <w:t xml:space="preserve">.  </w:t>
            </w:r>
          </w:p>
        </w:tc>
      </w:tr>
      <w:tr w:rsidR="00FD3203" w:rsidRPr="00554FD8" w14:paraId="57670ABB" w14:textId="77777777" w:rsidTr="000E2455">
        <w:trPr>
          <w:trHeight w:val="261"/>
          <w:jc w:val="center"/>
        </w:trPr>
        <w:tc>
          <w:tcPr>
            <w:tcW w:w="1116" w:type="pct"/>
            <w:shd w:val="clear" w:color="auto" w:fill="B8CCE4" w:themeFill="accent1" w:themeFillTint="66"/>
          </w:tcPr>
          <w:p w14:paraId="2BDDF5C2" w14:textId="77777777" w:rsidR="00FD3203" w:rsidRPr="00554FD8" w:rsidRDefault="00FD3203" w:rsidP="00FD3203">
            <w:pPr>
              <w:pStyle w:val="Prrafodelista"/>
              <w:tabs>
                <w:tab w:val="left" w:pos="567"/>
              </w:tabs>
              <w:ind w:left="0"/>
              <w:jc w:val="center"/>
              <w:rPr>
                <w:bCs/>
                <w:sz w:val="20"/>
                <w:szCs w:val="20"/>
              </w:rPr>
            </w:pPr>
            <w:r w:rsidRPr="00554FD8">
              <w:rPr>
                <w:bCs/>
                <w:sz w:val="20"/>
                <w:szCs w:val="20"/>
              </w:rPr>
              <w:t xml:space="preserve">Shaquille Aimar Porras Rebolledo y </w:t>
            </w:r>
          </w:p>
          <w:p w14:paraId="7B3BF762" w14:textId="7D29DABB" w:rsidR="00FD3203" w:rsidRPr="00554FD8" w:rsidRDefault="00FD3203" w:rsidP="00FD3203">
            <w:pPr>
              <w:pStyle w:val="Prrafodelista"/>
              <w:tabs>
                <w:tab w:val="left" w:pos="567"/>
              </w:tabs>
              <w:ind w:left="0"/>
              <w:jc w:val="center"/>
              <w:rPr>
                <w:bCs/>
                <w:sz w:val="20"/>
                <w:szCs w:val="20"/>
              </w:rPr>
            </w:pPr>
            <w:r w:rsidRPr="00554FD8">
              <w:rPr>
                <w:bCs/>
                <w:sz w:val="20"/>
                <w:szCs w:val="20"/>
              </w:rPr>
              <w:t>Maura Felisa Caicedo Rentería</w:t>
            </w:r>
            <w:r w:rsidRPr="00554FD8">
              <w:rPr>
                <w:rStyle w:val="Refdenotaalpie"/>
                <w:bCs/>
                <w:sz w:val="20"/>
                <w:szCs w:val="20"/>
              </w:rPr>
              <w:footnoteReference w:id="66"/>
            </w:r>
          </w:p>
        </w:tc>
        <w:tc>
          <w:tcPr>
            <w:tcW w:w="648" w:type="pct"/>
            <w:vMerge/>
          </w:tcPr>
          <w:p w14:paraId="468E6269" w14:textId="77777777" w:rsidR="00FD3203" w:rsidRPr="00554FD8" w:rsidRDefault="00FD3203" w:rsidP="00FD3203">
            <w:pPr>
              <w:pStyle w:val="Prrafodelista"/>
              <w:tabs>
                <w:tab w:val="left" w:pos="567"/>
              </w:tabs>
              <w:ind w:left="0"/>
              <w:jc w:val="both"/>
              <w:rPr>
                <w:bCs/>
                <w:sz w:val="20"/>
                <w:szCs w:val="20"/>
              </w:rPr>
            </w:pPr>
          </w:p>
        </w:tc>
        <w:tc>
          <w:tcPr>
            <w:tcW w:w="3236" w:type="pct"/>
            <w:vMerge/>
          </w:tcPr>
          <w:p w14:paraId="5F624111" w14:textId="01156E82" w:rsidR="00FD3203" w:rsidRPr="00554FD8" w:rsidRDefault="00FD3203" w:rsidP="00FD3203">
            <w:pPr>
              <w:pStyle w:val="Prrafodelista"/>
              <w:tabs>
                <w:tab w:val="left" w:pos="567"/>
              </w:tabs>
              <w:ind w:left="0"/>
              <w:jc w:val="both"/>
              <w:rPr>
                <w:bCs/>
                <w:sz w:val="20"/>
                <w:szCs w:val="20"/>
              </w:rPr>
            </w:pPr>
          </w:p>
        </w:tc>
      </w:tr>
    </w:tbl>
    <w:p w14:paraId="32F5260A" w14:textId="77777777" w:rsidR="00617938" w:rsidRPr="00554FD8" w:rsidRDefault="00617938">
      <w:pPr>
        <w:pBdr>
          <w:top w:val="nil"/>
          <w:left w:val="nil"/>
          <w:bottom w:val="nil"/>
          <w:right w:val="nil"/>
          <w:between w:val="nil"/>
        </w:pBdr>
        <w:tabs>
          <w:tab w:val="left" w:pos="426"/>
        </w:tabs>
        <w:jc w:val="both"/>
        <w:rPr>
          <w:sz w:val="28"/>
          <w:szCs w:val="28"/>
        </w:rPr>
      </w:pPr>
    </w:p>
    <w:p w14:paraId="284399D7" w14:textId="5293BA7E" w:rsidR="002343E4" w:rsidRPr="003239AA" w:rsidRDefault="0008653E" w:rsidP="003239AA">
      <w:pPr>
        <w:pStyle w:val="Ttulo1"/>
        <w:spacing w:before="0"/>
        <w:jc w:val="both"/>
        <w:rPr>
          <w:rFonts w:ascii="Times New Roman" w:hAnsi="Times New Roman" w:cs="Times New Roman"/>
          <w:b/>
          <w:color w:val="auto"/>
          <w:sz w:val="28"/>
          <w:szCs w:val="28"/>
        </w:rPr>
      </w:pPr>
      <w:bookmarkStart w:id="7" w:name="_Toc230846361"/>
      <w:r w:rsidRPr="003239AA">
        <w:rPr>
          <w:rFonts w:ascii="Times New Roman" w:hAnsi="Times New Roman" w:cs="Times New Roman"/>
          <w:b/>
          <w:color w:val="auto"/>
          <w:sz w:val="28"/>
          <w:szCs w:val="28"/>
        </w:rPr>
        <w:t>V</w:t>
      </w:r>
      <w:r w:rsidR="00E337E2" w:rsidRPr="003239AA">
        <w:rPr>
          <w:rFonts w:ascii="Times New Roman" w:hAnsi="Times New Roman" w:cs="Times New Roman"/>
          <w:b/>
          <w:color w:val="auto"/>
          <w:sz w:val="28"/>
          <w:szCs w:val="28"/>
        </w:rPr>
        <w:t>I</w:t>
      </w:r>
      <w:r w:rsidRPr="003239AA">
        <w:rPr>
          <w:rFonts w:ascii="Times New Roman" w:hAnsi="Times New Roman" w:cs="Times New Roman"/>
          <w:b/>
          <w:color w:val="auto"/>
          <w:sz w:val="28"/>
          <w:szCs w:val="28"/>
        </w:rPr>
        <w:t xml:space="preserve">. CONCEPTO DEL </w:t>
      </w:r>
      <w:r w:rsidR="001A5115" w:rsidRPr="003239AA">
        <w:rPr>
          <w:rFonts w:ascii="Times New Roman" w:hAnsi="Times New Roman" w:cs="Times New Roman"/>
          <w:b/>
          <w:color w:val="auto"/>
          <w:sz w:val="28"/>
          <w:szCs w:val="28"/>
        </w:rPr>
        <w:t>VICE</w:t>
      </w:r>
      <w:r w:rsidRPr="003239AA">
        <w:rPr>
          <w:rFonts w:ascii="Times New Roman" w:hAnsi="Times New Roman" w:cs="Times New Roman"/>
          <w:b/>
          <w:color w:val="auto"/>
          <w:sz w:val="28"/>
          <w:szCs w:val="28"/>
        </w:rPr>
        <w:t>PROCURADOR GENERAL DE LA NACIÓN</w:t>
      </w:r>
      <w:bookmarkEnd w:id="7"/>
    </w:p>
    <w:p w14:paraId="284399D8" w14:textId="77777777" w:rsidR="002343E4" w:rsidRPr="00554FD8" w:rsidRDefault="002343E4" w:rsidP="00635FFD">
      <w:pPr>
        <w:keepNext/>
        <w:keepLines/>
        <w:widowControl w:val="0"/>
        <w:pBdr>
          <w:top w:val="nil"/>
          <w:left w:val="nil"/>
          <w:bottom w:val="nil"/>
          <w:right w:val="nil"/>
          <w:between w:val="nil"/>
        </w:pBdr>
        <w:tabs>
          <w:tab w:val="left" w:pos="284"/>
        </w:tabs>
        <w:jc w:val="both"/>
        <w:rPr>
          <w:b/>
          <w:sz w:val="28"/>
          <w:szCs w:val="28"/>
        </w:rPr>
      </w:pPr>
    </w:p>
    <w:p w14:paraId="54BD8AD4" w14:textId="2DC01ABF" w:rsidR="0013061E" w:rsidRPr="00554FD8" w:rsidRDefault="0085625A" w:rsidP="0003283E">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lang w:val="es-ES_tradnl"/>
        </w:rPr>
      </w:pPr>
      <w:r w:rsidRPr="00554FD8">
        <w:rPr>
          <w:sz w:val="28"/>
          <w:szCs w:val="28"/>
        </w:rPr>
        <w:t xml:space="preserve">El </w:t>
      </w:r>
      <w:r w:rsidR="002904E2" w:rsidRPr="00554FD8">
        <w:rPr>
          <w:sz w:val="28"/>
          <w:szCs w:val="28"/>
        </w:rPr>
        <w:t>viceprocurador general de la Nación solicitó la inexequibilidad de los artículos 336 y 337 de la Ley 2294 de 2023</w:t>
      </w:r>
      <w:r w:rsidR="0085272E" w:rsidRPr="00554FD8">
        <w:rPr>
          <w:sz w:val="28"/>
          <w:szCs w:val="28"/>
        </w:rPr>
        <w:t xml:space="preserve"> por la vulneración del principio de unidad de materia y el desconocimiento de la reserva de ley orgánica</w:t>
      </w:r>
      <w:r w:rsidR="002904E2" w:rsidRPr="00554FD8">
        <w:rPr>
          <w:sz w:val="28"/>
          <w:szCs w:val="28"/>
        </w:rPr>
        <w:t>. Al respecto, precisó que si bien</w:t>
      </w:r>
      <w:r w:rsidR="00F62F45" w:rsidRPr="00554FD8">
        <w:rPr>
          <w:sz w:val="28"/>
          <w:szCs w:val="28"/>
        </w:rPr>
        <w:t xml:space="preserve"> dichas disposiciones</w:t>
      </w:r>
      <w:r w:rsidR="002904E2" w:rsidRPr="00554FD8">
        <w:rPr>
          <w:sz w:val="28"/>
          <w:szCs w:val="28"/>
        </w:rPr>
        <w:t xml:space="preserve"> se demandaron de manera parcial, </w:t>
      </w:r>
      <w:r w:rsidR="00F62F45" w:rsidRPr="00554FD8">
        <w:rPr>
          <w:sz w:val="28"/>
          <w:szCs w:val="28"/>
        </w:rPr>
        <w:t>pues los cargos se formularon exclusivamente respecto de la</w:t>
      </w:r>
      <w:r w:rsidR="001430F3" w:rsidRPr="00554FD8">
        <w:rPr>
          <w:sz w:val="28"/>
          <w:szCs w:val="28"/>
        </w:rPr>
        <w:t>s</w:t>
      </w:r>
      <w:r w:rsidR="00F62F45" w:rsidRPr="00554FD8">
        <w:rPr>
          <w:sz w:val="28"/>
          <w:szCs w:val="28"/>
        </w:rPr>
        <w:t xml:space="preserve"> expresi</w:t>
      </w:r>
      <w:r w:rsidR="001430F3" w:rsidRPr="00554FD8">
        <w:rPr>
          <w:sz w:val="28"/>
          <w:szCs w:val="28"/>
        </w:rPr>
        <w:t>ones alusivas al Consejo Nacional Electoral,</w:t>
      </w:r>
      <w:r w:rsidR="00F62F45" w:rsidRPr="00554FD8">
        <w:rPr>
          <w:sz w:val="28"/>
          <w:szCs w:val="28"/>
        </w:rPr>
        <w:t xml:space="preserve"> resulta necesario declarar la inexequibilidad sobre la totalidad del contenido normativo de ambos artículos “por razones de técnica normativa, con el fin de mantener los textos vigentes del Decreto 111 de 1996, modificados por la Ley 1957 de 2019”</w:t>
      </w:r>
      <w:r w:rsidR="00F62F45" w:rsidRPr="00554FD8">
        <w:rPr>
          <w:rStyle w:val="Refdenotaalpie"/>
          <w:sz w:val="28"/>
          <w:szCs w:val="28"/>
        </w:rPr>
        <w:footnoteReference w:id="67"/>
      </w:r>
      <w:r w:rsidR="00F62F45" w:rsidRPr="00554FD8">
        <w:rPr>
          <w:sz w:val="28"/>
          <w:szCs w:val="28"/>
        </w:rPr>
        <w:t xml:space="preserve">. </w:t>
      </w:r>
    </w:p>
    <w:p w14:paraId="7E6ADFFE" w14:textId="77777777" w:rsidR="001A5115" w:rsidRPr="00554FD8" w:rsidRDefault="001A5115" w:rsidP="001A5115">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lang w:val="es-ES_tradnl"/>
        </w:rPr>
      </w:pPr>
    </w:p>
    <w:p w14:paraId="310949DD" w14:textId="1F44AD97" w:rsidR="00F62F45" w:rsidRPr="00554FD8" w:rsidRDefault="00F62F45"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
          <w:iCs/>
          <w:sz w:val="28"/>
          <w:szCs w:val="28"/>
          <w:lang w:val="es-ES_tradnl"/>
        </w:rPr>
        <w:t>Sobre la vulneración del principio de unidad de materia</w:t>
      </w:r>
      <w:r w:rsidRPr="00554FD8">
        <w:rPr>
          <w:iCs/>
          <w:sz w:val="28"/>
          <w:szCs w:val="28"/>
          <w:lang w:val="es-ES_tradnl"/>
        </w:rPr>
        <w:t xml:space="preserve">. Luego de referir el contenido y alcance de este principio y su aplicabilidad a las leyes del Plan Nacional de Desarrollo, el viceprocurador general de la Nación </w:t>
      </w:r>
      <w:r w:rsidR="00373649" w:rsidRPr="00554FD8">
        <w:rPr>
          <w:iCs/>
          <w:sz w:val="28"/>
          <w:szCs w:val="28"/>
          <w:lang w:val="es-ES_tradnl"/>
        </w:rPr>
        <w:t>aludió</w:t>
      </w:r>
      <w:r w:rsidRPr="00554FD8">
        <w:rPr>
          <w:iCs/>
          <w:sz w:val="28"/>
          <w:szCs w:val="28"/>
          <w:lang w:val="es-ES_tradnl"/>
        </w:rPr>
        <w:t xml:space="preserve"> a las normas objeto de examen y analizó el cumplimiento del juicio estricto de constitucionalidad desarrollado por la jurisprudencia constitucional. </w:t>
      </w:r>
    </w:p>
    <w:p w14:paraId="4C636A2B" w14:textId="77777777" w:rsidR="00F62F45" w:rsidRPr="00554FD8" w:rsidRDefault="00F62F45" w:rsidP="00F62F45">
      <w:pPr>
        <w:pStyle w:val="Prrafodelista"/>
        <w:rPr>
          <w:iCs/>
          <w:sz w:val="28"/>
          <w:szCs w:val="28"/>
          <w:lang w:val="es-ES_tradnl"/>
        </w:rPr>
      </w:pPr>
    </w:p>
    <w:p w14:paraId="64480C5A" w14:textId="717273B1" w:rsidR="00E802F8" w:rsidRPr="00554FD8" w:rsidRDefault="00F62F45"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 xml:space="preserve">En primer lugar, sobre la ubicación y el alcance de los artículos 336 y 337 de la Ley 2294 de 2023, señaló que estos hacen parte del título III del PND que define los mecanismos de ejecución de las metas, planes y estrategias del </w:t>
      </w:r>
      <w:r w:rsidR="00351032" w:rsidRPr="00554FD8">
        <w:rPr>
          <w:iCs/>
          <w:sz w:val="28"/>
          <w:szCs w:val="28"/>
          <w:lang w:val="es-ES_tradnl"/>
        </w:rPr>
        <w:t>p</w:t>
      </w:r>
      <w:r w:rsidRPr="00554FD8">
        <w:rPr>
          <w:iCs/>
          <w:sz w:val="28"/>
          <w:szCs w:val="28"/>
          <w:lang w:val="es-ES_tradnl"/>
        </w:rPr>
        <w:t xml:space="preserve">lan. En consecuencia, se trata de disposiciones de naturaleza instrumental, conclusión que se refuerza si se tiene en cuenta que las mismas se dirigen a crear una sección presupuestal independiente correspondiente al CNE y a otorgarle al presidente de dicha entidad la capacidad para contratar y ordenar el gasto. </w:t>
      </w:r>
    </w:p>
    <w:p w14:paraId="417E56BD" w14:textId="77777777" w:rsidR="00F62F45" w:rsidRPr="00554FD8" w:rsidRDefault="00F62F45" w:rsidP="00F62F45">
      <w:pPr>
        <w:pStyle w:val="Prrafodelista"/>
        <w:rPr>
          <w:iCs/>
          <w:sz w:val="28"/>
          <w:szCs w:val="28"/>
          <w:lang w:val="es-ES_tradnl"/>
        </w:rPr>
      </w:pPr>
    </w:p>
    <w:p w14:paraId="645AF384" w14:textId="77777777" w:rsidR="00E70687" w:rsidRPr="00554FD8" w:rsidRDefault="00F62F45" w:rsidP="00A4282D">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En segundo lugar,</w:t>
      </w:r>
      <w:r w:rsidR="00E70687" w:rsidRPr="00554FD8">
        <w:rPr>
          <w:iCs/>
          <w:sz w:val="28"/>
          <w:szCs w:val="28"/>
          <w:lang w:val="es-ES_tradnl"/>
        </w:rPr>
        <w:t xml:space="preserve"> respecto de la existencia de una relación entre las normas demandadas y la parte general del PND,</w:t>
      </w:r>
      <w:r w:rsidRPr="00554FD8">
        <w:rPr>
          <w:iCs/>
          <w:sz w:val="28"/>
          <w:szCs w:val="28"/>
          <w:lang w:val="es-ES_tradnl"/>
        </w:rPr>
        <w:t xml:space="preserve"> </w:t>
      </w:r>
      <w:r w:rsidR="00E70687" w:rsidRPr="00554FD8">
        <w:rPr>
          <w:iCs/>
          <w:sz w:val="28"/>
          <w:szCs w:val="28"/>
          <w:lang w:val="es-ES_tradnl"/>
        </w:rPr>
        <w:t xml:space="preserve">argumentó lo siguiente: </w:t>
      </w:r>
    </w:p>
    <w:p w14:paraId="103D0E69" w14:textId="77777777" w:rsidR="00E70687" w:rsidRPr="00554FD8" w:rsidRDefault="00E70687" w:rsidP="00E70687">
      <w:pPr>
        <w:pStyle w:val="Prrafodelista"/>
        <w:rPr>
          <w:iCs/>
          <w:sz w:val="28"/>
          <w:szCs w:val="28"/>
          <w:lang w:val="es-ES_tradnl"/>
        </w:rPr>
      </w:pPr>
    </w:p>
    <w:p w14:paraId="67E7C56D" w14:textId="77777777" w:rsidR="00E70687" w:rsidRPr="00554FD8" w:rsidRDefault="00E70687"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 xml:space="preserve">Primero, los artículos 336 y 337 de la Ley 2294 de 2023 fueron incluidos por el legislador durante el trámite legislativo. Al respecto, el viceprocurador general de la Nación afirmó que, si bien es posible la incorporación de nuevas normas en el trámite de un proyecto de ley, ello no implica que el Congreso de la República pueda desconocer el cumplimiento del principio de unidad de materia que, en el caso del plan nacional de desarrollo, exige la existencia de una relación directa e inmediata de coherencia y conexidad. </w:t>
      </w:r>
    </w:p>
    <w:p w14:paraId="418DDA23" w14:textId="77777777" w:rsidR="00E70687" w:rsidRPr="00554FD8" w:rsidRDefault="00E70687" w:rsidP="00E70687">
      <w:pPr>
        <w:pStyle w:val="Prrafodelista"/>
        <w:rPr>
          <w:iCs/>
          <w:sz w:val="28"/>
          <w:szCs w:val="28"/>
          <w:lang w:val="es-ES_tradnl"/>
        </w:rPr>
      </w:pPr>
    </w:p>
    <w:p w14:paraId="2A15AB9E" w14:textId="0A5C6FF6" w:rsidR="00E70687" w:rsidRPr="00554FD8" w:rsidRDefault="00E70687"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 xml:space="preserve">Segundo, en el Acta n.° 47 de la sesión plenaria del Senado de la República del 3 de mayo de 2023, publicada en la Gaceta del Congreso n.° 902 de 2023, consta la siguiente justificación sobre la inclusión de las normas acusadas: </w:t>
      </w:r>
    </w:p>
    <w:p w14:paraId="3F5E254F" w14:textId="19CA2A3C" w:rsidR="00E70687" w:rsidRPr="00554FD8" w:rsidRDefault="00E70687" w:rsidP="00E70687">
      <w:pPr>
        <w:jc w:val="both"/>
        <w:rPr>
          <w:iCs/>
          <w:sz w:val="28"/>
          <w:szCs w:val="28"/>
          <w:lang w:val="es-ES_tradnl"/>
        </w:rPr>
      </w:pPr>
    </w:p>
    <w:p w14:paraId="053951D4" w14:textId="49BA757B" w:rsidR="00E70687" w:rsidRPr="00554FD8" w:rsidRDefault="00E70687" w:rsidP="00E706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right="284"/>
        <w:jc w:val="both"/>
        <w:rPr>
          <w:iCs/>
          <w:color w:val="000000"/>
          <w:lang w:val="es-ES_tradnl" w:eastAsia="es-CO"/>
        </w:rPr>
      </w:pPr>
      <w:r w:rsidRPr="00554FD8">
        <w:rPr>
          <w:iCs/>
          <w:color w:val="000000"/>
          <w:lang w:val="es-ES_tradnl" w:eastAsia="es-CO"/>
        </w:rPr>
        <w:t>“Consecuentemente, al ordenar el Estatuto Orgánico de Presupuesto la inclusión del presupuesto del Consejo Nacional Electoral en el de la Registradur</w:t>
      </w:r>
      <w:r w:rsidR="00F06262" w:rsidRPr="00554FD8">
        <w:rPr>
          <w:iCs/>
          <w:color w:val="000000"/>
          <w:lang w:val="es-ES_tradnl" w:eastAsia="es-CO"/>
        </w:rPr>
        <w:t>[í]</w:t>
      </w:r>
      <w:r w:rsidRPr="00554FD8">
        <w:rPr>
          <w:iCs/>
          <w:color w:val="000000"/>
          <w:lang w:val="es-ES_tradnl" w:eastAsia="es-CO"/>
        </w:rPr>
        <w:t xml:space="preserve">a Nacional del Estado Civil, de </w:t>
      </w:r>
      <w:r w:rsidR="00F06262" w:rsidRPr="00554FD8">
        <w:rPr>
          <w:iCs/>
          <w:color w:val="000000"/>
          <w:lang w:val="es-ES_tradnl" w:eastAsia="es-CO"/>
        </w:rPr>
        <w:t>hecho,</w:t>
      </w:r>
      <w:r w:rsidRPr="00554FD8">
        <w:rPr>
          <w:iCs/>
          <w:color w:val="000000"/>
          <w:lang w:val="es-ES_tradnl" w:eastAsia="es-CO"/>
        </w:rPr>
        <w:t xml:space="preserve"> crea una relación subalterna, limitante, que le impide el ejercicio independiente y verdaderamente autónomo de sus funciones Constitucionales y legales, [...]</w:t>
      </w:r>
    </w:p>
    <w:p w14:paraId="70CC65DE" w14:textId="0304F1C9" w:rsidR="00E70687" w:rsidRPr="00554FD8" w:rsidRDefault="00E70687" w:rsidP="00F007F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right="284"/>
        <w:jc w:val="both"/>
        <w:rPr>
          <w:iCs/>
          <w:color w:val="000000"/>
          <w:lang w:val="es-ES_tradnl" w:eastAsia="es-CO"/>
        </w:rPr>
      </w:pPr>
      <w:r w:rsidRPr="00554FD8">
        <w:rPr>
          <w:iCs/>
          <w:color w:val="000000"/>
          <w:lang w:val="es-ES_tradnl" w:eastAsia="es-CO"/>
        </w:rPr>
        <w:t>En la práctica encontramos que el señor Registrador al disponer a su arbitrio de las decisiones relacionadas con la ordenación del gasto, los registros contables, de tesorería, la contratación, la nominación de los funcionarios y cualquier otra de carácter presupuestal o administrativo, lo hace a ritmos que dan lugar a ineficiencias y retrasos de la gestión del CNE, en atención a que la prioridad, obviamente, es la gestión de la Registraduría Nacional del Estado Civil.</w:t>
      </w:r>
    </w:p>
    <w:p w14:paraId="6FBC4F3C" w14:textId="77777777" w:rsidR="00E70687" w:rsidRPr="00554FD8" w:rsidRDefault="00E70687" w:rsidP="00E706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right="284"/>
        <w:jc w:val="both"/>
        <w:rPr>
          <w:iCs/>
          <w:color w:val="000000"/>
          <w:lang w:val="es-ES_tradnl" w:eastAsia="es-CO"/>
        </w:rPr>
      </w:pPr>
    </w:p>
    <w:p w14:paraId="7BC2EDCD" w14:textId="0BDB5A40" w:rsidR="00E70687" w:rsidRPr="00554FD8" w:rsidRDefault="00E70687" w:rsidP="00E706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4" w:right="284"/>
        <w:jc w:val="both"/>
        <w:rPr>
          <w:iCs/>
          <w:color w:val="000000"/>
          <w:lang w:val="es-ES_tradnl" w:eastAsia="es-CO"/>
        </w:rPr>
      </w:pPr>
      <w:r w:rsidRPr="00554FD8">
        <w:rPr>
          <w:iCs/>
          <w:color w:val="000000"/>
          <w:lang w:val="es-ES_tradnl" w:eastAsia="es-CO"/>
        </w:rPr>
        <w:t>La situación ha llegado sistemáticamente a hechos absurdos como lo es que la contratación de la auditoria al proceso electoral la adelanta la Registraduría Nacional del Estado Civil, cuando su función, de conformidad con lo señalado en el inciso tercero del Artículo 266 de la Constitución Política está limitada [...], labor, que como ya se ha anotado anteriormente, es competencia constitucional y legal del Consejo Nacional Electoral. Es decir, se convierte en auditor de su propio proceso, haciendo nugatorio el que por mandamiento constitucional le corresponde al CNE. Pues este no puede contratar con el mismo objeto y obligaciones. Es absolutamente evidente la necesidad inaplazable de otorgar al CNE la autonomía presupuestal que como consecuencia de erigida en Sección Presupuestal en el Presupuesto General de la Nación se alcanzaría”</w:t>
      </w:r>
      <w:r w:rsidR="00F06262" w:rsidRPr="00554FD8">
        <w:rPr>
          <w:rStyle w:val="Refdenotaalpie"/>
        </w:rPr>
        <w:footnoteReference w:id="68"/>
      </w:r>
      <w:r w:rsidR="00F06262" w:rsidRPr="00554FD8">
        <w:t>.</w:t>
      </w:r>
    </w:p>
    <w:p w14:paraId="5DB58DFF" w14:textId="77777777" w:rsidR="00E70687" w:rsidRPr="00554FD8" w:rsidRDefault="00E70687" w:rsidP="00E70687">
      <w:pPr>
        <w:jc w:val="both"/>
        <w:rPr>
          <w:iCs/>
          <w:sz w:val="28"/>
          <w:szCs w:val="28"/>
          <w:lang w:val="es-ES_tradnl"/>
        </w:rPr>
      </w:pPr>
    </w:p>
    <w:p w14:paraId="6241F65B" w14:textId="407CAAFD" w:rsidR="008C3C73" w:rsidRPr="00554FD8" w:rsidRDefault="00E70687"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 xml:space="preserve">No obstante, dicha justificación no acredita la existencia de </w:t>
      </w:r>
      <w:r w:rsidR="008C3C73" w:rsidRPr="00554FD8">
        <w:rPr>
          <w:iCs/>
          <w:sz w:val="28"/>
          <w:szCs w:val="28"/>
          <w:lang w:val="es-ES_tradnl"/>
        </w:rPr>
        <w:t>una</w:t>
      </w:r>
      <w:r w:rsidRPr="00554FD8">
        <w:rPr>
          <w:iCs/>
          <w:sz w:val="28"/>
          <w:szCs w:val="28"/>
          <w:lang w:val="es-ES_tradnl"/>
        </w:rPr>
        <w:t xml:space="preserve"> relación entre las disposiciones acusadas y lo</w:t>
      </w:r>
      <w:r w:rsidR="008C3C73" w:rsidRPr="00554FD8">
        <w:rPr>
          <w:iCs/>
          <w:sz w:val="28"/>
          <w:szCs w:val="28"/>
          <w:lang w:val="es-ES_tradnl"/>
        </w:rPr>
        <w:t xml:space="preserve"> establecido en la </w:t>
      </w:r>
      <w:r w:rsidR="00351032" w:rsidRPr="00554FD8">
        <w:rPr>
          <w:iCs/>
          <w:sz w:val="28"/>
          <w:szCs w:val="28"/>
          <w:lang w:val="es-ES_tradnl"/>
        </w:rPr>
        <w:t>p</w:t>
      </w:r>
      <w:r w:rsidR="008C3C73" w:rsidRPr="00554FD8">
        <w:rPr>
          <w:iCs/>
          <w:sz w:val="28"/>
          <w:szCs w:val="28"/>
          <w:lang w:val="es-ES_tradnl"/>
        </w:rPr>
        <w:t xml:space="preserve">arte </w:t>
      </w:r>
      <w:r w:rsidR="00351032" w:rsidRPr="00554FD8">
        <w:rPr>
          <w:iCs/>
          <w:sz w:val="28"/>
          <w:szCs w:val="28"/>
          <w:lang w:val="es-ES_tradnl"/>
        </w:rPr>
        <w:t>g</w:t>
      </w:r>
      <w:r w:rsidR="008C3C73" w:rsidRPr="00554FD8">
        <w:rPr>
          <w:iCs/>
          <w:sz w:val="28"/>
          <w:szCs w:val="28"/>
          <w:lang w:val="es-ES_tradnl"/>
        </w:rPr>
        <w:t xml:space="preserve">eneral del </w:t>
      </w:r>
      <w:r w:rsidR="00351032" w:rsidRPr="00554FD8">
        <w:rPr>
          <w:iCs/>
          <w:sz w:val="28"/>
          <w:szCs w:val="28"/>
          <w:lang w:val="es-ES_tradnl"/>
        </w:rPr>
        <w:t>p</w:t>
      </w:r>
      <w:r w:rsidR="008C3C73" w:rsidRPr="00554FD8">
        <w:rPr>
          <w:iCs/>
          <w:sz w:val="28"/>
          <w:szCs w:val="28"/>
          <w:lang w:val="es-ES_tradnl"/>
        </w:rPr>
        <w:t xml:space="preserve">lan. En efecto, </w:t>
      </w:r>
      <w:r w:rsidR="00373649" w:rsidRPr="00554FD8">
        <w:rPr>
          <w:iCs/>
          <w:sz w:val="28"/>
          <w:szCs w:val="28"/>
          <w:lang w:val="es-ES_tradnl"/>
        </w:rPr>
        <w:t xml:space="preserve">manifestó </w:t>
      </w:r>
      <w:r w:rsidR="00A14760" w:rsidRPr="00554FD8">
        <w:rPr>
          <w:iCs/>
          <w:sz w:val="28"/>
          <w:szCs w:val="28"/>
          <w:lang w:val="es-ES_tradnl"/>
        </w:rPr>
        <w:t xml:space="preserve">el viceprocurador general </w:t>
      </w:r>
      <w:r w:rsidR="008C3C73" w:rsidRPr="00554FD8">
        <w:rPr>
          <w:iCs/>
          <w:sz w:val="28"/>
          <w:szCs w:val="28"/>
          <w:lang w:val="es-ES_tradnl"/>
        </w:rPr>
        <w:t xml:space="preserve">que en las </w:t>
      </w:r>
      <w:r w:rsidR="00A21C73">
        <w:rPr>
          <w:iCs/>
          <w:sz w:val="28"/>
          <w:szCs w:val="28"/>
          <w:lang w:val="es-ES_tradnl"/>
        </w:rPr>
        <w:t>B</w:t>
      </w:r>
      <w:r w:rsidR="008C3C73" w:rsidRPr="00554FD8">
        <w:rPr>
          <w:iCs/>
          <w:sz w:val="28"/>
          <w:szCs w:val="28"/>
          <w:lang w:val="es-ES_tradnl"/>
        </w:rPr>
        <w:t xml:space="preserve">ases del PND no se encuentra </w:t>
      </w:r>
      <w:r w:rsidR="008C3C73" w:rsidRPr="00554FD8">
        <w:rPr>
          <w:color w:val="000000"/>
          <w:sz w:val="28"/>
          <w:szCs w:val="28"/>
          <w:lang w:val="es-ES_tradnl" w:eastAsia="es-CO"/>
        </w:rPr>
        <w:t xml:space="preserve">ninguna mención al CNE, ni </w:t>
      </w:r>
      <w:r w:rsidR="00373649" w:rsidRPr="00554FD8">
        <w:rPr>
          <w:color w:val="000000"/>
          <w:sz w:val="28"/>
          <w:szCs w:val="28"/>
          <w:lang w:val="es-ES_tradnl" w:eastAsia="es-CO"/>
        </w:rPr>
        <w:t xml:space="preserve">a </w:t>
      </w:r>
      <w:r w:rsidR="008C3C73" w:rsidRPr="00554FD8">
        <w:rPr>
          <w:color w:val="000000"/>
          <w:sz w:val="28"/>
          <w:szCs w:val="28"/>
          <w:lang w:val="es-ES_tradnl" w:eastAsia="es-CO"/>
        </w:rPr>
        <w:t xml:space="preserve">la necesidad de reformar la estructura presupuestal </w:t>
      </w:r>
      <w:r w:rsidR="00373649" w:rsidRPr="00554FD8">
        <w:rPr>
          <w:color w:val="000000"/>
          <w:sz w:val="28"/>
          <w:szCs w:val="28"/>
          <w:lang w:val="es-ES_tradnl" w:eastAsia="es-CO"/>
        </w:rPr>
        <w:t xml:space="preserve">aplicable a este </w:t>
      </w:r>
      <w:r w:rsidR="008C3C73" w:rsidRPr="00554FD8">
        <w:rPr>
          <w:color w:val="000000"/>
          <w:sz w:val="28"/>
          <w:szCs w:val="28"/>
          <w:lang w:val="es-ES_tradnl" w:eastAsia="es-CO"/>
        </w:rPr>
        <w:t xml:space="preserve">para atender las metas y los planes previstos en la </w:t>
      </w:r>
      <w:r w:rsidR="00351032" w:rsidRPr="00554FD8">
        <w:rPr>
          <w:color w:val="000000"/>
          <w:sz w:val="28"/>
          <w:szCs w:val="28"/>
          <w:lang w:val="es-ES_tradnl" w:eastAsia="es-CO"/>
        </w:rPr>
        <w:t>p</w:t>
      </w:r>
      <w:r w:rsidR="008C3C73" w:rsidRPr="00554FD8">
        <w:rPr>
          <w:color w:val="000000"/>
          <w:sz w:val="28"/>
          <w:szCs w:val="28"/>
          <w:lang w:val="es-ES_tradnl" w:eastAsia="es-CO"/>
        </w:rPr>
        <w:t xml:space="preserve">arte </w:t>
      </w:r>
      <w:r w:rsidR="00351032" w:rsidRPr="00554FD8">
        <w:rPr>
          <w:color w:val="000000"/>
          <w:sz w:val="28"/>
          <w:szCs w:val="28"/>
          <w:lang w:val="es-ES_tradnl" w:eastAsia="es-CO"/>
        </w:rPr>
        <w:t>g</w:t>
      </w:r>
      <w:r w:rsidR="008C3C73" w:rsidRPr="00554FD8">
        <w:rPr>
          <w:color w:val="000000"/>
          <w:sz w:val="28"/>
          <w:szCs w:val="28"/>
          <w:lang w:val="es-ES_tradnl" w:eastAsia="es-CO"/>
        </w:rPr>
        <w:t>eneral. En particular, indicó que</w:t>
      </w:r>
      <w:r w:rsidR="00F06262" w:rsidRPr="00554FD8">
        <w:rPr>
          <w:color w:val="000000"/>
          <w:sz w:val="28"/>
          <w:szCs w:val="28"/>
          <w:lang w:val="es-ES_tradnl" w:eastAsia="es-CO"/>
        </w:rPr>
        <w:t>,</w:t>
      </w:r>
      <w:r w:rsidR="008C3C73" w:rsidRPr="00554FD8">
        <w:rPr>
          <w:color w:val="000000"/>
          <w:sz w:val="28"/>
          <w:szCs w:val="28"/>
          <w:lang w:val="es-ES_tradnl" w:eastAsia="es-CO"/>
        </w:rPr>
        <w:t xml:space="preserve"> aunque el eje de </w:t>
      </w:r>
      <w:r w:rsidR="00D67444" w:rsidRPr="00554FD8">
        <w:rPr>
          <w:color w:val="000000"/>
          <w:sz w:val="28"/>
          <w:szCs w:val="28"/>
          <w:lang w:val="es-ES_tradnl" w:eastAsia="es-CO"/>
        </w:rPr>
        <w:t>“</w:t>
      </w:r>
      <w:r w:rsidR="008C3C73" w:rsidRPr="00554FD8">
        <w:rPr>
          <w:color w:val="000000"/>
          <w:sz w:val="28"/>
          <w:szCs w:val="28"/>
          <w:lang w:val="es-ES_tradnl" w:eastAsia="es-CO"/>
        </w:rPr>
        <w:t>Convergencia Regional</w:t>
      </w:r>
      <w:r w:rsidR="00D67444" w:rsidRPr="00554FD8">
        <w:rPr>
          <w:color w:val="000000"/>
          <w:sz w:val="28"/>
          <w:szCs w:val="28"/>
          <w:lang w:val="es-ES_tradnl" w:eastAsia="es-CO"/>
        </w:rPr>
        <w:t>”</w:t>
      </w:r>
      <w:r w:rsidR="008C3C73" w:rsidRPr="00554FD8">
        <w:rPr>
          <w:color w:val="000000"/>
          <w:sz w:val="28"/>
          <w:szCs w:val="28"/>
          <w:lang w:val="es-ES_tradnl" w:eastAsia="es-CO"/>
        </w:rPr>
        <w:t xml:space="preserve"> se refiere a los dispositivos de participación ciudadana, política y electoral y al fortalecimiento institucional, dichos elementos no tienen que ver con el presupuesto asignado al CNE, ya que ni siquiera menciona a dicha entidad. Al respecto, afirmó que “[c]omo mucho, podría afirmarse que existe una relación implícita, cuando se habla de fortalecer el sistema político y electoral del país”</w:t>
      </w:r>
      <w:r w:rsidR="008C3C73" w:rsidRPr="00554FD8">
        <w:rPr>
          <w:rStyle w:val="Refdenotaalpie"/>
          <w:sz w:val="28"/>
          <w:szCs w:val="28"/>
        </w:rPr>
        <w:footnoteReference w:id="69"/>
      </w:r>
      <w:r w:rsidR="008C3C73" w:rsidRPr="00554FD8">
        <w:rPr>
          <w:sz w:val="28"/>
          <w:szCs w:val="28"/>
        </w:rPr>
        <w:t>.</w:t>
      </w:r>
    </w:p>
    <w:p w14:paraId="47789A61" w14:textId="77777777" w:rsidR="008C3C73" w:rsidRPr="00554FD8" w:rsidRDefault="008C3C73" w:rsidP="008C3C73">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iCs/>
          <w:sz w:val="28"/>
          <w:szCs w:val="28"/>
          <w:lang w:val="es-ES_tradnl"/>
        </w:rPr>
      </w:pPr>
    </w:p>
    <w:p w14:paraId="34DAB4BF" w14:textId="636B5092" w:rsidR="008C3C73" w:rsidRPr="00554FD8" w:rsidRDefault="008C3C73"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iCs/>
          <w:sz w:val="28"/>
          <w:szCs w:val="28"/>
          <w:lang w:val="es-ES_tradnl"/>
        </w:rPr>
        <w:t xml:space="preserve">En tercer lugar, sobre la existencia de un vínculo de conexidad directo e inmediato, </w:t>
      </w:r>
      <w:r w:rsidR="00A14760" w:rsidRPr="00554FD8">
        <w:rPr>
          <w:iCs/>
          <w:sz w:val="28"/>
          <w:szCs w:val="28"/>
          <w:lang w:val="es-ES_tradnl"/>
        </w:rPr>
        <w:t xml:space="preserve">señaló </w:t>
      </w:r>
      <w:r w:rsidRPr="00554FD8">
        <w:rPr>
          <w:iCs/>
          <w:sz w:val="28"/>
          <w:szCs w:val="28"/>
          <w:lang w:val="es-ES_tradnl"/>
        </w:rPr>
        <w:t xml:space="preserve">que: </w:t>
      </w:r>
    </w:p>
    <w:p w14:paraId="1EEC0750" w14:textId="77777777" w:rsidR="008C3C73" w:rsidRPr="00554FD8" w:rsidRDefault="008C3C73" w:rsidP="008C3C73">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iCs/>
          <w:sz w:val="28"/>
          <w:szCs w:val="28"/>
          <w:lang w:val="es-ES_tradnl"/>
        </w:rPr>
      </w:pPr>
    </w:p>
    <w:p w14:paraId="34A111EF" w14:textId="63B98813" w:rsidR="008C3C73" w:rsidRPr="00554FD8" w:rsidRDefault="008C3C73" w:rsidP="008C3C73">
      <w:pPr>
        <w:pStyle w:val="Prrafodelista"/>
        <w:keepNext/>
        <w:widowControl w:val="0"/>
        <w:pBdr>
          <w:top w:val="nil"/>
          <w:left w:val="nil"/>
          <w:bottom w:val="nil"/>
          <w:right w:val="nil"/>
          <w:between w:val="nil"/>
        </w:pBdr>
        <w:tabs>
          <w:tab w:val="left" w:pos="426"/>
        </w:tabs>
        <w:autoSpaceDE w:val="0"/>
        <w:autoSpaceDN w:val="0"/>
        <w:adjustRightInd w:val="0"/>
        <w:ind w:left="284" w:right="284"/>
        <w:contextualSpacing w:val="0"/>
        <w:jc w:val="both"/>
        <w:rPr>
          <w:color w:val="000000"/>
          <w:lang w:val="es-ES_tradnl" w:eastAsia="es-CO"/>
        </w:rPr>
      </w:pPr>
      <w:r w:rsidRPr="00554FD8">
        <w:rPr>
          <w:iCs/>
          <w:lang w:val="es-ES_tradnl"/>
        </w:rPr>
        <w:t>“</w:t>
      </w:r>
      <w:r w:rsidR="000E2455">
        <w:rPr>
          <w:iCs/>
          <w:lang w:val="es-ES_tradnl"/>
        </w:rPr>
        <w:t>[</w:t>
      </w:r>
      <w:r w:rsidR="0094131C">
        <w:rPr>
          <w:iCs/>
          <w:lang w:val="es-ES_tradnl"/>
        </w:rPr>
        <w:t>…</w:t>
      </w:r>
      <w:r w:rsidR="000E2455">
        <w:rPr>
          <w:iCs/>
          <w:lang w:val="es-ES_tradnl"/>
        </w:rPr>
        <w:t>]</w:t>
      </w:r>
      <w:r w:rsidR="0094131C">
        <w:rPr>
          <w:iCs/>
          <w:lang w:val="es-ES_tradnl"/>
        </w:rPr>
        <w:t xml:space="preserve"> </w:t>
      </w:r>
      <w:r w:rsidRPr="00554FD8">
        <w:rPr>
          <w:iCs/>
          <w:lang w:val="es-ES_tradnl"/>
        </w:rPr>
        <w:t>l</w:t>
      </w:r>
      <w:r w:rsidRPr="00554FD8">
        <w:rPr>
          <w:color w:val="000000"/>
          <w:lang w:val="es-ES_tradnl" w:eastAsia="es-CO"/>
        </w:rPr>
        <w:t>os artículos 336 y 337, y en particular, las expresiones relativas al Consejo Nacional Electoral no conducen a la efectividad de ninguna de las disposiciones generales del Plan Nacional de Desarrollo; y aún, cuando pudiese afirmarse que ello contribuiría a fortalecer el sistema electoral, sin duda requeriría de otras condiciones para lograrlo. Así pues, es claro que las expresiones demandadas no superan el juicio estricto de constitucionalidad exigido por la Corte Constitucional para validar el cumplimiento del</w:t>
      </w:r>
      <w:r w:rsidRPr="00554FD8">
        <w:rPr>
          <w:iCs/>
          <w:lang w:val="es-ES_tradnl"/>
        </w:rPr>
        <w:t xml:space="preserve"> </w:t>
      </w:r>
      <w:r w:rsidRPr="00554FD8">
        <w:rPr>
          <w:color w:val="000000"/>
          <w:lang w:val="es-ES_tradnl" w:eastAsia="es-CO"/>
        </w:rPr>
        <w:t>principio de unidad de materia”</w:t>
      </w:r>
      <w:r w:rsidRPr="00554FD8">
        <w:rPr>
          <w:rStyle w:val="Refdenotaalpie"/>
        </w:rPr>
        <w:footnoteReference w:id="70"/>
      </w:r>
      <w:r w:rsidRPr="00554FD8">
        <w:t>.</w:t>
      </w:r>
      <w:r w:rsidRPr="00554FD8">
        <w:rPr>
          <w:color w:val="000000"/>
          <w:lang w:val="es-ES_tradnl" w:eastAsia="es-CO"/>
        </w:rPr>
        <w:t xml:space="preserve"> </w:t>
      </w:r>
    </w:p>
    <w:p w14:paraId="531A52B3" w14:textId="197BE56C" w:rsidR="008C3C73" w:rsidRPr="00554FD8" w:rsidRDefault="008C3C73" w:rsidP="008C3C73">
      <w:pPr>
        <w:keepNext/>
        <w:widowControl w:val="0"/>
        <w:pBdr>
          <w:top w:val="nil"/>
          <w:left w:val="nil"/>
          <w:bottom w:val="nil"/>
          <w:right w:val="nil"/>
          <w:between w:val="nil"/>
        </w:pBdr>
        <w:tabs>
          <w:tab w:val="left" w:pos="426"/>
        </w:tabs>
        <w:autoSpaceDE w:val="0"/>
        <w:autoSpaceDN w:val="0"/>
        <w:adjustRightInd w:val="0"/>
        <w:ind w:right="284"/>
        <w:jc w:val="both"/>
        <w:rPr>
          <w:color w:val="000000"/>
          <w:sz w:val="28"/>
          <w:szCs w:val="28"/>
          <w:lang w:val="es-ES_tradnl" w:eastAsia="es-CO"/>
        </w:rPr>
      </w:pPr>
    </w:p>
    <w:p w14:paraId="6714B552" w14:textId="678D395D" w:rsidR="000769E1" w:rsidRPr="00554FD8" w:rsidRDefault="008C3C73"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color w:val="000000"/>
          <w:sz w:val="28"/>
          <w:szCs w:val="28"/>
          <w:lang w:val="es-ES_tradnl" w:eastAsia="es-CO"/>
        </w:rPr>
      </w:pPr>
      <w:r w:rsidRPr="00554FD8">
        <w:rPr>
          <w:color w:val="000000"/>
          <w:sz w:val="28"/>
          <w:szCs w:val="28"/>
          <w:lang w:val="es-ES_tradnl" w:eastAsia="es-CO"/>
        </w:rPr>
        <w:t xml:space="preserve">Finalmente, </w:t>
      </w:r>
      <w:r w:rsidR="006F2B0C" w:rsidRPr="00554FD8">
        <w:rPr>
          <w:color w:val="000000"/>
          <w:sz w:val="28"/>
          <w:szCs w:val="28"/>
          <w:lang w:val="es-ES_tradnl" w:eastAsia="es-CO"/>
        </w:rPr>
        <w:t xml:space="preserve">expuso </w:t>
      </w:r>
      <w:r w:rsidRPr="00554FD8">
        <w:rPr>
          <w:color w:val="000000"/>
          <w:sz w:val="28"/>
          <w:szCs w:val="28"/>
          <w:lang w:val="es-ES_tradnl" w:eastAsia="es-CO"/>
        </w:rPr>
        <w:t xml:space="preserve">que las normas acusadas incorporaron una reforma permanente que es inconstitucional, de acuerdo con la jurisprudencia constitucional, por cuanto: (i) </w:t>
      </w:r>
      <w:r w:rsidR="000769E1" w:rsidRPr="00554FD8">
        <w:rPr>
          <w:color w:val="000000"/>
          <w:sz w:val="28"/>
          <w:szCs w:val="28"/>
          <w:lang w:val="es-ES_tradnl" w:eastAsia="es-CO"/>
        </w:rPr>
        <w:t xml:space="preserve">es incompatible con la naturaleza planificadora y temporal del PND y (ii) no se demostró la existencia de una relación de conexidad directa, estrecha e inmediata con las políticas, los fines y las estrategias trazadas en la </w:t>
      </w:r>
      <w:r w:rsidR="00351032" w:rsidRPr="00554FD8">
        <w:rPr>
          <w:color w:val="000000"/>
          <w:sz w:val="28"/>
          <w:szCs w:val="28"/>
          <w:lang w:val="es-ES_tradnl" w:eastAsia="es-CO"/>
        </w:rPr>
        <w:t>p</w:t>
      </w:r>
      <w:r w:rsidR="000769E1" w:rsidRPr="00554FD8">
        <w:rPr>
          <w:color w:val="000000"/>
          <w:sz w:val="28"/>
          <w:szCs w:val="28"/>
          <w:lang w:val="es-ES_tradnl" w:eastAsia="es-CO"/>
        </w:rPr>
        <w:t xml:space="preserve">arte </w:t>
      </w:r>
      <w:r w:rsidR="00351032" w:rsidRPr="00554FD8">
        <w:rPr>
          <w:color w:val="000000"/>
          <w:sz w:val="28"/>
          <w:szCs w:val="28"/>
          <w:lang w:val="es-ES_tradnl" w:eastAsia="es-CO"/>
        </w:rPr>
        <w:t>g</w:t>
      </w:r>
      <w:r w:rsidR="000769E1" w:rsidRPr="00554FD8">
        <w:rPr>
          <w:color w:val="000000"/>
          <w:sz w:val="28"/>
          <w:szCs w:val="28"/>
          <w:lang w:val="es-ES_tradnl" w:eastAsia="es-CO"/>
        </w:rPr>
        <w:t xml:space="preserve">eneral del </w:t>
      </w:r>
      <w:r w:rsidR="00351032" w:rsidRPr="00554FD8">
        <w:rPr>
          <w:color w:val="000000"/>
          <w:sz w:val="28"/>
          <w:szCs w:val="28"/>
          <w:lang w:val="es-ES_tradnl" w:eastAsia="es-CO"/>
        </w:rPr>
        <w:t>p</w:t>
      </w:r>
      <w:r w:rsidR="000769E1" w:rsidRPr="00554FD8">
        <w:rPr>
          <w:color w:val="000000"/>
          <w:sz w:val="28"/>
          <w:szCs w:val="28"/>
          <w:lang w:val="es-ES_tradnl" w:eastAsia="es-CO"/>
        </w:rPr>
        <w:t xml:space="preserve">lan. </w:t>
      </w:r>
    </w:p>
    <w:p w14:paraId="041A3C52" w14:textId="77777777" w:rsidR="000769E1" w:rsidRPr="00554FD8" w:rsidRDefault="000769E1" w:rsidP="000769E1">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color w:val="000000"/>
          <w:sz w:val="28"/>
          <w:szCs w:val="28"/>
          <w:lang w:val="es-ES_tradnl" w:eastAsia="es-CO"/>
        </w:rPr>
      </w:pPr>
    </w:p>
    <w:p w14:paraId="0486F208" w14:textId="2FDE9CF9" w:rsidR="000769E1" w:rsidRPr="00554FD8" w:rsidRDefault="008C3C73"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color w:val="000000"/>
          <w:sz w:val="28"/>
          <w:szCs w:val="28"/>
          <w:lang w:val="es-ES_tradnl" w:eastAsia="es-CO"/>
        </w:rPr>
      </w:pPr>
      <w:r w:rsidRPr="00554FD8">
        <w:rPr>
          <w:i/>
          <w:color w:val="000000"/>
          <w:sz w:val="28"/>
          <w:szCs w:val="28"/>
          <w:lang w:val="es-ES_tradnl" w:eastAsia="es-CO"/>
        </w:rPr>
        <w:t>Sobre el desconocimiento de la reserva de ley orgánica.</w:t>
      </w:r>
      <w:r w:rsidR="00F06262" w:rsidRPr="00554FD8">
        <w:rPr>
          <w:color w:val="000000"/>
          <w:sz w:val="28"/>
          <w:szCs w:val="28"/>
          <w:lang w:val="es-ES_tradnl" w:eastAsia="es-CO"/>
        </w:rPr>
        <w:t xml:space="preserve"> E</w:t>
      </w:r>
      <w:r w:rsidR="000769E1" w:rsidRPr="00554FD8">
        <w:rPr>
          <w:color w:val="000000"/>
          <w:sz w:val="28"/>
          <w:szCs w:val="28"/>
          <w:lang w:val="es-ES_tradnl" w:eastAsia="es-CO"/>
        </w:rPr>
        <w:t xml:space="preserve">l viceprocurador general de la Nación advirtió que las normas demandadas modificaron expresamente la Ley 38 de 1989, reformada por la Ley 179 de 1994, ambas de naturaleza orgánica y que fueron compiladas en el Decreto 111 de 1996 – Estatuto Orgánico del Presupuesto. Adicionalmente, precisó que este último decreto fue proferido en el ejercicio de las facultades extraordinarias otorgadas por el Congreso de la República al Gobierno nacional mediante Ley 225 de 1995, cuerpo normativo que fue tramitado y aprobado como ley orgánica. De manera que se evidencia la voluntad del legislador de tramitar aquellas disposiciones que se refieren a la preparación, aprobación y ejecución del presupuesto en los términos del artículo 151 de la Constitución Política. </w:t>
      </w:r>
    </w:p>
    <w:p w14:paraId="54466E7D" w14:textId="77777777" w:rsidR="000769E1" w:rsidRPr="00554FD8" w:rsidRDefault="000769E1" w:rsidP="00F06262">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color w:val="000000"/>
          <w:sz w:val="28"/>
          <w:szCs w:val="28"/>
          <w:lang w:val="es-ES_tradnl" w:eastAsia="es-CO"/>
        </w:rPr>
      </w:pPr>
    </w:p>
    <w:p w14:paraId="46F646DD" w14:textId="1A3D5B4F" w:rsidR="00F06262" w:rsidRPr="00D52700" w:rsidRDefault="00F06262" w:rsidP="00D52700">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color w:val="000000"/>
          <w:sz w:val="28"/>
          <w:szCs w:val="28"/>
          <w:lang w:val="es-ES_tradnl" w:eastAsia="es-CO"/>
        </w:rPr>
      </w:pPr>
      <w:r w:rsidRPr="00554FD8">
        <w:rPr>
          <w:color w:val="000000"/>
          <w:sz w:val="28"/>
          <w:szCs w:val="28"/>
          <w:lang w:val="es-ES_tradnl" w:eastAsia="es-CO"/>
        </w:rPr>
        <w:t xml:space="preserve">Ahora bien, sobre el caso concreto, afirmó que </w:t>
      </w:r>
      <w:r w:rsidR="000769E1" w:rsidRPr="00554FD8">
        <w:rPr>
          <w:color w:val="000000"/>
          <w:sz w:val="28"/>
          <w:szCs w:val="28"/>
          <w:lang w:val="es-ES_tradnl" w:eastAsia="es-CO"/>
        </w:rPr>
        <w:t xml:space="preserve">las normas acusadas al </w:t>
      </w:r>
      <w:r w:rsidRPr="00554FD8">
        <w:rPr>
          <w:color w:val="000000"/>
          <w:sz w:val="28"/>
          <w:szCs w:val="28"/>
          <w:lang w:val="es-ES_tradnl" w:eastAsia="es-CO"/>
        </w:rPr>
        <w:t xml:space="preserve">asignar una sección presupuestal independiente al CNE y otorgarle facultades de contratación y ordenación del gasto a su presidente, regulan la ejecución del Presupuesto General de la Nación y, en consecuencia, modifican el Estatuto Orgánico del Presupuesto. No obstante, </w:t>
      </w:r>
      <w:r w:rsidR="000769E1" w:rsidRPr="00554FD8">
        <w:rPr>
          <w:color w:val="000000"/>
          <w:sz w:val="28"/>
          <w:szCs w:val="28"/>
          <w:lang w:val="es-ES_tradnl" w:eastAsia="es-CO"/>
        </w:rPr>
        <w:t>ni en la Cámara de</w:t>
      </w:r>
      <w:r w:rsidRPr="00554FD8">
        <w:rPr>
          <w:color w:val="000000"/>
          <w:sz w:val="28"/>
          <w:szCs w:val="28"/>
          <w:lang w:val="es-ES_tradnl" w:eastAsia="es-CO"/>
        </w:rPr>
        <w:t xml:space="preserve"> </w:t>
      </w:r>
      <w:r w:rsidR="000769E1" w:rsidRPr="00554FD8">
        <w:rPr>
          <w:color w:val="000000"/>
          <w:sz w:val="28"/>
          <w:szCs w:val="28"/>
          <w:lang w:val="es-ES_tradnl" w:eastAsia="es-CO"/>
        </w:rPr>
        <w:t>Representantes ni en el Senado</w:t>
      </w:r>
      <w:r w:rsidRPr="00554FD8">
        <w:rPr>
          <w:color w:val="000000"/>
          <w:sz w:val="28"/>
          <w:szCs w:val="28"/>
          <w:lang w:val="es-ES_tradnl" w:eastAsia="es-CO"/>
        </w:rPr>
        <w:t xml:space="preserve"> de la República, durante los debates del proyecto de ley que culminó con la expedición de la Ley 2294 de 2023</w:t>
      </w:r>
      <w:r w:rsidR="000769E1" w:rsidRPr="00554FD8">
        <w:rPr>
          <w:color w:val="000000"/>
          <w:sz w:val="28"/>
          <w:szCs w:val="28"/>
          <w:lang w:val="es-ES_tradnl" w:eastAsia="es-CO"/>
        </w:rPr>
        <w:t>, se advirtió que los artículos demandados implicaban una reforma al Estatuto Orgánico del Presupuesto, sometida</w:t>
      </w:r>
      <w:r w:rsidRPr="00554FD8">
        <w:rPr>
          <w:color w:val="000000"/>
          <w:sz w:val="28"/>
          <w:szCs w:val="28"/>
          <w:lang w:val="es-ES_tradnl" w:eastAsia="es-CO"/>
        </w:rPr>
        <w:t xml:space="preserve"> </w:t>
      </w:r>
      <w:r w:rsidR="000769E1" w:rsidRPr="00554FD8">
        <w:rPr>
          <w:color w:val="000000"/>
          <w:sz w:val="28"/>
          <w:szCs w:val="28"/>
          <w:lang w:val="es-ES_tradnl" w:eastAsia="es-CO"/>
        </w:rPr>
        <w:t>a unas reglas constitucionales especiales</w:t>
      </w:r>
      <w:r w:rsidRPr="00554FD8">
        <w:rPr>
          <w:color w:val="000000"/>
          <w:sz w:val="28"/>
          <w:szCs w:val="28"/>
          <w:lang w:val="es-ES_tradnl" w:eastAsia="es-CO"/>
        </w:rPr>
        <w:t xml:space="preserve"> </w:t>
      </w:r>
      <w:r w:rsidR="000769E1" w:rsidRPr="00554FD8">
        <w:rPr>
          <w:color w:val="000000"/>
          <w:sz w:val="28"/>
          <w:szCs w:val="28"/>
          <w:lang w:val="es-ES_tradnl" w:eastAsia="es-CO"/>
        </w:rPr>
        <w:t xml:space="preserve">en los términos del artículo 151 </w:t>
      </w:r>
      <w:r w:rsidRPr="00554FD8">
        <w:rPr>
          <w:color w:val="000000"/>
          <w:sz w:val="28"/>
          <w:szCs w:val="28"/>
          <w:lang w:val="es-ES_tradnl" w:eastAsia="es-CO"/>
        </w:rPr>
        <w:t xml:space="preserve">superior. </w:t>
      </w:r>
    </w:p>
    <w:p w14:paraId="60C0C5FF" w14:textId="79EFEF38" w:rsidR="000769E1" w:rsidRPr="00554FD8" w:rsidRDefault="000769E1" w:rsidP="0003283E">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color w:val="000000"/>
          <w:sz w:val="28"/>
          <w:szCs w:val="28"/>
          <w:lang w:val="es-ES_tradnl" w:eastAsia="es-CO"/>
        </w:rPr>
      </w:pPr>
      <w:r w:rsidRPr="00554FD8">
        <w:rPr>
          <w:color w:val="000000"/>
          <w:sz w:val="28"/>
          <w:szCs w:val="28"/>
          <w:lang w:val="es-ES_tradnl" w:eastAsia="es-CO"/>
        </w:rPr>
        <w:t xml:space="preserve">Además, </w:t>
      </w:r>
      <w:r w:rsidR="00F06262" w:rsidRPr="00554FD8">
        <w:rPr>
          <w:color w:val="000000"/>
          <w:sz w:val="28"/>
          <w:szCs w:val="28"/>
          <w:lang w:val="es-ES_tradnl" w:eastAsia="es-CO"/>
        </w:rPr>
        <w:t xml:space="preserve">refirió que, </w:t>
      </w:r>
      <w:r w:rsidRPr="00554FD8">
        <w:rPr>
          <w:color w:val="000000"/>
          <w:sz w:val="28"/>
          <w:szCs w:val="28"/>
          <w:lang w:val="es-ES_tradnl" w:eastAsia="es-CO"/>
        </w:rPr>
        <w:t xml:space="preserve">si bien </w:t>
      </w:r>
      <w:r w:rsidR="00F06262" w:rsidRPr="00554FD8">
        <w:rPr>
          <w:color w:val="000000"/>
          <w:sz w:val="28"/>
          <w:szCs w:val="28"/>
          <w:lang w:val="es-ES_tradnl" w:eastAsia="es-CO"/>
        </w:rPr>
        <w:t>las normas acusadas fueron aprobadas por mayoría absoluta</w:t>
      </w:r>
      <w:r w:rsidRPr="00554FD8">
        <w:rPr>
          <w:color w:val="000000"/>
          <w:sz w:val="28"/>
          <w:szCs w:val="28"/>
          <w:lang w:val="es-ES_tradnl" w:eastAsia="es-CO"/>
        </w:rPr>
        <w:t xml:space="preserve">, </w:t>
      </w:r>
      <w:r w:rsidR="00F06262" w:rsidRPr="00554FD8">
        <w:rPr>
          <w:color w:val="000000"/>
          <w:sz w:val="28"/>
          <w:szCs w:val="28"/>
          <w:lang w:val="es-ES_tradnl" w:eastAsia="es-CO"/>
        </w:rPr>
        <w:t xml:space="preserve">de los antecedentes legislativos se comprueba que </w:t>
      </w:r>
      <w:r w:rsidRPr="00554FD8">
        <w:rPr>
          <w:color w:val="000000"/>
          <w:sz w:val="28"/>
          <w:szCs w:val="28"/>
          <w:lang w:val="es-ES_tradnl" w:eastAsia="es-CO"/>
        </w:rPr>
        <w:t>la votación del articulado en cuestión se hizo en bloque,</w:t>
      </w:r>
      <w:r w:rsidR="00F06262" w:rsidRPr="00554FD8">
        <w:rPr>
          <w:color w:val="000000"/>
          <w:sz w:val="28"/>
          <w:szCs w:val="28"/>
          <w:lang w:val="es-ES_tradnl" w:eastAsia="es-CO"/>
        </w:rPr>
        <w:t xml:space="preserve"> </w:t>
      </w:r>
      <w:r w:rsidRPr="00554FD8">
        <w:rPr>
          <w:color w:val="000000"/>
          <w:sz w:val="28"/>
          <w:szCs w:val="28"/>
          <w:lang w:val="es-ES_tradnl" w:eastAsia="es-CO"/>
        </w:rPr>
        <w:t>sin una revisión cuidadosa de las disposiciones</w:t>
      </w:r>
      <w:r w:rsidR="00F06262" w:rsidRPr="00554FD8">
        <w:rPr>
          <w:color w:val="000000"/>
          <w:sz w:val="28"/>
          <w:szCs w:val="28"/>
          <w:lang w:val="es-ES_tradnl" w:eastAsia="es-CO"/>
        </w:rPr>
        <w:t>. En ese sentido, señaló que</w:t>
      </w:r>
      <w:r w:rsidRPr="00554FD8">
        <w:rPr>
          <w:color w:val="000000"/>
          <w:sz w:val="28"/>
          <w:szCs w:val="28"/>
          <w:lang w:val="es-ES_tradnl" w:eastAsia="es-CO"/>
        </w:rPr>
        <w:t xml:space="preserve"> </w:t>
      </w:r>
      <w:r w:rsidR="00F06262" w:rsidRPr="00554FD8">
        <w:rPr>
          <w:color w:val="000000"/>
          <w:sz w:val="28"/>
          <w:szCs w:val="28"/>
          <w:lang w:val="es-ES_tradnl" w:eastAsia="es-CO"/>
        </w:rPr>
        <w:t>“</w:t>
      </w:r>
      <w:r w:rsidRPr="00554FD8">
        <w:rPr>
          <w:color w:val="000000"/>
          <w:sz w:val="28"/>
          <w:szCs w:val="28"/>
          <w:lang w:val="es-ES_tradnl" w:eastAsia="es-CO"/>
        </w:rPr>
        <w:t xml:space="preserve">pese a que contó, </w:t>
      </w:r>
      <w:r w:rsidRPr="00554FD8">
        <w:rPr>
          <w:iCs/>
          <w:color w:val="000000"/>
          <w:sz w:val="28"/>
          <w:szCs w:val="28"/>
          <w:lang w:val="es-ES_tradnl" w:eastAsia="es-CO"/>
        </w:rPr>
        <w:t>de</w:t>
      </w:r>
      <w:r w:rsidR="00F06262" w:rsidRPr="00554FD8">
        <w:rPr>
          <w:iCs/>
          <w:color w:val="000000"/>
          <w:sz w:val="28"/>
          <w:szCs w:val="28"/>
          <w:lang w:val="es-ES_tradnl" w:eastAsia="es-CO"/>
        </w:rPr>
        <w:t xml:space="preserve"> </w:t>
      </w:r>
      <w:r w:rsidRPr="00554FD8">
        <w:rPr>
          <w:iCs/>
          <w:color w:val="000000"/>
          <w:sz w:val="28"/>
          <w:szCs w:val="28"/>
          <w:lang w:val="es-ES_tradnl" w:eastAsia="es-CO"/>
        </w:rPr>
        <w:t>facto</w:t>
      </w:r>
      <w:r w:rsidRPr="00554FD8">
        <w:rPr>
          <w:i/>
          <w:iCs/>
          <w:color w:val="000000"/>
          <w:sz w:val="28"/>
          <w:szCs w:val="28"/>
          <w:lang w:val="es-ES_tradnl" w:eastAsia="es-CO"/>
        </w:rPr>
        <w:t xml:space="preserve">, </w:t>
      </w:r>
      <w:r w:rsidRPr="00554FD8">
        <w:rPr>
          <w:color w:val="000000"/>
          <w:sz w:val="28"/>
          <w:szCs w:val="28"/>
          <w:lang w:val="es-ES_tradnl" w:eastAsia="es-CO"/>
        </w:rPr>
        <w:t xml:space="preserve">con las mayorías constitucionales exigidas, ello no es suficiente </w:t>
      </w:r>
      <w:r w:rsidR="00F06262" w:rsidRPr="00554FD8">
        <w:rPr>
          <w:color w:val="000000"/>
          <w:sz w:val="28"/>
          <w:szCs w:val="28"/>
          <w:lang w:val="es-ES_tradnl" w:eastAsia="es-CO"/>
        </w:rPr>
        <w:t xml:space="preserve">[…] </w:t>
      </w:r>
      <w:r w:rsidRPr="00554FD8">
        <w:rPr>
          <w:color w:val="000000"/>
          <w:sz w:val="28"/>
          <w:szCs w:val="28"/>
          <w:lang w:val="es-ES_tradnl" w:eastAsia="es-CO"/>
        </w:rPr>
        <w:t>para que</w:t>
      </w:r>
      <w:r w:rsidR="00F06262" w:rsidRPr="00554FD8">
        <w:rPr>
          <w:color w:val="000000"/>
          <w:sz w:val="28"/>
          <w:szCs w:val="28"/>
          <w:lang w:val="es-ES_tradnl" w:eastAsia="es-CO"/>
        </w:rPr>
        <w:t xml:space="preserve"> </w:t>
      </w:r>
      <w:r w:rsidRPr="00554FD8">
        <w:rPr>
          <w:color w:val="000000"/>
          <w:sz w:val="28"/>
          <w:szCs w:val="28"/>
          <w:lang w:val="es-ES_tradnl" w:eastAsia="es-CO"/>
        </w:rPr>
        <w:t>mediante una ley ordinaria se modifique una norma orgánica, tal y como lo ha</w:t>
      </w:r>
      <w:r w:rsidR="00F06262" w:rsidRPr="00554FD8">
        <w:rPr>
          <w:color w:val="000000"/>
          <w:sz w:val="28"/>
          <w:szCs w:val="28"/>
          <w:lang w:val="es-ES_tradnl" w:eastAsia="es-CO"/>
        </w:rPr>
        <w:t xml:space="preserve"> </w:t>
      </w:r>
      <w:r w:rsidRPr="00554FD8">
        <w:rPr>
          <w:color w:val="000000"/>
          <w:sz w:val="28"/>
          <w:szCs w:val="28"/>
          <w:lang w:val="es-ES_tradnl" w:eastAsia="es-CO"/>
        </w:rPr>
        <w:t>precisado la Corte Constitucional</w:t>
      </w:r>
      <w:r w:rsidR="00F06262" w:rsidRPr="00554FD8">
        <w:rPr>
          <w:color w:val="000000"/>
          <w:sz w:val="28"/>
          <w:szCs w:val="28"/>
          <w:lang w:val="es-ES_tradnl" w:eastAsia="es-CO"/>
        </w:rPr>
        <w:t>”</w:t>
      </w:r>
      <w:r w:rsidR="00F06262" w:rsidRPr="00554FD8">
        <w:rPr>
          <w:rStyle w:val="Refdenotaalpie"/>
          <w:sz w:val="28"/>
          <w:szCs w:val="28"/>
        </w:rPr>
        <w:footnoteReference w:id="71"/>
      </w:r>
      <w:r w:rsidR="00F06262" w:rsidRPr="00554FD8">
        <w:rPr>
          <w:sz w:val="28"/>
          <w:szCs w:val="28"/>
        </w:rPr>
        <w:t xml:space="preserve">. </w:t>
      </w:r>
      <w:r w:rsidR="00F06262" w:rsidRPr="00554FD8">
        <w:rPr>
          <w:color w:val="000000"/>
          <w:sz w:val="28"/>
          <w:szCs w:val="28"/>
          <w:lang w:val="es-ES_tradnl" w:eastAsia="es-CO"/>
        </w:rPr>
        <w:t xml:space="preserve"> </w:t>
      </w:r>
    </w:p>
    <w:p w14:paraId="75CB0D89" w14:textId="77777777" w:rsidR="000769E1" w:rsidRPr="00554FD8" w:rsidRDefault="000769E1" w:rsidP="000769E1">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lang w:val="es-ES_tradnl"/>
        </w:rPr>
      </w:pPr>
    </w:p>
    <w:p w14:paraId="284399DB" w14:textId="08665DF3" w:rsidR="002343E4" w:rsidRPr="003239AA" w:rsidRDefault="0008653E" w:rsidP="003239AA">
      <w:pPr>
        <w:pStyle w:val="Ttulo1"/>
        <w:spacing w:before="0"/>
        <w:jc w:val="both"/>
        <w:rPr>
          <w:rFonts w:ascii="Times New Roman" w:hAnsi="Times New Roman" w:cs="Times New Roman"/>
          <w:b/>
          <w:color w:val="auto"/>
          <w:sz w:val="28"/>
          <w:szCs w:val="28"/>
        </w:rPr>
      </w:pPr>
      <w:bookmarkStart w:id="8" w:name="_Toc230846362"/>
      <w:r w:rsidRPr="003239AA">
        <w:rPr>
          <w:rFonts w:ascii="Times New Roman" w:hAnsi="Times New Roman" w:cs="Times New Roman"/>
          <w:b/>
          <w:color w:val="auto"/>
          <w:sz w:val="28"/>
          <w:szCs w:val="28"/>
        </w:rPr>
        <w:t>V</w:t>
      </w:r>
      <w:r w:rsidR="001A5115" w:rsidRPr="003239AA">
        <w:rPr>
          <w:rFonts w:ascii="Times New Roman" w:hAnsi="Times New Roman" w:cs="Times New Roman"/>
          <w:b/>
          <w:color w:val="auto"/>
          <w:sz w:val="28"/>
          <w:szCs w:val="28"/>
        </w:rPr>
        <w:t>I</w:t>
      </w:r>
      <w:r w:rsidR="00E337E2" w:rsidRPr="003239AA">
        <w:rPr>
          <w:rFonts w:ascii="Times New Roman" w:hAnsi="Times New Roman" w:cs="Times New Roman"/>
          <w:b/>
          <w:color w:val="auto"/>
          <w:sz w:val="28"/>
          <w:szCs w:val="28"/>
        </w:rPr>
        <w:t>I</w:t>
      </w:r>
      <w:r w:rsidR="0060246C" w:rsidRPr="003239AA">
        <w:rPr>
          <w:rFonts w:ascii="Times New Roman" w:hAnsi="Times New Roman" w:cs="Times New Roman"/>
          <w:b/>
          <w:color w:val="auto"/>
          <w:sz w:val="28"/>
          <w:szCs w:val="28"/>
        </w:rPr>
        <w:t>. CONSIDERACIONES</w:t>
      </w:r>
      <w:bookmarkEnd w:id="8"/>
    </w:p>
    <w:p w14:paraId="284399DC" w14:textId="77777777" w:rsidR="002343E4" w:rsidRPr="00554FD8" w:rsidRDefault="002343E4" w:rsidP="00F201E1">
      <w:pPr>
        <w:keepNext/>
        <w:widowControl w:val="0"/>
        <w:pBdr>
          <w:top w:val="nil"/>
          <w:left w:val="nil"/>
          <w:bottom w:val="nil"/>
          <w:right w:val="nil"/>
          <w:between w:val="nil"/>
        </w:pBdr>
        <w:tabs>
          <w:tab w:val="left" w:pos="426"/>
        </w:tabs>
        <w:jc w:val="both"/>
        <w:rPr>
          <w:sz w:val="28"/>
          <w:szCs w:val="28"/>
        </w:rPr>
      </w:pPr>
    </w:p>
    <w:p w14:paraId="284399DD" w14:textId="72AC5D7E" w:rsidR="002343E4" w:rsidRPr="003239AA" w:rsidRDefault="00C45110" w:rsidP="003239AA">
      <w:pPr>
        <w:pStyle w:val="Ttulo2"/>
        <w:spacing w:before="0"/>
        <w:rPr>
          <w:rFonts w:ascii="Times New Roman" w:hAnsi="Times New Roman" w:cs="Times New Roman"/>
          <w:b/>
          <w:color w:val="auto"/>
          <w:sz w:val="28"/>
          <w:szCs w:val="28"/>
        </w:rPr>
      </w:pPr>
      <w:bookmarkStart w:id="9" w:name="_Toc230846363"/>
      <w:r w:rsidRPr="003239AA">
        <w:rPr>
          <w:rFonts w:ascii="Times New Roman" w:hAnsi="Times New Roman" w:cs="Times New Roman"/>
          <w:b/>
          <w:color w:val="auto"/>
          <w:sz w:val="28"/>
          <w:szCs w:val="28"/>
        </w:rPr>
        <w:t xml:space="preserve">1. </w:t>
      </w:r>
      <w:r w:rsidR="0060246C" w:rsidRPr="003239AA">
        <w:rPr>
          <w:rFonts w:ascii="Times New Roman" w:hAnsi="Times New Roman" w:cs="Times New Roman"/>
          <w:b/>
          <w:color w:val="auto"/>
          <w:sz w:val="28"/>
          <w:szCs w:val="28"/>
        </w:rPr>
        <w:t>Competencia</w:t>
      </w:r>
      <w:bookmarkEnd w:id="9"/>
    </w:p>
    <w:p w14:paraId="77C3A049" w14:textId="77777777" w:rsidR="00236769" w:rsidRPr="00554FD8" w:rsidRDefault="00236769" w:rsidP="00236769">
      <w:pPr>
        <w:pStyle w:val="Prrafodelista"/>
        <w:widowControl w:val="0"/>
        <w:tabs>
          <w:tab w:val="left" w:pos="426"/>
        </w:tabs>
        <w:ind w:left="0"/>
        <w:jc w:val="both"/>
        <w:rPr>
          <w:b/>
          <w:sz w:val="28"/>
          <w:szCs w:val="28"/>
        </w:rPr>
      </w:pPr>
    </w:p>
    <w:p w14:paraId="5ABB320B" w14:textId="0818281B" w:rsidR="00057DEB" w:rsidRPr="00554FD8" w:rsidRDefault="00236769" w:rsidP="00A11859">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iCs/>
          <w:sz w:val="28"/>
          <w:szCs w:val="28"/>
          <w:lang w:val="es-ES_tradnl"/>
        </w:rPr>
      </w:pPr>
      <w:r w:rsidRPr="00554FD8">
        <w:rPr>
          <w:sz w:val="28"/>
          <w:szCs w:val="28"/>
          <w:lang w:eastAsia="en-US"/>
        </w:rPr>
        <w:t xml:space="preserve">De conformidad con lo dispuesto por el artículo 241.4 de la Constitución Política, la Corte Constitucional es competente para conocer y decidir sobre la constitucionalidad de </w:t>
      </w:r>
      <w:r w:rsidRPr="00554FD8">
        <w:rPr>
          <w:sz w:val="28"/>
          <w:szCs w:val="28"/>
          <w:lang w:val="es-ES_tradnl"/>
        </w:rPr>
        <w:t xml:space="preserve">los artículos 336 y 337 (parciales) de </w:t>
      </w:r>
      <w:r w:rsidRPr="00554FD8">
        <w:rPr>
          <w:sz w:val="28"/>
          <w:szCs w:val="28"/>
        </w:rPr>
        <w:t xml:space="preserve">la Ley 2294 de 2023 “Por el cual se expide el Plan Nacional de Desarrollo 2022-2026 ‘Colombia Potencia Mundial de la Vida”. </w:t>
      </w:r>
    </w:p>
    <w:p w14:paraId="2AFD5231" w14:textId="77777777" w:rsidR="00C45110" w:rsidRDefault="00C45110" w:rsidP="00C45110">
      <w:pPr>
        <w:keepNext/>
        <w:widowControl w:val="0"/>
        <w:pBdr>
          <w:top w:val="nil"/>
          <w:left w:val="nil"/>
          <w:bottom w:val="nil"/>
          <w:right w:val="nil"/>
          <w:between w:val="nil"/>
        </w:pBdr>
        <w:tabs>
          <w:tab w:val="left" w:pos="284"/>
        </w:tabs>
        <w:jc w:val="both"/>
        <w:rPr>
          <w:b/>
          <w:sz w:val="28"/>
          <w:szCs w:val="28"/>
        </w:rPr>
      </w:pPr>
    </w:p>
    <w:p w14:paraId="58668294" w14:textId="2C1B5FCC" w:rsidR="00A11859" w:rsidRPr="003239AA" w:rsidRDefault="00C45110" w:rsidP="003239AA">
      <w:pPr>
        <w:pStyle w:val="Ttulo2"/>
        <w:spacing w:before="0"/>
        <w:jc w:val="both"/>
        <w:rPr>
          <w:rFonts w:ascii="Times New Roman" w:hAnsi="Times New Roman" w:cs="Times New Roman"/>
          <w:b/>
          <w:color w:val="auto"/>
          <w:sz w:val="28"/>
          <w:szCs w:val="28"/>
        </w:rPr>
      </w:pPr>
      <w:bookmarkStart w:id="10" w:name="_Toc230846364"/>
      <w:r w:rsidRPr="003239AA">
        <w:rPr>
          <w:rFonts w:ascii="Times New Roman" w:hAnsi="Times New Roman" w:cs="Times New Roman"/>
          <w:b/>
          <w:color w:val="auto"/>
          <w:sz w:val="28"/>
          <w:szCs w:val="28"/>
        </w:rPr>
        <w:t xml:space="preserve">2. </w:t>
      </w:r>
      <w:r w:rsidR="00A11859" w:rsidRPr="003239AA">
        <w:rPr>
          <w:rFonts w:ascii="Times New Roman" w:hAnsi="Times New Roman" w:cs="Times New Roman"/>
          <w:b/>
          <w:color w:val="auto"/>
          <w:sz w:val="28"/>
          <w:szCs w:val="28"/>
        </w:rPr>
        <w:t xml:space="preserve">Cuestión previa. </w:t>
      </w:r>
      <w:r w:rsidR="005277E0" w:rsidRPr="003239AA">
        <w:rPr>
          <w:rFonts w:ascii="Times New Roman" w:hAnsi="Times New Roman" w:cs="Times New Roman"/>
          <w:b/>
          <w:color w:val="auto"/>
          <w:sz w:val="28"/>
          <w:szCs w:val="28"/>
        </w:rPr>
        <w:t>La necesidad de completar</w:t>
      </w:r>
      <w:r w:rsidR="00A11859" w:rsidRPr="003239AA">
        <w:rPr>
          <w:rFonts w:ascii="Times New Roman" w:hAnsi="Times New Roman" w:cs="Times New Roman"/>
          <w:b/>
          <w:color w:val="auto"/>
          <w:sz w:val="28"/>
          <w:szCs w:val="28"/>
        </w:rPr>
        <w:t xml:space="preserve"> la proposición jurídica</w:t>
      </w:r>
      <w:r w:rsidR="00A11859" w:rsidRPr="003239AA">
        <w:rPr>
          <w:rStyle w:val="Refdenotaalpie"/>
          <w:rFonts w:ascii="Times New Roman" w:hAnsi="Times New Roman" w:cs="Times New Roman"/>
          <w:color w:val="auto"/>
          <w:sz w:val="28"/>
          <w:szCs w:val="28"/>
        </w:rPr>
        <w:footnoteReference w:id="72"/>
      </w:r>
      <w:bookmarkEnd w:id="10"/>
      <w:r w:rsidR="00A11859" w:rsidRPr="003239AA">
        <w:rPr>
          <w:rFonts w:ascii="Times New Roman" w:hAnsi="Times New Roman" w:cs="Times New Roman"/>
          <w:color w:val="auto"/>
          <w:sz w:val="28"/>
          <w:szCs w:val="28"/>
        </w:rPr>
        <w:t xml:space="preserve"> </w:t>
      </w:r>
      <w:r w:rsidR="00A11859" w:rsidRPr="003239AA">
        <w:rPr>
          <w:rFonts w:ascii="Times New Roman" w:hAnsi="Times New Roman" w:cs="Times New Roman"/>
          <w:b/>
          <w:color w:val="auto"/>
          <w:sz w:val="28"/>
          <w:szCs w:val="28"/>
        </w:rPr>
        <w:t xml:space="preserve"> </w:t>
      </w:r>
    </w:p>
    <w:p w14:paraId="6FAC42F3" w14:textId="77777777" w:rsidR="00A11859" w:rsidRPr="00554FD8" w:rsidRDefault="00A11859" w:rsidP="00A11859">
      <w:pPr>
        <w:keepNext/>
        <w:widowControl w:val="0"/>
        <w:pBdr>
          <w:top w:val="nil"/>
          <w:left w:val="nil"/>
          <w:bottom w:val="nil"/>
          <w:right w:val="nil"/>
          <w:between w:val="nil"/>
        </w:pBdr>
        <w:tabs>
          <w:tab w:val="left" w:pos="284"/>
        </w:tabs>
        <w:jc w:val="both"/>
        <w:rPr>
          <w:b/>
          <w:sz w:val="28"/>
          <w:szCs w:val="28"/>
        </w:rPr>
      </w:pPr>
    </w:p>
    <w:p w14:paraId="07C91E3C" w14:textId="7873B314" w:rsidR="000E2455" w:rsidRPr="00AD0E5E" w:rsidRDefault="00F95884" w:rsidP="009A2B39">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 xml:space="preserve">El viceprocurador general de la Nación señaló que </w:t>
      </w:r>
      <w:r w:rsidR="009A2B39" w:rsidRPr="00AD0E5E">
        <w:rPr>
          <w:sz w:val="28"/>
          <w:szCs w:val="28"/>
          <w:u w:color="000000"/>
          <w:lang w:val="es-ES_tradnl"/>
        </w:rPr>
        <w:t>las expresiones demandadas de los artículos 336 y 337 de la Ley 2294 de 2023 modificaron el Estatuto Orgánico del Presupuesto</w:t>
      </w:r>
      <w:r w:rsidR="006D5AB3" w:rsidRPr="00AD0E5E">
        <w:rPr>
          <w:sz w:val="28"/>
          <w:szCs w:val="28"/>
          <w:u w:color="000000"/>
          <w:lang w:val="es-ES_tradnl"/>
        </w:rPr>
        <w:t xml:space="preserve"> por lo que,</w:t>
      </w:r>
      <w:r w:rsidR="009A2B39" w:rsidRPr="00AD0E5E">
        <w:rPr>
          <w:sz w:val="28"/>
          <w:szCs w:val="28"/>
          <w:u w:color="000000"/>
          <w:lang w:val="es-ES_tradnl"/>
        </w:rPr>
        <w:t xml:space="preserve"> en consecuencia, el análisis de constitucionalidad deb</w:t>
      </w:r>
      <w:r w:rsidR="00484290" w:rsidRPr="00AD0E5E">
        <w:rPr>
          <w:sz w:val="28"/>
          <w:szCs w:val="28"/>
          <w:u w:color="000000"/>
          <w:lang w:val="es-ES_tradnl"/>
        </w:rPr>
        <w:t>ía</w:t>
      </w:r>
      <w:r w:rsidR="009A2B39" w:rsidRPr="00AD0E5E">
        <w:rPr>
          <w:sz w:val="28"/>
          <w:szCs w:val="28"/>
          <w:u w:color="000000"/>
          <w:lang w:val="es-ES_tradnl"/>
        </w:rPr>
        <w:t xml:space="preserve"> efectuarse atendiendo a la naturaleza de los cargos admitidos. </w:t>
      </w:r>
      <w:r w:rsidR="00295E2F" w:rsidRPr="00AD0E5E">
        <w:rPr>
          <w:sz w:val="28"/>
          <w:szCs w:val="28"/>
          <w:u w:color="000000"/>
          <w:lang w:val="es-ES_tradnl"/>
        </w:rPr>
        <w:t>En concreto</w:t>
      </w:r>
      <w:r w:rsidR="009A2B39" w:rsidRPr="00AD0E5E">
        <w:rPr>
          <w:sz w:val="28"/>
          <w:szCs w:val="28"/>
          <w:u w:color="000000"/>
          <w:lang w:val="es-ES_tradnl"/>
        </w:rPr>
        <w:t>, manifestó que “s</w:t>
      </w:r>
      <w:r w:rsidR="009A2B39" w:rsidRPr="00AD0E5E">
        <w:rPr>
          <w:color w:val="000000"/>
          <w:sz w:val="28"/>
          <w:szCs w:val="28"/>
          <w:lang w:val="es-ES_tradnl" w:eastAsia="es-CO"/>
        </w:rPr>
        <w:t xml:space="preserve">i bien la demanda se dirige exclusivamente contra las expresiones “el Consejo Nacional Electoral,” del artículo 336, y “y en el Consejo Nacional Electoral por el </w:t>
      </w:r>
      <w:r w:rsidR="00295E2F" w:rsidRPr="00AD0E5E">
        <w:rPr>
          <w:color w:val="000000"/>
          <w:sz w:val="28"/>
          <w:szCs w:val="28"/>
          <w:lang w:val="es-ES_tradnl" w:eastAsia="es-CO"/>
        </w:rPr>
        <w:t>P</w:t>
      </w:r>
      <w:r w:rsidR="009A2B39" w:rsidRPr="00AD0E5E">
        <w:rPr>
          <w:color w:val="000000"/>
          <w:sz w:val="28"/>
          <w:szCs w:val="28"/>
          <w:lang w:val="es-ES_tradnl" w:eastAsia="es-CO"/>
        </w:rPr>
        <w:t>residente de este órgano” del artículo 337, […] es necesario declarar la inexequibilidad de la totalidad de ambas normas por razones de técnica normativa, con el fin de mantener los textos vigentes del Decreto 111 de 1996”</w:t>
      </w:r>
      <w:r w:rsidR="009A2B39" w:rsidRPr="00AD0E5E">
        <w:rPr>
          <w:rStyle w:val="Refdenotaalpie"/>
          <w:color w:val="000000"/>
          <w:sz w:val="28"/>
          <w:szCs w:val="28"/>
          <w:lang w:val="es-ES_tradnl" w:eastAsia="es-CO"/>
        </w:rPr>
        <w:footnoteReference w:id="73"/>
      </w:r>
      <w:r w:rsidR="009A2B39" w:rsidRPr="00AD0E5E">
        <w:rPr>
          <w:color w:val="000000"/>
          <w:sz w:val="28"/>
          <w:szCs w:val="28"/>
          <w:lang w:val="es-ES_tradnl" w:eastAsia="es-CO"/>
        </w:rPr>
        <w:t>.</w:t>
      </w:r>
    </w:p>
    <w:p w14:paraId="16A5FC20" w14:textId="5FA63EEE" w:rsidR="009A2B39" w:rsidRPr="00AD0E5E" w:rsidRDefault="009A2B39" w:rsidP="000E2455">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u w:color="000000"/>
          <w:lang w:val="es-ES_tradnl"/>
        </w:rPr>
      </w:pPr>
      <w:r w:rsidRPr="00AD0E5E">
        <w:rPr>
          <w:color w:val="000000"/>
          <w:sz w:val="28"/>
          <w:szCs w:val="28"/>
          <w:lang w:val="es-ES_tradnl" w:eastAsia="es-CO"/>
        </w:rPr>
        <w:t xml:space="preserve"> </w:t>
      </w:r>
    </w:p>
    <w:p w14:paraId="3E9166A7" w14:textId="3A70E454" w:rsidR="00A11859" w:rsidRPr="00AD0E5E" w:rsidRDefault="00A11859" w:rsidP="00A11859">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 xml:space="preserve">Con base en lo expresado por el viceprocurador general de la Nación, la Sala procede a evaluar si resulta </w:t>
      </w:r>
      <w:r w:rsidR="006D5AB3" w:rsidRPr="00AD0E5E">
        <w:rPr>
          <w:sz w:val="28"/>
          <w:szCs w:val="28"/>
          <w:u w:color="000000"/>
          <w:lang w:val="es-ES_tradnl"/>
        </w:rPr>
        <w:t xml:space="preserve">necesario </w:t>
      </w:r>
      <w:r w:rsidR="000C3CBC" w:rsidRPr="00AD0E5E">
        <w:rPr>
          <w:sz w:val="28"/>
          <w:szCs w:val="28"/>
          <w:u w:color="000000"/>
          <w:lang w:val="es-ES_tradnl"/>
        </w:rPr>
        <w:t>completar</w:t>
      </w:r>
      <w:r w:rsidRPr="00AD0E5E">
        <w:rPr>
          <w:sz w:val="28"/>
          <w:szCs w:val="28"/>
          <w:u w:color="000000"/>
          <w:lang w:val="es-ES_tradnl"/>
        </w:rPr>
        <w:t xml:space="preserve"> las disposiciones jurídicas en el presente asunto y que sobre </w:t>
      </w:r>
      <w:r w:rsidR="00484290" w:rsidRPr="00AD0E5E">
        <w:rPr>
          <w:sz w:val="28"/>
          <w:szCs w:val="28"/>
          <w:u w:color="000000"/>
          <w:lang w:val="es-ES_tradnl"/>
        </w:rPr>
        <w:t xml:space="preserve">la totalidad de </w:t>
      </w:r>
      <w:r w:rsidR="006D5AB3" w:rsidRPr="00AD0E5E">
        <w:rPr>
          <w:sz w:val="28"/>
          <w:szCs w:val="28"/>
          <w:u w:color="000000"/>
          <w:lang w:val="es-ES_tradnl"/>
        </w:rPr>
        <w:t xml:space="preserve">estas </w:t>
      </w:r>
      <w:r w:rsidRPr="00AD0E5E">
        <w:rPr>
          <w:sz w:val="28"/>
          <w:szCs w:val="28"/>
          <w:u w:color="000000"/>
          <w:lang w:val="es-ES_tradnl"/>
        </w:rPr>
        <w:t xml:space="preserve">recaiga el examen de constitucionalidad que </w:t>
      </w:r>
      <w:r w:rsidR="006D5AB3" w:rsidRPr="00AD0E5E">
        <w:rPr>
          <w:sz w:val="28"/>
          <w:szCs w:val="28"/>
          <w:u w:color="000000"/>
          <w:lang w:val="es-ES_tradnl"/>
        </w:rPr>
        <w:t xml:space="preserve">adelante </w:t>
      </w:r>
      <w:r w:rsidRPr="00AD0E5E">
        <w:rPr>
          <w:sz w:val="28"/>
          <w:szCs w:val="28"/>
          <w:u w:color="000000"/>
          <w:lang w:val="es-ES_tradnl"/>
        </w:rPr>
        <w:t xml:space="preserve">esta corporación. Para tal efecto, inicialmente, expondrá el alcance de dicha figura jurídica y, posteriormente, analizará su configuración en el presente asunto. </w:t>
      </w:r>
    </w:p>
    <w:p w14:paraId="6B1BF09A" w14:textId="77777777" w:rsidR="00A11859" w:rsidRPr="002C500B" w:rsidRDefault="00A11859" w:rsidP="00A11859">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highlight w:val="yellow"/>
          <w:u w:color="000000"/>
          <w:lang w:val="es-ES_tradnl"/>
        </w:rPr>
      </w:pPr>
    </w:p>
    <w:p w14:paraId="29EA3F47" w14:textId="6420A651" w:rsidR="00A11859" w:rsidRPr="00AD0E5E" w:rsidRDefault="00A11859" w:rsidP="00A11859">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i/>
          <w:iCs/>
          <w:sz w:val="28"/>
          <w:szCs w:val="28"/>
          <w:u w:color="000000"/>
          <w:lang w:val="es-ES_tradnl"/>
        </w:rPr>
        <w:t xml:space="preserve">La </w:t>
      </w:r>
      <w:r w:rsidR="005277E0" w:rsidRPr="00AD0E5E">
        <w:rPr>
          <w:i/>
          <w:iCs/>
          <w:sz w:val="28"/>
          <w:szCs w:val="28"/>
          <w:u w:color="000000"/>
          <w:lang w:val="es-ES_tradnl"/>
        </w:rPr>
        <w:t>necesidad de completar la proposición jurídica</w:t>
      </w:r>
      <w:r w:rsidRPr="00AD0E5E">
        <w:rPr>
          <w:i/>
          <w:iCs/>
          <w:sz w:val="28"/>
          <w:szCs w:val="28"/>
          <w:u w:color="000000"/>
          <w:lang w:val="es-ES_tradnl"/>
        </w:rPr>
        <w:t xml:space="preserve">. </w:t>
      </w:r>
      <w:r w:rsidRPr="00AD0E5E">
        <w:rPr>
          <w:iCs/>
          <w:sz w:val="28"/>
          <w:szCs w:val="28"/>
          <w:u w:color="000000"/>
          <w:lang w:val="es-ES_tradnl"/>
        </w:rPr>
        <w:t>El inciso 3° del artículo 6° del Decreto 2067 de 1991</w:t>
      </w:r>
      <w:r w:rsidRPr="00AD0E5E">
        <w:rPr>
          <w:rStyle w:val="Refdenotaalpie"/>
          <w:iCs/>
          <w:sz w:val="28"/>
          <w:szCs w:val="28"/>
          <w:u w:color="000000"/>
          <w:lang w:val="es-ES_tradnl"/>
        </w:rPr>
        <w:footnoteReference w:id="74"/>
      </w:r>
      <w:r w:rsidRPr="00AD0E5E">
        <w:rPr>
          <w:iCs/>
          <w:sz w:val="28"/>
          <w:szCs w:val="28"/>
          <w:u w:color="000000"/>
          <w:lang w:val="es-ES_tradnl"/>
        </w:rPr>
        <w:t xml:space="preserve"> establece que la Corte Constitucional se pronunciará de fondo sobre todas las normas demandadas, pero tendrá la facultad excepcional de ampliar el objeto de control del juicio de constitucionalidad cuando resulte necesario integrar otros textos normativos al análisis, con el fin de evitar fallos inanes. </w:t>
      </w:r>
    </w:p>
    <w:p w14:paraId="1A8A6009" w14:textId="77777777" w:rsidR="00A11859" w:rsidRPr="00AD0E5E" w:rsidRDefault="00A11859" w:rsidP="00A11859">
      <w:pPr>
        <w:pStyle w:val="Prrafodelista"/>
        <w:rPr>
          <w:sz w:val="28"/>
          <w:szCs w:val="28"/>
          <w:u w:color="000000"/>
          <w:lang w:val="es-ES_tradnl"/>
        </w:rPr>
      </w:pPr>
    </w:p>
    <w:p w14:paraId="095251D2" w14:textId="3742FC78" w:rsidR="002C1D4C" w:rsidRPr="00AD0E5E" w:rsidRDefault="00A11859" w:rsidP="002C1D4C">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De acuerdo con la jurisprudencia constitucional, tal facultad puede activarse en dos modalidades: (i) la integración de la proposición jurídica completa y (ii</w:t>
      </w:r>
      <w:r w:rsidRPr="00AD0E5E">
        <w:rPr>
          <w:sz w:val="28"/>
          <w:szCs w:val="28"/>
          <w:lang w:val="es-ES_tradnl"/>
        </w:rPr>
        <w:t xml:space="preserve">) la integración de </w:t>
      </w:r>
      <w:r w:rsidR="006D5AB3" w:rsidRPr="00AD0E5E">
        <w:rPr>
          <w:sz w:val="28"/>
          <w:szCs w:val="28"/>
          <w:lang w:val="es-ES_tradnl"/>
        </w:rPr>
        <w:t xml:space="preserve">la </w:t>
      </w:r>
      <w:r w:rsidRPr="00AD0E5E">
        <w:rPr>
          <w:sz w:val="28"/>
          <w:szCs w:val="28"/>
          <w:lang w:val="es-ES_tradnl"/>
        </w:rPr>
        <w:t xml:space="preserve">unidad normativa. En específico, </w:t>
      </w:r>
      <w:r w:rsidR="002C1D4C" w:rsidRPr="00AD0E5E">
        <w:rPr>
          <w:sz w:val="28"/>
          <w:szCs w:val="28"/>
          <w:shd w:val="clear" w:color="auto" w:fill="FFFFFF"/>
        </w:rPr>
        <w:t>la primera modalidad, está “</w:t>
      </w:r>
      <w:r w:rsidR="002C1D4C" w:rsidRPr="00AD0E5E">
        <w:rPr>
          <w:iCs/>
          <w:sz w:val="28"/>
          <w:szCs w:val="28"/>
          <w:shd w:val="clear" w:color="auto" w:fill="FFFFFF"/>
        </w:rPr>
        <w:t>dirigida a completar el sentido de la disposición acusada con otros enunciados normativos inescindiblemente relacionados con ella, con miras a asegurar que el control recaiga sobre un precepto con un alcance regulador autónomo e inteligible</w:t>
      </w:r>
      <w:r w:rsidR="002C1D4C" w:rsidRPr="00AD0E5E">
        <w:rPr>
          <w:sz w:val="28"/>
          <w:szCs w:val="28"/>
          <w:shd w:val="clear" w:color="auto" w:fill="FFFFFF"/>
        </w:rPr>
        <w:t>”. Mientras que, la segunda está prevista “</w:t>
      </w:r>
      <w:r w:rsidR="002C1D4C" w:rsidRPr="00AD0E5E">
        <w:rPr>
          <w:iCs/>
          <w:sz w:val="28"/>
          <w:szCs w:val="28"/>
          <w:shd w:val="clear" w:color="auto" w:fill="FFFFFF"/>
        </w:rPr>
        <w:t>para extender el efecto de la decisión a otras disposiciones de igual o similar contenido normativo </w:t>
      </w:r>
      <w:r w:rsidR="002C1D4C" w:rsidRPr="00AD0E5E">
        <w:rPr>
          <w:sz w:val="28"/>
          <w:szCs w:val="28"/>
          <w:shd w:val="clear" w:color="auto" w:fill="FFFFFF"/>
        </w:rPr>
        <w:t>[respecto de las cuales</w:t>
      </w:r>
      <w:r w:rsidR="002C1D4C" w:rsidRPr="00AD0E5E">
        <w:rPr>
          <w:iCs/>
          <w:sz w:val="28"/>
          <w:szCs w:val="28"/>
          <w:shd w:val="clear" w:color="auto" w:fill="FFFFFF"/>
        </w:rPr>
        <w:t> </w:t>
      </w:r>
      <w:r w:rsidR="002C1D4C" w:rsidRPr="00AD0E5E">
        <w:rPr>
          <w:sz w:val="28"/>
          <w:szCs w:val="28"/>
          <w:shd w:val="clear" w:color="auto" w:fill="FFFFFF"/>
        </w:rPr>
        <w:t>se]</w:t>
      </w:r>
      <w:r w:rsidR="002C1D4C" w:rsidRPr="00AD0E5E">
        <w:rPr>
          <w:iCs/>
          <w:sz w:val="28"/>
          <w:szCs w:val="28"/>
          <w:shd w:val="clear" w:color="auto" w:fill="FFFFFF"/>
        </w:rPr>
        <w:t> busca preservar el principio de supremacía constitucional, garantizar la seguridad jurídica y, en ciertos casos, evitar que el fallo prive de sentido al texto legal acusado</w:t>
      </w:r>
      <w:r w:rsidR="002C1D4C" w:rsidRPr="00AD0E5E">
        <w:rPr>
          <w:sz w:val="28"/>
          <w:szCs w:val="28"/>
          <w:shd w:val="clear" w:color="auto" w:fill="FFFFFF"/>
        </w:rPr>
        <w:t>”</w:t>
      </w:r>
      <w:r w:rsidR="002C1D4C" w:rsidRPr="00AD0E5E">
        <w:rPr>
          <w:rStyle w:val="Refdenotaalpie"/>
          <w:sz w:val="28"/>
          <w:szCs w:val="28"/>
          <w:u w:color="000000"/>
          <w:lang w:val="es-ES_tradnl"/>
        </w:rPr>
        <w:footnoteReference w:id="75"/>
      </w:r>
      <w:r w:rsidR="002C1D4C" w:rsidRPr="00AD0E5E">
        <w:rPr>
          <w:sz w:val="28"/>
          <w:szCs w:val="28"/>
          <w:u w:color="000000"/>
          <w:lang w:val="es-ES_tradnl"/>
        </w:rPr>
        <w:t>.</w:t>
      </w:r>
    </w:p>
    <w:p w14:paraId="267CB6F2" w14:textId="77777777" w:rsidR="00A11859" w:rsidRPr="00AD0E5E" w:rsidRDefault="00A11859" w:rsidP="002C1D4C">
      <w:pPr>
        <w:rPr>
          <w:sz w:val="28"/>
          <w:szCs w:val="28"/>
          <w:u w:color="000000"/>
        </w:rPr>
      </w:pPr>
    </w:p>
    <w:p w14:paraId="19832D25" w14:textId="41B6E6F5" w:rsidR="00A11859" w:rsidRPr="00AD0E5E" w:rsidRDefault="00A11859" w:rsidP="00A11859">
      <w:pPr>
        <w:pStyle w:val="Prrafodelista"/>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 xml:space="preserve">Adicionalmente, la Corte Constitucional también ha establecido que, respecto de </w:t>
      </w:r>
      <w:r w:rsidR="002C1D4C" w:rsidRPr="00AD0E5E">
        <w:rPr>
          <w:sz w:val="28"/>
          <w:szCs w:val="28"/>
          <w:u w:color="000000"/>
          <w:lang w:val="es-ES_tradnl"/>
        </w:rPr>
        <w:t>la integración de la proposición jurídica completa</w:t>
      </w:r>
      <w:r w:rsidRPr="00AD0E5E">
        <w:rPr>
          <w:sz w:val="28"/>
          <w:szCs w:val="28"/>
          <w:u w:color="000000"/>
          <w:lang w:val="es-ES_tradnl"/>
        </w:rPr>
        <w:t>, en los casos en los que se elevan cargos en contra de fragmentos normativos incompletos es necesario analizar si: (i) el vocablo o expresión demandada constituye una regla de derecho cuya constitucionalidad puede ser estudiada de cara a las censuras formuladas en la demanda y (ii) en caso de declarar inexequibles los apartes acusados, la disposición en la que aquellos se insertan perdería sentido o contenido normativo</w:t>
      </w:r>
      <w:r w:rsidRPr="00AD0E5E">
        <w:rPr>
          <w:rStyle w:val="Refdenotaalpie"/>
          <w:sz w:val="28"/>
          <w:szCs w:val="28"/>
          <w:u w:color="000000"/>
          <w:lang w:val="es-ES_tradnl"/>
        </w:rPr>
        <w:footnoteReference w:id="76"/>
      </w:r>
      <w:r w:rsidRPr="00AD0E5E">
        <w:rPr>
          <w:sz w:val="28"/>
          <w:szCs w:val="28"/>
          <w:u w:color="000000"/>
          <w:lang w:val="es-ES_tradnl"/>
        </w:rPr>
        <w:t xml:space="preserve">. </w:t>
      </w:r>
    </w:p>
    <w:p w14:paraId="1B584BBB" w14:textId="77777777" w:rsidR="00A11859" w:rsidRPr="00AD0E5E" w:rsidRDefault="00A11859" w:rsidP="00A11859">
      <w:pPr>
        <w:pStyle w:val="Prrafodelista"/>
        <w:widowControl w:val="0"/>
        <w:pBdr>
          <w:top w:val="nil"/>
          <w:left w:val="nil"/>
          <w:bottom w:val="nil"/>
          <w:right w:val="nil"/>
          <w:between w:val="nil"/>
        </w:pBdr>
        <w:tabs>
          <w:tab w:val="left" w:pos="426"/>
        </w:tabs>
        <w:autoSpaceDE w:val="0"/>
        <w:autoSpaceDN w:val="0"/>
        <w:adjustRightInd w:val="0"/>
        <w:ind w:left="0" w:right="51"/>
        <w:contextualSpacing w:val="0"/>
        <w:jc w:val="both"/>
        <w:rPr>
          <w:bCs/>
          <w:sz w:val="28"/>
          <w:szCs w:val="28"/>
          <w:lang w:val="es-ES_tradnl"/>
        </w:rPr>
      </w:pPr>
    </w:p>
    <w:p w14:paraId="6E4C2E11" w14:textId="09AA1130" w:rsidR="004355B3" w:rsidRPr="00AD0E5E" w:rsidRDefault="00A11859" w:rsidP="0017777C">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 xml:space="preserve"> En este caso, el demandante solicitó la declaratoria de inexequibilidad de las expresiones “el Consejo Nacional Electoral</w:t>
      </w:r>
      <w:r w:rsidRPr="00AD0E5E">
        <w:rPr>
          <w:iCs/>
          <w:sz w:val="28"/>
          <w:szCs w:val="28"/>
        </w:rPr>
        <w:t>”</w:t>
      </w:r>
      <w:r w:rsidRPr="00AD0E5E">
        <w:rPr>
          <w:i/>
          <w:iCs/>
          <w:sz w:val="28"/>
          <w:szCs w:val="28"/>
          <w:u w:color="000000"/>
          <w:lang w:val="es-ES_tradnl"/>
        </w:rPr>
        <w:t xml:space="preserve"> </w:t>
      </w:r>
      <w:r w:rsidRPr="00AD0E5E">
        <w:rPr>
          <w:sz w:val="28"/>
          <w:szCs w:val="28"/>
          <w:u w:color="000000"/>
          <w:lang w:val="es-ES_tradnl"/>
        </w:rPr>
        <w:t>y</w:t>
      </w:r>
      <w:r w:rsidRPr="00AD0E5E">
        <w:rPr>
          <w:i/>
          <w:iCs/>
          <w:sz w:val="28"/>
          <w:szCs w:val="28"/>
          <w:u w:color="000000"/>
          <w:lang w:val="es-ES_tradnl"/>
        </w:rPr>
        <w:t xml:space="preserve"> </w:t>
      </w:r>
      <w:r w:rsidRPr="00AD0E5E">
        <w:rPr>
          <w:iCs/>
          <w:sz w:val="28"/>
          <w:szCs w:val="28"/>
          <w:u w:color="000000"/>
          <w:lang w:val="es-ES_tradnl"/>
        </w:rPr>
        <w:t xml:space="preserve">“y en el Consejo Nacional Electoral por el </w:t>
      </w:r>
      <w:r w:rsidR="00295E2F" w:rsidRPr="00AD0E5E">
        <w:rPr>
          <w:iCs/>
          <w:sz w:val="28"/>
          <w:szCs w:val="28"/>
          <w:u w:color="000000"/>
          <w:lang w:val="es-ES_tradnl"/>
        </w:rPr>
        <w:t>P</w:t>
      </w:r>
      <w:r w:rsidRPr="00AD0E5E">
        <w:rPr>
          <w:iCs/>
          <w:sz w:val="28"/>
          <w:szCs w:val="28"/>
          <w:u w:color="000000"/>
          <w:lang w:val="es-ES_tradnl"/>
        </w:rPr>
        <w:t>residente de este órgano</w:t>
      </w:r>
      <w:r w:rsidRPr="00AD0E5E">
        <w:rPr>
          <w:iCs/>
          <w:sz w:val="28"/>
          <w:szCs w:val="28"/>
        </w:rPr>
        <w:t>”</w:t>
      </w:r>
      <w:r w:rsidRPr="00AD0E5E">
        <w:rPr>
          <w:sz w:val="28"/>
          <w:szCs w:val="28"/>
          <w:u w:color="000000"/>
          <w:lang w:val="es-ES_tradnl"/>
        </w:rPr>
        <w:t xml:space="preserve"> </w:t>
      </w:r>
      <w:r w:rsidRPr="00AD0E5E">
        <w:rPr>
          <w:sz w:val="28"/>
          <w:szCs w:val="28"/>
        </w:rPr>
        <w:t>contenidas</w:t>
      </w:r>
      <w:r w:rsidRPr="00AD0E5E">
        <w:rPr>
          <w:sz w:val="28"/>
          <w:szCs w:val="28"/>
          <w:u w:color="000000"/>
          <w:lang w:val="es-ES_tradnl"/>
        </w:rPr>
        <w:t xml:space="preserve"> en los artículos 336 y 337 de la Ley 2294 de 2023, respectivamente. Sin embargo, la Sala advierte que esos apartes en sí mismos considerados no configuran una regla de derecho cuya constitucionalidad pueda ser evaluada de manera autónoma y completa de cara a las censuras formuladas en la demanda</w:t>
      </w:r>
      <w:r w:rsidR="00295E2F" w:rsidRPr="00AD0E5E">
        <w:rPr>
          <w:rStyle w:val="Refdecomentario"/>
          <w:sz w:val="28"/>
          <w:szCs w:val="28"/>
        </w:rPr>
        <w:t xml:space="preserve">. </w:t>
      </w:r>
      <w:r w:rsidR="002C1D4C" w:rsidRPr="00AD0E5E">
        <w:rPr>
          <w:rStyle w:val="Refdecomentario"/>
          <w:sz w:val="28"/>
          <w:szCs w:val="28"/>
        </w:rPr>
        <w:t xml:space="preserve">Por </w:t>
      </w:r>
      <w:r w:rsidR="00484290" w:rsidRPr="00AD0E5E">
        <w:rPr>
          <w:rStyle w:val="Refdecomentario"/>
          <w:sz w:val="28"/>
          <w:szCs w:val="28"/>
        </w:rPr>
        <w:t>ello,</w:t>
      </w:r>
      <w:r w:rsidR="002C1D4C" w:rsidRPr="00AD0E5E">
        <w:rPr>
          <w:rStyle w:val="Refdecomentario"/>
          <w:sz w:val="28"/>
          <w:szCs w:val="28"/>
        </w:rPr>
        <w:t xml:space="preserve"> resulta necesario integrar </w:t>
      </w:r>
      <w:r w:rsidR="00484290" w:rsidRPr="00AD0E5E">
        <w:rPr>
          <w:rStyle w:val="Refdecomentario"/>
          <w:sz w:val="28"/>
          <w:szCs w:val="28"/>
        </w:rPr>
        <w:t xml:space="preserve">al juicio </w:t>
      </w:r>
      <w:r w:rsidR="002C1D4C" w:rsidRPr="00AD0E5E">
        <w:rPr>
          <w:rStyle w:val="Refdecomentario"/>
          <w:sz w:val="28"/>
          <w:szCs w:val="28"/>
        </w:rPr>
        <w:t>todo el contenido normativo de los artículos 336 y 337 del PND</w:t>
      </w:r>
      <w:r w:rsidR="008416E7" w:rsidRPr="00AD0E5E">
        <w:rPr>
          <w:rStyle w:val="Refdecomentario"/>
          <w:sz w:val="28"/>
          <w:szCs w:val="28"/>
        </w:rPr>
        <w:t xml:space="preserve">, </w:t>
      </w:r>
      <w:r w:rsidR="002C1D4C" w:rsidRPr="00AD0E5E">
        <w:rPr>
          <w:iCs/>
          <w:sz w:val="28"/>
          <w:szCs w:val="28"/>
          <w:shd w:val="clear" w:color="auto" w:fill="FFFFFF"/>
        </w:rPr>
        <w:t xml:space="preserve">por las razones que se exponen a continuación: </w:t>
      </w:r>
    </w:p>
    <w:p w14:paraId="203E2E09" w14:textId="77777777" w:rsidR="002C1D4C" w:rsidRPr="002C500B" w:rsidRDefault="002C1D4C" w:rsidP="002C1D4C">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sz w:val="28"/>
          <w:szCs w:val="28"/>
          <w:highlight w:val="yellow"/>
          <w:u w:color="000000"/>
          <w:lang w:val="es-ES_tradnl"/>
        </w:rPr>
      </w:pPr>
    </w:p>
    <w:p w14:paraId="3FE89C48" w14:textId="51032AD0" w:rsidR="000E60F7" w:rsidRPr="00AD0E5E" w:rsidRDefault="002C1D4C" w:rsidP="002C500B">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Primera, t</w:t>
      </w:r>
      <w:r w:rsidR="00A11859" w:rsidRPr="00AD0E5E">
        <w:rPr>
          <w:sz w:val="28"/>
          <w:szCs w:val="28"/>
          <w:u w:color="000000"/>
          <w:lang w:val="es-ES_tradnl"/>
        </w:rPr>
        <w:t>al</w:t>
      </w:r>
      <w:r w:rsidR="000C3CBC" w:rsidRPr="00AD0E5E">
        <w:rPr>
          <w:sz w:val="28"/>
          <w:szCs w:val="28"/>
          <w:u w:color="000000"/>
          <w:lang w:val="es-ES_tradnl"/>
        </w:rPr>
        <w:t xml:space="preserve"> y</w:t>
      </w:r>
      <w:r w:rsidR="00A11859" w:rsidRPr="00AD0E5E">
        <w:rPr>
          <w:sz w:val="28"/>
          <w:szCs w:val="28"/>
          <w:u w:color="000000"/>
          <w:lang w:val="es-ES_tradnl"/>
        </w:rPr>
        <w:t xml:space="preserve"> como lo evidenció </w:t>
      </w:r>
      <w:r w:rsidR="00A11859" w:rsidRPr="00AD0E5E">
        <w:rPr>
          <w:sz w:val="28"/>
          <w:szCs w:val="28"/>
        </w:rPr>
        <w:t>el viceprocurador general de la Nación</w:t>
      </w:r>
      <w:r w:rsidR="00A11859" w:rsidRPr="00AD0E5E">
        <w:rPr>
          <w:rStyle w:val="Refdenotaalpie"/>
          <w:sz w:val="28"/>
          <w:szCs w:val="28"/>
        </w:rPr>
        <w:footnoteReference w:id="77"/>
      </w:r>
      <w:r w:rsidR="00A11859" w:rsidRPr="00AD0E5E">
        <w:rPr>
          <w:sz w:val="28"/>
          <w:szCs w:val="28"/>
        </w:rPr>
        <w:t xml:space="preserve">, la decisión que la Corte </w:t>
      </w:r>
      <w:r w:rsidR="00484290" w:rsidRPr="00AD0E5E">
        <w:rPr>
          <w:sz w:val="28"/>
          <w:szCs w:val="28"/>
        </w:rPr>
        <w:t xml:space="preserve">Constitucional </w:t>
      </w:r>
      <w:r w:rsidR="00A11859" w:rsidRPr="00AD0E5E">
        <w:rPr>
          <w:sz w:val="28"/>
          <w:szCs w:val="28"/>
        </w:rPr>
        <w:t>adopte podría afectar sustancialmente el diseño institucional de la organización presupuestal de las entidades que conforman la organización electoral del país</w:t>
      </w:r>
      <w:r w:rsidR="00A11859" w:rsidRPr="00AD0E5E">
        <w:rPr>
          <w:sz w:val="28"/>
          <w:szCs w:val="28"/>
          <w:u w:color="000000"/>
          <w:lang w:val="es-ES_tradnl"/>
        </w:rPr>
        <w:t>.</w:t>
      </w:r>
      <w:r w:rsidR="000E60F7" w:rsidRPr="00AD0E5E">
        <w:rPr>
          <w:sz w:val="28"/>
          <w:szCs w:val="28"/>
          <w:u w:color="000000"/>
          <w:lang w:val="es-ES_tradnl"/>
        </w:rPr>
        <w:t xml:space="preserve"> Por ejemplo</w:t>
      </w:r>
      <w:r w:rsidR="00A11859" w:rsidRPr="00AD0E5E">
        <w:rPr>
          <w:sz w:val="28"/>
          <w:szCs w:val="28"/>
          <w:u w:color="000000"/>
          <w:lang w:val="es-ES_tradnl"/>
        </w:rPr>
        <w:t>, la eliminación de la expresión “el Consejo Nacional Electoral” del artículo 336 de la Ley 2294 de 2023 generaría un vacío normativo en torno al manejo del presupuesto asignado al CNE, pues se eliminaría la sección independiente que fue creada, pero no se asignaría dicho presupuesto de gastos a ninguna otra sección, lo que implicaría que la norma</w:t>
      </w:r>
      <w:r w:rsidR="000C3CBC" w:rsidRPr="00AD0E5E">
        <w:rPr>
          <w:sz w:val="28"/>
          <w:szCs w:val="28"/>
          <w:u w:color="000000"/>
          <w:lang w:val="es-ES_tradnl"/>
        </w:rPr>
        <w:t xml:space="preserve"> perdería sentido en relación con el CNE porque</w:t>
      </w:r>
      <w:r w:rsidR="00A11859" w:rsidRPr="00AD0E5E">
        <w:rPr>
          <w:sz w:val="28"/>
          <w:szCs w:val="28"/>
          <w:u w:color="000000"/>
          <w:lang w:val="es-ES_tradnl"/>
        </w:rPr>
        <w:t xml:space="preserve"> </w:t>
      </w:r>
      <w:r w:rsidR="000C3CBC" w:rsidRPr="00AD0E5E">
        <w:rPr>
          <w:sz w:val="28"/>
          <w:szCs w:val="28"/>
          <w:u w:color="000000"/>
          <w:lang w:val="es-ES_tradnl"/>
        </w:rPr>
        <w:t>no contemplaría la estructura presupuestal de gastos de dicha entidad</w:t>
      </w:r>
      <w:r w:rsidR="00A11859" w:rsidRPr="00AD0E5E">
        <w:rPr>
          <w:sz w:val="28"/>
          <w:szCs w:val="28"/>
          <w:u w:color="000000"/>
          <w:lang w:val="es-ES_tradnl"/>
        </w:rPr>
        <w:t xml:space="preserve">. </w:t>
      </w:r>
    </w:p>
    <w:p w14:paraId="79D0CA45" w14:textId="77777777" w:rsidR="002C500B" w:rsidRPr="00AD0E5E" w:rsidRDefault="002C500B" w:rsidP="002C500B">
      <w:pPr>
        <w:pStyle w:val="Prrafodelista"/>
        <w:rPr>
          <w:sz w:val="28"/>
          <w:szCs w:val="28"/>
          <w:u w:color="000000"/>
          <w:lang w:val="es-ES_tradnl"/>
        </w:rPr>
      </w:pPr>
    </w:p>
    <w:p w14:paraId="631D65A1" w14:textId="37FD1F33" w:rsidR="002C500B" w:rsidRPr="00AD0E5E" w:rsidRDefault="002C500B" w:rsidP="002C500B">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sz w:val="28"/>
          <w:szCs w:val="28"/>
          <w:u w:color="000000"/>
          <w:lang w:val="es-ES_tradnl"/>
        </w:rPr>
      </w:pPr>
      <w:r w:rsidRPr="00AD0E5E">
        <w:rPr>
          <w:sz w:val="28"/>
          <w:szCs w:val="28"/>
          <w:u w:color="000000"/>
          <w:lang w:val="es-ES_tradnl"/>
        </w:rPr>
        <w:t xml:space="preserve">Segunda, </w:t>
      </w:r>
      <w:r w:rsidRPr="00AD0E5E">
        <w:rPr>
          <w:sz w:val="28"/>
          <w:szCs w:val="28"/>
          <w:shd w:val="clear" w:color="auto" w:fill="FFFFFF"/>
        </w:rPr>
        <w:t xml:space="preserve">los artículos 336 y 337 en su conjunto fueron incluidos en la Ley 2244 de 2023 con el fin de darle independencia presupuestal y contractual al CNE. Sin embargo, el legislador optó por reproducir el texto completo de los artículos 36 y 110 de la Ley Orgánica de Presupuesto – Decreto 111 de 1996 para incorporar la mencionada modificación y no por modificar únicamente una frase de esos artículos. En consecuencia, como el legislador incluyó todo el contenido de los artículos de dicha ley orgánica en el PND, en este caso, es necesario que </w:t>
      </w:r>
      <w:r w:rsidR="00484290" w:rsidRPr="00AD0E5E">
        <w:rPr>
          <w:sz w:val="28"/>
          <w:szCs w:val="28"/>
          <w:shd w:val="clear" w:color="auto" w:fill="FFFFFF"/>
        </w:rPr>
        <w:t>se</w:t>
      </w:r>
      <w:r w:rsidRPr="00AD0E5E">
        <w:rPr>
          <w:sz w:val="28"/>
          <w:szCs w:val="28"/>
          <w:shd w:val="clear" w:color="auto" w:fill="FFFFFF"/>
        </w:rPr>
        <w:t xml:space="preserve"> integre al estudio la totalidad del contenido normativo de los artículos 336 y 337 de la Ley 2294 de 2023. </w:t>
      </w:r>
    </w:p>
    <w:p w14:paraId="59C0419C" w14:textId="77777777" w:rsidR="000E60F7" w:rsidRPr="00AD0E5E" w:rsidRDefault="000E60F7" w:rsidP="000E60F7">
      <w:pPr>
        <w:pStyle w:val="Prrafodelista"/>
        <w:rPr>
          <w:sz w:val="28"/>
          <w:szCs w:val="28"/>
          <w:u w:color="000000"/>
          <w:lang w:val="es-ES_tradnl"/>
        </w:rPr>
      </w:pPr>
    </w:p>
    <w:p w14:paraId="0DB3EB3C" w14:textId="08752076" w:rsidR="00A11859" w:rsidRPr="00AD0E5E" w:rsidRDefault="002C500B" w:rsidP="00A11859">
      <w:pPr>
        <w:pStyle w:val="Prrafodelista"/>
        <w:keepNext/>
        <w:widowControl w:val="0"/>
        <w:numPr>
          <w:ilvl w:val="0"/>
          <w:numId w:val="1"/>
        </w:numPr>
        <w:pBdr>
          <w:top w:val="nil"/>
          <w:left w:val="nil"/>
          <w:bottom w:val="nil"/>
          <w:right w:val="nil"/>
          <w:between w:val="nil"/>
        </w:pBdr>
        <w:tabs>
          <w:tab w:val="left" w:pos="426"/>
        </w:tabs>
        <w:autoSpaceDE w:val="0"/>
        <w:autoSpaceDN w:val="0"/>
        <w:adjustRightInd w:val="0"/>
        <w:ind w:left="0" w:right="51" w:firstLine="0"/>
        <w:contextualSpacing w:val="0"/>
        <w:jc w:val="both"/>
        <w:rPr>
          <w:bCs/>
          <w:sz w:val="28"/>
          <w:szCs w:val="28"/>
          <w:lang w:val="es-ES_tradnl"/>
        </w:rPr>
      </w:pPr>
      <w:r w:rsidRPr="00AD0E5E">
        <w:rPr>
          <w:sz w:val="28"/>
          <w:szCs w:val="28"/>
          <w:u w:color="000000"/>
          <w:lang w:val="es-ES_tradnl"/>
        </w:rPr>
        <w:t>Tercera</w:t>
      </w:r>
      <w:r w:rsidR="000E60F7" w:rsidRPr="00AD0E5E">
        <w:rPr>
          <w:sz w:val="28"/>
          <w:szCs w:val="28"/>
          <w:u w:color="000000"/>
          <w:lang w:val="es-ES_tradnl"/>
        </w:rPr>
        <w:t>, el viceprocurador advirtió que</w:t>
      </w:r>
      <w:r w:rsidR="00A11859" w:rsidRPr="00AD0E5E">
        <w:rPr>
          <w:sz w:val="28"/>
          <w:szCs w:val="28"/>
          <w:u w:color="000000"/>
          <w:lang w:val="es-ES_tradnl"/>
        </w:rPr>
        <w:t xml:space="preserve"> </w:t>
      </w:r>
      <w:r w:rsidR="00A11859" w:rsidRPr="00AD0E5E">
        <w:rPr>
          <w:sz w:val="28"/>
          <w:szCs w:val="28"/>
        </w:rPr>
        <w:t xml:space="preserve">la eventual declaratoria de inexequibilidad de las expresiones acusadas implicaría la necesidad de revivir el contenido de los artículos 36 y 110 del Decreto 111 de 1996 con anterioridad a la expedición de la Ley 2294 de 2023. </w:t>
      </w:r>
      <w:r w:rsidR="00C516F1" w:rsidRPr="00AD0E5E">
        <w:rPr>
          <w:sz w:val="28"/>
          <w:szCs w:val="28"/>
        </w:rPr>
        <w:t>Ello</w:t>
      </w:r>
      <w:r w:rsidR="00A11859" w:rsidRPr="00AD0E5E">
        <w:rPr>
          <w:sz w:val="28"/>
          <w:szCs w:val="28"/>
        </w:rPr>
        <w:t xml:space="preserve">, con el fin de proteger la seguridad jurídica y garantizar que no se generen vacíos normativos en torno al manejo presupuestal </w:t>
      </w:r>
      <w:r w:rsidR="00484290" w:rsidRPr="00AD0E5E">
        <w:rPr>
          <w:sz w:val="28"/>
          <w:szCs w:val="28"/>
        </w:rPr>
        <w:t xml:space="preserve">y contractual </w:t>
      </w:r>
      <w:r w:rsidR="00A11859" w:rsidRPr="00AD0E5E">
        <w:rPr>
          <w:sz w:val="28"/>
          <w:szCs w:val="28"/>
        </w:rPr>
        <w:t xml:space="preserve">del CNE. </w:t>
      </w:r>
      <w:r w:rsidR="002A6EDC" w:rsidRPr="00AD0E5E">
        <w:rPr>
          <w:sz w:val="28"/>
          <w:szCs w:val="28"/>
        </w:rPr>
        <w:t xml:space="preserve">La Sala encuentra que le asiste razón al </w:t>
      </w:r>
      <w:r w:rsidR="00C516F1" w:rsidRPr="00AD0E5E">
        <w:rPr>
          <w:sz w:val="28"/>
          <w:szCs w:val="28"/>
        </w:rPr>
        <w:t xml:space="preserve">representante del </w:t>
      </w:r>
      <w:r w:rsidR="002A6EDC" w:rsidRPr="00AD0E5E">
        <w:rPr>
          <w:sz w:val="28"/>
          <w:szCs w:val="28"/>
        </w:rPr>
        <w:t xml:space="preserve">Ministerio Público en </w:t>
      </w:r>
      <w:r w:rsidR="00C516F1" w:rsidRPr="00AD0E5E">
        <w:rPr>
          <w:sz w:val="28"/>
          <w:szCs w:val="28"/>
        </w:rPr>
        <w:t>cuanto</w:t>
      </w:r>
      <w:r w:rsidR="002A6EDC" w:rsidRPr="00AD0E5E">
        <w:rPr>
          <w:sz w:val="28"/>
          <w:szCs w:val="28"/>
        </w:rPr>
        <w:t xml:space="preserve"> que </w:t>
      </w:r>
      <w:r w:rsidR="000C3CBC" w:rsidRPr="00AD0E5E">
        <w:rPr>
          <w:sz w:val="28"/>
          <w:szCs w:val="28"/>
        </w:rPr>
        <w:t xml:space="preserve">de requerirse </w:t>
      </w:r>
      <w:r w:rsidR="002A6EDC" w:rsidRPr="00AD0E5E">
        <w:rPr>
          <w:sz w:val="28"/>
          <w:szCs w:val="28"/>
        </w:rPr>
        <w:t>la eventual reviviscencia de las normas modificadas del Estatuto Orgánico del Presupuesto</w:t>
      </w:r>
      <w:r w:rsidR="00C516F1" w:rsidRPr="00AD0E5E">
        <w:rPr>
          <w:sz w:val="28"/>
          <w:szCs w:val="28"/>
        </w:rPr>
        <w:t>, la misma</w:t>
      </w:r>
      <w:r w:rsidR="002A6EDC" w:rsidRPr="00AD0E5E">
        <w:rPr>
          <w:sz w:val="28"/>
          <w:szCs w:val="28"/>
        </w:rPr>
        <w:t xml:space="preserve"> operaría ante la inexequibilidad de la totalidad de las disposiciones acusadas</w:t>
      </w:r>
      <w:r w:rsidR="000C3CBC" w:rsidRPr="00AD0E5E">
        <w:rPr>
          <w:sz w:val="28"/>
          <w:szCs w:val="28"/>
        </w:rPr>
        <w:t xml:space="preserve">, pues a efectos de garantizar la seguridad jurídica se requeriría la eficacia sistémica de las regulaciones sobre el CNE, específicamente </w:t>
      </w:r>
      <w:r w:rsidR="00C516F1" w:rsidRPr="00AD0E5E">
        <w:rPr>
          <w:sz w:val="28"/>
          <w:szCs w:val="28"/>
        </w:rPr>
        <w:t xml:space="preserve">en lo que respecta a </w:t>
      </w:r>
      <w:r w:rsidR="000C3CBC" w:rsidRPr="00AD0E5E">
        <w:rPr>
          <w:sz w:val="28"/>
          <w:szCs w:val="28"/>
        </w:rPr>
        <w:t xml:space="preserve">las secciones del presupuesto de gasto y </w:t>
      </w:r>
      <w:r w:rsidR="00C516F1" w:rsidRPr="00AD0E5E">
        <w:rPr>
          <w:sz w:val="28"/>
          <w:szCs w:val="28"/>
        </w:rPr>
        <w:t xml:space="preserve">a </w:t>
      </w:r>
      <w:r w:rsidR="000C3CBC" w:rsidRPr="00AD0E5E">
        <w:rPr>
          <w:sz w:val="28"/>
          <w:szCs w:val="28"/>
        </w:rPr>
        <w:t xml:space="preserve">las facultades contractuales y de ordenación de gasto. </w:t>
      </w:r>
      <w:r w:rsidRPr="00AD0E5E">
        <w:rPr>
          <w:sz w:val="28"/>
          <w:szCs w:val="28"/>
          <w:u w:color="000000"/>
          <w:lang w:val="es-ES_tradnl"/>
        </w:rPr>
        <w:t xml:space="preserve">En efecto, </w:t>
      </w:r>
      <w:r w:rsidRPr="00AD0E5E">
        <w:rPr>
          <w:sz w:val="28"/>
          <w:szCs w:val="28"/>
          <w:shd w:val="clear" w:color="auto" w:fill="FFFFFF"/>
        </w:rPr>
        <w:t>si se declara</w:t>
      </w:r>
      <w:r w:rsidR="008416E7" w:rsidRPr="00AD0E5E">
        <w:rPr>
          <w:sz w:val="28"/>
          <w:szCs w:val="28"/>
          <w:shd w:val="clear" w:color="auto" w:fill="FFFFFF"/>
        </w:rPr>
        <w:t>ra</w:t>
      </w:r>
      <w:r w:rsidRPr="00AD0E5E">
        <w:rPr>
          <w:sz w:val="28"/>
          <w:szCs w:val="28"/>
          <w:shd w:val="clear" w:color="auto" w:fill="FFFFFF"/>
        </w:rPr>
        <w:t xml:space="preserve"> la inexequibilidad únicamente de las expresiones demandadas no tendría sentido ni coherencia revivir una sola parte de la regulación anterior. Por ejemplo, frente al artículo 336 de la Ley del Plan, si se declara</w:t>
      </w:r>
      <w:r w:rsidR="008416E7" w:rsidRPr="00AD0E5E">
        <w:rPr>
          <w:sz w:val="28"/>
          <w:szCs w:val="28"/>
          <w:shd w:val="clear" w:color="auto" w:fill="FFFFFF"/>
        </w:rPr>
        <w:t>ra</w:t>
      </w:r>
      <w:r w:rsidRPr="00AD0E5E">
        <w:rPr>
          <w:sz w:val="28"/>
          <w:szCs w:val="28"/>
          <w:shd w:val="clear" w:color="auto" w:fill="FFFFFF"/>
        </w:rPr>
        <w:t xml:space="preserve"> la inexequibilidad de la expresión “El Consejo Nacional Electoral” se tendría que revivir únicamente la siguiente expresión “que incluye el Consejo Nacional Electoral”; no obstante, </w:t>
      </w:r>
      <w:r w:rsidR="00484290" w:rsidRPr="00AD0E5E">
        <w:rPr>
          <w:sz w:val="28"/>
          <w:szCs w:val="28"/>
          <w:shd w:val="clear" w:color="auto" w:fill="FFFFFF"/>
        </w:rPr>
        <w:t>esta,</w:t>
      </w:r>
      <w:r w:rsidRPr="00AD0E5E">
        <w:rPr>
          <w:sz w:val="28"/>
          <w:szCs w:val="28"/>
          <w:shd w:val="clear" w:color="auto" w:fill="FFFFFF"/>
        </w:rPr>
        <w:t xml:space="preserve"> por sí sola, no tiene sentido</w:t>
      </w:r>
      <w:r w:rsidR="00484290" w:rsidRPr="00AD0E5E">
        <w:rPr>
          <w:sz w:val="28"/>
          <w:szCs w:val="28"/>
          <w:shd w:val="clear" w:color="auto" w:fill="FFFFFF"/>
        </w:rPr>
        <w:t xml:space="preserve"> alguno</w:t>
      </w:r>
      <w:r w:rsidRPr="00AD0E5E">
        <w:rPr>
          <w:sz w:val="28"/>
          <w:szCs w:val="28"/>
          <w:shd w:val="clear" w:color="auto" w:fill="FFFFFF"/>
        </w:rPr>
        <w:t xml:space="preserve">. Por el contrario, </w:t>
      </w:r>
      <w:r w:rsidR="008416E7" w:rsidRPr="00AD0E5E">
        <w:rPr>
          <w:sz w:val="28"/>
          <w:szCs w:val="28"/>
          <w:shd w:val="clear" w:color="auto" w:fill="FFFFFF"/>
        </w:rPr>
        <w:t>de declararse</w:t>
      </w:r>
      <w:r w:rsidRPr="00AD0E5E">
        <w:rPr>
          <w:sz w:val="28"/>
          <w:szCs w:val="28"/>
          <w:shd w:val="clear" w:color="auto" w:fill="FFFFFF"/>
        </w:rPr>
        <w:t xml:space="preserve"> la inexequibilidad de la totalidad del artículo 336 de la Ley 2294 de 2023</w:t>
      </w:r>
      <w:r w:rsidR="008416E7" w:rsidRPr="00AD0E5E">
        <w:rPr>
          <w:sz w:val="28"/>
          <w:szCs w:val="28"/>
          <w:shd w:val="clear" w:color="auto" w:fill="FFFFFF"/>
        </w:rPr>
        <w:t>, podría revivirse</w:t>
      </w:r>
      <w:r w:rsidRPr="00AD0E5E">
        <w:rPr>
          <w:sz w:val="28"/>
          <w:szCs w:val="28"/>
          <w:shd w:val="clear" w:color="auto" w:fill="FFFFFF"/>
        </w:rPr>
        <w:t xml:space="preserve"> la totalidad del artículo anterior y, con esto, el ordenamiento jurídico guarda</w:t>
      </w:r>
      <w:r w:rsidR="00484290" w:rsidRPr="00AD0E5E">
        <w:rPr>
          <w:sz w:val="28"/>
          <w:szCs w:val="28"/>
          <w:shd w:val="clear" w:color="auto" w:fill="FFFFFF"/>
        </w:rPr>
        <w:t>ría</w:t>
      </w:r>
      <w:r w:rsidRPr="00AD0E5E">
        <w:rPr>
          <w:sz w:val="28"/>
          <w:szCs w:val="28"/>
          <w:shd w:val="clear" w:color="auto" w:fill="FFFFFF"/>
        </w:rPr>
        <w:t xml:space="preserve"> coherencia.</w:t>
      </w:r>
    </w:p>
    <w:p w14:paraId="4A54263A" w14:textId="77777777" w:rsidR="00A11859" w:rsidRPr="002C500B" w:rsidRDefault="00A11859" w:rsidP="00A11859">
      <w:pPr>
        <w:pStyle w:val="Prrafodelista"/>
        <w:keepNext/>
        <w:widowControl w:val="0"/>
        <w:pBdr>
          <w:top w:val="nil"/>
          <w:left w:val="nil"/>
          <w:bottom w:val="nil"/>
          <w:right w:val="nil"/>
          <w:between w:val="nil"/>
        </w:pBdr>
        <w:tabs>
          <w:tab w:val="left" w:pos="426"/>
        </w:tabs>
        <w:autoSpaceDE w:val="0"/>
        <w:autoSpaceDN w:val="0"/>
        <w:adjustRightInd w:val="0"/>
        <w:ind w:left="0" w:right="51"/>
        <w:contextualSpacing w:val="0"/>
        <w:jc w:val="both"/>
        <w:rPr>
          <w:bCs/>
          <w:sz w:val="28"/>
          <w:szCs w:val="28"/>
          <w:highlight w:val="yellow"/>
          <w:lang w:val="es-ES_tradnl"/>
        </w:rPr>
      </w:pPr>
    </w:p>
    <w:p w14:paraId="7DB3551F" w14:textId="48B0AF58" w:rsidR="009C14F7" w:rsidRPr="00AD0E5E" w:rsidRDefault="00A11859" w:rsidP="00A11859">
      <w:pPr>
        <w:widowControl w:val="0"/>
        <w:numPr>
          <w:ilvl w:val="0"/>
          <w:numId w:val="1"/>
        </w:numPr>
        <w:pBdr>
          <w:top w:val="nil"/>
          <w:left w:val="nil"/>
          <w:bottom w:val="nil"/>
          <w:right w:val="nil"/>
          <w:between w:val="nil"/>
        </w:pBdr>
        <w:tabs>
          <w:tab w:val="left" w:pos="426"/>
        </w:tabs>
        <w:ind w:left="0" w:firstLine="0"/>
        <w:jc w:val="both"/>
        <w:rPr>
          <w:b/>
          <w:sz w:val="28"/>
          <w:szCs w:val="28"/>
        </w:rPr>
      </w:pPr>
      <w:r w:rsidRPr="00AD0E5E">
        <w:rPr>
          <w:bCs/>
          <w:sz w:val="28"/>
          <w:szCs w:val="28"/>
          <w:lang w:val="es-ES_tradnl"/>
        </w:rPr>
        <w:t xml:space="preserve">En suma, </w:t>
      </w:r>
      <w:r w:rsidRPr="00AD0E5E">
        <w:rPr>
          <w:sz w:val="28"/>
          <w:szCs w:val="28"/>
          <w:lang w:val="es-ES_tradnl"/>
        </w:rPr>
        <w:t xml:space="preserve">la Sala </w:t>
      </w:r>
      <w:r w:rsidR="000E60F7" w:rsidRPr="00AD0E5E">
        <w:rPr>
          <w:sz w:val="28"/>
          <w:szCs w:val="28"/>
          <w:lang w:val="es-ES_tradnl"/>
        </w:rPr>
        <w:t xml:space="preserve">encuentra </w:t>
      </w:r>
      <w:r w:rsidRPr="00AD0E5E">
        <w:rPr>
          <w:sz w:val="28"/>
          <w:szCs w:val="28"/>
          <w:lang w:val="es-ES_tradnl"/>
        </w:rPr>
        <w:t xml:space="preserve">que </w:t>
      </w:r>
      <w:r w:rsidRPr="00AD0E5E">
        <w:rPr>
          <w:bCs/>
          <w:sz w:val="28"/>
          <w:szCs w:val="28"/>
        </w:rPr>
        <w:t>resulta necesario</w:t>
      </w:r>
      <w:r w:rsidR="002A6EDC" w:rsidRPr="00AD0E5E">
        <w:rPr>
          <w:bCs/>
          <w:sz w:val="28"/>
          <w:szCs w:val="28"/>
        </w:rPr>
        <w:t xml:space="preserve"> complementar las proposiciones jurídicas censuradas y analizar la </w:t>
      </w:r>
      <w:r w:rsidRPr="00AD0E5E">
        <w:rPr>
          <w:bCs/>
          <w:sz w:val="28"/>
          <w:szCs w:val="28"/>
        </w:rPr>
        <w:t xml:space="preserve">constitucionalidad </w:t>
      </w:r>
      <w:r w:rsidR="00C516F1" w:rsidRPr="00AD0E5E">
        <w:rPr>
          <w:bCs/>
          <w:sz w:val="28"/>
          <w:szCs w:val="28"/>
        </w:rPr>
        <w:t xml:space="preserve">de </w:t>
      </w:r>
      <w:r w:rsidRPr="00AD0E5E">
        <w:rPr>
          <w:bCs/>
          <w:sz w:val="28"/>
          <w:szCs w:val="28"/>
        </w:rPr>
        <w:t>la totalidad de los artículos 336 y 337 de la Ley 2294 de 2023</w:t>
      </w:r>
      <w:r w:rsidR="002A6EDC" w:rsidRPr="00AD0E5E">
        <w:rPr>
          <w:sz w:val="28"/>
          <w:szCs w:val="28"/>
          <w:u w:color="000000"/>
          <w:lang w:val="es-ES_tradnl"/>
        </w:rPr>
        <w:t xml:space="preserve">. Lo anterior, en atención a la naturaleza y alcance de los cargos que se estudiarán, </w:t>
      </w:r>
      <w:r w:rsidR="00C516F1" w:rsidRPr="00AD0E5E">
        <w:rPr>
          <w:sz w:val="28"/>
          <w:szCs w:val="28"/>
          <w:u w:color="000000"/>
          <w:lang w:val="es-ES_tradnl"/>
        </w:rPr>
        <w:t xml:space="preserve">al </w:t>
      </w:r>
      <w:r w:rsidR="002A6EDC" w:rsidRPr="00AD0E5E">
        <w:rPr>
          <w:sz w:val="28"/>
          <w:szCs w:val="28"/>
          <w:u w:color="000000"/>
          <w:lang w:val="es-ES_tradnl"/>
        </w:rPr>
        <w:t xml:space="preserve">impacto estructural en materia presupuestaria de las normas censuradas y </w:t>
      </w:r>
      <w:r w:rsidR="00C516F1" w:rsidRPr="00AD0E5E">
        <w:rPr>
          <w:sz w:val="28"/>
          <w:szCs w:val="28"/>
          <w:u w:color="000000"/>
          <w:lang w:val="es-ES_tradnl"/>
        </w:rPr>
        <w:t xml:space="preserve">a </w:t>
      </w:r>
      <w:r w:rsidR="002A6EDC" w:rsidRPr="00AD0E5E">
        <w:rPr>
          <w:sz w:val="28"/>
          <w:szCs w:val="28"/>
          <w:u w:color="000000"/>
          <w:lang w:val="es-ES_tradnl"/>
        </w:rPr>
        <w:t xml:space="preserve">la eficacia del remedio constitucional que adopte este tribunal. </w:t>
      </w:r>
    </w:p>
    <w:p w14:paraId="2F7C85C3" w14:textId="77777777" w:rsidR="00E75476" w:rsidRPr="00554FD8" w:rsidRDefault="00E75476" w:rsidP="00E75476">
      <w:pPr>
        <w:pStyle w:val="Prrafodelista"/>
        <w:shd w:val="clear" w:color="auto" w:fill="FFFFFF"/>
        <w:ind w:left="0" w:right="48"/>
        <w:jc w:val="both"/>
        <w:textAlignment w:val="baseline"/>
        <w:rPr>
          <w:b/>
          <w:sz w:val="28"/>
          <w:szCs w:val="28"/>
        </w:rPr>
      </w:pPr>
    </w:p>
    <w:p w14:paraId="4DB6CBD8" w14:textId="64200569" w:rsidR="00023A32" w:rsidRPr="003239AA" w:rsidRDefault="0087308F" w:rsidP="003239AA">
      <w:pPr>
        <w:pStyle w:val="Ttulo2"/>
        <w:spacing w:before="0"/>
        <w:jc w:val="both"/>
        <w:rPr>
          <w:rFonts w:ascii="Times New Roman" w:hAnsi="Times New Roman" w:cs="Times New Roman"/>
          <w:b/>
          <w:color w:val="auto"/>
          <w:sz w:val="28"/>
          <w:szCs w:val="28"/>
        </w:rPr>
      </w:pPr>
      <w:bookmarkStart w:id="11" w:name="_Toc230846365"/>
      <w:r w:rsidRPr="003239AA">
        <w:rPr>
          <w:rFonts w:ascii="Times New Roman" w:hAnsi="Times New Roman" w:cs="Times New Roman"/>
          <w:b/>
          <w:color w:val="auto"/>
          <w:sz w:val="28"/>
          <w:szCs w:val="28"/>
        </w:rPr>
        <w:t>3</w:t>
      </w:r>
      <w:r w:rsidR="00B11CD7" w:rsidRPr="003239AA">
        <w:rPr>
          <w:rFonts w:ascii="Times New Roman" w:hAnsi="Times New Roman" w:cs="Times New Roman"/>
          <w:b/>
          <w:color w:val="auto"/>
          <w:sz w:val="28"/>
          <w:szCs w:val="28"/>
        </w:rPr>
        <w:t xml:space="preserve">. </w:t>
      </w:r>
      <w:r w:rsidR="00236769" w:rsidRPr="003239AA">
        <w:rPr>
          <w:rFonts w:ascii="Times New Roman" w:hAnsi="Times New Roman" w:cs="Times New Roman"/>
          <w:b/>
          <w:color w:val="auto"/>
          <w:sz w:val="28"/>
          <w:szCs w:val="28"/>
        </w:rPr>
        <w:t>P</w:t>
      </w:r>
      <w:r w:rsidR="00023A32" w:rsidRPr="003239AA">
        <w:rPr>
          <w:rFonts w:ascii="Times New Roman" w:hAnsi="Times New Roman" w:cs="Times New Roman"/>
          <w:b/>
          <w:color w:val="auto"/>
          <w:sz w:val="28"/>
          <w:szCs w:val="28"/>
        </w:rPr>
        <w:t>roblema</w:t>
      </w:r>
      <w:r w:rsidR="00914832" w:rsidRPr="003239AA">
        <w:rPr>
          <w:rFonts w:ascii="Times New Roman" w:hAnsi="Times New Roman" w:cs="Times New Roman"/>
          <w:b/>
          <w:color w:val="auto"/>
          <w:sz w:val="28"/>
          <w:szCs w:val="28"/>
        </w:rPr>
        <w:t>s</w:t>
      </w:r>
      <w:r w:rsidR="00023A32" w:rsidRPr="003239AA">
        <w:rPr>
          <w:rFonts w:ascii="Times New Roman" w:hAnsi="Times New Roman" w:cs="Times New Roman"/>
          <w:b/>
          <w:color w:val="auto"/>
          <w:sz w:val="28"/>
          <w:szCs w:val="28"/>
        </w:rPr>
        <w:t xml:space="preserve"> jurídico</w:t>
      </w:r>
      <w:r w:rsidR="00914832" w:rsidRPr="003239AA">
        <w:rPr>
          <w:rFonts w:ascii="Times New Roman" w:hAnsi="Times New Roman" w:cs="Times New Roman"/>
          <w:b/>
          <w:color w:val="auto"/>
          <w:sz w:val="28"/>
          <w:szCs w:val="28"/>
        </w:rPr>
        <w:t>s</w:t>
      </w:r>
      <w:r w:rsidR="00023A32" w:rsidRPr="003239AA">
        <w:rPr>
          <w:rFonts w:ascii="Times New Roman" w:hAnsi="Times New Roman" w:cs="Times New Roman"/>
          <w:b/>
          <w:color w:val="auto"/>
          <w:sz w:val="28"/>
          <w:szCs w:val="28"/>
        </w:rPr>
        <w:t xml:space="preserve"> y metodología de la decisión</w:t>
      </w:r>
      <w:bookmarkEnd w:id="11"/>
    </w:p>
    <w:p w14:paraId="55ABDEAA" w14:textId="3D89F0FB" w:rsidR="00023A32" w:rsidRPr="00554FD8" w:rsidRDefault="00023A32" w:rsidP="00D52700">
      <w:pPr>
        <w:widowControl w:val="0"/>
        <w:pBdr>
          <w:top w:val="nil"/>
          <w:left w:val="nil"/>
          <w:bottom w:val="nil"/>
          <w:right w:val="nil"/>
          <w:between w:val="nil"/>
        </w:pBdr>
        <w:tabs>
          <w:tab w:val="left" w:pos="284"/>
        </w:tabs>
        <w:jc w:val="both"/>
        <w:rPr>
          <w:b/>
          <w:sz w:val="28"/>
          <w:szCs w:val="28"/>
        </w:rPr>
      </w:pPr>
    </w:p>
    <w:p w14:paraId="42BC78E6" w14:textId="27B87FB9" w:rsidR="00447582" w:rsidRPr="0014124A" w:rsidRDefault="00023A32" w:rsidP="00D52700">
      <w:pPr>
        <w:widowControl w:val="0"/>
        <w:numPr>
          <w:ilvl w:val="0"/>
          <w:numId w:val="1"/>
        </w:numPr>
        <w:pBdr>
          <w:top w:val="nil"/>
          <w:left w:val="nil"/>
          <w:bottom w:val="nil"/>
          <w:right w:val="nil"/>
          <w:between w:val="nil"/>
        </w:pBdr>
        <w:tabs>
          <w:tab w:val="left" w:pos="426"/>
        </w:tabs>
        <w:ind w:left="0" w:firstLine="0"/>
        <w:jc w:val="both"/>
        <w:rPr>
          <w:b/>
          <w:sz w:val="28"/>
          <w:szCs w:val="28"/>
        </w:rPr>
      </w:pPr>
      <w:r w:rsidRPr="00554FD8">
        <w:rPr>
          <w:sz w:val="28"/>
          <w:szCs w:val="28"/>
        </w:rPr>
        <w:t xml:space="preserve"> </w:t>
      </w:r>
      <w:r w:rsidR="008C634A" w:rsidRPr="00554FD8">
        <w:rPr>
          <w:sz w:val="28"/>
          <w:szCs w:val="28"/>
        </w:rPr>
        <w:t>De conformidad con la integración de la</w:t>
      </w:r>
      <w:r w:rsidR="007533E0" w:rsidRPr="00554FD8">
        <w:rPr>
          <w:sz w:val="28"/>
          <w:szCs w:val="28"/>
        </w:rPr>
        <w:t>s</w:t>
      </w:r>
      <w:r w:rsidR="008C634A" w:rsidRPr="00554FD8">
        <w:rPr>
          <w:sz w:val="28"/>
          <w:szCs w:val="28"/>
        </w:rPr>
        <w:t xml:space="preserve"> </w:t>
      </w:r>
      <w:r w:rsidR="007533E0" w:rsidRPr="00554FD8">
        <w:rPr>
          <w:sz w:val="28"/>
          <w:szCs w:val="28"/>
        </w:rPr>
        <w:t xml:space="preserve">proposiciones jurídicas </w:t>
      </w:r>
      <w:r w:rsidR="008C634A" w:rsidRPr="00554FD8">
        <w:rPr>
          <w:sz w:val="28"/>
          <w:szCs w:val="28"/>
        </w:rPr>
        <w:t>efectuada y a</w:t>
      </w:r>
      <w:r w:rsidR="00513FFC" w:rsidRPr="00554FD8">
        <w:rPr>
          <w:sz w:val="28"/>
          <w:szCs w:val="28"/>
        </w:rPr>
        <w:t xml:space="preserve"> partir de los cargos admitidos y de las razones que al respecto presentaron los intervinientes y el </w:t>
      </w:r>
      <w:r w:rsidR="008C634A" w:rsidRPr="00554FD8">
        <w:rPr>
          <w:sz w:val="28"/>
          <w:szCs w:val="28"/>
        </w:rPr>
        <w:t>vice</w:t>
      </w:r>
      <w:r w:rsidR="00513FFC" w:rsidRPr="00554FD8">
        <w:rPr>
          <w:sz w:val="28"/>
          <w:szCs w:val="28"/>
        </w:rPr>
        <w:t xml:space="preserve">procurador general de la Nación, los problemas jurídicos que debe resolver la Sala Plena de la Corte Constitucional son los </w:t>
      </w:r>
      <w:r w:rsidR="00513FFC" w:rsidRPr="0014124A">
        <w:rPr>
          <w:sz w:val="28"/>
          <w:szCs w:val="28"/>
        </w:rPr>
        <w:t>sigui</w:t>
      </w:r>
      <w:r w:rsidR="000D0758" w:rsidRPr="0014124A">
        <w:rPr>
          <w:sz w:val="28"/>
          <w:szCs w:val="28"/>
        </w:rPr>
        <w:t>e</w:t>
      </w:r>
      <w:r w:rsidR="00513FFC" w:rsidRPr="0014124A">
        <w:rPr>
          <w:sz w:val="28"/>
          <w:szCs w:val="28"/>
        </w:rPr>
        <w:t xml:space="preserve">ntes: </w:t>
      </w:r>
    </w:p>
    <w:p w14:paraId="044F530C" w14:textId="72319D77" w:rsidR="00513FFC" w:rsidRPr="0014124A" w:rsidRDefault="00513FFC" w:rsidP="0014124A">
      <w:pPr>
        <w:widowControl w:val="0"/>
        <w:pBdr>
          <w:top w:val="nil"/>
          <w:left w:val="nil"/>
          <w:bottom w:val="nil"/>
          <w:right w:val="nil"/>
          <w:between w:val="nil"/>
        </w:pBdr>
        <w:tabs>
          <w:tab w:val="left" w:pos="426"/>
        </w:tabs>
        <w:jc w:val="both"/>
        <w:rPr>
          <w:b/>
          <w:sz w:val="28"/>
          <w:szCs w:val="28"/>
        </w:rPr>
      </w:pPr>
    </w:p>
    <w:p w14:paraId="726EC84E" w14:textId="04082594" w:rsidR="0014124A" w:rsidRPr="00AD0E5E" w:rsidRDefault="0014124A" w:rsidP="0014124A">
      <w:pPr>
        <w:widowControl w:val="0"/>
        <w:pBdr>
          <w:top w:val="nil"/>
          <w:left w:val="nil"/>
          <w:bottom w:val="nil"/>
          <w:right w:val="nil"/>
          <w:between w:val="nil"/>
        </w:pBdr>
        <w:tabs>
          <w:tab w:val="left" w:pos="426"/>
        </w:tabs>
        <w:jc w:val="both"/>
        <w:rPr>
          <w:sz w:val="28"/>
          <w:szCs w:val="28"/>
        </w:rPr>
      </w:pPr>
      <w:r w:rsidRPr="00AD0E5E">
        <w:rPr>
          <w:sz w:val="28"/>
          <w:szCs w:val="28"/>
        </w:rPr>
        <w:t>(i) ¿Los artículos 336 y 337 de la Ley 2294 de 2023, que crean una sección presupuestal independiente para el CNE y otorgan facultades de contratación y ordenación del gasto a su presidente, respectivamente, desconocen el principio de unidad de materia (artículo 158 de la Constitución Política)</w:t>
      </w:r>
      <w:r w:rsidRPr="00AD0E5E">
        <w:rPr>
          <w:sz w:val="28"/>
          <w:szCs w:val="28"/>
          <w:lang w:val="es-ES_tradnl" w:eastAsia="es-CO"/>
        </w:rPr>
        <w:t>?</w:t>
      </w:r>
      <w:r w:rsidRPr="00AD0E5E">
        <w:rPr>
          <w:sz w:val="28"/>
          <w:szCs w:val="28"/>
        </w:rPr>
        <w:t xml:space="preserve">  </w:t>
      </w:r>
    </w:p>
    <w:p w14:paraId="479663ED" w14:textId="77777777" w:rsidR="0014124A" w:rsidRPr="00AD0E5E" w:rsidRDefault="0014124A" w:rsidP="0014124A">
      <w:pPr>
        <w:widowControl w:val="0"/>
        <w:pBdr>
          <w:top w:val="nil"/>
          <w:left w:val="nil"/>
          <w:bottom w:val="nil"/>
          <w:right w:val="nil"/>
          <w:between w:val="nil"/>
        </w:pBdr>
        <w:tabs>
          <w:tab w:val="left" w:pos="426"/>
        </w:tabs>
        <w:jc w:val="both"/>
        <w:rPr>
          <w:sz w:val="28"/>
          <w:szCs w:val="28"/>
        </w:rPr>
      </w:pPr>
    </w:p>
    <w:p w14:paraId="37982EF1" w14:textId="76D123FB" w:rsidR="00984191" w:rsidRPr="00AD0E5E" w:rsidRDefault="0014124A" w:rsidP="0014124A">
      <w:pPr>
        <w:widowControl w:val="0"/>
        <w:pBdr>
          <w:top w:val="nil"/>
          <w:left w:val="nil"/>
          <w:bottom w:val="nil"/>
          <w:right w:val="nil"/>
          <w:between w:val="nil"/>
        </w:pBdr>
        <w:tabs>
          <w:tab w:val="left" w:pos="426"/>
        </w:tabs>
        <w:jc w:val="both"/>
        <w:rPr>
          <w:b/>
          <w:sz w:val="28"/>
          <w:szCs w:val="28"/>
        </w:rPr>
      </w:pPr>
      <w:r w:rsidRPr="00AD0E5E">
        <w:rPr>
          <w:sz w:val="28"/>
          <w:szCs w:val="28"/>
        </w:rPr>
        <w:t>(ii) ¿Los artículos 336 y 337 de la Ley 2294 de 2023 violan la reserva de ley orgánica (artículos 151 y 352 superiores) al modificar el Estatuto Orgánico del Presupuesto para crear una sección presupuestal independiente para el</w:t>
      </w:r>
      <w:r w:rsidRPr="00AD0E5E">
        <w:rPr>
          <w:sz w:val="28"/>
          <w:szCs w:val="28"/>
          <w:lang w:val="es-ES_tradnl" w:eastAsia="es-CO"/>
        </w:rPr>
        <w:t xml:space="preserve"> CNE y otorgarle facultades de contratación y ordenación del gasto a su presidente, respectivamente, por medio de la ley del plan nacional de desarrollo? </w:t>
      </w:r>
    </w:p>
    <w:p w14:paraId="4B5605BD" w14:textId="77777777" w:rsidR="00513FFC" w:rsidRPr="00AD0E5E" w:rsidRDefault="00513FFC" w:rsidP="00C45110">
      <w:pPr>
        <w:widowControl w:val="0"/>
        <w:pBdr>
          <w:top w:val="nil"/>
          <w:left w:val="nil"/>
          <w:bottom w:val="nil"/>
          <w:right w:val="nil"/>
          <w:between w:val="nil"/>
        </w:pBdr>
        <w:tabs>
          <w:tab w:val="left" w:pos="426"/>
        </w:tabs>
        <w:jc w:val="both"/>
        <w:rPr>
          <w:sz w:val="28"/>
          <w:szCs w:val="28"/>
        </w:rPr>
      </w:pPr>
    </w:p>
    <w:p w14:paraId="5C299B76" w14:textId="3DF4965D" w:rsidR="00C358FE" w:rsidRPr="00AD0E5E" w:rsidRDefault="00236461" w:rsidP="00C45110">
      <w:pPr>
        <w:widowControl w:val="0"/>
        <w:numPr>
          <w:ilvl w:val="0"/>
          <w:numId w:val="1"/>
        </w:numPr>
        <w:pBdr>
          <w:top w:val="nil"/>
          <w:left w:val="nil"/>
          <w:bottom w:val="nil"/>
          <w:right w:val="nil"/>
          <w:between w:val="nil"/>
        </w:pBdr>
        <w:tabs>
          <w:tab w:val="left" w:pos="426"/>
        </w:tabs>
        <w:ind w:left="0" w:firstLine="0"/>
        <w:jc w:val="both"/>
        <w:rPr>
          <w:b/>
          <w:sz w:val="28"/>
          <w:szCs w:val="28"/>
        </w:rPr>
      </w:pPr>
      <w:r w:rsidRPr="00AD0E5E">
        <w:rPr>
          <w:sz w:val="28"/>
          <w:szCs w:val="28"/>
        </w:rPr>
        <w:t>Para responder los problemas jurídicos propuestos, la Sala abordará el análisis de cada cargo de manera independiente</w:t>
      </w:r>
      <w:r w:rsidR="00DB72ED" w:rsidRPr="00AD0E5E">
        <w:rPr>
          <w:sz w:val="28"/>
          <w:szCs w:val="28"/>
        </w:rPr>
        <w:t xml:space="preserve">. </w:t>
      </w:r>
    </w:p>
    <w:p w14:paraId="6B393DCE" w14:textId="77777777" w:rsidR="00C45110" w:rsidRPr="00C45110" w:rsidRDefault="00C45110" w:rsidP="00C45110">
      <w:pPr>
        <w:widowControl w:val="0"/>
        <w:pBdr>
          <w:top w:val="nil"/>
          <w:left w:val="nil"/>
          <w:bottom w:val="nil"/>
          <w:right w:val="nil"/>
          <w:between w:val="nil"/>
        </w:pBdr>
        <w:tabs>
          <w:tab w:val="left" w:pos="426"/>
        </w:tabs>
        <w:jc w:val="both"/>
        <w:rPr>
          <w:b/>
          <w:sz w:val="28"/>
          <w:szCs w:val="28"/>
        </w:rPr>
      </w:pPr>
    </w:p>
    <w:p w14:paraId="4FA10BB3" w14:textId="1AF8F708" w:rsidR="00AB3A97" w:rsidRPr="003239AA" w:rsidRDefault="00F90529" w:rsidP="003239AA">
      <w:pPr>
        <w:pStyle w:val="Ttulo2"/>
        <w:spacing w:before="0"/>
        <w:jc w:val="both"/>
        <w:rPr>
          <w:rFonts w:ascii="Times New Roman" w:hAnsi="Times New Roman" w:cs="Times New Roman"/>
          <w:b/>
          <w:sz w:val="28"/>
          <w:szCs w:val="28"/>
        </w:rPr>
      </w:pPr>
      <w:bookmarkStart w:id="12" w:name="_Toc230846366"/>
      <w:r w:rsidRPr="003239AA">
        <w:rPr>
          <w:rFonts w:ascii="Times New Roman" w:hAnsi="Times New Roman" w:cs="Times New Roman"/>
          <w:b/>
          <w:color w:val="auto"/>
          <w:sz w:val="28"/>
          <w:szCs w:val="28"/>
        </w:rPr>
        <w:t xml:space="preserve">4. </w:t>
      </w:r>
      <w:r w:rsidR="00AB3A97" w:rsidRPr="003239AA">
        <w:rPr>
          <w:rFonts w:ascii="Times New Roman" w:hAnsi="Times New Roman" w:cs="Times New Roman"/>
          <w:b/>
          <w:color w:val="auto"/>
          <w:sz w:val="28"/>
          <w:szCs w:val="28"/>
        </w:rPr>
        <w:t>Análisis del cargo por vulneración del principio de unidad de materia</w:t>
      </w:r>
      <w:bookmarkEnd w:id="12"/>
      <w:r w:rsidR="00AB3A97" w:rsidRPr="003239AA">
        <w:rPr>
          <w:rFonts w:ascii="Times New Roman" w:hAnsi="Times New Roman" w:cs="Times New Roman"/>
          <w:b/>
          <w:color w:val="auto"/>
          <w:sz w:val="28"/>
          <w:szCs w:val="28"/>
        </w:rPr>
        <w:t xml:space="preserve"> </w:t>
      </w:r>
    </w:p>
    <w:p w14:paraId="3ED3F67C" w14:textId="77777777" w:rsidR="00AB3A97" w:rsidRPr="00554FD8" w:rsidRDefault="00AB3A97" w:rsidP="00C45110">
      <w:pPr>
        <w:widowControl w:val="0"/>
        <w:pBdr>
          <w:top w:val="nil"/>
          <w:left w:val="nil"/>
          <w:bottom w:val="nil"/>
          <w:right w:val="nil"/>
          <w:between w:val="nil"/>
        </w:pBdr>
        <w:tabs>
          <w:tab w:val="left" w:pos="426"/>
        </w:tabs>
        <w:jc w:val="both"/>
        <w:rPr>
          <w:b/>
          <w:sz w:val="28"/>
          <w:szCs w:val="28"/>
        </w:rPr>
      </w:pPr>
    </w:p>
    <w:p w14:paraId="2F5EFBB4" w14:textId="2108D51F" w:rsidR="00F90529" w:rsidRPr="00554FD8" w:rsidRDefault="00AB3A97" w:rsidP="003239AA">
      <w:pPr>
        <w:pStyle w:val="Ttulo3"/>
        <w:spacing w:before="0" w:after="0"/>
        <w:jc w:val="both"/>
      </w:pPr>
      <w:bookmarkStart w:id="13" w:name="_Toc230846367"/>
      <w:r w:rsidRPr="00554FD8">
        <w:t xml:space="preserve">4.1. </w:t>
      </w:r>
      <w:r w:rsidR="00F90529" w:rsidRPr="00554FD8">
        <w:t>La naturaleza y las características del plan nacional de desarrollo</w:t>
      </w:r>
      <w:bookmarkEnd w:id="13"/>
    </w:p>
    <w:p w14:paraId="69EAEA1A" w14:textId="77777777" w:rsidR="00F90529" w:rsidRPr="00554FD8" w:rsidRDefault="00F90529" w:rsidP="00C45110">
      <w:pPr>
        <w:widowControl w:val="0"/>
        <w:pBdr>
          <w:top w:val="nil"/>
          <w:left w:val="nil"/>
          <w:bottom w:val="nil"/>
          <w:right w:val="nil"/>
          <w:between w:val="nil"/>
        </w:pBdr>
        <w:tabs>
          <w:tab w:val="left" w:pos="426"/>
        </w:tabs>
        <w:jc w:val="both"/>
        <w:rPr>
          <w:b/>
          <w:sz w:val="28"/>
          <w:szCs w:val="28"/>
        </w:rPr>
      </w:pPr>
    </w:p>
    <w:p w14:paraId="7423E3C0" w14:textId="77777777" w:rsidR="00F90529" w:rsidRPr="00554FD8" w:rsidRDefault="00F90529" w:rsidP="00C45110">
      <w:pPr>
        <w:widowControl w:val="0"/>
        <w:numPr>
          <w:ilvl w:val="0"/>
          <w:numId w:val="1"/>
        </w:numPr>
        <w:pBdr>
          <w:top w:val="nil"/>
          <w:left w:val="nil"/>
          <w:bottom w:val="nil"/>
          <w:right w:val="nil"/>
          <w:between w:val="nil"/>
        </w:pBdr>
        <w:tabs>
          <w:tab w:val="left" w:pos="426"/>
        </w:tabs>
        <w:ind w:left="0" w:firstLine="0"/>
        <w:jc w:val="both"/>
        <w:rPr>
          <w:color w:val="000000" w:themeColor="text1"/>
          <w:sz w:val="28"/>
          <w:szCs w:val="28"/>
        </w:rPr>
      </w:pPr>
      <w:r w:rsidRPr="00554FD8">
        <w:rPr>
          <w:bCs/>
          <w:i/>
          <w:iCs/>
          <w:color w:val="000000" w:themeColor="text1"/>
          <w:sz w:val="28"/>
          <w:szCs w:val="28"/>
        </w:rPr>
        <w:t>El plan nacional de desarrollo, sus componentes y su alcance.</w:t>
      </w:r>
      <w:r w:rsidRPr="00554FD8">
        <w:rPr>
          <w:b/>
          <w:bCs/>
          <w:iCs/>
          <w:color w:val="000000" w:themeColor="text1"/>
          <w:sz w:val="28"/>
          <w:szCs w:val="28"/>
        </w:rPr>
        <w:t xml:space="preserve"> </w:t>
      </w:r>
      <w:r w:rsidRPr="00554FD8">
        <w:rPr>
          <w:color w:val="000000" w:themeColor="text1"/>
          <w:sz w:val="28"/>
          <w:szCs w:val="28"/>
        </w:rPr>
        <w:t xml:space="preserve">La jurisprudencia constitucional ha señalado que el principal objetivo del PND es el de “[…] </w:t>
      </w:r>
      <w:r w:rsidRPr="00554FD8">
        <w:rPr>
          <w:iCs/>
          <w:color w:val="000000" w:themeColor="text1"/>
          <w:sz w:val="28"/>
          <w:szCs w:val="28"/>
          <w:lang w:eastAsia="es-CO"/>
        </w:rPr>
        <w:t>planificar y priorizar las acciones del Estado y la ejecución del presupuesto público durante 4 años</w:t>
      </w:r>
      <w:r w:rsidRPr="00554FD8">
        <w:rPr>
          <w:color w:val="000000" w:themeColor="text1"/>
          <w:sz w:val="28"/>
          <w:szCs w:val="28"/>
          <w:lang w:eastAsia="es-CO"/>
        </w:rPr>
        <w:t>”</w:t>
      </w:r>
      <w:r w:rsidRPr="00554FD8">
        <w:rPr>
          <w:rStyle w:val="Refdenotaalpie"/>
          <w:color w:val="000000" w:themeColor="text1"/>
          <w:sz w:val="28"/>
          <w:szCs w:val="28"/>
          <w:lang w:eastAsia="es-CO"/>
        </w:rPr>
        <w:footnoteReference w:id="78"/>
      </w:r>
      <w:r w:rsidRPr="00554FD8">
        <w:rPr>
          <w:color w:val="000000" w:themeColor="text1"/>
          <w:sz w:val="28"/>
          <w:szCs w:val="28"/>
          <w:lang w:eastAsia="es-CO"/>
        </w:rPr>
        <w:t xml:space="preserve">. De esa manera puede incluir normas instrumentales que permitan el cumplimiento de los propósitos, las </w:t>
      </w:r>
      <w:r w:rsidRPr="00554FD8">
        <w:rPr>
          <w:sz w:val="28"/>
          <w:szCs w:val="28"/>
        </w:rPr>
        <w:t>estrategias</w:t>
      </w:r>
      <w:r w:rsidRPr="00554FD8">
        <w:rPr>
          <w:color w:val="000000" w:themeColor="text1"/>
          <w:sz w:val="28"/>
          <w:szCs w:val="28"/>
          <w:lang w:eastAsia="es-CO"/>
        </w:rPr>
        <w:t xml:space="preserve"> o los programas trazados. En efecto, el artículo 150.3 de la Constitución Política establece que una de las funciones del Congreso de la República es la de “[a]</w:t>
      </w:r>
      <w:r w:rsidRPr="00554FD8">
        <w:rPr>
          <w:iCs/>
          <w:color w:val="000000" w:themeColor="text1"/>
          <w:sz w:val="28"/>
          <w:szCs w:val="28"/>
        </w:rPr>
        <w:t xml:space="preserve">probar el plan nacional de desarrollo y de inversiones públicas que hayan de emprenderse o continuarse, con la determinación de los recursos y apropiaciones que se autoricen para su ejecución, y </w:t>
      </w:r>
      <w:r w:rsidRPr="00554FD8">
        <w:rPr>
          <w:bCs/>
          <w:iCs/>
          <w:color w:val="000000" w:themeColor="text1"/>
          <w:sz w:val="28"/>
          <w:szCs w:val="28"/>
        </w:rPr>
        <w:t>las medidas necesarias para impulsar el cumplimiento de los mismos</w:t>
      </w:r>
      <w:r w:rsidRPr="00554FD8">
        <w:rPr>
          <w:color w:val="000000" w:themeColor="text1"/>
          <w:sz w:val="28"/>
          <w:szCs w:val="28"/>
        </w:rPr>
        <w:t>”</w:t>
      </w:r>
      <w:r w:rsidRPr="00554FD8">
        <w:rPr>
          <w:rStyle w:val="Refdenotaalpie"/>
          <w:color w:val="000000" w:themeColor="text1"/>
          <w:sz w:val="28"/>
          <w:szCs w:val="28"/>
        </w:rPr>
        <w:footnoteReference w:id="79"/>
      </w:r>
      <w:r w:rsidRPr="00554FD8">
        <w:rPr>
          <w:color w:val="000000" w:themeColor="text1"/>
          <w:sz w:val="28"/>
          <w:szCs w:val="28"/>
        </w:rPr>
        <w:t>.</w:t>
      </w:r>
    </w:p>
    <w:p w14:paraId="1FE523B4" w14:textId="77777777" w:rsidR="00F90529" w:rsidRPr="00554FD8" w:rsidRDefault="00F90529" w:rsidP="00F90529">
      <w:pPr>
        <w:pStyle w:val="Prrafodelista"/>
        <w:rPr>
          <w:color w:val="000000" w:themeColor="text1"/>
          <w:sz w:val="28"/>
          <w:szCs w:val="28"/>
          <w:lang w:eastAsia="es-CO"/>
        </w:rPr>
      </w:pPr>
    </w:p>
    <w:p w14:paraId="34977A0C"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color w:val="000000" w:themeColor="text1"/>
          <w:sz w:val="28"/>
          <w:szCs w:val="28"/>
        </w:rPr>
      </w:pPr>
      <w:r w:rsidRPr="00554FD8">
        <w:rPr>
          <w:bCs/>
          <w:iCs/>
          <w:color w:val="000000" w:themeColor="text1"/>
          <w:sz w:val="28"/>
          <w:szCs w:val="28"/>
        </w:rPr>
        <w:t>Según</w:t>
      </w:r>
      <w:r w:rsidRPr="00554FD8">
        <w:rPr>
          <w:color w:val="000000" w:themeColor="text1"/>
          <w:sz w:val="28"/>
          <w:szCs w:val="28"/>
          <w:lang w:eastAsia="es-CO"/>
        </w:rPr>
        <w:t xml:space="preserve"> lo ha sostenido la jurisprudencia constitucional, el plan nacional de desarrollo puede incluir “</w:t>
      </w:r>
      <w:r w:rsidRPr="00554FD8">
        <w:rPr>
          <w:color w:val="000000" w:themeColor="text1"/>
          <w:sz w:val="28"/>
          <w:szCs w:val="28"/>
          <w:shd w:val="clear" w:color="auto" w:fill="FFFFFF"/>
          <w:lang w:eastAsia="es-CO"/>
        </w:rPr>
        <w:t xml:space="preserve">[…] </w:t>
      </w:r>
      <w:r w:rsidRPr="00554FD8">
        <w:rPr>
          <w:iCs/>
          <w:color w:val="000000" w:themeColor="text1"/>
          <w:sz w:val="28"/>
          <w:szCs w:val="28"/>
          <w:shd w:val="clear" w:color="auto" w:fill="FFFFFF"/>
          <w:lang w:eastAsia="es-CO"/>
        </w:rPr>
        <w:t>normas jurídicas de cuyo cumplimiento se derive la consecución de las metas no solo económicas, sino también sociales o ambientales que se ha[n] estimado deseable[s]</w:t>
      </w:r>
      <w:r w:rsidRPr="00554FD8">
        <w:rPr>
          <w:color w:val="000000" w:themeColor="text1"/>
          <w:sz w:val="28"/>
          <w:szCs w:val="28"/>
          <w:shd w:val="clear" w:color="auto" w:fill="FFFFFF"/>
          <w:lang w:eastAsia="es-CO"/>
        </w:rPr>
        <w:t>”</w:t>
      </w:r>
      <w:r w:rsidRPr="00554FD8">
        <w:rPr>
          <w:rStyle w:val="Refdenotaalpie"/>
          <w:color w:val="000000" w:themeColor="text1"/>
          <w:sz w:val="28"/>
          <w:szCs w:val="28"/>
          <w:shd w:val="clear" w:color="auto" w:fill="FFFFFF"/>
          <w:lang w:eastAsia="es-CO"/>
        </w:rPr>
        <w:footnoteReference w:id="80"/>
      </w:r>
      <w:r w:rsidRPr="00554FD8">
        <w:rPr>
          <w:color w:val="000000" w:themeColor="text1"/>
          <w:sz w:val="28"/>
          <w:szCs w:val="28"/>
          <w:shd w:val="clear" w:color="auto" w:fill="FFFFFF"/>
          <w:lang w:eastAsia="es-CO"/>
        </w:rPr>
        <w:t>. De ahí que esta</w:t>
      </w:r>
      <w:r w:rsidRPr="00554FD8">
        <w:rPr>
          <w:color w:val="000000" w:themeColor="text1"/>
          <w:sz w:val="28"/>
          <w:szCs w:val="28"/>
          <w:lang w:eastAsia="es-CO"/>
        </w:rPr>
        <w:t xml:space="preserve"> Corte haya señalado que el PND es un instrumento compuesto por varias partes, a saber:</w:t>
      </w:r>
    </w:p>
    <w:p w14:paraId="3231E70A" w14:textId="77777777" w:rsidR="00F90529" w:rsidRPr="00554FD8" w:rsidRDefault="00F90529" w:rsidP="00F90529">
      <w:pPr>
        <w:pStyle w:val="Textoindependiente"/>
        <w:widowControl w:val="0"/>
        <w:tabs>
          <w:tab w:val="left" w:pos="567"/>
        </w:tabs>
        <w:autoSpaceDE w:val="0"/>
        <w:autoSpaceDN w:val="0"/>
        <w:spacing w:before="0" w:beforeAutospacing="0" w:after="0" w:afterAutospacing="0"/>
        <w:ind w:right="19"/>
        <w:jc w:val="both"/>
        <w:rPr>
          <w:color w:val="000000" w:themeColor="text1"/>
          <w:sz w:val="28"/>
          <w:szCs w:val="28"/>
        </w:rPr>
      </w:pPr>
    </w:p>
    <w:p w14:paraId="3F794BD1" w14:textId="77777777" w:rsidR="00F90529" w:rsidRPr="00554FD8" w:rsidRDefault="00F90529" w:rsidP="00D52700">
      <w:pPr>
        <w:widowControl w:val="0"/>
        <w:ind w:left="284" w:right="284"/>
        <w:jc w:val="both"/>
        <w:rPr>
          <w:color w:val="000000" w:themeColor="text1"/>
          <w:lang w:eastAsia="es-CO"/>
        </w:rPr>
      </w:pPr>
      <w:r w:rsidRPr="00554FD8">
        <w:rPr>
          <w:color w:val="000000" w:themeColor="text1"/>
          <w:lang w:eastAsia="es-CO"/>
        </w:rPr>
        <w:t>“(a) los propósitos y objetivos nacionales de largo plazo, (b) las metas y prioridades de la acción estatal a mediano plazo, (c) las estrategias y orientaciones generales de la política económica, social y ambiental que serán adoptadas por el Gobierno, (d) los presupuestos plurianuales de los principales programas y proyectos de inversión pública nacional, (e) los recursos financieros requeridos y (f) las normas jurídicas necesarias para su ejecución”</w:t>
      </w:r>
      <w:r w:rsidRPr="00554FD8">
        <w:rPr>
          <w:rStyle w:val="Refdenotaalpie"/>
          <w:color w:val="000000" w:themeColor="text1"/>
          <w:lang w:eastAsia="es-CO"/>
        </w:rPr>
        <w:footnoteReference w:id="81"/>
      </w:r>
      <w:r w:rsidRPr="00554FD8">
        <w:rPr>
          <w:color w:val="000000" w:themeColor="text1"/>
          <w:lang w:eastAsia="es-CO"/>
        </w:rPr>
        <w:t>.</w:t>
      </w:r>
    </w:p>
    <w:p w14:paraId="2B5E5AF5" w14:textId="77777777" w:rsidR="00F90529" w:rsidRPr="00554FD8" w:rsidRDefault="00F90529" w:rsidP="00F90529">
      <w:pPr>
        <w:ind w:right="284"/>
        <w:rPr>
          <w:iCs/>
          <w:color w:val="000000" w:themeColor="text1"/>
          <w:sz w:val="28"/>
          <w:szCs w:val="28"/>
          <w:lang w:eastAsia="es-CO"/>
        </w:rPr>
      </w:pPr>
    </w:p>
    <w:p w14:paraId="5DD42E29"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color w:val="000000" w:themeColor="text1"/>
          <w:sz w:val="28"/>
          <w:szCs w:val="28"/>
        </w:rPr>
      </w:pPr>
      <w:r w:rsidRPr="00554FD8">
        <w:rPr>
          <w:color w:val="000000" w:themeColor="text1"/>
          <w:sz w:val="28"/>
          <w:szCs w:val="28"/>
        </w:rPr>
        <w:t xml:space="preserve">Sobre el particular, en la Sentencia C-370 de 2024 la Corte Constitucional delimitó los componentes del PND de la siguiente manera. En primer lugar, cuenta aquel con una </w:t>
      </w:r>
      <w:r w:rsidRPr="00554FD8">
        <w:rPr>
          <w:bCs/>
          <w:color w:val="000000" w:themeColor="text1"/>
          <w:sz w:val="28"/>
          <w:szCs w:val="28"/>
        </w:rPr>
        <w:t>parte general</w:t>
      </w:r>
      <w:r w:rsidRPr="00554FD8">
        <w:rPr>
          <w:color w:val="000000" w:themeColor="text1"/>
          <w:sz w:val="28"/>
          <w:szCs w:val="28"/>
        </w:rPr>
        <w:t xml:space="preserve"> en la que se incluyen:</w:t>
      </w:r>
    </w:p>
    <w:p w14:paraId="2FFBCDD6" w14:textId="77777777" w:rsidR="00F90529" w:rsidRPr="00554FD8" w:rsidRDefault="00F90529" w:rsidP="00F90529">
      <w:pPr>
        <w:pStyle w:val="Textoindependiente"/>
        <w:widowControl w:val="0"/>
        <w:tabs>
          <w:tab w:val="left" w:pos="567"/>
        </w:tabs>
        <w:autoSpaceDE w:val="0"/>
        <w:autoSpaceDN w:val="0"/>
        <w:spacing w:before="0" w:beforeAutospacing="0" w:after="0" w:afterAutospacing="0"/>
        <w:ind w:right="19"/>
        <w:jc w:val="both"/>
        <w:rPr>
          <w:color w:val="000000" w:themeColor="text1"/>
          <w:sz w:val="28"/>
          <w:szCs w:val="28"/>
        </w:rPr>
      </w:pPr>
    </w:p>
    <w:p w14:paraId="6A1456A4" w14:textId="77777777" w:rsidR="00F90529" w:rsidRPr="00554FD8" w:rsidRDefault="00F90529" w:rsidP="00F90529">
      <w:pPr>
        <w:pStyle w:val="Textoindependiente"/>
        <w:widowControl w:val="0"/>
        <w:tabs>
          <w:tab w:val="left" w:pos="567"/>
        </w:tabs>
        <w:autoSpaceDE w:val="0"/>
        <w:autoSpaceDN w:val="0"/>
        <w:spacing w:before="0" w:beforeAutospacing="0" w:after="0" w:afterAutospacing="0"/>
        <w:ind w:left="284" w:right="284"/>
        <w:jc w:val="both"/>
        <w:rPr>
          <w:color w:val="000000" w:themeColor="text1"/>
        </w:rPr>
      </w:pPr>
      <w:r w:rsidRPr="00554FD8">
        <w:rPr>
          <w:color w:val="000000" w:themeColor="text1"/>
        </w:rPr>
        <w:t xml:space="preserve">“[…] </w:t>
      </w:r>
      <w:r w:rsidRPr="00554FD8">
        <w:rPr>
          <w:iCs/>
          <w:color w:val="000000" w:themeColor="text1"/>
          <w:lang w:eastAsia="es-CO"/>
        </w:rPr>
        <w:t>los propósitos y objetivos nacionales de largo plazo, los cuales deben incluir los sectoriales, según resulte del diagnóstico general de la economía y de sus principales sectores y grupos sociales y de la consulta que se realiza o verifica con el Consejo Nacional de Planeación</w:t>
      </w:r>
      <w:r w:rsidRPr="00554FD8">
        <w:rPr>
          <w:color w:val="000000" w:themeColor="text1"/>
          <w:lang w:eastAsia="es-CO"/>
        </w:rPr>
        <w:t>[,]</w:t>
      </w:r>
      <w:r w:rsidRPr="00554FD8">
        <w:rPr>
          <w:iCs/>
          <w:color w:val="000000" w:themeColor="text1"/>
          <w:lang w:eastAsia="es-CO"/>
        </w:rPr>
        <w:t xml:space="preserve"> en el cual tienen participación representantes de los sectores económicos, sociales, ecológicos, comunitarios y culturales; las metas y prioridades de la acción estatal a mediano plazo </w:t>
      </w:r>
      <w:r w:rsidRPr="00554FD8">
        <w:t>–</w:t>
      </w:r>
      <w:r w:rsidRPr="00554FD8">
        <w:rPr>
          <w:iCs/>
          <w:color w:val="000000" w:themeColor="text1"/>
          <w:lang w:eastAsia="es-CO"/>
        </w:rPr>
        <w:t>esto es, las que persiguen en el Plan Nacional todas las entidades que integran las ramas y organizaciones y demás órganos del poder público en todos sus niveles– y los procedimientos y mecanismos generales para lograrlos; y, las estrategias y orientaciones generales de la política económica, social y ambiental que serán adoptadas por el Gobierno</w:t>
      </w:r>
      <w:r w:rsidRPr="00554FD8">
        <w:rPr>
          <w:color w:val="000000" w:themeColor="text1"/>
          <w:lang w:eastAsia="es-CO"/>
        </w:rPr>
        <w:t>”</w:t>
      </w:r>
      <w:r w:rsidRPr="00554FD8">
        <w:rPr>
          <w:rStyle w:val="Refdenotaalpie"/>
          <w:color w:val="000000" w:themeColor="text1"/>
          <w:lang w:eastAsia="es-CO"/>
        </w:rPr>
        <w:footnoteReference w:id="82"/>
      </w:r>
      <w:r w:rsidRPr="00554FD8">
        <w:rPr>
          <w:color w:val="000000" w:themeColor="text1"/>
          <w:lang w:eastAsia="es-CO"/>
        </w:rPr>
        <w:t>.</w:t>
      </w:r>
    </w:p>
    <w:p w14:paraId="294CD1DB" w14:textId="77777777" w:rsidR="00F90529" w:rsidRPr="00554FD8" w:rsidRDefault="00F90529" w:rsidP="00F90529">
      <w:pPr>
        <w:pStyle w:val="Textoindependiente"/>
        <w:widowControl w:val="0"/>
        <w:tabs>
          <w:tab w:val="left" w:pos="567"/>
        </w:tabs>
        <w:autoSpaceDE w:val="0"/>
        <w:autoSpaceDN w:val="0"/>
        <w:spacing w:before="0" w:beforeAutospacing="0" w:after="0" w:afterAutospacing="0"/>
        <w:ind w:right="19"/>
        <w:jc w:val="both"/>
        <w:rPr>
          <w:color w:val="000000" w:themeColor="text1"/>
          <w:sz w:val="28"/>
          <w:szCs w:val="28"/>
        </w:rPr>
      </w:pPr>
    </w:p>
    <w:p w14:paraId="031B9734"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color w:val="000000" w:themeColor="text1"/>
          <w:sz w:val="28"/>
          <w:szCs w:val="28"/>
        </w:rPr>
      </w:pPr>
      <w:r w:rsidRPr="00554FD8">
        <w:rPr>
          <w:iCs/>
          <w:color w:val="000000" w:themeColor="text1"/>
          <w:sz w:val="28"/>
          <w:szCs w:val="28"/>
          <w:lang w:eastAsia="es-CO"/>
        </w:rPr>
        <w:t xml:space="preserve">En </w:t>
      </w:r>
      <w:r w:rsidRPr="00554FD8">
        <w:rPr>
          <w:color w:val="000000" w:themeColor="text1"/>
          <w:sz w:val="28"/>
          <w:szCs w:val="28"/>
        </w:rPr>
        <w:t>segundo</w:t>
      </w:r>
      <w:r w:rsidRPr="00554FD8">
        <w:rPr>
          <w:iCs/>
          <w:color w:val="000000" w:themeColor="text1"/>
          <w:sz w:val="28"/>
          <w:szCs w:val="28"/>
          <w:lang w:eastAsia="es-CO"/>
        </w:rPr>
        <w:t xml:space="preserve"> lugar</w:t>
      </w:r>
      <w:r w:rsidRPr="00554FD8">
        <w:rPr>
          <w:color w:val="000000" w:themeColor="text1"/>
          <w:sz w:val="28"/>
          <w:szCs w:val="28"/>
          <w:lang w:eastAsia="es-CO"/>
        </w:rPr>
        <w:t xml:space="preserve">, se encuentra el </w:t>
      </w:r>
      <w:r w:rsidRPr="00554FD8">
        <w:rPr>
          <w:bCs/>
          <w:color w:val="000000" w:themeColor="text1"/>
          <w:sz w:val="28"/>
          <w:szCs w:val="28"/>
          <w:lang w:eastAsia="es-CO"/>
        </w:rPr>
        <w:t>plan nacional de inversiones – PNI</w:t>
      </w:r>
      <w:r w:rsidRPr="00554FD8">
        <w:rPr>
          <w:color w:val="000000" w:themeColor="text1"/>
          <w:sz w:val="28"/>
          <w:szCs w:val="28"/>
          <w:lang w:eastAsia="es-CO"/>
        </w:rPr>
        <w:t xml:space="preserve">, donde se identifican </w:t>
      </w:r>
      <w:r w:rsidRPr="00554FD8">
        <w:rPr>
          <w:iCs/>
          <w:color w:val="000000" w:themeColor="text1"/>
          <w:sz w:val="28"/>
          <w:szCs w:val="28"/>
          <w:lang w:eastAsia="es-CO"/>
        </w:rPr>
        <w:t>(i)</w:t>
      </w:r>
      <w:r w:rsidRPr="00554FD8">
        <w:rPr>
          <w:color w:val="000000" w:themeColor="text1"/>
          <w:sz w:val="28"/>
          <w:szCs w:val="28"/>
          <w:lang w:eastAsia="es-CO"/>
        </w:rPr>
        <w:t> </w:t>
      </w:r>
      <w:r w:rsidRPr="00554FD8">
        <w:rPr>
          <w:iCs/>
          <w:color w:val="000000" w:themeColor="text1"/>
          <w:sz w:val="28"/>
          <w:szCs w:val="28"/>
          <w:lang w:eastAsia="es-CO"/>
        </w:rPr>
        <w:t>los principales programas y proyectos de inversión pública nacional, lo cual implica su determinación o descripción concreta o detallada y no una simple enunciación general y (ii) “los presupuestos plurianuales de tales programas y proyectos de inversión pública nacional con la determinación o especificación concreta de los recursos financieros y apropiaciones requeridos y que se autoricen para su ejecución, dentro de un marco que garantice la sostenibilidad fiscal</w:t>
      </w:r>
      <w:r w:rsidRPr="00554FD8">
        <w:rPr>
          <w:color w:val="000000" w:themeColor="text1"/>
          <w:sz w:val="28"/>
          <w:szCs w:val="28"/>
          <w:lang w:eastAsia="es-CO"/>
        </w:rPr>
        <w:t>”</w:t>
      </w:r>
      <w:r w:rsidRPr="00554FD8">
        <w:rPr>
          <w:rStyle w:val="Refdenotaalpie"/>
          <w:color w:val="000000" w:themeColor="text1"/>
          <w:sz w:val="28"/>
          <w:szCs w:val="28"/>
          <w:lang w:eastAsia="es-CO"/>
        </w:rPr>
        <w:footnoteReference w:id="83"/>
      </w:r>
      <w:r w:rsidRPr="00554FD8">
        <w:rPr>
          <w:color w:val="000000" w:themeColor="text1"/>
          <w:sz w:val="28"/>
          <w:szCs w:val="28"/>
          <w:lang w:eastAsia="es-CO"/>
        </w:rPr>
        <w:t>.</w:t>
      </w:r>
      <w:r w:rsidRPr="00554FD8">
        <w:rPr>
          <w:color w:val="000000" w:themeColor="text1"/>
          <w:sz w:val="28"/>
          <w:szCs w:val="28"/>
        </w:rPr>
        <w:t xml:space="preserve"> E</w:t>
      </w:r>
      <w:r w:rsidRPr="00554FD8">
        <w:rPr>
          <w:iCs/>
          <w:color w:val="000000" w:themeColor="text1"/>
          <w:sz w:val="28"/>
          <w:szCs w:val="28"/>
        </w:rPr>
        <w:t>n tercer lugar</w:t>
      </w:r>
      <w:r w:rsidRPr="00554FD8">
        <w:rPr>
          <w:color w:val="000000" w:themeColor="text1"/>
          <w:sz w:val="28"/>
          <w:szCs w:val="28"/>
        </w:rPr>
        <w:t xml:space="preserve">, están </w:t>
      </w:r>
      <w:r w:rsidRPr="00554FD8">
        <w:rPr>
          <w:iCs/>
          <w:color w:val="000000" w:themeColor="text1"/>
          <w:sz w:val="28"/>
          <w:szCs w:val="28"/>
          <w:lang w:eastAsia="es-CO"/>
        </w:rPr>
        <w:t>los </w:t>
      </w:r>
      <w:r w:rsidRPr="00554FD8">
        <w:rPr>
          <w:bCs/>
          <w:iCs/>
          <w:color w:val="000000" w:themeColor="text1"/>
          <w:sz w:val="28"/>
          <w:szCs w:val="28"/>
          <w:lang w:eastAsia="es-CO"/>
        </w:rPr>
        <w:t>mecanismos instrumentales</w:t>
      </w:r>
      <w:r w:rsidRPr="00554FD8">
        <w:rPr>
          <w:b/>
          <w:bCs/>
          <w:iCs/>
          <w:color w:val="000000" w:themeColor="text1"/>
          <w:sz w:val="28"/>
          <w:szCs w:val="28"/>
          <w:lang w:eastAsia="es-CO"/>
        </w:rPr>
        <w:t> </w:t>
      </w:r>
      <w:r w:rsidRPr="00554FD8">
        <w:rPr>
          <w:iCs/>
          <w:color w:val="000000" w:themeColor="text1"/>
          <w:sz w:val="28"/>
          <w:szCs w:val="28"/>
          <w:lang w:eastAsia="es-CO"/>
        </w:rPr>
        <w:t>idóneos</w:t>
      </w:r>
      <w:r w:rsidRPr="00554FD8">
        <w:rPr>
          <w:b/>
          <w:bCs/>
          <w:iCs/>
          <w:color w:val="000000" w:themeColor="text1"/>
          <w:sz w:val="28"/>
          <w:szCs w:val="28"/>
          <w:lang w:eastAsia="es-CO"/>
        </w:rPr>
        <w:t> </w:t>
      </w:r>
      <w:r w:rsidRPr="00554FD8">
        <w:rPr>
          <w:iCs/>
          <w:color w:val="000000" w:themeColor="text1"/>
          <w:sz w:val="28"/>
          <w:szCs w:val="28"/>
          <w:lang w:eastAsia="es-CO"/>
        </w:rPr>
        <w:t>o</w:t>
      </w:r>
      <w:r w:rsidRPr="00554FD8">
        <w:rPr>
          <w:b/>
          <w:bCs/>
          <w:iCs/>
          <w:color w:val="000000" w:themeColor="text1"/>
          <w:sz w:val="28"/>
          <w:szCs w:val="28"/>
          <w:lang w:eastAsia="es-CO"/>
        </w:rPr>
        <w:t> </w:t>
      </w:r>
      <w:r w:rsidRPr="00554FD8">
        <w:rPr>
          <w:iCs/>
          <w:color w:val="000000" w:themeColor="text1"/>
          <w:sz w:val="28"/>
          <w:szCs w:val="28"/>
          <w:lang w:eastAsia="es-CO"/>
        </w:rPr>
        <w:t>apropiados para su armonización y para la sujeción a ellos de los presupuestos oficiales, con la especificación de las </w:t>
      </w:r>
      <w:r w:rsidRPr="00554FD8">
        <w:rPr>
          <w:bCs/>
          <w:iCs/>
          <w:color w:val="000000" w:themeColor="text1"/>
          <w:sz w:val="28"/>
          <w:szCs w:val="28"/>
          <w:lang w:eastAsia="es-CO"/>
        </w:rPr>
        <w:t>medidas necesarias para impulsar su cumplimiento o ejecución</w:t>
      </w:r>
      <w:r w:rsidRPr="00554FD8">
        <w:rPr>
          <w:rStyle w:val="Refdenotaalpie"/>
          <w:color w:val="000000" w:themeColor="text1"/>
          <w:sz w:val="28"/>
          <w:szCs w:val="28"/>
          <w:lang w:eastAsia="es-CO"/>
        </w:rPr>
        <w:footnoteReference w:id="84"/>
      </w:r>
      <w:r w:rsidRPr="00554FD8">
        <w:rPr>
          <w:bCs/>
          <w:color w:val="000000" w:themeColor="text1"/>
          <w:sz w:val="28"/>
          <w:szCs w:val="28"/>
          <w:lang w:eastAsia="es-CO"/>
        </w:rPr>
        <w:t>.</w:t>
      </w:r>
      <w:r w:rsidRPr="00554FD8">
        <w:rPr>
          <w:b/>
          <w:bCs/>
          <w:color w:val="000000" w:themeColor="text1"/>
          <w:sz w:val="28"/>
          <w:szCs w:val="28"/>
          <w:lang w:eastAsia="es-CO"/>
        </w:rPr>
        <w:t xml:space="preserve"> </w:t>
      </w:r>
    </w:p>
    <w:p w14:paraId="548454CB"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73B5E4B5" w14:textId="2D06D98C" w:rsidR="00F90529" w:rsidRPr="00554FD8" w:rsidRDefault="00AB3A97" w:rsidP="003239AA">
      <w:pPr>
        <w:pStyle w:val="Ttulo3"/>
        <w:spacing w:before="0" w:after="0"/>
        <w:jc w:val="both"/>
      </w:pPr>
      <w:bookmarkStart w:id="14" w:name="_Toc230846368"/>
      <w:r w:rsidRPr="00554FD8">
        <w:t>4.2</w:t>
      </w:r>
      <w:r w:rsidR="00F90529" w:rsidRPr="00554FD8">
        <w:t>. El principio de unidad de materia y su aplicabilidad al plan nacional de desarrollo de acuerdo con el estándar jurisprudencial</w:t>
      </w:r>
      <w:bookmarkEnd w:id="14"/>
    </w:p>
    <w:p w14:paraId="2413F95A"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2D51C671" w14:textId="4CE5E644" w:rsidR="00F90529" w:rsidRPr="00554FD8" w:rsidRDefault="00F054B5" w:rsidP="00D52700">
      <w:pPr>
        <w:widowControl w:val="0"/>
        <w:numPr>
          <w:ilvl w:val="0"/>
          <w:numId w:val="1"/>
        </w:numPr>
        <w:pBdr>
          <w:top w:val="nil"/>
          <w:left w:val="nil"/>
          <w:bottom w:val="nil"/>
          <w:right w:val="nil"/>
          <w:between w:val="nil"/>
        </w:pBdr>
        <w:tabs>
          <w:tab w:val="left" w:pos="426"/>
        </w:tabs>
        <w:ind w:left="0" w:firstLine="0"/>
        <w:jc w:val="both"/>
        <w:rPr>
          <w:color w:val="000000" w:themeColor="text1"/>
          <w:sz w:val="28"/>
          <w:szCs w:val="28"/>
        </w:rPr>
      </w:pPr>
      <w:r w:rsidRPr="00554FD8">
        <w:rPr>
          <w:i/>
          <w:sz w:val="28"/>
          <w:szCs w:val="28"/>
          <w:lang w:val="es-ES_tradnl"/>
        </w:rPr>
        <w:t xml:space="preserve">El principio de unidad de materia. </w:t>
      </w:r>
      <w:r w:rsidR="00F90529" w:rsidRPr="00554FD8">
        <w:rPr>
          <w:sz w:val="28"/>
          <w:szCs w:val="28"/>
          <w:lang w:val="es-ES_tradnl"/>
        </w:rPr>
        <w:t xml:space="preserve">El principio de unidad de materia se fundamenta en la salvaguarda del principio democrático y en la transparencia y publicidad del proceso </w:t>
      </w:r>
      <w:r w:rsidR="00F90529" w:rsidRPr="00554FD8">
        <w:rPr>
          <w:iCs/>
          <w:sz w:val="28"/>
          <w:szCs w:val="28"/>
          <w:lang w:val="es-ES"/>
        </w:rPr>
        <w:t>legislativo</w:t>
      </w:r>
      <w:r w:rsidR="00F90529" w:rsidRPr="00554FD8">
        <w:rPr>
          <w:sz w:val="28"/>
          <w:szCs w:val="28"/>
          <w:lang w:val="es-ES_tradnl"/>
        </w:rPr>
        <w:t xml:space="preserve">. </w:t>
      </w:r>
      <w:r w:rsidR="00F90529" w:rsidRPr="00554FD8">
        <w:rPr>
          <w:color w:val="000000" w:themeColor="text1"/>
          <w:sz w:val="28"/>
          <w:szCs w:val="28"/>
        </w:rPr>
        <w:t>Según lo establecido en el artículo 158 de la Constitución, “</w:t>
      </w:r>
      <w:r w:rsidR="00F90529" w:rsidRPr="00554FD8">
        <w:rPr>
          <w:color w:val="000000" w:themeColor="text1"/>
          <w:sz w:val="28"/>
          <w:szCs w:val="28"/>
          <w:shd w:val="clear" w:color="auto" w:fill="FFFFFF"/>
        </w:rPr>
        <w:t>[t]</w:t>
      </w:r>
      <w:r w:rsidR="00F90529" w:rsidRPr="00554FD8">
        <w:rPr>
          <w:iCs/>
          <w:color w:val="000000" w:themeColor="text1"/>
          <w:sz w:val="28"/>
          <w:szCs w:val="28"/>
          <w:shd w:val="clear" w:color="auto" w:fill="FFFFFF"/>
        </w:rPr>
        <w:t>odo proyecto de ley debe referirse a una misma materia y serán inadmisibles las disposiciones o modificaciones que no se relacionen con ella</w:t>
      </w:r>
      <w:r w:rsidR="00F90529" w:rsidRPr="00554FD8">
        <w:rPr>
          <w:color w:val="000000" w:themeColor="text1"/>
          <w:sz w:val="28"/>
          <w:szCs w:val="28"/>
          <w:shd w:val="clear" w:color="auto" w:fill="FFFFFF"/>
        </w:rPr>
        <w:t>”</w:t>
      </w:r>
      <w:r w:rsidR="00F90529" w:rsidRPr="00554FD8">
        <w:rPr>
          <w:color w:val="000000" w:themeColor="text1"/>
          <w:sz w:val="28"/>
          <w:szCs w:val="28"/>
        </w:rPr>
        <w:t xml:space="preserve">. </w:t>
      </w:r>
    </w:p>
    <w:p w14:paraId="3536A13D" w14:textId="77777777" w:rsidR="00F90529" w:rsidRPr="00554FD8" w:rsidRDefault="00F90529" w:rsidP="00D52700">
      <w:pPr>
        <w:pStyle w:val="Textoindependiente"/>
        <w:widowControl w:val="0"/>
        <w:tabs>
          <w:tab w:val="left" w:pos="567"/>
        </w:tabs>
        <w:autoSpaceDE w:val="0"/>
        <w:autoSpaceDN w:val="0"/>
        <w:spacing w:before="0" w:beforeAutospacing="0" w:after="0" w:afterAutospacing="0"/>
        <w:ind w:right="19"/>
        <w:jc w:val="both"/>
        <w:rPr>
          <w:color w:val="000000" w:themeColor="text1"/>
          <w:sz w:val="28"/>
          <w:szCs w:val="28"/>
        </w:rPr>
      </w:pPr>
    </w:p>
    <w:p w14:paraId="0BD45FE1" w14:textId="77777777" w:rsidR="00F90529" w:rsidRPr="00554FD8" w:rsidRDefault="00F90529" w:rsidP="00D52700">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sz w:val="28"/>
          <w:szCs w:val="28"/>
          <w:lang w:val="es-ES_tradnl"/>
        </w:rPr>
        <w:t>Bajo esta perspectiva, se busca proteger el debate democrático y evitar que se introduzcan asuntos totalmente ajenos o extraños a los que sirvieron de soporte para impulsar la actividad del legislador o que sin la suficiente ilustración “alteren la unidad temática que debe regir la elaboración de las leyes”</w:t>
      </w:r>
      <w:r w:rsidRPr="00554FD8">
        <w:rPr>
          <w:rStyle w:val="Refdenotaalpie"/>
          <w:sz w:val="28"/>
          <w:szCs w:val="28"/>
          <w:lang w:val="es-ES_tradnl"/>
        </w:rPr>
        <w:footnoteReference w:id="85"/>
      </w:r>
      <w:r w:rsidRPr="00554FD8">
        <w:rPr>
          <w:sz w:val="28"/>
          <w:szCs w:val="28"/>
          <w:lang w:val="es-ES_tradnl"/>
        </w:rPr>
        <w:t xml:space="preserve">. En la Sentencia C-714 de 2008, esta Corte advirtió que el principio de unidad de materia tiene como finalidad evitar que los congresistas </w:t>
      </w:r>
      <w:r w:rsidRPr="00554FD8">
        <w:rPr>
          <w:bCs/>
          <w:sz w:val="28"/>
          <w:szCs w:val="28"/>
          <w:lang w:val="es-ES_tradnl"/>
        </w:rPr>
        <w:t>“</w:t>
      </w:r>
      <w:r w:rsidRPr="00554FD8">
        <w:rPr>
          <w:bCs/>
          <w:iCs/>
          <w:sz w:val="28"/>
          <w:szCs w:val="28"/>
          <w:lang w:val="es-ES_tradnl"/>
        </w:rPr>
        <w:t>sean sorprendidos con la aprobación subrepticia de normas que nada tienen que ver con la[s] materia[s] que constituye[n] el eje temático de la ley aprobada, y que</w:t>
      </w:r>
      <w:r w:rsidRPr="00554FD8">
        <w:rPr>
          <w:bCs/>
          <w:sz w:val="28"/>
          <w:szCs w:val="28"/>
          <w:lang w:val="es-ES_tradnl"/>
        </w:rPr>
        <w:t>[,]</w:t>
      </w:r>
      <w:r w:rsidRPr="00554FD8">
        <w:rPr>
          <w:bCs/>
          <w:iCs/>
          <w:sz w:val="28"/>
          <w:szCs w:val="28"/>
          <w:lang w:val="es-ES_tradnl"/>
        </w:rPr>
        <w:t xml:space="preserve"> por ese mismo motivo, pudieran no haber sido objeto del necesario debate democrático al interior de las cámaras legislativas</w:t>
      </w:r>
      <w:r w:rsidRPr="00554FD8">
        <w:rPr>
          <w:bCs/>
          <w:sz w:val="28"/>
          <w:szCs w:val="28"/>
          <w:lang w:val="es-ES_tradnl"/>
        </w:rPr>
        <w:t>”</w:t>
      </w:r>
      <w:r w:rsidRPr="00554FD8">
        <w:rPr>
          <w:rStyle w:val="Refdenotaalpie"/>
          <w:bCs/>
          <w:sz w:val="28"/>
          <w:szCs w:val="28"/>
          <w:lang w:val="es-ES_tradnl"/>
        </w:rPr>
        <w:footnoteReference w:id="86"/>
      </w:r>
      <w:r w:rsidRPr="00554FD8">
        <w:rPr>
          <w:bCs/>
          <w:sz w:val="28"/>
          <w:szCs w:val="28"/>
          <w:lang w:val="es-ES_tradnl"/>
        </w:rPr>
        <w:t xml:space="preserve">. </w:t>
      </w:r>
    </w:p>
    <w:p w14:paraId="48823946" w14:textId="77777777" w:rsidR="00F90529" w:rsidRPr="00861C32" w:rsidRDefault="00F90529" w:rsidP="00861C32">
      <w:pPr>
        <w:spacing w:line="0" w:lineRule="atLeast"/>
        <w:rPr>
          <w:bCs/>
          <w:sz w:val="28"/>
          <w:szCs w:val="28"/>
          <w:lang w:val="es-ES_tradnl"/>
        </w:rPr>
      </w:pPr>
    </w:p>
    <w:p w14:paraId="46DC0DFE" w14:textId="7881E651" w:rsidR="00F90529" w:rsidRPr="00AD0E5E" w:rsidRDefault="00F054B5"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AD0E5E">
        <w:rPr>
          <w:bCs/>
          <w:i/>
          <w:sz w:val="28"/>
          <w:szCs w:val="28"/>
          <w:lang w:val="es-ES_tradnl"/>
        </w:rPr>
        <w:t xml:space="preserve">La aplicabilidad del principio de unidad de materia al plan nacional de desarrollo. </w:t>
      </w:r>
      <w:r w:rsidR="00F90529" w:rsidRPr="00AD0E5E">
        <w:rPr>
          <w:bCs/>
          <w:sz w:val="28"/>
          <w:szCs w:val="28"/>
          <w:lang w:val="es-ES_tradnl"/>
        </w:rPr>
        <w:t xml:space="preserve">Bajo tal perspectiva, la Corte Constitucional enfatizó que la aplicación del principio de unidad de materia no puede vaciar el principio democrático que, en el caso de la ley del </w:t>
      </w:r>
      <w:r w:rsidR="00F90529" w:rsidRPr="00AD0E5E">
        <w:rPr>
          <w:sz w:val="28"/>
          <w:szCs w:val="28"/>
          <w:lang w:val="es-ES_tradnl"/>
        </w:rPr>
        <w:t>plan</w:t>
      </w:r>
      <w:r w:rsidR="00F90529" w:rsidRPr="00AD0E5E">
        <w:rPr>
          <w:bCs/>
          <w:sz w:val="28"/>
          <w:szCs w:val="28"/>
          <w:lang w:val="es-ES_tradnl"/>
        </w:rPr>
        <w:t xml:space="preserve"> nacional de desarrollo, debe garantizar la expedición de normas que respondan a las necesidades de la sociedad mediante la observancia de la función de planificación</w:t>
      </w:r>
      <w:r w:rsidR="00F90529" w:rsidRPr="00AD0E5E">
        <w:rPr>
          <w:rStyle w:val="Refdenotaalpie"/>
          <w:bCs/>
          <w:sz w:val="28"/>
          <w:szCs w:val="28"/>
          <w:lang w:val="es-ES_tradnl"/>
        </w:rPr>
        <w:footnoteReference w:id="87"/>
      </w:r>
      <w:r w:rsidR="00F90529" w:rsidRPr="00AD0E5E">
        <w:rPr>
          <w:bCs/>
          <w:sz w:val="28"/>
          <w:szCs w:val="28"/>
          <w:lang w:val="es-ES_tradnl"/>
        </w:rPr>
        <w:t xml:space="preserve">. En efecto, </w:t>
      </w:r>
      <w:r w:rsidR="00F90529" w:rsidRPr="00AD0E5E">
        <w:rPr>
          <w:color w:val="000000" w:themeColor="text1"/>
          <w:sz w:val="28"/>
          <w:szCs w:val="28"/>
        </w:rPr>
        <w:t xml:space="preserve">la jurisprudencia constitucional ha </w:t>
      </w:r>
      <w:r w:rsidR="00F90529" w:rsidRPr="00AD0E5E">
        <w:rPr>
          <w:sz w:val="28"/>
          <w:szCs w:val="28"/>
          <w:lang w:val="es-ES_tradnl"/>
        </w:rPr>
        <w:t>considerado</w:t>
      </w:r>
      <w:r w:rsidR="00F90529" w:rsidRPr="00AD0E5E">
        <w:rPr>
          <w:color w:val="000000" w:themeColor="text1"/>
          <w:sz w:val="28"/>
          <w:szCs w:val="28"/>
        </w:rPr>
        <w:t xml:space="preserve"> necesario evitar que disposiciones que podrían ser discutidas por el legislativo en el marco de sus competencias ordinarias terminen por tramitarse en la ley del plan, </w:t>
      </w:r>
      <w:r w:rsidR="00681159" w:rsidRPr="00AD0E5E">
        <w:rPr>
          <w:color w:val="000000" w:themeColor="text1"/>
          <w:sz w:val="28"/>
          <w:szCs w:val="28"/>
        </w:rPr>
        <w:t xml:space="preserve">frente a la cual </w:t>
      </w:r>
      <w:r w:rsidR="00F90529" w:rsidRPr="00AD0E5E">
        <w:rPr>
          <w:color w:val="000000" w:themeColor="text1"/>
          <w:sz w:val="28"/>
          <w:szCs w:val="28"/>
        </w:rPr>
        <w:t>el actuar del Congreso de la República es más limitado y los tiempos de debate son más reducidos</w:t>
      </w:r>
      <w:r w:rsidR="00F90529" w:rsidRPr="00AD0E5E">
        <w:rPr>
          <w:rStyle w:val="Refdenotaalpie"/>
          <w:color w:val="000000" w:themeColor="text1"/>
          <w:sz w:val="28"/>
          <w:szCs w:val="28"/>
        </w:rPr>
        <w:footnoteReference w:id="88"/>
      </w:r>
      <w:r w:rsidR="00F90529" w:rsidRPr="00AD0E5E">
        <w:rPr>
          <w:color w:val="000000" w:themeColor="text1"/>
          <w:sz w:val="28"/>
          <w:szCs w:val="28"/>
        </w:rPr>
        <w:t xml:space="preserve">. </w:t>
      </w:r>
      <w:r w:rsidR="00F90529" w:rsidRPr="00AD0E5E">
        <w:rPr>
          <w:sz w:val="28"/>
          <w:szCs w:val="28"/>
        </w:rPr>
        <w:t>Por consiguiente, el PND no puede ser usado para corregir falencias estructurales o inconsistencias de leyes anteriores</w:t>
      </w:r>
      <w:r w:rsidR="00F90529" w:rsidRPr="00AD0E5E">
        <w:rPr>
          <w:rStyle w:val="Refdenotaalpie"/>
          <w:sz w:val="28"/>
          <w:szCs w:val="28"/>
        </w:rPr>
        <w:footnoteReference w:id="89"/>
      </w:r>
      <w:r w:rsidR="00F90529" w:rsidRPr="00AD0E5E">
        <w:rPr>
          <w:sz w:val="28"/>
          <w:szCs w:val="28"/>
        </w:rPr>
        <w:t xml:space="preserve">, solucionar todas las urgencias legales del gobierno de turno o “subsanar vacíos normativos existentes en otras leyes </w:t>
      </w:r>
      <w:r w:rsidR="00F90529" w:rsidRPr="00830587">
        <w:rPr>
          <w:sz w:val="28"/>
          <w:szCs w:val="28"/>
        </w:rPr>
        <w:t>ordinarias”</w:t>
      </w:r>
      <w:r w:rsidR="00F90529" w:rsidRPr="00830587">
        <w:rPr>
          <w:rStyle w:val="Refdenotaalpie"/>
          <w:sz w:val="28"/>
          <w:szCs w:val="28"/>
        </w:rPr>
        <w:footnoteReference w:id="90"/>
      </w:r>
      <w:r w:rsidR="00F90529" w:rsidRPr="00830587">
        <w:rPr>
          <w:sz w:val="28"/>
          <w:szCs w:val="28"/>
        </w:rPr>
        <w:t>. Como es natural, estos asuntos sí deben ser corregidos por el legislador, “pero mediante el procedimiento legislativo propio de las leyes que los contengan”</w:t>
      </w:r>
      <w:r w:rsidR="00F90529" w:rsidRPr="00830587">
        <w:rPr>
          <w:rStyle w:val="Refdenotaalpie"/>
          <w:sz w:val="28"/>
          <w:szCs w:val="28"/>
        </w:rPr>
        <w:footnoteReference w:id="91"/>
      </w:r>
      <w:r w:rsidR="00F90529" w:rsidRPr="00830587">
        <w:rPr>
          <w:sz w:val="28"/>
          <w:szCs w:val="28"/>
        </w:rPr>
        <w:t xml:space="preserve">. En esa misma línea, la Corte </w:t>
      </w:r>
      <w:r w:rsidR="00C72A0F" w:rsidRPr="00830587">
        <w:rPr>
          <w:sz w:val="28"/>
          <w:szCs w:val="28"/>
        </w:rPr>
        <w:t xml:space="preserve">Constitucional </w:t>
      </w:r>
      <w:r w:rsidR="00F90529" w:rsidRPr="00830587">
        <w:rPr>
          <w:sz w:val="28"/>
          <w:szCs w:val="28"/>
        </w:rPr>
        <w:t xml:space="preserve">ha precisado que </w:t>
      </w:r>
      <w:r w:rsidR="00C72A0F" w:rsidRPr="00830587">
        <w:rPr>
          <w:sz w:val="28"/>
          <w:szCs w:val="28"/>
        </w:rPr>
        <w:t xml:space="preserve">las disposiciones que se incluyan </w:t>
      </w:r>
      <w:r w:rsidR="00F90529" w:rsidRPr="00830587">
        <w:rPr>
          <w:sz w:val="28"/>
          <w:szCs w:val="28"/>
        </w:rPr>
        <w:t>en la ley del PND no pueden tener vocación de permanencia</w:t>
      </w:r>
      <w:r w:rsidR="00F90529" w:rsidRPr="00830587">
        <w:rPr>
          <w:rStyle w:val="Refdenotaalpie"/>
          <w:sz w:val="28"/>
          <w:szCs w:val="28"/>
        </w:rPr>
        <w:footnoteReference w:id="92"/>
      </w:r>
      <w:r w:rsidR="00C72A0F" w:rsidRPr="00830587">
        <w:rPr>
          <w:sz w:val="28"/>
          <w:szCs w:val="28"/>
        </w:rPr>
        <w:t>, a menos que se acrediten unas condiciones particulares</w:t>
      </w:r>
      <w:r w:rsidR="000451DE" w:rsidRPr="00830587">
        <w:rPr>
          <w:rStyle w:val="Refdenotaalpie"/>
          <w:sz w:val="28"/>
          <w:szCs w:val="28"/>
        </w:rPr>
        <w:footnoteReference w:id="93"/>
      </w:r>
      <w:r w:rsidR="00F90529" w:rsidRPr="00830587">
        <w:rPr>
          <w:sz w:val="28"/>
          <w:szCs w:val="28"/>
        </w:rPr>
        <w:t>.</w:t>
      </w:r>
      <w:r w:rsidR="00F90529" w:rsidRPr="00AD0E5E">
        <w:rPr>
          <w:sz w:val="28"/>
          <w:szCs w:val="28"/>
        </w:rPr>
        <w:t xml:space="preserve">  </w:t>
      </w:r>
    </w:p>
    <w:p w14:paraId="0311A1C5" w14:textId="77777777" w:rsidR="00F90529" w:rsidRPr="00554FD8" w:rsidRDefault="00F90529" w:rsidP="00F90529">
      <w:pPr>
        <w:rPr>
          <w:i/>
          <w:iCs/>
          <w:sz w:val="28"/>
          <w:szCs w:val="28"/>
        </w:rPr>
      </w:pPr>
    </w:p>
    <w:p w14:paraId="5677A389" w14:textId="467A2382"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sz w:val="28"/>
          <w:szCs w:val="28"/>
        </w:rPr>
        <w:t>En consecuencia, las normas del PND deben tener una vocación temporal, esto es, una vigencia de cuatro años</w:t>
      </w:r>
      <w:r w:rsidRPr="00554FD8">
        <w:rPr>
          <w:rStyle w:val="Refdenotaalpie"/>
          <w:sz w:val="28"/>
          <w:szCs w:val="28"/>
        </w:rPr>
        <w:footnoteReference w:id="94"/>
      </w:r>
      <w:r w:rsidRPr="00554FD8">
        <w:rPr>
          <w:sz w:val="28"/>
          <w:szCs w:val="28"/>
        </w:rPr>
        <w:t xml:space="preserve">. La naturaleza temporal de las normas del PND es un </w:t>
      </w:r>
      <w:r w:rsidRPr="00554FD8">
        <w:rPr>
          <w:iCs/>
          <w:sz w:val="28"/>
          <w:szCs w:val="28"/>
        </w:rPr>
        <w:t>elemento adicional</w:t>
      </w:r>
      <w:r w:rsidRPr="00554FD8">
        <w:rPr>
          <w:sz w:val="28"/>
          <w:szCs w:val="28"/>
        </w:rPr>
        <w:t xml:space="preserve"> que permite comprobar o desvirtuar su conexidad con la parte general, así como determinar si la disposición objeto de reproche compromete una competencia legislativa ordinaria permanente</w:t>
      </w:r>
      <w:r w:rsidRPr="00554FD8">
        <w:rPr>
          <w:rStyle w:val="Refdenotaalpie"/>
          <w:sz w:val="28"/>
          <w:szCs w:val="28"/>
        </w:rPr>
        <w:footnoteReference w:id="95"/>
      </w:r>
      <w:r w:rsidRPr="00554FD8">
        <w:rPr>
          <w:sz w:val="28"/>
          <w:szCs w:val="28"/>
        </w:rPr>
        <w:t>. Esto supone que las normas del PND “que no tengan como fin planificar y priorizar las acciones públicas y la ejecución del presupuesto público durante un cuatrienio”, resultan violatorias del principio de unidad de materia</w:t>
      </w:r>
      <w:r w:rsidRPr="00554FD8">
        <w:rPr>
          <w:rStyle w:val="Refdenotaalpie"/>
          <w:sz w:val="28"/>
          <w:szCs w:val="28"/>
        </w:rPr>
        <w:footnoteReference w:id="96"/>
      </w:r>
      <w:r w:rsidRPr="00554FD8">
        <w:rPr>
          <w:sz w:val="28"/>
          <w:szCs w:val="28"/>
        </w:rPr>
        <w:t>. De esta manera, “[l]a pretensión de instaurar políticas de largo aliento (ordinarias) exige acudir a la agenda legislativa del Gobierno y su consiguiente propuesta e impulso ante el Congreso de la República, en garantía del principio democrático”</w:t>
      </w:r>
      <w:r w:rsidRPr="00554FD8">
        <w:rPr>
          <w:rStyle w:val="Refdenotaalpie"/>
          <w:sz w:val="28"/>
          <w:szCs w:val="28"/>
        </w:rPr>
        <w:footnoteReference w:id="97"/>
      </w:r>
      <w:r w:rsidRPr="00554FD8">
        <w:rPr>
          <w:sz w:val="28"/>
          <w:szCs w:val="28"/>
        </w:rPr>
        <w:t>.</w:t>
      </w:r>
    </w:p>
    <w:p w14:paraId="46C9959D" w14:textId="77777777" w:rsidR="00F90529" w:rsidRPr="00554FD8" w:rsidRDefault="00F90529" w:rsidP="00F90529">
      <w:pPr>
        <w:pStyle w:val="Prrafodelista"/>
        <w:rPr>
          <w:sz w:val="28"/>
          <w:szCs w:val="28"/>
        </w:rPr>
      </w:pPr>
    </w:p>
    <w:p w14:paraId="3E7D8685" w14:textId="6578AA72"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sz w:val="28"/>
          <w:szCs w:val="28"/>
        </w:rPr>
        <w:t>Sin embargo, la jurisprudencia ha precisado que el PND podrá modificar normas de carácter permanente si la disposición acusada cumple tres condiciones que deben ser valoradas con estricto rigor por la Corte</w:t>
      </w:r>
      <w:r w:rsidR="00681159">
        <w:rPr>
          <w:sz w:val="28"/>
          <w:szCs w:val="28"/>
        </w:rPr>
        <w:t xml:space="preserve"> Constitucional</w:t>
      </w:r>
      <w:r w:rsidRPr="00554FD8">
        <w:rPr>
          <w:sz w:val="28"/>
          <w:szCs w:val="28"/>
        </w:rPr>
        <w:t>. Estos requisitos son los siguientes: (i) la modificación debe tener un fin planificador y de impulso a la ejecución del plan cuatrienal</w:t>
      </w:r>
      <w:r w:rsidRPr="00554FD8">
        <w:rPr>
          <w:rStyle w:val="Refdenotaalpie"/>
          <w:sz w:val="28"/>
          <w:szCs w:val="28"/>
        </w:rPr>
        <w:footnoteReference w:id="98"/>
      </w:r>
      <w:r w:rsidRPr="00554FD8">
        <w:rPr>
          <w:sz w:val="28"/>
          <w:szCs w:val="28"/>
        </w:rPr>
        <w:t>, es decir, debe “</w:t>
      </w:r>
      <w:r w:rsidRPr="00554FD8">
        <w:rPr>
          <w:bCs/>
          <w:sz w:val="28"/>
          <w:szCs w:val="28"/>
        </w:rPr>
        <w:t>cumplir los propósitos, objetivos y metas previstos […] en la parte general del Plan Nacional de Desarrollo</w:t>
      </w:r>
      <w:r w:rsidRPr="00554FD8">
        <w:rPr>
          <w:bCs/>
          <w:iCs/>
          <w:sz w:val="28"/>
          <w:szCs w:val="28"/>
        </w:rPr>
        <w:t>”</w:t>
      </w:r>
      <w:r w:rsidRPr="00554FD8">
        <w:rPr>
          <w:rStyle w:val="Refdenotaalpie"/>
          <w:bCs/>
          <w:iCs/>
          <w:sz w:val="28"/>
          <w:szCs w:val="28"/>
        </w:rPr>
        <w:footnoteReference w:id="99"/>
      </w:r>
      <w:r w:rsidRPr="00554FD8">
        <w:rPr>
          <w:bCs/>
          <w:iCs/>
          <w:sz w:val="28"/>
          <w:szCs w:val="28"/>
        </w:rPr>
        <w:t xml:space="preserve"> o, en otras palabras, constituir “un </w:t>
      </w:r>
      <w:r w:rsidRPr="00554FD8">
        <w:rPr>
          <w:bCs/>
          <w:iCs/>
          <w:sz w:val="28"/>
          <w:szCs w:val="28"/>
          <w:lang w:val="es-ES_tradnl"/>
        </w:rPr>
        <w:t>mecanismo idóneo para impulsar el cumplimiento del plan”</w:t>
      </w:r>
      <w:r w:rsidRPr="00554FD8">
        <w:rPr>
          <w:rStyle w:val="Refdenotaalpie"/>
          <w:bCs/>
          <w:iCs/>
          <w:sz w:val="28"/>
          <w:szCs w:val="28"/>
          <w:lang w:val="es-ES_tradnl"/>
        </w:rPr>
        <w:footnoteReference w:id="100"/>
      </w:r>
      <w:r w:rsidRPr="00554FD8">
        <w:rPr>
          <w:sz w:val="28"/>
          <w:szCs w:val="28"/>
        </w:rPr>
        <w:t>; (ii) en el trámite legislativo, los congresistas debieron tener información sobre esa modificación, esta debió ser tenida en cuenta por los mismos y debió existir “la posibilidad de deliberar sobre este punto en el Congreso”</w:t>
      </w:r>
      <w:r w:rsidRPr="00554FD8">
        <w:rPr>
          <w:rStyle w:val="Refdenotaalpie"/>
          <w:sz w:val="28"/>
          <w:szCs w:val="28"/>
        </w:rPr>
        <w:footnoteReference w:id="101"/>
      </w:r>
      <w:r w:rsidRPr="00554FD8">
        <w:rPr>
          <w:sz w:val="28"/>
          <w:szCs w:val="28"/>
        </w:rPr>
        <w:t xml:space="preserve"> y (iii) la medida debe estar precedida de una </w:t>
      </w:r>
      <w:r w:rsidRPr="00554FD8">
        <w:rPr>
          <w:iCs/>
          <w:sz w:val="28"/>
          <w:szCs w:val="28"/>
        </w:rPr>
        <w:t>justificación suficiente</w:t>
      </w:r>
      <w:r w:rsidRPr="00554FD8">
        <w:rPr>
          <w:sz w:val="28"/>
          <w:szCs w:val="28"/>
        </w:rPr>
        <w:t>, ofrecida por el Gobierno nacional durante dicho trámite, en la que este explique cuál es la función de planeación que cumple la norma, su carácter instrumental y su idoneidad para ejecutar la parte general del PND y el PNI</w:t>
      </w:r>
      <w:r w:rsidRPr="00554FD8">
        <w:rPr>
          <w:rStyle w:val="Refdenotaalpie"/>
          <w:sz w:val="28"/>
          <w:szCs w:val="28"/>
        </w:rPr>
        <w:footnoteReference w:id="102"/>
      </w:r>
      <w:r w:rsidRPr="00554FD8">
        <w:rPr>
          <w:sz w:val="28"/>
          <w:szCs w:val="28"/>
        </w:rPr>
        <w:t xml:space="preserve">. </w:t>
      </w:r>
    </w:p>
    <w:p w14:paraId="709E7807" w14:textId="77777777" w:rsidR="00F90529" w:rsidRPr="00554FD8" w:rsidRDefault="00F90529" w:rsidP="00F90529">
      <w:pPr>
        <w:pStyle w:val="Prrafodelista"/>
        <w:rPr>
          <w:bCs/>
          <w:sz w:val="28"/>
          <w:szCs w:val="28"/>
          <w:lang w:val="es-ES_tradnl"/>
        </w:rPr>
      </w:pPr>
    </w:p>
    <w:p w14:paraId="0A6F8AF9"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bCs/>
          <w:sz w:val="28"/>
          <w:szCs w:val="28"/>
          <w:lang w:val="es-ES_tradnl"/>
        </w:rPr>
        <w:t>Además, sobre la naturaleza instrumental de tales normas la jurisprudencia constitucional ha señalado que esta valoración debe efectuarse teniendo en cuenta los objetivos, metas, planes, programas y proyectos del PND. Lo anterior, en la medida en que las normas instrumentales son aquellas disposiciones que “</w:t>
      </w:r>
      <w:r w:rsidRPr="00554FD8">
        <w:rPr>
          <w:sz w:val="28"/>
          <w:szCs w:val="28"/>
          <w:shd w:val="clear" w:color="auto" w:fill="FFFFFF"/>
        </w:rPr>
        <w:t>tienen por objeto la realización, ejecución o cumplimiento de los objetivos, metas y estrategias propuestas en la parte general”</w:t>
      </w:r>
      <w:r w:rsidRPr="00554FD8">
        <w:rPr>
          <w:rStyle w:val="Refdenotaalpie"/>
          <w:sz w:val="28"/>
          <w:szCs w:val="28"/>
          <w:shd w:val="clear" w:color="auto" w:fill="FFFFFF"/>
        </w:rPr>
        <w:footnoteReference w:id="103"/>
      </w:r>
      <w:r w:rsidRPr="00554FD8">
        <w:rPr>
          <w:sz w:val="28"/>
          <w:szCs w:val="28"/>
          <w:shd w:val="clear" w:color="auto" w:fill="FFFFFF"/>
        </w:rPr>
        <w:t xml:space="preserve">. </w:t>
      </w:r>
      <w:r w:rsidRPr="00554FD8">
        <w:rPr>
          <w:bCs/>
          <w:sz w:val="28"/>
          <w:szCs w:val="28"/>
          <w:lang w:val="es-ES_tradnl"/>
        </w:rPr>
        <w:t>En consecuencia, no basta con la sola ubicación de la norma acusada en el capítulo sobre los mecanismos de ejecución, sino que debe evidenciarse que, en principio, existe una relación de medio a fin entre aquella y los objetivos del PND. Por ejemplo, en la Sentencia C-415 de 2020 esta corporación analizó la naturaleza instrumental de los artículos 309, 310 (parcial) y 311 de la Ley 1955 de 2019 de la siguiente manera</w:t>
      </w:r>
      <w:r w:rsidRPr="00554FD8">
        <w:rPr>
          <w:rStyle w:val="Refdenotaalpie"/>
          <w:bCs/>
          <w:sz w:val="28"/>
          <w:szCs w:val="28"/>
          <w:lang w:val="es-ES_tradnl"/>
        </w:rPr>
        <w:footnoteReference w:id="104"/>
      </w:r>
      <w:r w:rsidRPr="00554FD8">
        <w:rPr>
          <w:bCs/>
          <w:sz w:val="28"/>
          <w:szCs w:val="28"/>
          <w:lang w:val="es-ES_tradnl"/>
        </w:rPr>
        <w:t xml:space="preserve">: </w:t>
      </w:r>
    </w:p>
    <w:p w14:paraId="7433319E" w14:textId="77777777" w:rsidR="00F90529" w:rsidRPr="00554FD8" w:rsidRDefault="00F90529" w:rsidP="00F90529">
      <w:pPr>
        <w:pStyle w:val="Prrafodelista"/>
        <w:rPr>
          <w:bCs/>
          <w:sz w:val="28"/>
          <w:szCs w:val="28"/>
          <w:lang w:val="es-ES_tradnl"/>
        </w:rPr>
      </w:pPr>
    </w:p>
    <w:p w14:paraId="6B037F52" w14:textId="77777777" w:rsidR="00F90529" w:rsidRPr="00554FD8" w:rsidRDefault="00F90529" w:rsidP="00F90529">
      <w:pPr>
        <w:shd w:val="clear" w:color="auto" w:fill="FFFFFF"/>
        <w:ind w:left="284" w:right="284"/>
        <w:jc w:val="both"/>
        <w:textAlignment w:val="baseline"/>
      </w:pPr>
      <w:r w:rsidRPr="00554FD8">
        <w:rPr>
          <w:lang w:val="es-ES_tradnl"/>
        </w:rPr>
        <w:t xml:space="preserve">“[…] </w:t>
      </w:r>
      <w:r w:rsidRPr="00554FD8">
        <w:t>Además de constituir disposiciones instrumentales por su ubicación, también tienen esta naturaleza por su alcance al constituir mecanismos para impulsar el cumplimiento de las metas y objetivos generales trazados en la ley del plan, como lo es el </w:t>
      </w:r>
      <w:r w:rsidRPr="00554FD8">
        <w:rPr>
          <w:i/>
          <w:iCs/>
        </w:rPr>
        <w:t>‘Pacto por la transformación digital de Colombia:</w:t>
      </w:r>
      <w:r w:rsidRPr="00554FD8">
        <w:rPr>
          <w:i/>
          <w:iCs/>
          <w:shd w:val="clear" w:color="auto" w:fill="FFFFFF"/>
        </w:rPr>
        <w:t> Gobierno, empresas y hogares conectados con la era del conocimiento’</w:t>
      </w:r>
      <w:r w:rsidRPr="00554FD8">
        <w:t>”</w:t>
      </w:r>
      <w:r w:rsidRPr="00554FD8">
        <w:rPr>
          <w:rStyle w:val="Refdenotaalpie"/>
        </w:rPr>
        <w:footnoteReference w:id="105"/>
      </w:r>
      <w:r w:rsidRPr="00554FD8">
        <w:t xml:space="preserve">. </w:t>
      </w:r>
    </w:p>
    <w:p w14:paraId="00384FA0" w14:textId="77777777" w:rsidR="00F90529" w:rsidRPr="00554FD8" w:rsidRDefault="00F90529" w:rsidP="00F90529">
      <w:pPr>
        <w:widowControl w:val="0"/>
        <w:pBdr>
          <w:top w:val="nil"/>
          <w:left w:val="nil"/>
          <w:bottom w:val="nil"/>
          <w:right w:val="nil"/>
          <w:between w:val="nil"/>
        </w:pBdr>
        <w:tabs>
          <w:tab w:val="left" w:pos="426"/>
        </w:tabs>
        <w:jc w:val="both"/>
        <w:rPr>
          <w:bCs/>
          <w:sz w:val="28"/>
          <w:szCs w:val="28"/>
          <w:lang w:val="es-ES_tradnl"/>
        </w:rPr>
      </w:pPr>
    </w:p>
    <w:p w14:paraId="0B5350B8" w14:textId="56B10C5D"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sz w:val="28"/>
          <w:szCs w:val="28"/>
          <w:lang w:val="es-ES_tradnl"/>
        </w:rPr>
        <w:t xml:space="preserve">En consideración a lo expuesto y de conformidad con la jurisprudencia constitucional, esta corporación en la Sentencia C-244 de 2025 </w:t>
      </w:r>
      <w:r w:rsidR="00681159">
        <w:rPr>
          <w:sz w:val="28"/>
          <w:szCs w:val="28"/>
          <w:lang w:val="es-ES_tradnl"/>
        </w:rPr>
        <w:t>actualiz</w:t>
      </w:r>
      <w:r w:rsidR="00681159" w:rsidRPr="00554FD8">
        <w:rPr>
          <w:sz w:val="28"/>
          <w:szCs w:val="28"/>
          <w:lang w:val="es-ES_tradnl"/>
        </w:rPr>
        <w:t xml:space="preserve">ó </w:t>
      </w:r>
      <w:r w:rsidRPr="00554FD8">
        <w:rPr>
          <w:sz w:val="28"/>
          <w:szCs w:val="28"/>
          <w:lang w:val="es-ES_tradnl"/>
        </w:rPr>
        <w:t xml:space="preserve">una metodología de análisis de constitucionalidad sobre el principio de unidad de materia en la ley del plan nacional de desarrollo basada en dos niveles de escrutinio, uno de intensidad mayor y otro de menor intensidad, según la naturaleza de la norma demandada. Lo anterior, como se expone a continuación. </w:t>
      </w:r>
    </w:p>
    <w:p w14:paraId="164C610A" w14:textId="77777777" w:rsidR="00F90529" w:rsidRPr="00554FD8" w:rsidRDefault="00F90529" w:rsidP="00F90529">
      <w:pPr>
        <w:pStyle w:val="Prrafodelista"/>
        <w:spacing w:line="0" w:lineRule="atLeast"/>
        <w:rPr>
          <w:sz w:val="28"/>
          <w:szCs w:val="28"/>
          <w:lang w:val="es-ES_tradnl"/>
        </w:rPr>
      </w:pPr>
    </w:p>
    <w:p w14:paraId="0B337559"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lang w:val="es-ES_tradnl"/>
        </w:rPr>
      </w:pPr>
      <w:r w:rsidRPr="00554FD8">
        <w:rPr>
          <w:i/>
          <w:iCs/>
          <w:sz w:val="28"/>
          <w:szCs w:val="28"/>
          <w:lang w:val="es-ES_tradnl"/>
        </w:rPr>
        <w:t>Niveles de escrutinio</w:t>
      </w:r>
      <w:r w:rsidRPr="00554FD8">
        <w:rPr>
          <w:sz w:val="28"/>
          <w:szCs w:val="28"/>
          <w:lang w:val="es-ES_tradnl"/>
        </w:rPr>
        <w:t xml:space="preserve">. Se aplicará un escrutinio de </w:t>
      </w:r>
      <w:r w:rsidRPr="00554FD8">
        <w:rPr>
          <w:i/>
          <w:iCs/>
          <w:sz w:val="28"/>
          <w:szCs w:val="28"/>
          <w:lang w:val="es-ES_tradnl"/>
        </w:rPr>
        <w:t>intensidad mayor</w:t>
      </w:r>
      <w:r w:rsidRPr="00554FD8">
        <w:rPr>
          <w:sz w:val="28"/>
          <w:szCs w:val="28"/>
          <w:lang w:val="es-ES_tradnl"/>
        </w:rPr>
        <w:t xml:space="preserve"> si la norma demandada incluida en el PND es de aquellas que deben adoptarse por el Congreso de la República en el marco de sus competencias ordinarias constitucionales. </w:t>
      </w:r>
      <w:r w:rsidRPr="00554FD8">
        <w:rPr>
          <w:i/>
          <w:iCs/>
          <w:sz w:val="28"/>
          <w:szCs w:val="28"/>
          <w:lang w:val="es-ES_tradnl"/>
        </w:rPr>
        <w:t>La intensidad será menor</w:t>
      </w:r>
      <w:r w:rsidRPr="00554FD8">
        <w:rPr>
          <w:sz w:val="28"/>
          <w:szCs w:val="28"/>
          <w:lang w:val="es-ES_tradnl"/>
        </w:rPr>
        <w:t xml:space="preserve"> cuando la disposición acusada “</w:t>
      </w:r>
      <w:r w:rsidRPr="00554FD8">
        <w:rPr>
          <w:sz w:val="28"/>
          <w:szCs w:val="28"/>
          <w:lang w:val="es-ES_tradnl" w:eastAsia="es-CO"/>
        </w:rPr>
        <w:t xml:space="preserve">(i) no aborde temáticas que debían ser reguladas, necesariamente, en el marco de las competencias ordinarias del Congreso de la República y (ii) tenga un estricto fin planificador. Se entenderá que existe un fin planificador por parte de la norma instrumental demandada, cuando la incorporación de aquella se dirija a cumplir alguno de los objetivos, metas, estrategias o programas del PND, cuya naturaleza es </w:t>
      </w:r>
      <w:r w:rsidRPr="00554FD8">
        <w:rPr>
          <w:iCs/>
          <w:sz w:val="28"/>
          <w:szCs w:val="28"/>
          <w:lang w:val="es-ES_tradnl" w:eastAsia="es-CO"/>
        </w:rPr>
        <w:t>temporal</w:t>
      </w:r>
      <w:r w:rsidRPr="00554FD8">
        <w:rPr>
          <w:sz w:val="28"/>
          <w:szCs w:val="28"/>
          <w:lang w:val="es-ES_tradnl" w:eastAsia="es-CO"/>
        </w:rPr>
        <w:t>”</w:t>
      </w:r>
      <w:r w:rsidRPr="00554FD8">
        <w:rPr>
          <w:rStyle w:val="Refdenotaalpie"/>
          <w:sz w:val="28"/>
          <w:szCs w:val="28"/>
          <w:lang w:val="es-ES_tradnl" w:eastAsia="es-CO"/>
        </w:rPr>
        <w:footnoteReference w:id="106"/>
      </w:r>
      <w:r w:rsidRPr="00554FD8">
        <w:rPr>
          <w:sz w:val="28"/>
          <w:szCs w:val="28"/>
          <w:lang w:val="es-ES_tradnl" w:eastAsia="es-CO"/>
        </w:rPr>
        <w:t>.</w:t>
      </w:r>
    </w:p>
    <w:p w14:paraId="50298ED1" w14:textId="77777777" w:rsidR="00F90529" w:rsidRPr="00554FD8" w:rsidRDefault="00F90529" w:rsidP="00F90529">
      <w:pPr>
        <w:pStyle w:val="Textoindependiente"/>
        <w:widowControl w:val="0"/>
        <w:tabs>
          <w:tab w:val="left" w:pos="709"/>
        </w:tabs>
        <w:autoSpaceDE w:val="0"/>
        <w:autoSpaceDN w:val="0"/>
        <w:spacing w:before="0" w:beforeAutospacing="0" w:after="0" w:afterAutospacing="0" w:line="0" w:lineRule="atLeast"/>
        <w:ind w:right="19"/>
        <w:jc w:val="both"/>
        <w:rPr>
          <w:sz w:val="28"/>
          <w:szCs w:val="28"/>
          <w:lang w:val="es-ES_tradnl"/>
        </w:rPr>
      </w:pPr>
    </w:p>
    <w:p w14:paraId="6558C1F3" w14:textId="50C0EB59" w:rsidR="00F90529"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bCs/>
          <w:i/>
          <w:iCs/>
          <w:sz w:val="28"/>
          <w:szCs w:val="28"/>
          <w:lang w:val="es-ES_tradnl"/>
        </w:rPr>
        <w:t>La identificación de la naturaleza de la norma acusada</w:t>
      </w:r>
      <w:r w:rsidRPr="00554FD8">
        <w:rPr>
          <w:bCs/>
          <w:sz w:val="28"/>
          <w:szCs w:val="28"/>
          <w:lang w:val="es-ES_tradnl"/>
        </w:rPr>
        <w:t xml:space="preserve">. La Sala reitera que en la identificación de la naturaleza de la disposición censurada debe verificarse si esta se refiere a materias cuya regulación sea competencia del Congreso de la República en cumplimiento de sus funciones ordinarias constitucionales. En este punto, debe precisarse como lo hizo la Sentencia C-244 de 2025, que una cosa es la función de planificación contenida en los artículos 339 y siguientes de la Constitución y otra las competencias asignadas al Congreso de la República en ejercicio de su función ordinaria legislativa. </w:t>
      </w:r>
    </w:p>
    <w:p w14:paraId="6735A54B" w14:textId="77777777" w:rsidR="00AF320E" w:rsidRDefault="00AF320E" w:rsidP="00AF320E">
      <w:pPr>
        <w:pStyle w:val="Prrafodelista"/>
        <w:rPr>
          <w:bCs/>
          <w:sz w:val="28"/>
          <w:szCs w:val="28"/>
          <w:lang w:val="es-ES_tradnl"/>
        </w:rPr>
      </w:pPr>
    </w:p>
    <w:p w14:paraId="35A208F5" w14:textId="0316804E" w:rsidR="00AF320E" w:rsidRPr="00AD0E5E" w:rsidRDefault="00AF320E" w:rsidP="00D52700">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AD0E5E">
        <w:rPr>
          <w:bCs/>
          <w:sz w:val="28"/>
          <w:szCs w:val="28"/>
          <w:lang w:val="es-ES_tradnl"/>
        </w:rPr>
        <w:t>Al respecto, en la Sentencia C-244 de 2025 se precisó que:</w:t>
      </w:r>
      <w:r w:rsidRPr="00AD0E5E">
        <w:rPr>
          <w:sz w:val="28"/>
          <w:szCs w:val="28"/>
        </w:rPr>
        <w:t xml:space="preserve"> “el principio de unidad de materia en la ley del plan </w:t>
      </w:r>
      <w:r w:rsidRPr="00AD0E5E">
        <w:rPr>
          <w:iCs/>
          <w:sz w:val="28"/>
          <w:szCs w:val="28"/>
        </w:rPr>
        <w:t>proscribe de manera general la aprobación de reglas que modifiquen normas de carácter permanente o impliquen reformas estructurales</w:t>
      </w:r>
      <w:r w:rsidRPr="00AD0E5E">
        <w:rPr>
          <w:sz w:val="28"/>
          <w:szCs w:val="28"/>
        </w:rPr>
        <w:t xml:space="preserve"> […]. La ley que aprueba el PND para un cuatrienio presidencial no puede contener una regulación sobre todas las materias que al Congreso de la República corresponden en el ejercicio de sus atribuciones. No podría incluir cualquier normatividad legal, ya que ello implicaría que la atribución asignada al Congreso de la República por el numeral 3 del art. 150 de la Carta, termine por subsumir, suprimir o reducir las demás funciones constitucionales del legislador”</w:t>
      </w:r>
      <w:r w:rsidRPr="00AD0E5E">
        <w:rPr>
          <w:rStyle w:val="Refdenotaalpie"/>
          <w:sz w:val="28"/>
          <w:szCs w:val="28"/>
        </w:rPr>
        <w:footnoteReference w:id="107"/>
      </w:r>
      <w:r w:rsidRPr="00AD0E5E">
        <w:rPr>
          <w:sz w:val="28"/>
          <w:szCs w:val="28"/>
        </w:rPr>
        <w:t xml:space="preserve">. </w:t>
      </w:r>
      <w:r w:rsidRPr="00AD0E5E">
        <w:rPr>
          <w:bCs/>
          <w:sz w:val="28"/>
          <w:szCs w:val="28"/>
          <w:lang w:val="es-ES_tradnl"/>
        </w:rPr>
        <w:t>En esa misma providencia se identificaron, sin pretensión de exhaustividad, algunas normas que en principio deben ser tramitadas por el Congreso de la República en ejercicio de sus competencias ordinarias: (i) normas tributarias; (ii) disposiciones de carácter sancionatorio y (iii) normas que modifican la legislación de manera permanente, entre otras</w:t>
      </w:r>
      <w:r w:rsidRPr="00AD0E5E">
        <w:rPr>
          <w:rStyle w:val="Refdenotaalpie"/>
          <w:bCs/>
          <w:sz w:val="28"/>
          <w:szCs w:val="28"/>
          <w:lang w:val="es-ES_tradnl"/>
        </w:rPr>
        <w:footnoteReference w:id="108"/>
      </w:r>
      <w:r w:rsidRPr="00AD0E5E">
        <w:rPr>
          <w:bCs/>
          <w:sz w:val="28"/>
          <w:szCs w:val="28"/>
          <w:lang w:val="es-ES_tradnl"/>
        </w:rPr>
        <w:t>.</w:t>
      </w:r>
    </w:p>
    <w:p w14:paraId="19157D84" w14:textId="77777777" w:rsidR="00F90529" w:rsidRPr="00554FD8" w:rsidRDefault="00F90529" w:rsidP="00F90529">
      <w:pPr>
        <w:pStyle w:val="Prrafodelista"/>
        <w:spacing w:line="0" w:lineRule="atLeast"/>
        <w:rPr>
          <w:bCs/>
          <w:sz w:val="28"/>
          <w:szCs w:val="28"/>
          <w:lang w:val="es-ES_tradnl"/>
        </w:rPr>
      </w:pPr>
    </w:p>
    <w:p w14:paraId="687CFC8E"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bCs/>
          <w:i/>
          <w:iCs/>
          <w:sz w:val="28"/>
          <w:szCs w:val="28"/>
          <w:lang w:val="es-ES_tradnl"/>
        </w:rPr>
        <w:t>Nivel de escrutinio aplicado en intensidad mayor</w:t>
      </w:r>
      <w:r w:rsidRPr="00554FD8">
        <w:rPr>
          <w:bCs/>
          <w:sz w:val="28"/>
          <w:szCs w:val="28"/>
          <w:lang w:val="es-ES_tradnl"/>
        </w:rPr>
        <w:t xml:space="preserve">. Si se trata de una intensidad mayor en el análisis se debe seguir la metodología contenida en la Sentencia C-244 de 2025, en el siguiente sentido: </w:t>
      </w:r>
    </w:p>
    <w:p w14:paraId="1DF1B7FE" w14:textId="77777777" w:rsidR="00F90529" w:rsidRPr="00554FD8" w:rsidRDefault="00F90529" w:rsidP="00F90529">
      <w:pPr>
        <w:pStyle w:val="Prrafodelista"/>
        <w:rPr>
          <w:rFonts w:eastAsiaTheme="minorEastAsia"/>
          <w:lang w:val="es-ES_tradnl"/>
        </w:rPr>
      </w:pPr>
    </w:p>
    <w:p w14:paraId="5D2C4E08" w14:textId="77777777" w:rsidR="00F90529" w:rsidRPr="00554FD8" w:rsidRDefault="00F90529" w:rsidP="00F90529">
      <w:pPr>
        <w:widowControl w:val="0"/>
        <w:pBdr>
          <w:top w:val="nil"/>
          <w:left w:val="nil"/>
          <w:bottom w:val="nil"/>
          <w:right w:val="nil"/>
          <w:between w:val="nil"/>
        </w:pBdr>
        <w:tabs>
          <w:tab w:val="left" w:pos="426"/>
        </w:tabs>
        <w:ind w:left="284" w:right="284"/>
        <w:jc w:val="both"/>
        <w:rPr>
          <w:bCs/>
          <w:lang w:val="es-ES_tradnl"/>
        </w:rPr>
      </w:pPr>
      <w:r w:rsidRPr="00554FD8">
        <w:rPr>
          <w:lang w:val="es-ES_tradnl"/>
        </w:rPr>
        <w:t>“</w:t>
      </w:r>
      <w:r w:rsidRPr="00554FD8">
        <w:rPr>
          <w:iCs/>
          <w:shd w:val="clear" w:color="auto" w:fill="FFFFFF"/>
          <w:lang w:val="es-ES_tradnl"/>
        </w:rPr>
        <w:t xml:space="preserve">(i) determinar la ubicación y alcance de las normas demandadas para establecer si se trata de una disposición </w:t>
      </w:r>
      <w:r w:rsidRPr="00554FD8">
        <w:rPr>
          <w:bCs/>
          <w:iCs/>
          <w:lang w:val="es-ES_tradnl"/>
        </w:rPr>
        <w:t>instrumental</w:t>
      </w:r>
      <w:r w:rsidRPr="00554FD8">
        <w:rPr>
          <w:iCs/>
          <w:shd w:val="clear" w:color="auto" w:fill="FFFFFF"/>
          <w:lang w:val="es-ES_tradnl"/>
        </w:rPr>
        <w:t>; (ii) definir si en la parte general del plan existen objetivos, metas, planes o estrategias que puedan relacionarse con las disposiciones acusadas (carácter instrumental)</w:t>
      </w:r>
      <w:r w:rsidRPr="00554FD8">
        <w:rPr>
          <w:i/>
          <w:iCs/>
          <w:shd w:val="clear" w:color="auto" w:fill="FFFFFF"/>
          <w:lang w:val="es-ES_tradnl"/>
        </w:rPr>
        <w:t xml:space="preserve"> </w:t>
      </w:r>
      <w:r w:rsidRPr="00554FD8">
        <w:rPr>
          <w:shd w:val="clear" w:color="auto" w:fill="FFFFFF"/>
          <w:lang w:val="es-ES_tradnl"/>
        </w:rPr>
        <w:t>[</w:t>
      </w:r>
      <w:r w:rsidRPr="00554FD8">
        <w:rPr>
          <w:lang w:val="es-ES_tradnl"/>
        </w:rPr>
        <w:t>Asimismo, verificar si las disposiciones demandadas pueden relacionarse con los programas del Plan Plurianual de Inversiones]</w:t>
      </w:r>
      <w:r w:rsidRPr="00554FD8">
        <w:rPr>
          <w:shd w:val="clear" w:color="auto" w:fill="FFFFFF"/>
          <w:lang w:val="es-ES_tradnl"/>
        </w:rPr>
        <w:t>.</w:t>
      </w:r>
      <w:r w:rsidRPr="00554FD8">
        <w:rPr>
          <w:iCs/>
          <w:shd w:val="clear" w:color="auto" w:fill="FFFFFF"/>
          <w:lang w:val="es-ES_tradnl"/>
        </w:rPr>
        <w:t xml:space="preserve"> En tal dirección, (iii) constatar que exista conexidad directa e inmediata (estrecha y verificable) entre las normas cuestionadas y los objetivos, metas o estrategias de la parte general del plan, </w:t>
      </w:r>
      <w:r w:rsidRPr="00554FD8">
        <w:rPr>
          <w:shd w:val="clear" w:color="auto" w:fill="FFFFFF"/>
          <w:lang w:val="es-ES_tradnl"/>
        </w:rPr>
        <w:t>[o con]</w:t>
      </w:r>
      <w:r w:rsidRPr="00554FD8">
        <w:rPr>
          <w:iCs/>
          <w:shd w:val="clear" w:color="auto" w:fill="FFFFFF"/>
          <w:lang w:val="es-ES_tradnl"/>
        </w:rPr>
        <w:t xml:space="preserve"> los programas, proyectos y apropiaciones que se autoricen para su ejecución y de las medidas que se adopten para impulsar su cumplimiento, los cuales siempre han de contar con un referente en la parte general del mismo</w:t>
      </w:r>
      <w:r w:rsidRPr="00554FD8">
        <w:rPr>
          <w:shd w:val="clear" w:color="auto" w:fill="FFFFFF"/>
          <w:lang w:val="es-ES_tradnl"/>
        </w:rPr>
        <w:t>”</w:t>
      </w:r>
      <w:r w:rsidRPr="00554FD8">
        <w:rPr>
          <w:rStyle w:val="Refdenotaalpie"/>
          <w:rFonts w:eastAsiaTheme="majorEastAsia"/>
          <w:shd w:val="clear" w:color="auto" w:fill="FFFFFF"/>
          <w:lang w:val="es-ES_tradnl"/>
        </w:rPr>
        <w:footnoteReference w:id="109"/>
      </w:r>
      <w:r w:rsidRPr="00554FD8">
        <w:rPr>
          <w:shd w:val="clear" w:color="auto" w:fill="FFFFFF"/>
          <w:lang w:val="es-ES_tradnl"/>
        </w:rPr>
        <w:t>.</w:t>
      </w:r>
    </w:p>
    <w:p w14:paraId="07BA830B" w14:textId="77777777" w:rsidR="00F90529" w:rsidRPr="00554FD8" w:rsidRDefault="00F90529" w:rsidP="00F90529">
      <w:pPr>
        <w:pStyle w:val="Prrafodelista"/>
        <w:spacing w:line="0" w:lineRule="atLeast"/>
        <w:rPr>
          <w:bCs/>
          <w:sz w:val="28"/>
          <w:szCs w:val="28"/>
          <w:lang w:val="es-ES_tradnl"/>
        </w:rPr>
      </w:pPr>
    </w:p>
    <w:p w14:paraId="1941F352" w14:textId="2925D5E6"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bCs/>
          <w:sz w:val="28"/>
          <w:szCs w:val="28"/>
          <w:lang w:val="es-ES_tradnl"/>
        </w:rPr>
        <w:t xml:space="preserve">Sobre este punto, la Sala Plena reitera que la conexidad de las normas instrumentales debe verificarse bien sea con las </w:t>
      </w:r>
      <w:r w:rsidR="00A21C73">
        <w:rPr>
          <w:bCs/>
          <w:sz w:val="28"/>
          <w:szCs w:val="28"/>
          <w:lang w:val="es-ES_tradnl"/>
        </w:rPr>
        <w:t>B</w:t>
      </w:r>
      <w:r w:rsidRPr="00554FD8">
        <w:rPr>
          <w:bCs/>
          <w:sz w:val="28"/>
          <w:szCs w:val="28"/>
          <w:lang w:val="es-ES_tradnl"/>
        </w:rPr>
        <w:t xml:space="preserve">ases del plan o con el </w:t>
      </w:r>
      <w:r w:rsidR="00A21C73">
        <w:rPr>
          <w:bCs/>
          <w:sz w:val="28"/>
          <w:szCs w:val="28"/>
          <w:lang w:val="es-ES_tradnl"/>
        </w:rPr>
        <w:t>P</w:t>
      </w:r>
      <w:r w:rsidRPr="00554FD8">
        <w:rPr>
          <w:bCs/>
          <w:sz w:val="28"/>
          <w:szCs w:val="28"/>
          <w:lang w:val="es-ES_tradnl"/>
        </w:rPr>
        <w:t xml:space="preserve">lan </w:t>
      </w:r>
      <w:r w:rsidR="00A21C73">
        <w:rPr>
          <w:bCs/>
          <w:sz w:val="28"/>
          <w:szCs w:val="28"/>
          <w:lang w:val="es-ES_tradnl"/>
        </w:rPr>
        <w:t>P</w:t>
      </w:r>
      <w:r w:rsidRPr="00554FD8">
        <w:rPr>
          <w:bCs/>
          <w:sz w:val="28"/>
          <w:szCs w:val="28"/>
          <w:lang w:val="es-ES_tradnl"/>
        </w:rPr>
        <w:t xml:space="preserve">lurianual de </w:t>
      </w:r>
      <w:r w:rsidR="00A21C73">
        <w:rPr>
          <w:bCs/>
          <w:iCs/>
          <w:sz w:val="28"/>
          <w:szCs w:val="28"/>
          <w:lang w:val="es-ES_tradnl"/>
        </w:rPr>
        <w:t>I</w:t>
      </w:r>
      <w:r w:rsidRPr="00554FD8">
        <w:rPr>
          <w:bCs/>
          <w:iCs/>
          <w:sz w:val="28"/>
          <w:szCs w:val="28"/>
          <w:lang w:val="es-ES_tradnl"/>
        </w:rPr>
        <w:t>nversiones</w:t>
      </w:r>
      <w:r w:rsidRPr="00554FD8">
        <w:rPr>
          <w:bCs/>
          <w:sz w:val="28"/>
          <w:szCs w:val="28"/>
          <w:lang w:val="es-ES_tradnl"/>
        </w:rPr>
        <w:t>. En otras palabras, la verificación de la conexidad directa e inmediata se debe hacer con cualquiera de los dos instrumentos mencionados previamente</w:t>
      </w:r>
      <w:r w:rsidRPr="00554FD8">
        <w:rPr>
          <w:rStyle w:val="Refdenotaalpie"/>
          <w:bCs/>
          <w:sz w:val="28"/>
          <w:szCs w:val="28"/>
          <w:lang w:val="es-ES_tradnl"/>
        </w:rPr>
        <w:footnoteReference w:id="110"/>
      </w:r>
      <w:r w:rsidRPr="00554FD8">
        <w:rPr>
          <w:bCs/>
          <w:sz w:val="28"/>
          <w:szCs w:val="28"/>
          <w:lang w:val="es-ES_tradnl"/>
        </w:rPr>
        <w:t xml:space="preserve">. </w:t>
      </w:r>
    </w:p>
    <w:p w14:paraId="12205EB8" w14:textId="77777777" w:rsidR="00F90529" w:rsidRPr="00554FD8" w:rsidRDefault="00F90529" w:rsidP="00F90529">
      <w:pPr>
        <w:pStyle w:val="Prrafodelista"/>
        <w:spacing w:line="0" w:lineRule="atLeast"/>
        <w:rPr>
          <w:bCs/>
          <w:sz w:val="28"/>
          <w:szCs w:val="28"/>
          <w:lang w:val="es-ES_tradnl"/>
        </w:rPr>
      </w:pPr>
    </w:p>
    <w:p w14:paraId="7EDE68B8" w14:textId="6EF01120" w:rsidR="00F90529" w:rsidRPr="00AD0E5E" w:rsidRDefault="00F90529" w:rsidP="00861C32">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AD0E5E">
        <w:rPr>
          <w:bCs/>
          <w:sz w:val="28"/>
          <w:szCs w:val="28"/>
          <w:lang w:val="es-ES_tradnl"/>
        </w:rPr>
        <w:t xml:space="preserve">De otra parte, </w:t>
      </w:r>
      <w:r w:rsidR="00861C32" w:rsidRPr="00AD0E5E">
        <w:rPr>
          <w:bCs/>
          <w:sz w:val="28"/>
          <w:szCs w:val="28"/>
          <w:lang w:val="es-ES_tradnl"/>
        </w:rPr>
        <w:t xml:space="preserve">para verificar la existencia de la relación de conexidad directa e inmediata, estrecha y verificable, entre la norma instrumental y los objetivos del PND o </w:t>
      </w:r>
      <w:r w:rsidR="0004045F" w:rsidRPr="00AD0E5E">
        <w:rPr>
          <w:bCs/>
          <w:sz w:val="28"/>
          <w:szCs w:val="28"/>
          <w:lang w:val="es-ES_tradnl"/>
        </w:rPr>
        <w:t xml:space="preserve">los </w:t>
      </w:r>
      <w:r w:rsidR="00861C32" w:rsidRPr="00AD0E5E">
        <w:rPr>
          <w:bCs/>
          <w:sz w:val="28"/>
          <w:szCs w:val="28"/>
          <w:lang w:val="es-ES_tradnl"/>
        </w:rPr>
        <w:t xml:space="preserve">programas del Plan Plurianual de Inversiones, </w:t>
      </w:r>
      <w:r w:rsidRPr="00AD0E5E">
        <w:rPr>
          <w:bCs/>
          <w:sz w:val="28"/>
          <w:szCs w:val="28"/>
          <w:lang w:val="es-ES_tradnl"/>
        </w:rPr>
        <w:t xml:space="preserve">la Corte Constitucional debe considerar las explicaciones que se dieron en las </w:t>
      </w:r>
      <w:r w:rsidR="00A21C73" w:rsidRPr="00AD0E5E">
        <w:rPr>
          <w:bCs/>
          <w:sz w:val="28"/>
          <w:szCs w:val="28"/>
          <w:lang w:val="es-ES_tradnl"/>
        </w:rPr>
        <w:t>B</w:t>
      </w:r>
      <w:r w:rsidRPr="00AD0E5E">
        <w:rPr>
          <w:bCs/>
          <w:sz w:val="28"/>
          <w:szCs w:val="28"/>
          <w:lang w:val="es-ES_tradnl"/>
        </w:rPr>
        <w:t xml:space="preserve">ases del plan, en el trámite legislativo y en las intervenciones durante el trámite de </w:t>
      </w:r>
      <w:r w:rsidR="0004045F" w:rsidRPr="00AD0E5E">
        <w:rPr>
          <w:bCs/>
          <w:sz w:val="28"/>
          <w:szCs w:val="28"/>
          <w:lang w:val="es-ES_tradnl"/>
        </w:rPr>
        <w:t xml:space="preserve">revisión constitucional </w:t>
      </w:r>
      <w:r w:rsidRPr="00AD0E5E">
        <w:rPr>
          <w:bCs/>
          <w:sz w:val="28"/>
          <w:szCs w:val="28"/>
          <w:lang w:val="es-ES_tradnl"/>
        </w:rPr>
        <w:t>por parte del Gobierno nacional</w:t>
      </w:r>
      <w:r w:rsidRPr="00AD0E5E">
        <w:rPr>
          <w:rStyle w:val="Refdenotaalpie"/>
          <w:bCs/>
          <w:sz w:val="28"/>
          <w:szCs w:val="28"/>
          <w:lang w:val="es-ES_tradnl"/>
        </w:rPr>
        <w:footnoteReference w:id="111"/>
      </w:r>
      <w:r w:rsidRPr="00AD0E5E">
        <w:rPr>
          <w:bCs/>
          <w:sz w:val="28"/>
          <w:szCs w:val="28"/>
          <w:lang w:val="es-ES_tradnl"/>
        </w:rPr>
        <w:t xml:space="preserve">. </w:t>
      </w:r>
    </w:p>
    <w:p w14:paraId="35645DAB" w14:textId="77777777" w:rsidR="00F90529" w:rsidRPr="00554FD8" w:rsidRDefault="00F90529" w:rsidP="00F90529">
      <w:pPr>
        <w:pStyle w:val="Prrafodelista"/>
        <w:spacing w:line="0" w:lineRule="atLeast"/>
        <w:rPr>
          <w:bCs/>
          <w:sz w:val="28"/>
          <w:szCs w:val="28"/>
          <w:lang w:val="es-ES_tradnl"/>
        </w:rPr>
      </w:pPr>
    </w:p>
    <w:p w14:paraId="666A48A7" w14:textId="07BB97FA" w:rsidR="00F90529" w:rsidRPr="00554FD8" w:rsidRDefault="00F90529" w:rsidP="00D52700">
      <w:pPr>
        <w:widowControl w:val="0"/>
        <w:numPr>
          <w:ilvl w:val="0"/>
          <w:numId w:val="1"/>
        </w:numPr>
        <w:pBdr>
          <w:top w:val="nil"/>
          <w:left w:val="nil"/>
          <w:bottom w:val="nil"/>
          <w:right w:val="nil"/>
          <w:between w:val="nil"/>
        </w:pBdr>
        <w:tabs>
          <w:tab w:val="left" w:pos="426"/>
        </w:tabs>
        <w:ind w:left="0" w:firstLine="0"/>
        <w:jc w:val="both"/>
        <w:rPr>
          <w:b/>
          <w:bCs/>
          <w:sz w:val="28"/>
          <w:szCs w:val="28"/>
          <w:lang w:val="es-ES_tradnl"/>
        </w:rPr>
      </w:pPr>
      <w:r w:rsidRPr="00554FD8">
        <w:rPr>
          <w:bCs/>
          <w:i/>
          <w:iCs/>
          <w:sz w:val="28"/>
          <w:szCs w:val="28"/>
          <w:lang w:val="es-ES_tradnl"/>
        </w:rPr>
        <w:t>Escrutinio con intensidad menor</w:t>
      </w:r>
      <w:r w:rsidRPr="00554FD8">
        <w:rPr>
          <w:bCs/>
          <w:sz w:val="28"/>
          <w:szCs w:val="28"/>
          <w:lang w:val="es-ES_tradnl"/>
        </w:rPr>
        <w:t>. En este escenario a la Corte le corresponde, de una parte,</w:t>
      </w:r>
      <w:r w:rsidRPr="00554FD8">
        <w:rPr>
          <w:i/>
          <w:iCs/>
          <w:sz w:val="28"/>
          <w:szCs w:val="28"/>
          <w:shd w:val="clear" w:color="auto" w:fill="FFFFFF"/>
          <w:lang w:val="es-ES_tradnl"/>
        </w:rPr>
        <w:t xml:space="preserve"> </w:t>
      </w:r>
      <w:r w:rsidRPr="00554FD8">
        <w:rPr>
          <w:sz w:val="28"/>
          <w:szCs w:val="28"/>
          <w:lang w:val="es-ES_tradnl"/>
        </w:rPr>
        <w:t>“</w:t>
      </w:r>
      <w:r w:rsidRPr="00554FD8">
        <w:rPr>
          <w:iCs/>
          <w:sz w:val="28"/>
          <w:szCs w:val="28"/>
          <w:shd w:val="clear" w:color="auto" w:fill="FFFFFF"/>
          <w:lang w:val="es-ES_tradnl"/>
        </w:rPr>
        <w:t>determinar la ubicación y alcance de las normas demandadas para establecer si se trata de una disposición instrumental”</w:t>
      </w:r>
      <w:r w:rsidRPr="00554FD8">
        <w:rPr>
          <w:rStyle w:val="Refdenotaalpie"/>
          <w:rFonts w:eastAsiaTheme="majorEastAsia"/>
          <w:sz w:val="28"/>
          <w:szCs w:val="28"/>
          <w:shd w:val="clear" w:color="auto" w:fill="FFFFFF"/>
          <w:lang w:val="es-ES_tradnl"/>
        </w:rPr>
        <w:footnoteReference w:id="112"/>
      </w:r>
      <w:r w:rsidRPr="00554FD8">
        <w:rPr>
          <w:iCs/>
          <w:sz w:val="28"/>
          <w:szCs w:val="28"/>
          <w:shd w:val="clear" w:color="auto" w:fill="FFFFFF"/>
          <w:lang w:val="es-ES_tradnl"/>
        </w:rPr>
        <w:t xml:space="preserve"> </w:t>
      </w:r>
      <w:r w:rsidRPr="00554FD8">
        <w:rPr>
          <w:sz w:val="28"/>
          <w:szCs w:val="28"/>
          <w:shd w:val="clear" w:color="auto" w:fill="FFFFFF"/>
          <w:lang w:val="es-ES_tradnl"/>
        </w:rPr>
        <w:t xml:space="preserve"> y de otra </w:t>
      </w:r>
      <w:r w:rsidRPr="00554FD8">
        <w:rPr>
          <w:iCs/>
          <w:sz w:val="28"/>
          <w:szCs w:val="28"/>
          <w:shd w:val="clear" w:color="auto" w:fill="FFFFFF"/>
          <w:lang w:val="es-ES_tradnl"/>
        </w:rPr>
        <w:t>“definir si en la parte general del plan existen objetivos, metas, planes o estrategias que puedan relacionarse con las disposiciones acusadas (carácter instrumental)”</w:t>
      </w:r>
      <w:r w:rsidRPr="00554FD8">
        <w:rPr>
          <w:rStyle w:val="Refdenotaalpie"/>
          <w:rFonts w:eastAsiaTheme="majorEastAsia"/>
          <w:sz w:val="28"/>
          <w:szCs w:val="28"/>
          <w:shd w:val="clear" w:color="auto" w:fill="FFFFFF"/>
          <w:lang w:val="es-ES_tradnl"/>
        </w:rPr>
        <w:footnoteReference w:id="113"/>
      </w:r>
      <w:r w:rsidRPr="00554FD8">
        <w:rPr>
          <w:iCs/>
          <w:sz w:val="28"/>
          <w:szCs w:val="28"/>
          <w:shd w:val="clear" w:color="auto" w:fill="FFFFFF"/>
          <w:lang w:val="es-ES_tradnl"/>
        </w:rPr>
        <w:t>.</w:t>
      </w:r>
      <w:r w:rsidRPr="00554FD8">
        <w:rPr>
          <w:i/>
          <w:iCs/>
          <w:sz w:val="28"/>
          <w:szCs w:val="28"/>
          <w:shd w:val="clear" w:color="auto" w:fill="FFFFFF"/>
          <w:lang w:val="es-ES_tradnl"/>
        </w:rPr>
        <w:t xml:space="preserve"> </w:t>
      </w:r>
      <w:r w:rsidRPr="00554FD8">
        <w:rPr>
          <w:sz w:val="28"/>
          <w:szCs w:val="28"/>
          <w:shd w:val="clear" w:color="auto" w:fill="FFFFFF"/>
          <w:lang w:val="es-ES_tradnl"/>
        </w:rPr>
        <w:t xml:space="preserve">De igual </w:t>
      </w:r>
      <w:r w:rsidRPr="00554FD8">
        <w:rPr>
          <w:bCs/>
          <w:sz w:val="28"/>
          <w:szCs w:val="28"/>
          <w:lang w:val="es-ES_tradnl"/>
        </w:rPr>
        <w:t>forma</w:t>
      </w:r>
      <w:r w:rsidRPr="00554FD8">
        <w:rPr>
          <w:sz w:val="28"/>
          <w:szCs w:val="28"/>
          <w:shd w:val="clear" w:color="auto" w:fill="FFFFFF"/>
          <w:lang w:val="es-ES_tradnl"/>
        </w:rPr>
        <w:t xml:space="preserve">, el análisis debe comprender la verificación sobre si las </w:t>
      </w:r>
      <w:r w:rsidRPr="00554FD8">
        <w:rPr>
          <w:sz w:val="28"/>
          <w:szCs w:val="28"/>
          <w:lang w:val="es-ES_tradnl"/>
        </w:rPr>
        <w:t xml:space="preserve">disposiciones demandadas podrían relacionarse con los programas del </w:t>
      </w:r>
      <w:r w:rsidR="00A21C73">
        <w:rPr>
          <w:sz w:val="28"/>
          <w:szCs w:val="28"/>
          <w:lang w:val="es-ES_tradnl"/>
        </w:rPr>
        <w:t>P</w:t>
      </w:r>
      <w:r w:rsidRPr="00554FD8">
        <w:rPr>
          <w:sz w:val="28"/>
          <w:szCs w:val="28"/>
          <w:lang w:val="es-ES_tradnl"/>
        </w:rPr>
        <w:t xml:space="preserve">lan </w:t>
      </w:r>
      <w:r w:rsidR="00A21C73">
        <w:rPr>
          <w:sz w:val="28"/>
          <w:szCs w:val="28"/>
          <w:lang w:val="es-ES_tradnl"/>
        </w:rPr>
        <w:t>P</w:t>
      </w:r>
      <w:r w:rsidRPr="00554FD8">
        <w:rPr>
          <w:sz w:val="28"/>
          <w:szCs w:val="28"/>
          <w:lang w:val="es-ES_tradnl"/>
        </w:rPr>
        <w:t xml:space="preserve">lurianual de </w:t>
      </w:r>
      <w:r w:rsidR="00A21C73">
        <w:rPr>
          <w:sz w:val="28"/>
          <w:szCs w:val="28"/>
          <w:lang w:val="es-ES_tradnl"/>
        </w:rPr>
        <w:t>I</w:t>
      </w:r>
      <w:r w:rsidRPr="00554FD8">
        <w:rPr>
          <w:sz w:val="28"/>
          <w:szCs w:val="28"/>
          <w:lang w:val="es-ES_tradnl"/>
        </w:rPr>
        <w:t xml:space="preserve">nversiones. Como paso final, se debe examinar que la norma </w:t>
      </w:r>
      <w:r w:rsidRPr="00554FD8">
        <w:rPr>
          <w:bCs/>
          <w:iCs/>
          <w:sz w:val="28"/>
          <w:szCs w:val="28"/>
          <w:lang w:val="es-ES_tradnl"/>
        </w:rPr>
        <w:t>tenga</w:t>
      </w:r>
      <w:r w:rsidRPr="00554FD8">
        <w:rPr>
          <w:sz w:val="28"/>
          <w:szCs w:val="28"/>
          <w:lang w:val="es-ES_tradnl"/>
        </w:rPr>
        <w:t xml:space="preserve"> una conexidad objetiva y razonable con las </w:t>
      </w:r>
      <w:r w:rsidR="00A21C73">
        <w:rPr>
          <w:sz w:val="28"/>
          <w:szCs w:val="28"/>
          <w:lang w:val="es-ES_tradnl"/>
        </w:rPr>
        <w:t>B</w:t>
      </w:r>
      <w:r w:rsidRPr="00554FD8">
        <w:rPr>
          <w:sz w:val="28"/>
          <w:szCs w:val="28"/>
          <w:lang w:val="es-ES_tradnl"/>
        </w:rPr>
        <w:t>ases del plan y, además, si contribuye, razonable y objetivamente a la consecución del fin que se propone</w:t>
      </w:r>
      <w:r w:rsidRPr="00554FD8">
        <w:rPr>
          <w:rStyle w:val="Refdenotaalpie"/>
          <w:sz w:val="28"/>
          <w:szCs w:val="28"/>
          <w:lang w:val="es-ES_tradnl"/>
        </w:rPr>
        <w:footnoteReference w:id="114"/>
      </w:r>
      <w:r w:rsidRPr="00554FD8">
        <w:rPr>
          <w:sz w:val="28"/>
          <w:szCs w:val="28"/>
          <w:lang w:val="es-ES_tradnl"/>
        </w:rPr>
        <w:t xml:space="preserve">. </w:t>
      </w:r>
    </w:p>
    <w:p w14:paraId="16721F37" w14:textId="77777777" w:rsidR="00F90529" w:rsidRPr="00554FD8" w:rsidRDefault="00F90529" w:rsidP="00F90529">
      <w:pPr>
        <w:spacing w:line="0" w:lineRule="atLeast"/>
        <w:rPr>
          <w:bCs/>
          <w:sz w:val="28"/>
          <w:szCs w:val="28"/>
          <w:lang w:val="es-ES_tradnl"/>
        </w:rPr>
      </w:pPr>
    </w:p>
    <w:p w14:paraId="33242DB7" w14:textId="2B883AC9"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bCs/>
          <w:sz w:val="28"/>
          <w:szCs w:val="28"/>
          <w:lang w:val="es-ES_tradnl"/>
        </w:rPr>
      </w:pPr>
      <w:r w:rsidRPr="00554FD8">
        <w:rPr>
          <w:bCs/>
          <w:sz w:val="28"/>
          <w:szCs w:val="28"/>
          <w:lang w:val="es-ES_tradnl"/>
        </w:rPr>
        <w:t xml:space="preserve">En suma, la metodología </w:t>
      </w:r>
      <w:r w:rsidR="00CA088C">
        <w:rPr>
          <w:bCs/>
          <w:sz w:val="28"/>
          <w:szCs w:val="28"/>
          <w:lang w:val="es-ES_tradnl"/>
        </w:rPr>
        <w:t>actualiza</w:t>
      </w:r>
      <w:r w:rsidR="00CA088C" w:rsidRPr="00554FD8">
        <w:rPr>
          <w:bCs/>
          <w:sz w:val="28"/>
          <w:szCs w:val="28"/>
          <w:lang w:val="es-ES_tradnl"/>
        </w:rPr>
        <w:t xml:space="preserve">da </w:t>
      </w:r>
      <w:r w:rsidRPr="00554FD8">
        <w:rPr>
          <w:bCs/>
          <w:sz w:val="28"/>
          <w:szCs w:val="28"/>
          <w:lang w:val="es-ES_tradnl"/>
        </w:rPr>
        <w:t xml:space="preserve">en la Sentencia C-244 de 2025 consta de los siguientes pasos y características: </w:t>
      </w:r>
    </w:p>
    <w:p w14:paraId="3AA5D0F7" w14:textId="77777777" w:rsidR="008416E7" w:rsidRPr="00554FD8" w:rsidRDefault="008416E7" w:rsidP="00F90529">
      <w:pPr>
        <w:rPr>
          <w:bCs/>
          <w:sz w:val="28"/>
          <w:szCs w:val="28"/>
          <w:lang w:val="es-ES_tradnl"/>
        </w:rPr>
      </w:pPr>
    </w:p>
    <w:p w14:paraId="5F85E393" w14:textId="1F1EC090" w:rsidR="00F90529" w:rsidRPr="00554FD8" w:rsidRDefault="00F90529" w:rsidP="00F90529">
      <w:pPr>
        <w:shd w:val="clear" w:color="auto" w:fill="FFFFFF"/>
        <w:jc w:val="center"/>
        <w:textAlignment w:val="baseline"/>
        <w:rPr>
          <w:color w:val="000000"/>
          <w:sz w:val="20"/>
          <w:szCs w:val="20"/>
        </w:rPr>
      </w:pPr>
      <w:r w:rsidRPr="00554FD8">
        <w:rPr>
          <w:bCs/>
          <w:color w:val="000000"/>
          <w:sz w:val="20"/>
          <w:szCs w:val="20"/>
        </w:rPr>
        <w:t xml:space="preserve">Tabla </w:t>
      </w:r>
      <w:r w:rsidR="00AB3A97" w:rsidRPr="00554FD8">
        <w:rPr>
          <w:bCs/>
          <w:color w:val="000000"/>
          <w:sz w:val="20"/>
          <w:szCs w:val="20"/>
        </w:rPr>
        <w:t>3</w:t>
      </w:r>
      <w:r w:rsidRPr="00554FD8">
        <w:rPr>
          <w:bCs/>
          <w:color w:val="000000"/>
          <w:sz w:val="20"/>
          <w:szCs w:val="20"/>
        </w:rPr>
        <w:t>.</w:t>
      </w:r>
      <w:r w:rsidRPr="00554FD8">
        <w:rPr>
          <w:i/>
          <w:iCs/>
          <w:color w:val="000000"/>
          <w:sz w:val="20"/>
          <w:szCs w:val="20"/>
        </w:rPr>
        <w:t> Juicio de unidad de materia respecto de la ley del PND</w:t>
      </w:r>
      <w:r w:rsidRPr="00554FD8">
        <w:rPr>
          <w:rStyle w:val="Refdenotaalpie"/>
          <w:i/>
          <w:iCs/>
          <w:color w:val="000000"/>
          <w:sz w:val="20"/>
          <w:szCs w:val="20"/>
        </w:rPr>
        <w:footnoteReference w:id="115"/>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4408"/>
      </w:tblGrid>
      <w:tr w:rsidR="00F90529" w:rsidRPr="00554FD8" w14:paraId="5E927E02" w14:textId="77777777" w:rsidTr="00AB3A97">
        <w:trPr>
          <w:jc w:val="center"/>
        </w:trPr>
        <w:tc>
          <w:tcPr>
            <w:tcW w:w="8828" w:type="dxa"/>
            <w:gridSpan w:val="2"/>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hideMark/>
          </w:tcPr>
          <w:p w14:paraId="2E7877A3" w14:textId="77777777" w:rsidR="00F90529" w:rsidRPr="00554FD8" w:rsidRDefault="00F90529" w:rsidP="00E97073">
            <w:pPr>
              <w:jc w:val="center"/>
              <w:textAlignment w:val="baseline"/>
              <w:rPr>
                <w:sz w:val="20"/>
                <w:szCs w:val="20"/>
              </w:rPr>
            </w:pPr>
            <w:r w:rsidRPr="00554FD8">
              <w:rPr>
                <w:b/>
                <w:bCs/>
                <w:sz w:val="20"/>
                <w:szCs w:val="20"/>
              </w:rPr>
              <w:t>Definición de la intensidad del escrutinio</w:t>
            </w:r>
          </w:p>
        </w:tc>
      </w:tr>
      <w:tr w:rsidR="00F90529" w:rsidRPr="00554FD8" w14:paraId="7B16B033" w14:textId="77777777" w:rsidTr="00E97073">
        <w:trPr>
          <w:jc w:val="center"/>
        </w:trPr>
        <w:tc>
          <w:tcPr>
            <w:tcW w:w="8828" w:type="dxa"/>
            <w:gridSpan w:val="2"/>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F8EBBE" w14:textId="77777777" w:rsidR="00F90529" w:rsidRPr="00554FD8" w:rsidRDefault="00F90529" w:rsidP="00E97073">
            <w:pPr>
              <w:jc w:val="both"/>
              <w:textAlignment w:val="baseline"/>
              <w:rPr>
                <w:sz w:val="20"/>
                <w:szCs w:val="20"/>
              </w:rPr>
            </w:pPr>
            <w:r w:rsidRPr="00554FD8">
              <w:rPr>
                <w:sz w:val="20"/>
                <w:szCs w:val="20"/>
              </w:rPr>
              <w:t>Cuando la norma demandada –incluida en el PND– sea de aquellas que debían adoptarse por el Congreso de la República en el marco de sus competencias constitucionales ordinarias, el escrutinio </w:t>
            </w:r>
            <w:r w:rsidRPr="00554FD8">
              <w:rPr>
                <w:b/>
                <w:bCs/>
                <w:sz w:val="20"/>
                <w:szCs w:val="20"/>
              </w:rPr>
              <w:t>tendrá una intensidad mayor</w:t>
            </w:r>
            <w:r w:rsidRPr="00554FD8">
              <w:rPr>
                <w:sz w:val="20"/>
                <w:szCs w:val="20"/>
              </w:rPr>
              <w:t>. En contraste, el escrutinio </w:t>
            </w:r>
            <w:r w:rsidRPr="00554FD8">
              <w:rPr>
                <w:b/>
                <w:bCs/>
                <w:sz w:val="20"/>
                <w:szCs w:val="20"/>
              </w:rPr>
              <w:t>tendrá una intensidad menor</w:t>
            </w:r>
            <w:r w:rsidRPr="00554FD8">
              <w:rPr>
                <w:sz w:val="20"/>
                <w:szCs w:val="20"/>
              </w:rPr>
              <w:t> cuando la norma demandada –incluida en el PND– (i) no aborde temáticas que debían ser reguladas, necesariamente, en el marco de las competencias ordinarias del Congreso de la República y (ii) tenga un estricto fin planificador. Se entenderá que existe un fin planificador por parte de la norma instrumental demandada, cuando la incorporación de aquella se dirija a cumplir alguno de los objetivos, metas, estrategias o programas del PND cuya naturaleza es, en principio, </w:t>
            </w:r>
            <w:r w:rsidRPr="00554FD8">
              <w:rPr>
                <w:i/>
                <w:iCs/>
                <w:sz w:val="20"/>
                <w:szCs w:val="20"/>
              </w:rPr>
              <w:t>temporal.</w:t>
            </w:r>
          </w:p>
          <w:p w14:paraId="4C78A9C5" w14:textId="77777777" w:rsidR="00F90529" w:rsidRPr="00554FD8" w:rsidRDefault="00F90529" w:rsidP="00E97073">
            <w:pPr>
              <w:textAlignment w:val="baseline"/>
              <w:rPr>
                <w:sz w:val="20"/>
                <w:szCs w:val="20"/>
              </w:rPr>
            </w:pPr>
            <w:r w:rsidRPr="00554FD8">
              <w:rPr>
                <w:sz w:val="20"/>
                <w:szCs w:val="20"/>
              </w:rPr>
              <w:t> </w:t>
            </w:r>
          </w:p>
          <w:p w14:paraId="4C15CAEC" w14:textId="77777777" w:rsidR="00F90529" w:rsidRPr="00554FD8" w:rsidRDefault="00F90529" w:rsidP="00E97073">
            <w:pPr>
              <w:textAlignment w:val="baseline"/>
              <w:rPr>
                <w:sz w:val="20"/>
                <w:szCs w:val="20"/>
              </w:rPr>
            </w:pPr>
            <w:r w:rsidRPr="00554FD8">
              <w:rPr>
                <w:sz w:val="20"/>
                <w:szCs w:val="20"/>
              </w:rPr>
              <w:t>Definida la intensidad del escrutinio, deberán seguirse las reglas que a continuación se exponen:</w:t>
            </w:r>
          </w:p>
        </w:tc>
      </w:tr>
      <w:tr w:rsidR="00F90529" w:rsidRPr="00554FD8" w14:paraId="41C8B0B5" w14:textId="77777777" w:rsidTr="00AB3A97">
        <w:trPr>
          <w:jc w:val="center"/>
        </w:trPr>
        <w:tc>
          <w:tcPr>
            <w:tcW w:w="4414" w:type="dxa"/>
            <w:tcBorders>
              <w:top w:val="outset" w:sz="6"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hideMark/>
          </w:tcPr>
          <w:p w14:paraId="30728705" w14:textId="77777777" w:rsidR="00F90529" w:rsidRPr="00554FD8" w:rsidRDefault="00F90529" w:rsidP="00E97073">
            <w:pPr>
              <w:jc w:val="center"/>
              <w:textAlignment w:val="baseline"/>
              <w:rPr>
                <w:sz w:val="20"/>
                <w:szCs w:val="20"/>
              </w:rPr>
            </w:pPr>
            <w:r w:rsidRPr="00554FD8">
              <w:rPr>
                <w:b/>
                <w:bCs/>
                <w:sz w:val="20"/>
                <w:szCs w:val="20"/>
              </w:rPr>
              <w:t>Escrutinio de mayor intensidad</w:t>
            </w:r>
          </w:p>
        </w:tc>
        <w:tc>
          <w:tcPr>
            <w:tcW w:w="4414" w:type="dxa"/>
            <w:tcBorders>
              <w:top w:val="outset" w:sz="6" w:space="0" w:color="auto"/>
              <w:left w:val="outset" w:sz="6"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hideMark/>
          </w:tcPr>
          <w:p w14:paraId="34B29346" w14:textId="77777777" w:rsidR="00F90529" w:rsidRPr="00554FD8" w:rsidRDefault="00F90529" w:rsidP="00E97073">
            <w:pPr>
              <w:jc w:val="center"/>
              <w:textAlignment w:val="baseline"/>
              <w:rPr>
                <w:sz w:val="20"/>
                <w:szCs w:val="20"/>
              </w:rPr>
            </w:pPr>
            <w:r w:rsidRPr="00554FD8">
              <w:rPr>
                <w:b/>
                <w:bCs/>
                <w:sz w:val="20"/>
                <w:szCs w:val="20"/>
              </w:rPr>
              <w:t>Escrutinio de menor intensidad</w:t>
            </w:r>
          </w:p>
        </w:tc>
      </w:tr>
      <w:tr w:rsidR="00F90529" w:rsidRPr="00554FD8" w14:paraId="079D03D8" w14:textId="77777777" w:rsidTr="00E97073">
        <w:trPr>
          <w:jc w:val="center"/>
        </w:trPr>
        <w:tc>
          <w:tcPr>
            <w:tcW w:w="8828" w:type="dxa"/>
            <w:gridSpan w:val="2"/>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2FE625" w14:textId="77777777" w:rsidR="00F90529" w:rsidRPr="00554FD8" w:rsidRDefault="00F90529" w:rsidP="00E97073">
            <w:pPr>
              <w:jc w:val="both"/>
              <w:textAlignment w:val="baseline"/>
              <w:rPr>
                <w:sz w:val="20"/>
                <w:szCs w:val="20"/>
              </w:rPr>
            </w:pPr>
            <w:r w:rsidRPr="00554FD8">
              <w:rPr>
                <w:b/>
                <w:bCs/>
                <w:sz w:val="20"/>
                <w:szCs w:val="20"/>
              </w:rPr>
              <w:t>Primera etapa</w:t>
            </w:r>
            <w:r w:rsidRPr="00554FD8">
              <w:rPr>
                <w:sz w:val="20"/>
                <w:szCs w:val="20"/>
              </w:rPr>
              <w:t> (común a ambos escrutinios): “</w:t>
            </w:r>
            <w:r w:rsidRPr="00554FD8">
              <w:rPr>
                <w:i/>
                <w:iCs/>
                <w:sz w:val="20"/>
                <w:szCs w:val="20"/>
              </w:rPr>
              <w:t>determinar la ubicación y alcance de las normas demandadas para establecer si se trata de una disposición instrumental”</w:t>
            </w:r>
            <w:r w:rsidRPr="00554FD8">
              <w:rPr>
                <w:rStyle w:val="Refdenotaalpie"/>
                <w:i/>
                <w:iCs/>
                <w:sz w:val="20"/>
                <w:szCs w:val="20"/>
              </w:rPr>
              <w:footnoteReference w:id="116"/>
            </w:r>
            <w:r w:rsidRPr="00554FD8">
              <w:rPr>
                <w:sz w:val="20"/>
                <w:szCs w:val="20"/>
              </w:rPr>
              <w:t>.</w:t>
            </w:r>
          </w:p>
        </w:tc>
      </w:tr>
      <w:tr w:rsidR="00F90529" w:rsidRPr="00554FD8" w14:paraId="4D2D223E" w14:textId="77777777" w:rsidTr="00E97073">
        <w:trPr>
          <w:jc w:val="center"/>
        </w:trPr>
        <w:tc>
          <w:tcPr>
            <w:tcW w:w="8828" w:type="dxa"/>
            <w:gridSpan w:val="2"/>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A92640" w14:textId="77777777" w:rsidR="00F90529" w:rsidRPr="00554FD8" w:rsidRDefault="00F90529" w:rsidP="00E97073">
            <w:pPr>
              <w:jc w:val="both"/>
              <w:textAlignment w:val="baseline"/>
              <w:rPr>
                <w:sz w:val="20"/>
                <w:szCs w:val="20"/>
              </w:rPr>
            </w:pPr>
            <w:r w:rsidRPr="00554FD8">
              <w:rPr>
                <w:b/>
                <w:bCs/>
                <w:sz w:val="20"/>
                <w:szCs w:val="20"/>
              </w:rPr>
              <w:t>Segunda etapa</w:t>
            </w:r>
            <w:r w:rsidRPr="00554FD8">
              <w:rPr>
                <w:sz w:val="20"/>
                <w:szCs w:val="20"/>
              </w:rPr>
              <w:t> (común a ambos escrutinios): “</w:t>
            </w:r>
            <w:r w:rsidRPr="00554FD8">
              <w:rPr>
                <w:i/>
                <w:iCs/>
                <w:sz w:val="20"/>
                <w:szCs w:val="20"/>
              </w:rPr>
              <w:t>definir si en la parte general del plan existen objetivos, metas, planes o estrategias que puedan relacionarse con las disposiciones acusadas”</w:t>
            </w:r>
            <w:r w:rsidRPr="00554FD8">
              <w:rPr>
                <w:rStyle w:val="Refdenotaalpie"/>
                <w:i/>
                <w:iCs/>
                <w:sz w:val="20"/>
                <w:szCs w:val="20"/>
              </w:rPr>
              <w:footnoteReference w:id="117"/>
            </w:r>
            <w:r w:rsidRPr="00554FD8">
              <w:rPr>
                <w:i/>
                <w:iCs/>
                <w:sz w:val="20"/>
                <w:szCs w:val="20"/>
              </w:rPr>
              <w:t>.</w:t>
            </w:r>
            <w:r w:rsidRPr="00554FD8">
              <w:rPr>
                <w:sz w:val="20"/>
                <w:szCs w:val="20"/>
              </w:rPr>
              <w:t> Asimismo, verificar si las disposiciones demandadas pueden relacionarse con los programas del Plan Plurianual de Inversiones.</w:t>
            </w:r>
          </w:p>
        </w:tc>
      </w:tr>
      <w:tr w:rsidR="00F90529" w:rsidRPr="00554FD8" w14:paraId="66424DE5" w14:textId="77777777" w:rsidTr="00E97073">
        <w:trPr>
          <w:jc w:val="center"/>
        </w:trPr>
        <w:tc>
          <w:tcPr>
            <w:tcW w:w="441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8778D1" w14:textId="77777777" w:rsidR="00F90529" w:rsidRPr="00554FD8" w:rsidRDefault="00F90529" w:rsidP="00E97073">
            <w:pPr>
              <w:jc w:val="both"/>
              <w:textAlignment w:val="baseline"/>
              <w:rPr>
                <w:sz w:val="20"/>
                <w:szCs w:val="20"/>
              </w:rPr>
            </w:pPr>
            <w:r w:rsidRPr="00554FD8">
              <w:rPr>
                <w:b/>
                <w:bCs/>
                <w:sz w:val="20"/>
                <w:szCs w:val="20"/>
              </w:rPr>
              <w:t>Tercera etapa:</w:t>
            </w:r>
            <w:r w:rsidRPr="00554FD8">
              <w:rPr>
                <w:sz w:val="20"/>
                <w:szCs w:val="20"/>
              </w:rPr>
              <w:t> “</w:t>
            </w:r>
            <w:r w:rsidRPr="00554FD8">
              <w:rPr>
                <w:i/>
                <w:iCs/>
                <w:sz w:val="20"/>
                <w:szCs w:val="20"/>
              </w:rPr>
              <w:t>constatar que exista conexidad directa e inmediata (estrecha y verificable) entre las normas cuestionadas y los objetivos, metas o estrategias de la parte general del plan, así como de los programas, proyectos y apropiaciones que se autoricen para su ejecución y de las medidas que se adopten para impulsar su cumplimiento, los cuales siempre han de contar con un referente en la parte general del mismo”</w:t>
            </w:r>
            <w:r w:rsidRPr="00554FD8">
              <w:rPr>
                <w:rStyle w:val="Refdenotaalpie"/>
                <w:i/>
                <w:iCs/>
                <w:sz w:val="20"/>
                <w:szCs w:val="20"/>
              </w:rPr>
              <w:footnoteReference w:id="118"/>
            </w:r>
            <w:r w:rsidRPr="00554FD8">
              <w:rPr>
                <w:sz w:val="20"/>
                <w:szCs w:val="20"/>
              </w:rPr>
              <w:t>.</w:t>
            </w:r>
          </w:p>
          <w:p w14:paraId="0332D108" w14:textId="77777777" w:rsidR="00F90529" w:rsidRPr="00554FD8" w:rsidRDefault="00F90529" w:rsidP="00E97073">
            <w:pPr>
              <w:jc w:val="both"/>
              <w:textAlignment w:val="baseline"/>
              <w:rPr>
                <w:sz w:val="20"/>
                <w:szCs w:val="20"/>
              </w:rPr>
            </w:pPr>
            <w:r w:rsidRPr="00554FD8">
              <w:rPr>
                <w:sz w:val="20"/>
                <w:szCs w:val="20"/>
              </w:rPr>
              <w:t> </w:t>
            </w:r>
          </w:p>
          <w:p w14:paraId="4F89D0FC" w14:textId="77777777" w:rsidR="00F90529" w:rsidRPr="00554FD8" w:rsidRDefault="00F90529" w:rsidP="00E97073">
            <w:pPr>
              <w:jc w:val="both"/>
              <w:textAlignment w:val="baseline"/>
              <w:rPr>
                <w:sz w:val="20"/>
                <w:szCs w:val="20"/>
              </w:rPr>
            </w:pPr>
            <w:r w:rsidRPr="00554FD8">
              <w:rPr>
                <w:i/>
                <w:iCs/>
                <w:sz w:val="20"/>
                <w:szCs w:val="20"/>
                <w:u w:val="single"/>
              </w:rPr>
              <w:t>Explicación de esta etapa</w:t>
            </w:r>
            <w:r w:rsidRPr="00554FD8">
              <w:rPr>
                <w:sz w:val="20"/>
                <w:szCs w:val="20"/>
              </w:rPr>
              <w:t>: En este punto no se puede declarar la </w:t>
            </w:r>
            <w:r w:rsidRPr="00554FD8">
              <w:rPr>
                <w:i/>
                <w:iCs/>
                <w:sz w:val="20"/>
                <w:szCs w:val="20"/>
              </w:rPr>
              <w:t>exequibilidad</w:t>
            </w:r>
            <w:r w:rsidRPr="00554FD8">
              <w:rPr>
                <w:sz w:val="20"/>
                <w:szCs w:val="20"/>
              </w:rPr>
              <w:t> de una norma con base en la existencia de una relación de conexidad cualquiera. Una norma instrumental puede contribuir, en un mayor o menor grado, al cumplimiento de la finalidad para la cual fue incluida. Por ello debe analizarse si la norma instrumental demandada es </w:t>
            </w:r>
            <w:r w:rsidRPr="00554FD8">
              <w:rPr>
                <w:i/>
                <w:iCs/>
                <w:sz w:val="20"/>
                <w:szCs w:val="20"/>
              </w:rPr>
              <w:t>efectiva</w:t>
            </w:r>
            <w:r w:rsidRPr="00554FD8">
              <w:rPr>
                <w:sz w:val="20"/>
                <w:szCs w:val="20"/>
              </w:rPr>
              <w:t> y </w:t>
            </w:r>
            <w:r w:rsidRPr="00554FD8">
              <w:rPr>
                <w:i/>
                <w:iCs/>
                <w:sz w:val="20"/>
                <w:szCs w:val="20"/>
              </w:rPr>
              <w:t>posibilita</w:t>
            </w:r>
            <w:r w:rsidRPr="00554FD8">
              <w:rPr>
                <w:sz w:val="20"/>
                <w:szCs w:val="20"/>
              </w:rPr>
              <w:t> el cumplimiento del propósito para el cual se incluyó. Este análisis coincide con las reglas jurisprudenciales vigentes hasta la fecha.</w:t>
            </w:r>
          </w:p>
        </w:tc>
        <w:tc>
          <w:tcPr>
            <w:tcW w:w="4414"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5232C69" w14:textId="4AF97365" w:rsidR="00F90529" w:rsidRPr="00554FD8" w:rsidRDefault="00F90529" w:rsidP="00E97073">
            <w:pPr>
              <w:jc w:val="both"/>
              <w:textAlignment w:val="baseline"/>
              <w:rPr>
                <w:sz w:val="20"/>
                <w:szCs w:val="20"/>
              </w:rPr>
            </w:pPr>
            <w:r w:rsidRPr="00554FD8">
              <w:rPr>
                <w:b/>
                <w:bCs/>
                <w:sz w:val="20"/>
                <w:szCs w:val="20"/>
              </w:rPr>
              <w:t>Tercera etapa: </w:t>
            </w:r>
            <w:r w:rsidRPr="00554FD8">
              <w:rPr>
                <w:sz w:val="20"/>
                <w:szCs w:val="20"/>
              </w:rPr>
              <w:t xml:space="preserve">definir si existe una conexidad razonable, objetiva y coherente con las </w:t>
            </w:r>
            <w:r w:rsidR="00A21C73">
              <w:rPr>
                <w:sz w:val="20"/>
                <w:szCs w:val="20"/>
              </w:rPr>
              <w:t>B</w:t>
            </w:r>
            <w:r w:rsidRPr="00554FD8">
              <w:rPr>
                <w:sz w:val="20"/>
                <w:szCs w:val="20"/>
              </w:rPr>
              <w:t>ases del Plan [Nacional de Desarrollo] o con el Plan Plurianual de Inversiones.</w:t>
            </w:r>
          </w:p>
          <w:p w14:paraId="616BB952" w14:textId="77777777" w:rsidR="00F90529" w:rsidRPr="00554FD8" w:rsidRDefault="00F90529" w:rsidP="00E97073">
            <w:pPr>
              <w:jc w:val="both"/>
              <w:textAlignment w:val="baseline"/>
              <w:rPr>
                <w:sz w:val="20"/>
                <w:szCs w:val="20"/>
              </w:rPr>
            </w:pPr>
            <w:r w:rsidRPr="00554FD8">
              <w:rPr>
                <w:b/>
                <w:bCs/>
                <w:sz w:val="20"/>
                <w:szCs w:val="20"/>
              </w:rPr>
              <w:t> </w:t>
            </w:r>
          </w:p>
          <w:p w14:paraId="7CB15E52" w14:textId="7389A6A4" w:rsidR="00F90529" w:rsidRPr="00554FD8" w:rsidRDefault="00F90529" w:rsidP="00E97073">
            <w:pPr>
              <w:jc w:val="both"/>
              <w:textAlignment w:val="baseline"/>
              <w:rPr>
                <w:sz w:val="20"/>
                <w:szCs w:val="20"/>
              </w:rPr>
            </w:pPr>
            <w:r w:rsidRPr="00554FD8">
              <w:rPr>
                <w:i/>
                <w:iCs/>
                <w:sz w:val="20"/>
                <w:szCs w:val="20"/>
                <w:u w:val="single"/>
              </w:rPr>
              <w:t>Explicación de esta etapa</w:t>
            </w:r>
            <w:r w:rsidRPr="00554FD8">
              <w:rPr>
                <w:sz w:val="20"/>
                <w:szCs w:val="20"/>
              </w:rPr>
              <w:t>. Si en el juicio de mayor intensidad debe identificarse la </w:t>
            </w:r>
            <w:r w:rsidRPr="00554FD8">
              <w:rPr>
                <w:i/>
                <w:iCs/>
                <w:sz w:val="20"/>
                <w:szCs w:val="20"/>
              </w:rPr>
              <w:t>efectividad</w:t>
            </w:r>
            <w:r w:rsidRPr="00554FD8">
              <w:rPr>
                <w:sz w:val="20"/>
                <w:szCs w:val="20"/>
              </w:rPr>
              <w:t> que la norma instrumental tiene para cumplir el fin que se trazó, en el juicio de menor intensidad simplemente debe verificarse que la norma demandada tenga una </w:t>
            </w:r>
            <w:r w:rsidRPr="00554FD8">
              <w:rPr>
                <w:i/>
                <w:iCs/>
                <w:sz w:val="20"/>
                <w:szCs w:val="20"/>
              </w:rPr>
              <w:t>conexidad razonable y objetiva</w:t>
            </w:r>
            <w:r w:rsidRPr="00554FD8">
              <w:rPr>
                <w:sz w:val="20"/>
                <w:szCs w:val="20"/>
              </w:rPr>
              <w:t xml:space="preserve"> con las </w:t>
            </w:r>
            <w:r w:rsidR="00A21C73">
              <w:rPr>
                <w:sz w:val="20"/>
                <w:szCs w:val="20"/>
              </w:rPr>
              <w:t>B</w:t>
            </w:r>
            <w:r w:rsidRPr="00554FD8">
              <w:rPr>
                <w:sz w:val="20"/>
                <w:szCs w:val="20"/>
              </w:rPr>
              <w:t>ases del Plan o con los programas incluidos en el Plan Plurianual de Inversiones. Así, la norma debería declararse exequible solo </w:t>
            </w:r>
            <w:r w:rsidRPr="00554FD8">
              <w:rPr>
                <w:i/>
                <w:iCs/>
                <w:sz w:val="20"/>
                <w:szCs w:val="20"/>
              </w:rPr>
              <w:t>si contribuye, en algún grado razonable, a la consecución del fin que se propone</w:t>
            </w:r>
            <w:r w:rsidRPr="00554FD8">
              <w:rPr>
                <w:sz w:val="20"/>
                <w:szCs w:val="20"/>
              </w:rPr>
              <w:t>.</w:t>
            </w:r>
          </w:p>
          <w:p w14:paraId="3B7C6055" w14:textId="77777777" w:rsidR="00F90529" w:rsidRPr="00554FD8" w:rsidRDefault="00F90529" w:rsidP="00E97073">
            <w:pPr>
              <w:textAlignment w:val="baseline"/>
              <w:rPr>
                <w:sz w:val="20"/>
                <w:szCs w:val="20"/>
              </w:rPr>
            </w:pPr>
            <w:r w:rsidRPr="00554FD8">
              <w:rPr>
                <w:sz w:val="20"/>
                <w:szCs w:val="20"/>
              </w:rPr>
              <w:t> </w:t>
            </w:r>
          </w:p>
          <w:p w14:paraId="2D887020" w14:textId="77777777" w:rsidR="00F90529" w:rsidRPr="00554FD8" w:rsidRDefault="00F90529" w:rsidP="00E97073">
            <w:pPr>
              <w:textAlignment w:val="baseline"/>
              <w:rPr>
                <w:sz w:val="20"/>
                <w:szCs w:val="20"/>
              </w:rPr>
            </w:pPr>
            <w:r w:rsidRPr="00554FD8">
              <w:rPr>
                <w:sz w:val="20"/>
                <w:szCs w:val="20"/>
              </w:rPr>
              <w:t> </w:t>
            </w:r>
          </w:p>
        </w:tc>
      </w:tr>
    </w:tbl>
    <w:p w14:paraId="18B334F8" w14:textId="77777777" w:rsidR="00F90529" w:rsidRPr="00554FD8" w:rsidRDefault="00F90529" w:rsidP="00D52700">
      <w:pPr>
        <w:widowControl w:val="0"/>
        <w:pBdr>
          <w:top w:val="nil"/>
          <w:left w:val="nil"/>
          <w:bottom w:val="nil"/>
          <w:right w:val="nil"/>
          <w:between w:val="nil"/>
        </w:pBdr>
        <w:tabs>
          <w:tab w:val="left" w:pos="426"/>
        </w:tabs>
        <w:jc w:val="both"/>
        <w:rPr>
          <w:b/>
          <w:sz w:val="28"/>
          <w:szCs w:val="28"/>
        </w:rPr>
      </w:pPr>
    </w:p>
    <w:p w14:paraId="2E03BB5A" w14:textId="51CBD228" w:rsidR="00F90529" w:rsidRPr="00554FD8" w:rsidRDefault="00AB3A97" w:rsidP="00D52700">
      <w:pPr>
        <w:pStyle w:val="Ttulo3"/>
        <w:widowControl w:val="0"/>
        <w:spacing w:before="0" w:after="0"/>
        <w:jc w:val="both"/>
      </w:pPr>
      <w:bookmarkStart w:id="16" w:name="_Toc230846369"/>
      <w:r w:rsidRPr="00554FD8">
        <w:t>4.3</w:t>
      </w:r>
      <w:r w:rsidR="00F90529" w:rsidRPr="00554FD8">
        <w:t>. Análisis del caso concreto</w:t>
      </w:r>
      <w:bookmarkEnd w:id="16"/>
    </w:p>
    <w:p w14:paraId="60373A71" w14:textId="77777777" w:rsidR="00F90529" w:rsidRPr="00554FD8" w:rsidRDefault="00F90529" w:rsidP="00D52700">
      <w:pPr>
        <w:keepNext/>
        <w:keepLines/>
        <w:widowControl w:val="0"/>
        <w:pBdr>
          <w:top w:val="nil"/>
          <w:left w:val="nil"/>
          <w:bottom w:val="nil"/>
          <w:right w:val="nil"/>
          <w:between w:val="nil"/>
        </w:pBdr>
        <w:tabs>
          <w:tab w:val="left" w:pos="426"/>
        </w:tabs>
        <w:jc w:val="both"/>
        <w:rPr>
          <w:b/>
          <w:sz w:val="28"/>
          <w:szCs w:val="28"/>
        </w:rPr>
      </w:pPr>
    </w:p>
    <w:p w14:paraId="41C9FD95" w14:textId="244400BF" w:rsidR="00F90529" w:rsidRPr="00554FD8" w:rsidRDefault="00F90529" w:rsidP="00D52700">
      <w:pPr>
        <w:keepNext/>
        <w:keepLines/>
        <w:widowControl w:val="0"/>
        <w:numPr>
          <w:ilvl w:val="0"/>
          <w:numId w:val="1"/>
        </w:numPr>
        <w:pBdr>
          <w:top w:val="nil"/>
          <w:left w:val="nil"/>
          <w:bottom w:val="nil"/>
          <w:right w:val="nil"/>
          <w:between w:val="nil"/>
        </w:pBdr>
        <w:tabs>
          <w:tab w:val="left" w:pos="426"/>
        </w:tabs>
        <w:ind w:left="0" w:firstLine="0"/>
        <w:jc w:val="both"/>
        <w:rPr>
          <w:b/>
          <w:sz w:val="28"/>
          <w:szCs w:val="28"/>
        </w:rPr>
      </w:pPr>
      <w:r w:rsidRPr="00554FD8">
        <w:rPr>
          <w:b/>
          <w:sz w:val="28"/>
          <w:szCs w:val="28"/>
        </w:rPr>
        <w:t xml:space="preserve"> </w:t>
      </w:r>
      <w:r w:rsidRPr="00554FD8">
        <w:rPr>
          <w:bCs/>
          <w:sz w:val="28"/>
          <w:szCs w:val="28"/>
        </w:rPr>
        <w:t xml:space="preserve">A continuación, la Sala adelantará el análisis concreto </w:t>
      </w:r>
      <w:r w:rsidR="00CA088C">
        <w:rPr>
          <w:bCs/>
          <w:sz w:val="28"/>
          <w:szCs w:val="28"/>
        </w:rPr>
        <w:t>sobre la</w:t>
      </w:r>
      <w:r w:rsidR="00CA088C" w:rsidRPr="00554FD8">
        <w:rPr>
          <w:bCs/>
          <w:sz w:val="28"/>
          <w:szCs w:val="28"/>
        </w:rPr>
        <w:t xml:space="preserve"> </w:t>
      </w:r>
      <w:r w:rsidRPr="00554FD8">
        <w:rPr>
          <w:bCs/>
          <w:sz w:val="28"/>
          <w:szCs w:val="28"/>
          <w:lang w:val="es-ES_tradnl"/>
        </w:rPr>
        <w:t>constitucionalidad</w:t>
      </w:r>
      <w:r w:rsidRPr="00554FD8">
        <w:rPr>
          <w:bCs/>
          <w:sz w:val="28"/>
          <w:szCs w:val="28"/>
        </w:rPr>
        <w:t xml:space="preserve"> de las normas acusadas para establecer si desconocieron el principio de unidad de materia. Para tal efecto, se desarrollará la metodología contenida en la Sentencia C-244 de 2025 de la siguiente manera: </w:t>
      </w:r>
    </w:p>
    <w:p w14:paraId="7D12129E"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39614144" w14:textId="4B3E6172" w:rsidR="00F90529" w:rsidRPr="00554FD8" w:rsidRDefault="00AB3A97" w:rsidP="003239AA">
      <w:pPr>
        <w:pStyle w:val="Ttulo3"/>
        <w:spacing w:before="0" w:after="0"/>
        <w:jc w:val="both"/>
      </w:pPr>
      <w:bookmarkStart w:id="17" w:name="_Toc230846370"/>
      <w:r w:rsidRPr="00554FD8">
        <w:t>4.4</w:t>
      </w:r>
      <w:r w:rsidR="00F90529" w:rsidRPr="00554FD8">
        <w:t>. Determinación de la intensidad del escrutinio</w:t>
      </w:r>
      <w:bookmarkEnd w:id="17"/>
    </w:p>
    <w:p w14:paraId="6311AFEF"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4C13AF5F" w14:textId="2A3BB258" w:rsidR="004E607E" w:rsidRPr="00AD0E5E" w:rsidRDefault="00F90529" w:rsidP="004E607E">
      <w:pPr>
        <w:widowControl w:val="0"/>
        <w:numPr>
          <w:ilvl w:val="0"/>
          <w:numId w:val="1"/>
        </w:numPr>
        <w:pBdr>
          <w:top w:val="nil"/>
          <w:left w:val="nil"/>
          <w:bottom w:val="nil"/>
          <w:right w:val="nil"/>
          <w:between w:val="nil"/>
        </w:pBdr>
        <w:tabs>
          <w:tab w:val="left" w:pos="426"/>
        </w:tabs>
        <w:ind w:left="0" w:firstLine="0"/>
        <w:jc w:val="both"/>
        <w:rPr>
          <w:sz w:val="28"/>
          <w:szCs w:val="28"/>
          <w:lang w:val="es-ES_tradnl" w:eastAsia="es-CO"/>
        </w:rPr>
      </w:pPr>
      <w:r w:rsidRPr="00AD0E5E">
        <w:rPr>
          <w:sz w:val="28"/>
          <w:szCs w:val="28"/>
        </w:rPr>
        <w:t xml:space="preserve">La Sala advierte que las disposiciones objeto de control son </w:t>
      </w:r>
      <w:r w:rsidRPr="00AD0E5E">
        <w:rPr>
          <w:sz w:val="28"/>
          <w:szCs w:val="28"/>
          <w:lang w:val="es-ES"/>
        </w:rPr>
        <w:t>normas de carácter permanente que modifican la legislación orgánica sobre la estructuración y ejecución del Presupuesto General de la Nación</w:t>
      </w:r>
      <w:r w:rsidR="00B63FB9" w:rsidRPr="00AD0E5E">
        <w:rPr>
          <w:sz w:val="28"/>
          <w:szCs w:val="28"/>
          <w:lang w:val="es-ES"/>
        </w:rPr>
        <w:t xml:space="preserve">, tienen contenido material de ley orgánica </w:t>
      </w:r>
      <w:r w:rsidRPr="00AD0E5E">
        <w:rPr>
          <w:sz w:val="28"/>
          <w:szCs w:val="28"/>
          <w:lang w:val="es-ES"/>
        </w:rPr>
        <w:t xml:space="preserve">y, por ende, su aplicabilidad no se limita al cuatrienio de vigencia del PND. </w:t>
      </w:r>
    </w:p>
    <w:p w14:paraId="4F35A3D9" w14:textId="77777777" w:rsidR="004E607E" w:rsidRPr="00AD0E5E" w:rsidRDefault="004E607E" w:rsidP="004E607E">
      <w:pPr>
        <w:widowControl w:val="0"/>
        <w:pBdr>
          <w:top w:val="nil"/>
          <w:left w:val="nil"/>
          <w:bottom w:val="nil"/>
          <w:right w:val="nil"/>
          <w:between w:val="nil"/>
        </w:pBdr>
        <w:tabs>
          <w:tab w:val="left" w:pos="426"/>
        </w:tabs>
        <w:jc w:val="both"/>
        <w:rPr>
          <w:sz w:val="28"/>
          <w:szCs w:val="28"/>
          <w:lang w:val="es-ES_tradnl" w:eastAsia="es-CO"/>
        </w:rPr>
      </w:pPr>
    </w:p>
    <w:p w14:paraId="2BC85C5C" w14:textId="0ACDE221" w:rsidR="004E607E" w:rsidRPr="00AD0E5E" w:rsidRDefault="00F90529" w:rsidP="004E607E">
      <w:pPr>
        <w:widowControl w:val="0"/>
        <w:numPr>
          <w:ilvl w:val="0"/>
          <w:numId w:val="1"/>
        </w:numPr>
        <w:pBdr>
          <w:top w:val="nil"/>
          <w:left w:val="nil"/>
          <w:bottom w:val="nil"/>
          <w:right w:val="nil"/>
          <w:between w:val="nil"/>
        </w:pBdr>
        <w:tabs>
          <w:tab w:val="left" w:pos="426"/>
        </w:tabs>
        <w:ind w:left="0" w:firstLine="0"/>
        <w:jc w:val="both"/>
        <w:rPr>
          <w:sz w:val="28"/>
          <w:szCs w:val="28"/>
          <w:lang w:val="es-ES_tradnl" w:eastAsia="es-CO"/>
        </w:rPr>
      </w:pPr>
      <w:r w:rsidRPr="00AD0E5E">
        <w:rPr>
          <w:sz w:val="28"/>
          <w:szCs w:val="28"/>
          <w:lang w:val="es-ES"/>
        </w:rPr>
        <w:t>En efecto, tales disposiciones incorporan en el Estatuto Orgánico del Presupuesto una modificación sustancial</w:t>
      </w:r>
      <w:r w:rsidR="00B63FB9" w:rsidRPr="00AD0E5E">
        <w:rPr>
          <w:sz w:val="28"/>
          <w:szCs w:val="28"/>
          <w:lang w:val="es-ES"/>
        </w:rPr>
        <w:t>, estructural</w:t>
      </w:r>
      <w:r w:rsidRPr="00AD0E5E">
        <w:rPr>
          <w:sz w:val="28"/>
          <w:szCs w:val="28"/>
          <w:lang w:val="es-ES"/>
        </w:rPr>
        <w:t xml:space="preserve"> y sin límite de tiempo de vigencia</w:t>
      </w:r>
      <w:r w:rsidR="003905F2" w:rsidRPr="00AD0E5E">
        <w:rPr>
          <w:sz w:val="28"/>
          <w:szCs w:val="28"/>
          <w:lang w:val="es-ES"/>
        </w:rPr>
        <w:t xml:space="preserve">, al modificar </w:t>
      </w:r>
      <w:r w:rsidR="004E607E" w:rsidRPr="00AD0E5E">
        <w:rPr>
          <w:sz w:val="28"/>
          <w:szCs w:val="28"/>
          <w:lang w:val="es-ES_tradnl" w:eastAsia="es-CO"/>
        </w:rPr>
        <w:t xml:space="preserve">expresamente los artículos 36 y 110 del Decreto 111 de 1996 – Estatuto Orgánico del Presupuesto y </w:t>
      </w:r>
      <w:r w:rsidR="004E607E" w:rsidRPr="00AD0E5E">
        <w:rPr>
          <w:sz w:val="28"/>
          <w:szCs w:val="28"/>
        </w:rPr>
        <w:t xml:space="preserve">regulan una de las materias sujetas a reserva de ley orgánica, de acuerdo con lo establecido en el artículo 151 de la Constitución Política. Lo anterior, puesto que las disposiciones objeto de examen </w:t>
      </w:r>
      <w:r w:rsidR="00BE7FC4" w:rsidRPr="00AD0E5E">
        <w:rPr>
          <w:sz w:val="28"/>
          <w:szCs w:val="28"/>
        </w:rPr>
        <w:t xml:space="preserve">se refieren a </w:t>
      </w:r>
      <w:r w:rsidR="004E607E" w:rsidRPr="00AD0E5E">
        <w:rPr>
          <w:sz w:val="28"/>
          <w:szCs w:val="28"/>
        </w:rPr>
        <w:t xml:space="preserve">la preparación, aprobación y ejecución del Presupuesto General de la Nación al modificar la estructura del presupuesto de gastos e incluir una nueva sección presupuestal correspondiente al CNE, así como asignar facultades de contratación y ordenación del gasto a su presidente para la ejecución de los recursos efectivamente apropiados en dicha sección. </w:t>
      </w:r>
    </w:p>
    <w:p w14:paraId="4B3B210F" w14:textId="77777777" w:rsidR="004E607E" w:rsidRPr="00AD0E5E" w:rsidRDefault="004E607E" w:rsidP="004E607E">
      <w:pPr>
        <w:pStyle w:val="Prrafodelista"/>
        <w:rPr>
          <w:sz w:val="28"/>
          <w:szCs w:val="28"/>
          <w:lang w:val="es-ES_tradnl" w:eastAsia="es-CO"/>
        </w:rPr>
      </w:pPr>
    </w:p>
    <w:p w14:paraId="4E73CAE2" w14:textId="5CA8F029" w:rsidR="004E607E" w:rsidRPr="00AD0E5E" w:rsidRDefault="004E607E" w:rsidP="004E607E">
      <w:pPr>
        <w:widowControl w:val="0"/>
        <w:numPr>
          <w:ilvl w:val="0"/>
          <w:numId w:val="1"/>
        </w:numPr>
        <w:pBdr>
          <w:top w:val="nil"/>
          <w:left w:val="nil"/>
          <w:bottom w:val="nil"/>
          <w:right w:val="nil"/>
          <w:between w:val="nil"/>
        </w:pBdr>
        <w:tabs>
          <w:tab w:val="left" w:pos="426"/>
        </w:tabs>
        <w:ind w:left="0" w:firstLine="0"/>
        <w:jc w:val="both"/>
        <w:rPr>
          <w:sz w:val="28"/>
          <w:szCs w:val="28"/>
          <w:lang w:val="es-ES_tradnl" w:eastAsia="es-CO"/>
        </w:rPr>
      </w:pPr>
      <w:r w:rsidRPr="00AD0E5E">
        <w:rPr>
          <w:sz w:val="28"/>
          <w:szCs w:val="28"/>
          <w:lang w:val="es-ES_tradnl" w:eastAsia="es-CO"/>
        </w:rPr>
        <w:t xml:space="preserve">Al respecto, la Sala reitera que </w:t>
      </w:r>
      <w:r w:rsidRPr="00AD0E5E">
        <w:rPr>
          <w:sz w:val="28"/>
          <w:szCs w:val="28"/>
        </w:rPr>
        <w:t xml:space="preserve">las normas orgánicas del presupuesto “son permanentes al haber sido previstas por la Constitución para </w:t>
      </w:r>
      <w:r w:rsidRPr="00AD0E5E">
        <w:rPr>
          <w:iCs/>
          <w:sz w:val="28"/>
          <w:szCs w:val="28"/>
        </w:rPr>
        <w:t>controlar</w:t>
      </w:r>
      <w:r w:rsidRPr="00AD0E5E">
        <w:rPr>
          <w:sz w:val="28"/>
          <w:szCs w:val="28"/>
        </w:rPr>
        <w:t xml:space="preserve"> de manera general todo el trámite de preparación, discusión, aprobación y ejecución de los presupuestos anuales […]”</w:t>
      </w:r>
      <w:r w:rsidRPr="00AD0E5E">
        <w:rPr>
          <w:rStyle w:val="Refdenotaalpie"/>
          <w:sz w:val="28"/>
          <w:szCs w:val="28"/>
        </w:rPr>
        <w:footnoteReference w:id="119"/>
      </w:r>
      <w:r w:rsidRPr="00AD0E5E">
        <w:rPr>
          <w:sz w:val="28"/>
          <w:szCs w:val="28"/>
        </w:rPr>
        <w:t xml:space="preserve">. </w:t>
      </w:r>
      <w:r w:rsidRPr="00AD0E5E">
        <w:rPr>
          <w:sz w:val="28"/>
          <w:szCs w:val="28"/>
          <w:lang w:eastAsia="es-ES"/>
        </w:rPr>
        <w:t>En la misma dirección, la Corte Constitucional ha sostenido que dado</w:t>
      </w:r>
      <w:r w:rsidRPr="00AD0E5E">
        <w:rPr>
          <w:sz w:val="28"/>
          <w:szCs w:val="28"/>
          <w:bdr w:val="none" w:sz="0" w:space="0" w:color="auto" w:frame="1"/>
          <w:lang w:val="es-ES_tradnl" w:eastAsia="es-CO"/>
        </w:rPr>
        <w:t xml:space="preserve"> su especial rango y jerarquía, “las leyes orgánicas son parámetros del análisis de constitucionalidad en sentido lato, en tanto y en cuanto se trata de normas de naturaleza supralegal que implican un límite a la actuación de las autoridades y al margen de configuración del Congreso”</w:t>
      </w:r>
      <w:r w:rsidRPr="00AD0E5E">
        <w:rPr>
          <w:rStyle w:val="Refdenotaalpie"/>
          <w:sz w:val="28"/>
          <w:szCs w:val="28"/>
          <w:bdr w:val="none" w:sz="0" w:space="0" w:color="auto" w:frame="1"/>
          <w:lang w:val="es-ES_tradnl" w:eastAsia="es-CO"/>
        </w:rPr>
        <w:footnoteReference w:id="120"/>
      </w:r>
      <w:r w:rsidRPr="00AD0E5E">
        <w:rPr>
          <w:sz w:val="28"/>
          <w:szCs w:val="28"/>
          <w:bdr w:val="none" w:sz="0" w:space="0" w:color="auto" w:frame="1"/>
          <w:lang w:val="es-ES_tradnl" w:eastAsia="es-CO"/>
        </w:rPr>
        <w:t>.</w:t>
      </w:r>
    </w:p>
    <w:p w14:paraId="1DE60BC4" w14:textId="77777777" w:rsidR="00F90529" w:rsidRPr="00AD0E5E" w:rsidRDefault="00F90529" w:rsidP="00F90529">
      <w:pPr>
        <w:widowControl w:val="0"/>
        <w:pBdr>
          <w:top w:val="nil"/>
          <w:left w:val="nil"/>
          <w:bottom w:val="nil"/>
          <w:right w:val="nil"/>
          <w:between w:val="nil"/>
        </w:pBdr>
        <w:tabs>
          <w:tab w:val="left" w:pos="426"/>
        </w:tabs>
        <w:jc w:val="both"/>
        <w:rPr>
          <w:sz w:val="28"/>
          <w:szCs w:val="28"/>
          <w:lang w:val="es-ES_tradnl"/>
        </w:rPr>
      </w:pPr>
    </w:p>
    <w:p w14:paraId="1D5E3007" w14:textId="570777C4" w:rsidR="00F90529" w:rsidRPr="00AD0E5E" w:rsidRDefault="004E607E" w:rsidP="00F90529">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sz w:val="28"/>
          <w:szCs w:val="28"/>
        </w:rPr>
        <w:t>En suma</w:t>
      </w:r>
      <w:r w:rsidR="00F90529" w:rsidRPr="00AD0E5E">
        <w:rPr>
          <w:sz w:val="28"/>
          <w:szCs w:val="28"/>
        </w:rPr>
        <w:t xml:space="preserve">, se trata de normas que debían adoptarse por el Congreso de la República en el marco de sus competencias constitucionales ordinarias, particularmente, de aquellas que integran el Estatuto Orgánico del Presupuesto y que no tienen vocación de temporalidad, pues son </w:t>
      </w:r>
      <w:r w:rsidR="00CA088C" w:rsidRPr="00AD0E5E">
        <w:rPr>
          <w:sz w:val="28"/>
          <w:szCs w:val="28"/>
        </w:rPr>
        <w:t xml:space="preserve">por esencia </w:t>
      </w:r>
      <w:r w:rsidR="00F90529" w:rsidRPr="00AD0E5E">
        <w:rPr>
          <w:sz w:val="28"/>
          <w:szCs w:val="28"/>
        </w:rPr>
        <w:t xml:space="preserve">permanentes. Por lo expuesto, el nivel de escrutinio que se aplicará para analizar la vulneración del principio de unidad de materia en este caso </w:t>
      </w:r>
      <w:r w:rsidR="00CA088C" w:rsidRPr="00AD0E5E">
        <w:rPr>
          <w:sz w:val="28"/>
          <w:szCs w:val="28"/>
        </w:rPr>
        <w:t xml:space="preserve">será </w:t>
      </w:r>
      <w:r w:rsidR="00F90529" w:rsidRPr="00AD0E5E">
        <w:rPr>
          <w:sz w:val="28"/>
          <w:szCs w:val="28"/>
        </w:rPr>
        <w:t xml:space="preserve">de intensidad mayor. </w:t>
      </w:r>
    </w:p>
    <w:p w14:paraId="41653D82"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63F56A35" w14:textId="77777777" w:rsidR="00F90529" w:rsidRPr="00554FD8" w:rsidRDefault="00F90529" w:rsidP="003905F2">
      <w:pPr>
        <w:pStyle w:val="Prrafodelista"/>
        <w:keepNext/>
        <w:keepLines/>
        <w:widowControl w:val="0"/>
        <w:numPr>
          <w:ilvl w:val="0"/>
          <w:numId w:val="27"/>
        </w:numPr>
        <w:pBdr>
          <w:top w:val="nil"/>
          <w:left w:val="nil"/>
          <w:bottom w:val="nil"/>
          <w:right w:val="nil"/>
          <w:between w:val="nil"/>
        </w:pBdr>
        <w:tabs>
          <w:tab w:val="left" w:pos="426"/>
        </w:tabs>
        <w:jc w:val="both"/>
        <w:rPr>
          <w:b/>
          <w:sz w:val="28"/>
          <w:szCs w:val="28"/>
        </w:rPr>
      </w:pPr>
      <w:r w:rsidRPr="00554FD8">
        <w:rPr>
          <w:b/>
          <w:sz w:val="28"/>
          <w:szCs w:val="28"/>
        </w:rPr>
        <w:t xml:space="preserve">Primera etapa del juicio de unidad de materia </w:t>
      </w:r>
    </w:p>
    <w:p w14:paraId="58F8661E" w14:textId="77777777" w:rsidR="00F90529" w:rsidRPr="00554FD8" w:rsidRDefault="00F90529" w:rsidP="003905F2">
      <w:pPr>
        <w:keepNext/>
        <w:keepLines/>
        <w:widowControl w:val="0"/>
        <w:pBdr>
          <w:top w:val="nil"/>
          <w:left w:val="nil"/>
          <w:bottom w:val="nil"/>
          <w:right w:val="nil"/>
          <w:between w:val="nil"/>
        </w:pBdr>
        <w:tabs>
          <w:tab w:val="left" w:pos="426"/>
        </w:tabs>
        <w:jc w:val="both"/>
        <w:rPr>
          <w:b/>
          <w:sz w:val="28"/>
          <w:szCs w:val="28"/>
        </w:rPr>
      </w:pPr>
    </w:p>
    <w:p w14:paraId="4C727832" w14:textId="347B58D6" w:rsidR="00F90529" w:rsidRPr="00554FD8" w:rsidRDefault="00AB3A97" w:rsidP="003905F2">
      <w:pPr>
        <w:pStyle w:val="Ttulo3"/>
        <w:widowControl w:val="0"/>
        <w:spacing w:before="0" w:after="0"/>
        <w:jc w:val="both"/>
      </w:pPr>
      <w:bookmarkStart w:id="18" w:name="_Toc230846371"/>
      <w:r w:rsidRPr="00554FD8">
        <w:t>4</w:t>
      </w:r>
      <w:r w:rsidR="00F90529" w:rsidRPr="00554FD8">
        <w:t>.</w:t>
      </w:r>
      <w:r w:rsidRPr="00554FD8">
        <w:t>5</w:t>
      </w:r>
      <w:r w:rsidR="00F90529" w:rsidRPr="00554FD8">
        <w:t>. Determinación de la ubicación y el alcance de las normas demandadas</w:t>
      </w:r>
      <w:bookmarkEnd w:id="18"/>
      <w:r w:rsidR="00F90529" w:rsidRPr="00554FD8">
        <w:t xml:space="preserve"> </w:t>
      </w:r>
    </w:p>
    <w:p w14:paraId="5E79F433" w14:textId="77777777" w:rsidR="00F90529" w:rsidRPr="00554FD8" w:rsidRDefault="00F90529" w:rsidP="00D52700">
      <w:pPr>
        <w:widowControl w:val="0"/>
        <w:pBdr>
          <w:top w:val="nil"/>
          <w:left w:val="nil"/>
          <w:bottom w:val="nil"/>
          <w:right w:val="nil"/>
          <w:between w:val="nil"/>
        </w:pBdr>
        <w:tabs>
          <w:tab w:val="left" w:pos="426"/>
        </w:tabs>
        <w:jc w:val="both"/>
        <w:rPr>
          <w:b/>
          <w:sz w:val="28"/>
          <w:szCs w:val="28"/>
        </w:rPr>
      </w:pPr>
    </w:p>
    <w:p w14:paraId="079A20CC" w14:textId="3D8F9C1C" w:rsidR="00F90529" w:rsidRPr="00554FD8" w:rsidRDefault="00AB3A97" w:rsidP="00D52700">
      <w:pPr>
        <w:widowControl w:val="0"/>
        <w:pBdr>
          <w:top w:val="nil"/>
          <w:left w:val="nil"/>
          <w:bottom w:val="nil"/>
          <w:right w:val="nil"/>
          <w:between w:val="nil"/>
        </w:pBdr>
        <w:tabs>
          <w:tab w:val="left" w:pos="426"/>
        </w:tabs>
        <w:jc w:val="both"/>
        <w:rPr>
          <w:b/>
          <w:sz w:val="28"/>
          <w:szCs w:val="28"/>
        </w:rPr>
      </w:pPr>
      <w:r w:rsidRPr="00554FD8">
        <w:rPr>
          <w:b/>
          <w:sz w:val="28"/>
          <w:szCs w:val="28"/>
        </w:rPr>
        <w:t>4.5</w:t>
      </w:r>
      <w:r w:rsidR="00F90529" w:rsidRPr="00554FD8">
        <w:rPr>
          <w:b/>
          <w:sz w:val="28"/>
          <w:szCs w:val="28"/>
        </w:rPr>
        <w:t>.1. Ubicación de las normas en el PND</w:t>
      </w:r>
    </w:p>
    <w:p w14:paraId="3EE8E489"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07943EFA" w14:textId="77777777" w:rsidR="00F90529" w:rsidRPr="00554FD8" w:rsidRDefault="00F90529" w:rsidP="00B7367B">
      <w:pPr>
        <w:widowControl w:val="0"/>
        <w:numPr>
          <w:ilvl w:val="0"/>
          <w:numId w:val="1"/>
        </w:numPr>
        <w:pBdr>
          <w:top w:val="nil"/>
          <w:left w:val="nil"/>
          <w:bottom w:val="nil"/>
          <w:right w:val="nil"/>
          <w:between w:val="nil"/>
        </w:pBdr>
        <w:tabs>
          <w:tab w:val="left" w:pos="426"/>
        </w:tabs>
        <w:ind w:left="0" w:firstLine="0"/>
        <w:jc w:val="both"/>
        <w:rPr>
          <w:b/>
          <w:iCs/>
          <w:sz w:val="28"/>
          <w:szCs w:val="28"/>
        </w:rPr>
      </w:pPr>
      <w:r w:rsidRPr="00554FD8">
        <w:rPr>
          <w:iCs/>
          <w:sz w:val="28"/>
          <w:szCs w:val="28"/>
        </w:rPr>
        <w:t xml:space="preserve">La Sala advierte que </w:t>
      </w:r>
      <w:r w:rsidRPr="00554FD8">
        <w:rPr>
          <w:sz w:val="28"/>
          <w:szCs w:val="28"/>
          <w:lang w:val="es-ES"/>
        </w:rPr>
        <w:t xml:space="preserve">los artículos 336 y 337 de la Ley 2294 de 2023 se encuentran en el capítulo VII – Estabilidad Macroeconómica del Título III – Mecanismos de Ejecución de la Ley 2294 de 2023. </w:t>
      </w:r>
    </w:p>
    <w:p w14:paraId="5D40C32D" w14:textId="77777777" w:rsidR="00F90529" w:rsidRPr="00554FD8" w:rsidRDefault="00F90529" w:rsidP="00F90529">
      <w:pPr>
        <w:widowControl w:val="0"/>
        <w:pBdr>
          <w:top w:val="nil"/>
          <w:left w:val="nil"/>
          <w:bottom w:val="nil"/>
          <w:right w:val="nil"/>
          <w:between w:val="nil"/>
        </w:pBdr>
        <w:tabs>
          <w:tab w:val="left" w:pos="426"/>
        </w:tabs>
        <w:jc w:val="both"/>
        <w:rPr>
          <w:b/>
          <w:iCs/>
          <w:sz w:val="28"/>
          <w:szCs w:val="28"/>
        </w:rPr>
      </w:pPr>
    </w:p>
    <w:p w14:paraId="61CB50FE" w14:textId="597E0E8F" w:rsidR="00F90529" w:rsidRPr="00C45110" w:rsidRDefault="00F90529" w:rsidP="00B35E18">
      <w:pPr>
        <w:widowControl w:val="0"/>
        <w:numPr>
          <w:ilvl w:val="0"/>
          <w:numId w:val="1"/>
        </w:numPr>
        <w:pBdr>
          <w:top w:val="nil"/>
          <w:left w:val="nil"/>
          <w:bottom w:val="nil"/>
          <w:right w:val="nil"/>
          <w:between w:val="nil"/>
        </w:pBdr>
        <w:tabs>
          <w:tab w:val="left" w:pos="426"/>
        </w:tabs>
        <w:ind w:left="0" w:firstLine="0"/>
        <w:jc w:val="both"/>
        <w:rPr>
          <w:b/>
          <w:iCs/>
          <w:sz w:val="28"/>
          <w:szCs w:val="28"/>
        </w:rPr>
      </w:pPr>
      <w:r w:rsidRPr="00554FD8">
        <w:rPr>
          <w:sz w:val="28"/>
          <w:szCs w:val="28"/>
          <w:lang w:val="es-ES"/>
        </w:rPr>
        <w:t xml:space="preserve">En el capítulo denominado “Estabilidad Macroeconómica” se regulan materias como: (i) la creación de la Unidad de Valor Básico (art. 313); (ii) los indicadores de referencia y conversión de DTF a IBR (art. 314); (iii) el saneamiento de cartera por operaciones de crédito público a favor de la nación (art. 318); (iv) el reintegro de recursos a la unidad de caja del tesoro nacional (art. 319) y el (v) el uso eficiente de recursos del servicio de deuda, entre otras disposiciones. </w:t>
      </w:r>
    </w:p>
    <w:p w14:paraId="54016308" w14:textId="77777777" w:rsidR="00C45110" w:rsidRPr="00B35E18" w:rsidRDefault="00C45110" w:rsidP="00C45110">
      <w:pPr>
        <w:widowControl w:val="0"/>
        <w:pBdr>
          <w:top w:val="nil"/>
          <w:left w:val="nil"/>
          <w:bottom w:val="nil"/>
          <w:right w:val="nil"/>
          <w:between w:val="nil"/>
        </w:pBdr>
        <w:tabs>
          <w:tab w:val="left" w:pos="426"/>
        </w:tabs>
        <w:jc w:val="both"/>
        <w:rPr>
          <w:b/>
          <w:iCs/>
          <w:sz w:val="28"/>
          <w:szCs w:val="28"/>
        </w:rPr>
      </w:pPr>
    </w:p>
    <w:p w14:paraId="4FEF002E" w14:textId="32AF75C7" w:rsidR="00F90529" w:rsidRPr="00554FD8" w:rsidRDefault="00AB3A97" w:rsidP="00B35E18">
      <w:pPr>
        <w:keepNext/>
        <w:keepLines/>
        <w:widowControl w:val="0"/>
        <w:pBdr>
          <w:top w:val="nil"/>
          <w:left w:val="nil"/>
          <w:bottom w:val="nil"/>
          <w:right w:val="nil"/>
          <w:between w:val="nil"/>
        </w:pBdr>
        <w:tabs>
          <w:tab w:val="left" w:pos="426"/>
        </w:tabs>
        <w:jc w:val="both"/>
        <w:rPr>
          <w:b/>
          <w:bCs/>
          <w:sz w:val="28"/>
          <w:szCs w:val="28"/>
          <w:lang w:val="es-ES"/>
        </w:rPr>
      </w:pPr>
      <w:r w:rsidRPr="00554FD8">
        <w:rPr>
          <w:b/>
          <w:bCs/>
          <w:sz w:val="28"/>
          <w:szCs w:val="28"/>
          <w:lang w:val="es-ES"/>
        </w:rPr>
        <w:t>4.5</w:t>
      </w:r>
      <w:r w:rsidR="00F90529" w:rsidRPr="00554FD8">
        <w:rPr>
          <w:b/>
          <w:bCs/>
          <w:sz w:val="28"/>
          <w:szCs w:val="28"/>
          <w:lang w:val="es-ES"/>
        </w:rPr>
        <w:t>.2. Contenido y alcance de las normas acusadas</w:t>
      </w:r>
    </w:p>
    <w:p w14:paraId="2E3B6E1B" w14:textId="77777777" w:rsidR="00B35E18" w:rsidRPr="00554FD8" w:rsidRDefault="00B35E18" w:rsidP="00B35E18">
      <w:pPr>
        <w:keepNext/>
        <w:keepLines/>
        <w:widowControl w:val="0"/>
        <w:pBdr>
          <w:top w:val="nil"/>
          <w:left w:val="nil"/>
          <w:bottom w:val="nil"/>
          <w:right w:val="nil"/>
          <w:between w:val="nil"/>
        </w:pBdr>
        <w:tabs>
          <w:tab w:val="left" w:pos="426"/>
        </w:tabs>
        <w:jc w:val="both"/>
        <w:rPr>
          <w:sz w:val="28"/>
          <w:szCs w:val="28"/>
          <w:lang w:val="es-ES"/>
        </w:rPr>
      </w:pPr>
    </w:p>
    <w:p w14:paraId="1808D7CA" w14:textId="5624B084" w:rsidR="00F90529" w:rsidRPr="00554FD8" w:rsidRDefault="00F90529" w:rsidP="00B35E18">
      <w:pPr>
        <w:keepNext/>
        <w:keepLines/>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554FD8">
        <w:rPr>
          <w:sz w:val="28"/>
          <w:szCs w:val="28"/>
          <w:lang w:val="es-ES"/>
        </w:rPr>
        <w:t xml:space="preserve">Ahora bien, en relación con el contenido y alcance de las normas analizadas, la Sala encuentra que el artículo 336 del PND modificó </w:t>
      </w:r>
      <w:r w:rsidRPr="00554FD8">
        <w:rPr>
          <w:sz w:val="28"/>
          <w:szCs w:val="28"/>
        </w:rPr>
        <w:t xml:space="preserve">el artículo 23 de la Ley 38 de 1989, modificado por el artículo 16 de la Ley 179 de 1994 y compilado en el artículo 36 del Decreto 111 de 1996 – Estatuto Orgánico del Presupuesto. Lo anterior, al incluir una nueva sección presupuestal en el presupuesto de gastos correspondiente al CNE, por lo que el presupuesto asignado a dicha entidad ya no hace parte de la sección </w:t>
      </w:r>
      <w:r w:rsidR="00F054B5" w:rsidRPr="00554FD8">
        <w:rPr>
          <w:sz w:val="28"/>
          <w:szCs w:val="28"/>
        </w:rPr>
        <w:t>correspondiente a</w:t>
      </w:r>
      <w:r w:rsidRPr="00554FD8">
        <w:rPr>
          <w:sz w:val="28"/>
          <w:szCs w:val="28"/>
        </w:rPr>
        <w:t xml:space="preserve"> la Registraduría Nacional del Estado Civil, sino que se incluye en una sección independiente atribuida de manera directa al CNE. </w:t>
      </w:r>
    </w:p>
    <w:p w14:paraId="264B2698" w14:textId="77777777" w:rsidR="00F90529" w:rsidRPr="00554FD8" w:rsidRDefault="00F90529" w:rsidP="00F90529">
      <w:pPr>
        <w:pStyle w:val="Prrafodelista"/>
        <w:rPr>
          <w:sz w:val="28"/>
          <w:szCs w:val="28"/>
          <w:lang w:val="es-ES"/>
        </w:rPr>
      </w:pPr>
    </w:p>
    <w:p w14:paraId="2C145044"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554FD8">
        <w:rPr>
          <w:sz w:val="28"/>
          <w:szCs w:val="28"/>
          <w:lang w:val="es-ES"/>
        </w:rPr>
        <w:t xml:space="preserve">Por su parte, el artículo 337 del PND </w:t>
      </w:r>
      <w:r w:rsidRPr="00554FD8">
        <w:rPr>
          <w:sz w:val="28"/>
          <w:szCs w:val="28"/>
        </w:rPr>
        <w:t xml:space="preserve">modificó el artículo 91 de la Ley 38 de 1989, modificado por el artículo 51 de la Ley 179 de 1994, compilado en el artículo 110 del Decreto 111 de 1996 – Estatuto Orgánico del Presupuesto y modificado por el artículo 124 de la Ley 1957 de 2019. En concreto, esta norma estableció que, al corresponder al CNE una nueva sección presupuestal independiente en el Presupuesto General de la Nación, las facultades de contratación y de ordenación del gasto con cargo a las respectivas apropiaciones serán ejercidas por el presidente de dicha entidad. </w:t>
      </w:r>
    </w:p>
    <w:p w14:paraId="2257F947"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2402D197" w14:textId="796A3F8C" w:rsidR="00F90529" w:rsidRPr="00554FD8" w:rsidRDefault="00AB3A97" w:rsidP="003239AA">
      <w:pPr>
        <w:pStyle w:val="Ttulo3"/>
        <w:spacing w:before="0" w:after="0"/>
        <w:jc w:val="both"/>
      </w:pPr>
      <w:bookmarkStart w:id="19" w:name="_Toc230846372"/>
      <w:r w:rsidRPr="00554FD8">
        <w:t>4</w:t>
      </w:r>
      <w:r w:rsidR="00F90529" w:rsidRPr="00554FD8">
        <w:t>.</w:t>
      </w:r>
      <w:r w:rsidRPr="00554FD8">
        <w:t>6</w:t>
      </w:r>
      <w:r w:rsidR="00F90529" w:rsidRPr="00554FD8">
        <w:t>. La</w:t>
      </w:r>
      <w:r w:rsidR="00C06B74">
        <w:t xml:space="preserve"> naturaleza instrumental de las </w:t>
      </w:r>
      <w:r w:rsidR="00F90529" w:rsidRPr="00554FD8">
        <w:t>normas demandadas</w:t>
      </w:r>
      <w:bookmarkEnd w:id="19"/>
      <w:r w:rsidR="00F90529" w:rsidRPr="00554FD8">
        <w:t xml:space="preserve"> </w:t>
      </w:r>
    </w:p>
    <w:p w14:paraId="1B2F5B8F"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556E1DB5" w14:textId="5DFF054C" w:rsidR="002F4271" w:rsidRPr="00AD0E5E" w:rsidRDefault="002F4271" w:rsidP="002F4271">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iCs/>
          <w:sz w:val="28"/>
          <w:szCs w:val="28"/>
        </w:rPr>
        <w:t>L</w:t>
      </w:r>
      <w:r w:rsidRPr="00AD0E5E">
        <w:rPr>
          <w:iCs/>
          <w:sz w:val="28"/>
          <w:szCs w:val="28"/>
          <w:lang w:val="es-ES"/>
        </w:rPr>
        <w:t xml:space="preserve">as normas bajo examen son instrumentales por encontrarse en el Título III de la Ley 2294 de 2023 sobre mecanismos de ejecución del plan y porque, en principio, </w:t>
      </w:r>
      <w:r w:rsidRPr="00AD0E5E">
        <w:rPr>
          <w:sz w:val="28"/>
          <w:szCs w:val="28"/>
        </w:rPr>
        <w:t xml:space="preserve">contribuyen a la estabilidad macroeconómica a partir de los ajustes al </w:t>
      </w:r>
      <w:r w:rsidR="0000612F" w:rsidRPr="00AD0E5E">
        <w:rPr>
          <w:sz w:val="28"/>
          <w:szCs w:val="28"/>
        </w:rPr>
        <w:t>P</w:t>
      </w:r>
      <w:r w:rsidRPr="00AD0E5E">
        <w:rPr>
          <w:sz w:val="28"/>
          <w:szCs w:val="28"/>
        </w:rPr>
        <w:t xml:space="preserve">resupuesto </w:t>
      </w:r>
      <w:r w:rsidR="0000612F" w:rsidRPr="00AD0E5E">
        <w:rPr>
          <w:sz w:val="28"/>
          <w:szCs w:val="28"/>
        </w:rPr>
        <w:t>G</w:t>
      </w:r>
      <w:r w:rsidRPr="00AD0E5E">
        <w:rPr>
          <w:sz w:val="28"/>
          <w:szCs w:val="28"/>
        </w:rPr>
        <w:t>eneral de la Nación, lo que a su vez impacta en la actualización de la gestión pública de una institución de la organización electoral que tiene incidencia en la garantía de la participación democrática</w:t>
      </w:r>
      <w:r w:rsidR="0000612F" w:rsidRPr="00AD0E5E">
        <w:rPr>
          <w:sz w:val="28"/>
          <w:szCs w:val="28"/>
        </w:rPr>
        <w:t xml:space="preserve"> y en la actividad electoral</w:t>
      </w:r>
      <w:r w:rsidRPr="00AD0E5E">
        <w:rPr>
          <w:sz w:val="28"/>
          <w:szCs w:val="28"/>
        </w:rPr>
        <w:t>.</w:t>
      </w:r>
    </w:p>
    <w:p w14:paraId="4DDF11C0" w14:textId="77777777" w:rsidR="00DD0041" w:rsidRPr="00554FD8" w:rsidRDefault="00DD0041" w:rsidP="00DD0041">
      <w:pPr>
        <w:widowControl w:val="0"/>
        <w:pBdr>
          <w:top w:val="nil"/>
          <w:left w:val="nil"/>
          <w:bottom w:val="nil"/>
          <w:right w:val="nil"/>
          <w:between w:val="nil"/>
        </w:pBdr>
        <w:tabs>
          <w:tab w:val="left" w:pos="426"/>
        </w:tabs>
        <w:jc w:val="both"/>
        <w:rPr>
          <w:bCs/>
          <w:sz w:val="28"/>
          <w:szCs w:val="28"/>
        </w:rPr>
      </w:pPr>
    </w:p>
    <w:p w14:paraId="1D0C4B40" w14:textId="77777777" w:rsidR="00E23D7F" w:rsidRPr="00554FD8" w:rsidRDefault="00E23D7F" w:rsidP="00E23D7F">
      <w:pPr>
        <w:pStyle w:val="Prrafodelista"/>
        <w:keepNext/>
        <w:keepLines/>
        <w:widowControl w:val="0"/>
        <w:numPr>
          <w:ilvl w:val="0"/>
          <w:numId w:val="27"/>
        </w:numPr>
        <w:pBdr>
          <w:top w:val="nil"/>
          <w:left w:val="nil"/>
          <w:bottom w:val="nil"/>
          <w:right w:val="nil"/>
          <w:between w:val="nil"/>
        </w:pBdr>
        <w:tabs>
          <w:tab w:val="left" w:pos="426"/>
        </w:tabs>
        <w:jc w:val="both"/>
        <w:rPr>
          <w:b/>
          <w:sz w:val="28"/>
          <w:szCs w:val="28"/>
        </w:rPr>
      </w:pPr>
      <w:r w:rsidRPr="00554FD8">
        <w:rPr>
          <w:b/>
          <w:sz w:val="28"/>
          <w:szCs w:val="28"/>
        </w:rPr>
        <w:t>Segunda etapa</w:t>
      </w:r>
    </w:p>
    <w:p w14:paraId="7BAF8FB7" w14:textId="77777777" w:rsidR="00E23D7F" w:rsidRPr="00554FD8" w:rsidRDefault="00E23D7F" w:rsidP="00E23D7F">
      <w:pPr>
        <w:keepNext/>
        <w:keepLines/>
        <w:widowControl w:val="0"/>
        <w:pBdr>
          <w:top w:val="nil"/>
          <w:left w:val="nil"/>
          <w:bottom w:val="nil"/>
          <w:right w:val="nil"/>
          <w:between w:val="nil"/>
        </w:pBdr>
        <w:tabs>
          <w:tab w:val="left" w:pos="426"/>
        </w:tabs>
        <w:jc w:val="both"/>
        <w:rPr>
          <w:b/>
          <w:sz w:val="28"/>
          <w:szCs w:val="28"/>
        </w:rPr>
      </w:pPr>
    </w:p>
    <w:p w14:paraId="19296BE6" w14:textId="77777777" w:rsidR="00E23D7F" w:rsidRPr="00554FD8" w:rsidRDefault="00E23D7F" w:rsidP="00E23D7F">
      <w:pPr>
        <w:pStyle w:val="Ttulo3"/>
        <w:spacing w:before="0" w:after="0"/>
        <w:jc w:val="both"/>
      </w:pPr>
      <w:bookmarkStart w:id="20" w:name="_Toc230846373"/>
      <w:r w:rsidRPr="00554FD8">
        <w:t xml:space="preserve">4.7. Definición de si en la parte general del plan existen objetivos, metas, planes o estrategias o </w:t>
      </w:r>
      <w:r>
        <w:t xml:space="preserve">rubros </w:t>
      </w:r>
      <w:r w:rsidRPr="00554FD8">
        <w:t xml:space="preserve">en el </w:t>
      </w:r>
      <w:r>
        <w:t>P</w:t>
      </w:r>
      <w:r w:rsidRPr="00554FD8">
        <w:t xml:space="preserve">lan </w:t>
      </w:r>
      <w:r>
        <w:t>P</w:t>
      </w:r>
      <w:r w:rsidRPr="00554FD8">
        <w:t xml:space="preserve">lurianual de </w:t>
      </w:r>
      <w:r>
        <w:t>I</w:t>
      </w:r>
      <w:r w:rsidRPr="00554FD8">
        <w:t>nversiones que puedan relacionarse con las disposiciones acusadas</w:t>
      </w:r>
      <w:bookmarkEnd w:id="20"/>
      <w:r w:rsidRPr="00554FD8">
        <w:t xml:space="preserve"> </w:t>
      </w:r>
    </w:p>
    <w:p w14:paraId="651D1950" w14:textId="77777777" w:rsidR="00E23D7F" w:rsidRPr="00554FD8" w:rsidRDefault="00E23D7F" w:rsidP="00E23D7F">
      <w:pPr>
        <w:widowControl w:val="0"/>
        <w:pBdr>
          <w:top w:val="nil"/>
          <w:left w:val="nil"/>
          <w:bottom w:val="nil"/>
          <w:right w:val="nil"/>
          <w:between w:val="nil"/>
        </w:pBdr>
        <w:tabs>
          <w:tab w:val="left" w:pos="426"/>
        </w:tabs>
        <w:jc w:val="both"/>
        <w:rPr>
          <w:b/>
          <w:sz w:val="28"/>
          <w:szCs w:val="28"/>
        </w:rPr>
      </w:pPr>
    </w:p>
    <w:p w14:paraId="28610C33" w14:textId="77777777" w:rsidR="00E23D7F" w:rsidRPr="00554FD8" w:rsidRDefault="00E23D7F" w:rsidP="00E23D7F">
      <w:pPr>
        <w:widowControl w:val="0"/>
        <w:numPr>
          <w:ilvl w:val="0"/>
          <w:numId w:val="1"/>
        </w:numPr>
        <w:pBdr>
          <w:top w:val="nil"/>
          <w:left w:val="nil"/>
          <w:bottom w:val="nil"/>
          <w:right w:val="nil"/>
          <w:between w:val="nil"/>
        </w:pBdr>
        <w:tabs>
          <w:tab w:val="left" w:pos="426"/>
        </w:tabs>
        <w:ind w:left="0" w:firstLine="0"/>
        <w:jc w:val="both"/>
        <w:rPr>
          <w:bCs/>
          <w:sz w:val="28"/>
          <w:szCs w:val="28"/>
        </w:rPr>
      </w:pPr>
      <w:r w:rsidRPr="00554FD8">
        <w:rPr>
          <w:b/>
          <w:sz w:val="28"/>
          <w:szCs w:val="28"/>
        </w:rPr>
        <w:t xml:space="preserve"> </w:t>
      </w:r>
      <w:r w:rsidRPr="00554FD8">
        <w:rPr>
          <w:bCs/>
          <w:sz w:val="28"/>
          <w:szCs w:val="28"/>
        </w:rPr>
        <w:t xml:space="preserve">La </w:t>
      </w:r>
      <w:r w:rsidRPr="00554FD8">
        <w:rPr>
          <w:sz w:val="28"/>
          <w:szCs w:val="28"/>
          <w:u w:color="000000"/>
        </w:rPr>
        <w:t>Sala</w:t>
      </w:r>
      <w:r w:rsidRPr="00554FD8">
        <w:rPr>
          <w:bCs/>
          <w:sz w:val="28"/>
          <w:szCs w:val="28"/>
        </w:rPr>
        <w:t xml:space="preserve"> advierte que durante el presente tr</w:t>
      </w:r>
      <w:r>
        <w:rPr>
          <w:bCs/>
          <w:sz w:val="28"/>
          <w:szCs w:val="28"/>
        </w:rPr>
        <w:t>á</w:t>
      </w:r>
      <w:r w:rsidRPr="00554FD8">
        <w:rPr>
          <w:bCs/>
          <w:sz w:val="28"/>
          <w:szCs w:val="28"/>
        </w:rPr>
        <w:t>mite de constitucionalidad el</w:t>
      </w:r>
      <w:r w:rsidRPr="00554FD8">
        <w:rPr>
          <w:sz w:val="28"/>
          <w:szCs w:val="28"/>
          <w:lang w:val="es-ES"/>
        </w:rPr>
        <w:t xml:space="preserve"> </w:t>
      </w:r>
      <w:r w:rsidRPr="00554FD8">
        <w:rPr>
          <w:sz w:val="28"/>
          <w:szCs w:val="28"/>
        </w:rPr>
        <w:t>Departamento</w:t>
      </w:r>
      <w:r w:rsidRPr="00554FD8">
        <w:rPr>
          <w:sz w:val="28"/>
          <w:szCs w:val="28"/>
          <w:lang w:val="es-ES"/>
        </w:rPr>
        <w:t xml:space="preserve"> Administrativo de la Presidencia de la República</w:t>
      </w:r>
      <w:r>
        <w:rPr>
          <w:sz w:val="28"/>
          <w:szCs w:val="28"/>
          <w:lang w:val="es-ES"/>
        </w:rPr>
        <w:t xml:space="preserve"> –</w:t>
      </w:r>
      <w:r w:rsidRPr="00554FD8">
        <w:rPr>
          <w:sz w:val="28"/>
          <w:szCs w:val="28"/>
          <w:lang w:val="es-ES"/>
        </w:rPr>
        <w:t xml:space="preserve"> DAPRE, el Departamento Nacional de Planeación – DNP, el Ministerio de Hacienda y Crédito Público y el CNE  señalaron que las normas bajo examen se relacionan con los ejes denominados “Convergencia Regional” y “Estabilidad Macroeconómica”, por lo que corresponde su identificación para efectos del respectivo análisis. Tales ejes están definidos en los artículos 3° y 4° del PND de la siguiente manera: </w:t>
      </w:r>
    </w:p>
    <w:p w14:paraId="2E1DB6DA" w14:textId="77777777" w:rsidR="00E23D7F" w:rsidRPr="00554FD8" w:rsidRDefault="00E23D7F" w:rsidP="00E23D7F">
      <w:pPr>
        <w:widowControl w:val="0"/>
        <w:pBdr>
          <w:top w:val="nil"/>
          <w:left w:val="nil"/>
          <w:bottom w:val="nil"/>
          <w:right w:val="nil"/>
          <w:between w:val="nil"/>
        </w:pBdr>
        <w:tabs>
          <w:tab w:val="left" w:pos="426"/>
        </w:tabs>
        <w:jc w:val="both"/>
        <w:rPr>
          <w:sz w:val="28"/>
          <w:szCs w:val="28"/>
          <w:lang w:val="es-ES"/>
        </w:rPr>
      </w:pPr>
    </w:p>
    <w:p w14:paraId="44FC971F" w14:textId="77777777" w:rsidR="00E23D7F" w:rsidRPr="00554FD8" w:rsidRDefault="00E23D7F" w:rsidP="00E23D7F">
      <w:pPr>
        <w:ind w:left="284" w:right="284"/>
        <w:jc w:val="both"/>
      </w:pPr>
      <w:r w:rsidRPr="00554FD8">
        <w:rPr>
          <w:bCs/>
        </w:rPr>
        <w:t>“</w:t>
      </w:r>
      <w:r w:rsidRPr="00554FD8">
        <w:rPr>
          <w:b/>
          <w:bCs/>
        </w:rPr>
        <w:t>ARTÍCULO 3o. EJES DE TRANSFORMACIÓN DEL PLAN NACIONAL DE DESARROLLO.</w:t>
      </w:r>
      <w:r w:rsidRPr="00554FD8">
        <w:t xml:space="preserve"> El Plan Nacional de Desarrollo se materializa en las siguientes cinco (5) transformaciones: […] </w:t>
      </w:r>
    </w:p>
    <w:p w14:paraId="293E5682" w14:textId="77777777" w:rsidR="00E23D7F" w:rsidRPr="00554FD8" w:rsidRDefault="00E23D7F" w:rsidP="00E23D7F">
      <w:pPr>
        <w:ind w:left="284" w:right="284"/>
        <w:jc w:val="both"/>
      </w:pPr>
    </w:p>
    <w:p w14:paraId="57896F53" w14:textId="77777777" w:rsidR="00E23D7F" w:rsidRPr="00554FD8" w:rsidRDefault="00E23D7F" w:rsidP="00E23D7F">
      <w:pPr>
        <w:ind w:left="284" w:right="284"/>
        <w:jc w:val="both"/>
      </w:pPr>
      <w:r w:rsidRPr="00554FD8">
        <w:t>5. </w:t>
      </w:r>
      <w:r w:rsidRPr="00554FD8">
        <w:rPr>
          <w:rStyle w:val="baj"/>
          <w:b/>
          <w:bCs/>
        </w:rPr>
        <w:t>Convergencia regional. </w:t>
      </w:r>
      <w:r w:rsidRPr="00554FD8">
        <w:t>Es el proceso de reducción de brechas sociales y económicas entre hogares y regiones en el país, que se logra al garantizar un acceso adecuado a oportunidades, bienes y servicios. Para garantizar esta convergencia, es necesario fortalecer los vínculos intra e interregionales, y aumentar la productividad, competitividad e innovación en los territorios. Así mismo, se requiere transformar las instituciones y la gestión de lo público, poniendo al ciudadano en el centro de su accionar y construyendo un relacionamiento estrecho, mediado por la confianza, entre las comunidades y entre estas y las instituciones, para responder de manera acertada a sus necesidades y atender debidamente sus expectativas, a partir de marcos regulatorios consistentes. […]”</w:t>
      </w:r>
    </w:p>
    <w:p w14:paraId="4E80A289" w14:textId="77777777" w:rsidR="00E23D7F" w:rsidRPr="00554FD8" w:rsidRDefault="00E23D7F" w:rsidP="00E23D7F">
      <w:pPr>
        <w:ind w:left="284" w:right="284"/>
        <w:jc w:val="both"/>
      </w:pPr>
    </w:p>
    <w:p w14:paraId="37E84460" w14:textId="77777777" w:rsidR="00E23D7F" w:rsidRPr="00554FD8" w:rsidRDefault="00E23D7F" w:rsidP="00E23D7F">
      <w:pPr>
        <w:ind w:left="284" w:right="284"/>
        <w:jc w:val="both"/>
      </w:pPr>
      <w:r w:rsidRPr="00554FD8">
        <w:rPr>
          <w:bCs/>
        </w:rPr>
        <w:t>“</w:t>
      </w:r>
      <w:r w:rsidRPr="00554FD8">
        <w:rPr>
          <w:b/>
          <w:bCs/>
        </w:rPr>
        <w:t>ARTÍCULO 4o. EJES TRANSVERSALES DEL PLAN NACIONAL DE DESARROLLO.</w:t>
      </w:r>
      <w:r w:rsidRPr="00554FD8">
        <w:t xml:space="preserve"> […] </w:t>
      </w:r>
    </w:p>
    <w:p w14:paraId="6493F236" w14:textId="77777777" w:rsidR="00E23D7F" w:rsidRPr="00554FD8" w:rsidRDefault="00E23D7F" w:rsidP="00E23D7F">
      <w:pPr>
        <w:ind w:left="284" w:right="284"/>
        <w:jc w:val="both"/>
      </w:pPr>
    </w:p>
    <w:p w14:paraId="1ABFEB92" w14:textId="77777777" w:rsidR="00E23D7F" w:rsidRPr="00554FD8" w:rsidRDefault="00E23D7F" w:rsidP="00E23D7F">
      <w:pPr>
        <w:ind w:left="284" w:right="284"/>
        <w:jc w:val="both"/>
      </w:pPr>
      <w:r w:rsidRPr="00554FD8">
        <w:rPr>
          <w:rStyle w:val="baj"/>
          <w:bCs/>
        </w:rPr>
        <w:t>3.</w:t>
      </w:r>
      <w:r w:rsidRPr="00554FD8">
        <w:rPr>
          <w:rStyle w:val="baj"/>
          <w:b/>
          <w:bCs/>
        </w:rPr>
        <w:t xml:space="preserve"> Estabilidad macroeconómica. </w:t>
      </w:r>
      <w:r w:rsidRPr="00554FD8">
        <w:t>Tiene como objetivo definir un conjunto de apuestas en materia económica para garantizar la disponibilidad de los recursos públicos que permitirán financiar las transformaciones, las cuales están enmarcadas en la actual coyuntura económica global, regional y nacional”.</w:t>
      </w:r>
    </w:p>
    <w:p w14:paraId="4FBCED5F" w14:textId="77777777" w:rsidR="00E23D7F" w:rsidRPr="00554FD8" w:rsidRDefault="00E23D7F" w:rsidP="00E23D7F">
      <w:pPr>
        <w:rPr>
          <w:sz w:val="28"/>
          <w:szCs w:val="28"/>
          <w:lang w:val="es-ES"/>
        </w:rPr>
      </w:pPr>
    </w:p>
    <w:p w14:paraId="1DEB2B3B" w14:textId="77777777" w:rsidR="00E23D7F" w:rsidRPr="00554FD8" w:rsidRDefault="00E23D7F" w:rsidP="00E23D7F">
      <w:pPr>
        <w:widowControl w:val="0"/>
        <w:numPr>
          <w:ilvl w:val="0"/>
          <w:numId w:val="1"/>
        </w:numPr>
        <w:pBdr>
          <w:top w:val="nil"/>
          <w:left w:val="nil"/>
          <w:bottom w:val="nil"/>
          <w:right w:val="nil"/>
          <w:between w:val="nil"/>
        </w:pBdr>
        <w:tabs>
          <w:tab w:val="left" w:pos="426"/>
        </w:tabs>
        <w:ind w:left="0" w:firstLine="0"/>
        <w:jc w:val="both"/>
        <w:rPr>
          <w:sz w:val="28"/>
          <w:szCs w:val="28"/>
          <w:lang w:val="es-ES_tradnl"/>
        </w:rPr>
      </w:pPr>
      <w:r w:rsidRPr="00554FD8">
        <w:rPr>
          <w:sz w:val="28"/>
          <w:szCs w:val="28"/>
          <w:lang w:val="es-ES"/>
        </w:rPr>
        <w:t>Seguidamente, las aludidas entidades argumentaron que dicha relación se justifica en que para garantizar la convergencia regional “</w:t>
      </w:r>
      <w:r w:rsidRPr="00554FD8">
        <w:rPr>
          <w:iCs/>
          <w:sz w:val="28"/>
          <w:szCs w:val="28"/>
          <w:lang w:val="es-ES_tradnl" w:eastAsia="es-CO"/>
        </w:rPr>
        <w:t>es necesario […] transformar las instituciones y la gestión de lo público, poniendo al ciudadano en el centro de su accionar y construyendo un relacionamiento estrecho, mediado por la confianza, entre las comunidades y entre éstas y las instituciones, para responder de manera acertada a sus necesidades [...]”</w:t>
      </w:r>
      <w:r w:rsidRPr="00554FD8">
        <w:rPr>
          <w:rStyle w:val="Refdenotaalpie"/>
          <w:sz w:val="28"/>
          <w:szCs w:val="28"/>
        </w:rPr>
        <w:footnoteReference w:id="121"/>
      </w:r>
      <w:r w:rsidRPr="00554FD8">
        <w:rPr>
          <w:iCs/>
          <w:sz w:val="28"/>
          <w:szCs w:val="28"/>
          <w:lang w:val="es-ES_tradnl" w:eastAsia="es-CO"/>
        </w:rPr>
        <w:t>. Adicionalmente, respecto del eje de “Estabilidad Macroeconómica” indicaron que</w:t>
      </w:r>
      <w:r w:rsidRPr="00554FD8">
        <w:rPr>
          <w:sz w:val="28"/>
          <w:szCs w:val="28"/>
          <w:u w:color="000000"/>
        </w:rPr>
        <w:t xml:space="preserve"> “al garantizar la autonomía financiera y operativa del Consejo Nacional Electoral se </w:t>
      </w:r>
      <w:r w:rsidRPr="00554FD8">
        <w:rPr>
          <w:sz w:val="28"/>
          <w:szCs w:val="28"/>
          <w:lang w:val="es-ES_tradnl" w:eastAsia="es-CO"/>
        </w:rPr>
        <w:t>contribuye a la eficiencia y transparencia en la administración de los recursos públicos, asegurando una mayor estabilidad en la planeación del gasto electoral, constituyéndose como una norma instrumental que permiten [sic] la materialización del fortalecimiento democrático e institucional”</w:t>
      </w:r>
      <w:r w:rsidRPr="00554FD8">
        <w:rPr>
          <w:rStyle w:val="Refdenotaalpie"/>
          <w:sz w:val="28"/>
          <w:szCs w:val="28"/>
        </w:rPr>
        <w:footnoteReference w:id="122"/>
      </w:r>
      <w:r w:rsidRPr="00554FD8">
        <w:rPr>
          <w:sz w:val="28"/>
          <w:szCs w:val="28"/>
          <w:lang w:val="es-ES_tradnl" w:eastAsia="es-CO"/>
        </w:rPr>
        <w:t xml:space="preserve">. </w:t>
      </w:r>
    </w:p>
    <w:p w14:paraId="61E6487A" w14:textId="77777777" w:rsidR="00E23D7F" w:rsidRPr="00554FD8" w:rsidRDefault="00E23D7F" w:rsidP="00E23D7F">
      <w:pPr>
        <w:widowControl w:val="0"/>
        <w:pBdr>
          <w:top w:val="nil"/>
          <w:left w:val="nil"/>
          <w:bottom w:val="nil"/>
          <w:right w:val="nil"/>
          <w:between w:val="nil"/>
        </w:pBdr>
        <w:tabs>
          <w:tab w:val="left" w:pos="426"/>
        </w:tabs>
        <w:jc w:val="both"/>
        <w:rPr>
          <w:sz w:val="28"/>
          <w:szCs w:val="28"/>
          <w:lang w:val="es-ES_tradnl"/>
        </w:rPr>
      </w:pPr>
    </w:p>
    <w:p w14:paraId="5A776C8D" w14:textId="77777777" w:rsidR="00E23D7F" w:rsidRPr="00554FD8" w:rsidRDefault="00E23D7F" w:rsidP="00E23D7F">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554FD8">
        <w:rPr>
          <w:sz w:val="28"/>
          <w:szCs w:val="28"/>
          <w:lang w:val="es-ES"/>
        </w:rPr>
        <w:t xml:space="preserve">De otro lado señalaron que los artículos 336 y 337 se dirigen a garantizar la efectividad de los catalizadores 5 y 6 del eje de “Convergencia Regional”. Estos son: (i) </w:t>
      </w:r>
      <w:r w:rsidRPr="00554FD8">
        <w:rPr>
          <w:sz w:val="28"/>
          <w:szCs w:val="28"/>
        </w:rPr>
        <w:t xml:space="preserve">fortalecimiento institucional como motor de cambio para recuperar la confianza de la ciudadanía y para el fortalecimiento del vínculo Estado - ciudadanía y (ii) </w:t>
      </w:r>
      <w:r w:rsidRPr="00554FD8">
        <w:rPr>
          <w:sz w:val="28"/>
          <w:szCs w:val="28"/>
          <w:lang w:val="es-ES"/>
        </w:rPr>
        <w:t xml:space="preserve">dispositivos democráticos de participación, </w:t>
      </w:r>
      <w:r w:rsidRPr="00554FD8">
        <w:rPr>
          <w:sz w:val="28"/>
          <w:szCs w:val="28"/>
        </w:rPr>
        <w:t>política de diálogo permanente con decisiones desde y para el territorio. Lo anterior, por considerar que “</w:t>
      </w:r>
      <w:r w:rsidRPr="00554FD8">
        <w:rPr>
          <w:sz w:val="28"/>
          <w:szCs w:val="28"/>
          <w:lang w:val="es-ES_tradnl" w:eastAsia="es-CO"/>
        </w:rPr>
        <w:t>tienen el propósito de realizar ajustes institucionales que permitan al [E]stado involucrar a la ciudadanía con el fin de satisfacer sus necesidades”</w:t>
      </w:r>
      <w:r w:rsidRPr="00554FD8">
        <w:rPr>
          <w:rStyle w:val="Refdenotaalpie"/>
          <w:sz w:val="28"/>
          <w:szCs w:val="28"/>
        </w:rPr>
        <w:footnoteReference w:id="123"/>
      </w:r>
      <w:r w:rsidRPr="00554FD8">
        <w:rPr>
          <w:sz w:val="28"/>
          <w:szCs w:val="28"/>
          <w:lang w:val="es-ES_tradnl" w:eastAsia="es-CO"/>
        </w:rPr>
        <w:t xml:space="preserve">. En concreto, indicaron que tales catalizadores se definen en las </w:t>
      </w:r>
      <w:r>
        <w:rPr>
          <w:sz w:val="28"/>
          <w:szCs w:val="28"/>
          <w:lang w:val="es-ES_tradnl" w:eastAsia="es-CO"/>
        </w:rPr>
        <w:t>B</w:t>
      </w:r>
      <w:r w:rsidRPr="00554FD8">
        <w:rPr>
          <w:sz w:val="28"/>
          <w:szCs w:val="28"/>
          <w:lang w:val="es-ES_tradnl" w:eastAsia="es-CO"/>
        </w:rPr>
        <w:t xml:space="preserve">ases del PND de la siguiente manera: </w:t>
      </w:r>
    </w:p>
    <w:p w14:paraId="328C3D35" w14:textId="77777777" w:rsidR="00E23D7F" w:rsidRPr="00554FD8" w:rsidRDefault="00E23D7F" w:rsidP="00E23D7F">
      <w:pPr>
        <w:pStyle w:val="Prrafodelista"/>
        <w:rPr>
          <w:sz w:val="28"/>
          <w:szCs w:val="28"/>
          <w:lang w:val="es-ES"/>
        </w:rPr>
      </w:pPr>
    </w:p>
    <w:p w14:paraId="4914E7E1" w14:textId="77777777" w:rsidR="00E23D7F" w:rsidRPr="00554FD8" w:rsidRDefault="00E23D7F" w:rsidP="00E23D7F">
      <w:pPr>
        <w:jc w:val="both"/>
        <w:rPr>
          <w:sz w:val="28"/>
          <w:szCs w:val="28"/>
        </w:rPr>
      </w:pPr>
      <w:r w:rsidRPr="00554FD8">
        <w:rPr>
          <w:sz w:val="28"/>
          <w:szCs w:val="28"/>
          <w:lang w:val="es-ES"/>
        </w:rPr>
        <w:t>(i) Fortalecimiento institucional: “</w:t>
      </w:r>
      <w:r w:rsidRPr="00554FD8">
        <w:rPr>
          <w:sz w:val="28"/>
          <w:szCs w:val="28"/>
        </w:rPr>
        <w:t>Se realizarán ajustes institucionales y culturales para recuperar la confianza de la ciudadanía en las instituciones públicas. En este sentido, se mejorará la relación de las instituciones públicas con la ciudadanía, buscando cumplir con sus expectativas y dar respuestas oportunas a problemas sociales complejos. Se diseñará una regulación eficiente y de calidad, y la transformación del Estado avanzará en términos de transparencia, digitalización, capacidad de desarrollo inclusivo e innovación para combatir de manera eficaz las diferentes formas de corrupción”</w:t>
      </w:r>
      <w:r w:rsidRPr="00554FD8">
        <w:rPr>
          <w:rStyle w:val="Refdenotaalpie"/>
          <w:sz w:val="28"/>
          <w:szCs w:val="28"/>
        </w:rPr>
        <w:footnoteReference w:id="124"/>
      </w:r>
      <w:r w:rsidRPr="00554FD8">
        <w:rPr>
          <w:sz w:val="28"/>
          <w:szCs w:val="28"/>
        </w:rPr>
        <w:t xml:space="preserve">. </w:t>
      </w:r>
    </w:p>
    <w:p w14:paraId="42108379" w14:textId="77777777" w:rsidR="00E23D7F" w:rsidRPr="00554FD8" w:rsidRDefault="00E23D7F" w:rsidP="00E23D7F">
      <w:pPr>
        <w:jc w:val="both"/>
        <w:rPr>
          <w:sz w:val="28"/>
          <w:szCs w:val="28"/>
        </w:rPr>
      </w:pPr>
    </w:p>
    <w:p w14:paraId="0E907F8B" w14:textId="77777777" w:rsidR="00E23D7F" w:rsidRPr="00554FD8" w:rsidRDefault="00E23D7F" w:rsidP="00E23D7F">
      <w:pPr>
        <w:jc w:val="both"/>
        <w:rPr>
          <w:sz w:val="28"/>
          <w:szCs w:val="28"/>
        </w:rPr>
      </w:pPr>
      <w:r w:rsidRPr="00554FD8">
        <w:rPr>
          <w:sz w:val="28"/>
          <w:szCs w:val="28"/>
        </w:rPr>
        <w:t>(ii) Dispositivos democráticos de participación: “Se involucrará a la ciudadanía en la gestión de lo público, mejorando los dispositivos existentes, ampliando canales de diálogo y adaptándolos a las nuevas expresiones ciudadanas, la diversidad de la población del país y a sus necesidades cambiantes. Se definirán mecanismos de intercambio permanente, a través de los que sea posible rendir cuentas, que tengan presente el impacto sobre el bienestar y la calidad de vida”</w:t>
      </w:r>
      <w:r w:rsidRPr="00554FD8">
        <w:rPr>
          <w:rStyle w:val="Refdenotaalpie"/>
          <w:sz w:val="28"/>
          <w:szCs w:val="28"/>
        </w:rPr>
        <w:footnoteReference w:id="125"/>
      </w:r>
      <w:r w:rsidRPr="00554FD8">
        <w:rPr>
          <w:sz w:val="28"/>
          <w:szCs w:val="28"/>
        </w:rPr>
        <w:t xml:space="preserve">. </w:t>
      </w:r>
    </w:p>
    <w:p w14:paraId="5879AF04" w14:textId="77777777" w:rsidR="00E23D7F" w:rsidRPr="00554FD8" w:rsidRDefault="00E23D7F" w:rsidP="00E23D7F">
      <w:pPr>
        <w:widowControl w:val="0"/>
        <w:pBdr>
          <w:top w:val="nil"/>
          <w:left w:val="nil"/>
          <w:bottom w:val="nil"/>
          <w:right w:val="nil"/>
          <w:between w:val="nil"/>
        </w:pBdr>
        <w:tabs>
          <w:tab w:val="left" w:pos="426"/>
        </w:tabs>
        <w:jc w:val="both"/>
        <w:rPr>
          <w:b/>
          <w:sz w:val="28"/>
          <w:szCs w:val="28"/>
        </w:rPr>
      </w:pPr>
    </w:p>
    <w:p w14:paraId="4F3C1D25" w14:textId="77777777" w:rsidR="00E23D7F" w:rsidRDefault="00E23D7F" w:rsidP="00E23D7F">
      <w:pPr>
        <w:widowControl w:val="0"/>
        <w:numPr>
          <w:ilvl w:val="0"/>
          <w:numId w:val="1"/>
        </w:numPr>
        <w:pBdr>
          <w:top w:val="nil"/>
          <w:left w:val="nil"/>
          <w:bottom w:val="nil"/>
          <w:right w:val="nil"/>
          <w:between w:val="nil"/>
        </w:pBdr>
        <w:tabs>
          <w:tab w:val="left" w:pos="426"/>
        </w:tabs>
        <w:ind w:left="0" w:firstLine="0"/>
        <w:jc w:val="both"/>
        <w:rPr>
          <w:bCs/>
          <w:sz w:val="28"/>
          <w:szCs w:val="28"/>
        </w:rPr>
      </w:pPr>
      <w:r w:rsidRPr="00554FD8">
        <w:rPr>
          <w:b/>
          <w:sz w:val="28"/>
          <w:szCs w:val="28"/>
        </w:rPr>
        <w:t xml:space="preserve"> </w:t>
      </w:r>
      <w:r w:rsidRPr="00554FD8">
        <w:rPr>
          <w:sz w:val="28"/>
          <w:szCs w:val="28"/>
          <w:lang w:val="es-ES"/>
        </w:rPr>
        <w:t>Finalmente</w:t>
      </w:r>
      <w:r w:rsidRPr="00554FD8">
        <w:rPr>
          <w:bCs/>
          <w:sz w:val="28"/>
          <w:szCs w:val="28"/>
        </w:rPr>
        <w:t xml:space="preserve">, la Sala advierte que dichas entidades no refirieron que existiera alguna relación de las normas acusadas con el </w:t>
      </w:r>
      <w:r>
        <w:rPr>
          <w:bCs/>
          <w:sz w:val="28"/>
          <w:szCs w:val="28"/>
        </w:rPr>
        <w:t>P</w:t>
      </w:r>
      <w:r w:rsidRPr="00554FD8">
        <w:rPr>
          <w:bCs/>
          <w:sz w:val="28"/>
          <w:szCs w:val="28"/>
        </w:rPr>
        <w:t xml:space="preserve">lan </w:t>
      </w:r>
      <w:r>
        <w:rPr>
          <w:bCs/>
          <w:sz w:val="28"/>
          <w:szCs w:val="28"/>
        </w:rPr>
        <w:t>P</w:t>
      </w:r>
      <w:r w:rsidRPr="00554FD8">
        <w:rPr>
          <w:bCs/>
          <w:sz w:val="28"/>
          <w:szCs w:val="28"/>
        </w:rPr>
        <w:t xml:space="preserve">lurianual de </w:t>
      </w:r>
      <w:r>
        <w:rPr>
          <w:bCs/>
          <w:sz w:val="28"/>
          <w:szCs w:val="28"/>
        </w:rPr>
        <w:t>I</w:t>
      </w:r>
      <w:r w:rsidRPr="00554FD8">
        <w:rPr>
          <w:bCs/>
          <w:sz w:val="28"/>
          <w:szCs w:val="28"/>
        </w:rPr>
        <w:t>nversiones ni</w:t>
      </w:r>
      <w:r>
        <w:rPr>
          <w:bCs/>
          <w:sz w:val="28"/>
          <w:szCs w:val="28"/>
        </w:rPr>
        <w:t>,</w:t>
      </w:r>
      <w:r w:rsidRPr="00554FD8">
        <w:rPr>
          <w:bCs/>
          <w:sz w:val="28"/>
          <w:szCs w:val="28"/>
        </w:rPr>
        <w:t xml:space="preserve"> mucho menos</w:t>
      </w:r>
      <w:r>
        <w:rPr>
          <w:bCs/>
          <w:sz w:val="28"/>
          <w:szCs w:val="28"/>
        </w:rPr>
        <w:t>,</w:t>
      </w:r>
      <w:r w:rsidRPr="00554FD8">
        <w:rPr>
          <w:bCs/>
          <w:sz w:val="28"/>
          <w:szCs w:val="28"/>
        </w:rPr>
        <w:t xml:space="preserve"> que en dicho documento se indicara la necesidad de modificar la ley orgánica de presupuesto. </w:t>
      </w:r>
    </w:p>
    <w:p w14:paraId="5036F579" w14:textId="77777777" w:rsidR="00E23D7F" w:rsidRDefault="00E23D7F" w:rsidP="00E23D7F">
      <w:pPr>
        <w:widowControl w:val="0"/>
        <w:pBdr>
          <w:top w:val="nil"/>
          <w:left w:val="nil"/>
          <w:bottom w:val="nil"/>
          <w:right w:val="nil"/>
          <w:between w:val="nil"/>
        </w:pBdr>
        <w:tabs>
          <w:tab w:val="left" w:pos="426"/>
        </w:tabs>
        <w:jc w:val="both"/>
        <w:rPr>
          <w:bCs/>
          <w:sz w:val="28"/>
          <w:szCs w:val="28"/>
        </w:rPr>
      </w:pPr>
    </w:p>
    <w:p w14:paraId="5F9FB023" w14:textId="1768B5E0" w:rsidR="00E23D7F" w:rsidRPr="00AD0E5E" w:rsidRDefault="00E23D7F" w:rsidP="00E23D7F">
      <w:pPr>
        <w:widowControl w:val="0"/>
        <w:numPr>
          <w:ilvl w:val="0"/>
          <w:numId w:val="1"/>
        </w:numPr>
        <w:pBdr>
          <w:top w:val="nil"/>
          <w:left w:val="nil"/>
          <w:bottom w:val="nil"/>
          <w:right w:val="nil"/>
          <w:between w:val="nil"/>
        </w:pBdr>
        <w:tabs>
          <w:tab w:val="left" w:pos="426"/>
        </w:tabs>
        <w:ind w:left="0" w:firstLine="0"/>
        <w:jc w:val="both"/>
        <w:rPr>
          <w:bCs/>
          <w:sz w:val="28"/>
          <w:szCs w:val="28"/>
        </w:rPr>
      </w:pPr>
      <w:r w:rsidRPr="00AD0E5E">
        <w:rPr>
          <w:bCs/>
          <w:sz w:val="28"/>
          <w:szCs w:val="28"/>
        </w:rPr>
        <w:t>En suma, la Sala observa que</w:t>
      </w:r>
      <w:r w:rsidR="002B146E" w:rsidRPr="00AD0E5E">
        <w:rPr>
          <w:bCs/>
          <w:sz w:val="28"/>
          <w:szCs w:val="28"/>
        </w:rPr>
        <w:t xml:space="preserve"> </w:t>
      </w:r>
      <w:r w:rsidRPr="00AD0E5E">
        <w:rPr>
          <w:bCs/>
          <w:sz w:val="28"/>
          <w:szCs w:val="28"/>
        </w:rPr>
        <w:t xml:space="preserve">las normas acusadas podrían relacionarse con los ejes de “Convergencia Regional” y “Estabilidad Macroeconómica”. Asimismo, con los catalizadores de dispositivos democráticos de participación y fortalecimiento institucional que están previstos en el eje de transformación de “Convergencia Regional”. </w:t>
      </w:r>
      <w:r w:rsidR="0017777C" w:rsidRPr="00AD0E5E">
        <w:rPr>
          <w:bCs/>
          <w:sz w:val="28"/>
          <w:szCs w:val="28"/>
        </w:rPr>
        <w:t>Lo anterior, en la medida en que el otorgamiento de autonomía presupuestal y contractual al CNE, en cuanto autoridad electoral en el país, podría relacionarse en principio con los objetivos de</w:t>
      </w:r>
      <w:r w:rsidR="0075285C" w:rsidRPr="00AD0E5E">
        <w:rPr>
          <w:bCs/>
          <w:sz w:val="28"/>
          <w:szCs w:val="28"/>
        </w:rPr>
        <w:t xml:space="preserve">: (i) transformar las instituciones y la gestión de lo público a través de la autonomía e independencia de una entidad con impacto directo en la actividad electoral del país; (ii) garantizar la disponibilidad de recursos para financiar dichas transformaciones y (iii) fortalecer el sistema democrático y participativo. </w:t>
      </w:r>
    </w:p>
    <w:p w14:paraId="41CDEDCE" w14:textId="77777777" w:rsidR="00E23D7F" w:rsidRPr="00E23D7F" w:rsidRDefault="00E23D7F" w:rsidP="00E23D7F">
      <w:pPr>
        <w:widowControl w:val="0"/>
        <w:pBdr>
          <w:top w:val="nil"/>
          <w:left w:val="nil"/>
          <w:bottom w:val="nil"/>
          <w:right w:val="nil"/>
          <w:between w:val="nil"/>
        </w:pBdr>
        <w:tabs>
          <w:tab w:val="left" w:pos="426"/>
        </w:tabs>
        <w:jc w:val="both"/>
        <w:rPr>
          <w:bCs/>
          <w:sz w:val="28"/>
          <w:szCs w:val="28"/>
        </w:rPr>
      </w:pPr>
    </w:p>
    <w:p w14:paraId="14D970DF" w14:textId="20DD29F7" w:rsidR="00F90529" w:rsidRPr="00554FD8" w:rsidRDefault="00F90529" w:rsidP="0095227B">
      <w:pPr>
        <w:pStyle w:val="Prrafodelista"/>
        <w:keepNext/>
        <w:keepLines/>
        <w:widowControl w:val="0"/>
        <w:numPr>
          <w:ilvl w:val="0"/>
          <w:numId w:val="27"/>
        </w:numPr>
        <w:pBdr>
          <w:top w:val="nil"/>
          <w:left w:val="nil"/>
          <w:bottom w:val="nil"/>
          <w:right w:val="nil"/>
          <w:between w:val="nil"/>
        </w:pBdr>
        <w:tabs>
          <w:tab w:val="left" w:pos="426"/>
        </w:tabs>
        <w:jc w:val="both"/>
        <w:rPr>
          <w:b/>
          <w:sz w:val="28"/>
          <w:szCs w:val="28"/>
        </w:rPr>
      </w:pPr>
      <w:r w:rsidRPr="00554FD8">
        <w:rPr>
          <w:b/>
          <w:sz w:val="28"/>
          <w:szCs w:val="28"/>
        </w:rPr>
        <w:t>Tercera etapa</w:t>
      </w:r>
    </w:p>
    <w:p w14:paraId="74CBC5CB" w14:textId="77777777" w:rsidR="00F90529" w:rsidRPr="00554FD8" w:rsidRDefault="00F90529" w:rsidP="0095227B">
      <w:pPr>
        <w:keepNext/>
        <w:keepLines/>
        <w:widowControl w:val="0"/>
        <w:pBdr>
          <w:top w:val="nil"/>
          <w:left w:val="nil"/>
          <w:bottom w:val="nil"/>
          <w:right w:val="nil"/>
          <w:between w:val="nil"/>
        </w:pBdr>
        <w:tabs>
          <w:tab w:val="left" w:pos="426"/>
        </w:tabs>
        <w:jc w:val="both"/>
        <w:rPr>
          <w:b/>
          <w:sz w:val="28"/>
          <w:szCs w:val="28"/>
        </w:rPr>
      </w:pPr>
    </w:p>
    <w:p w14:paraId="486FF215" w14:textId="29FD5B32" w:rsidR="00F90529" w:rsidRPr="00554FD8" w:rsidRDefault="00AB3A97" w:rsidP="0095227B">
      <w:pPr>
        <w:pStyle w:val="Ttulo3"/>
        <w:widowControl w:val="0"/>
        <w:spacing w:before="0" w:after="0"/>
        <w:jc w:val="both"/>
      </w:pPr>
      <w:bookmarkStart w:id="21" w:name="_Toc230846374"/>
      <w:r w:rsidRPr="00554FD8">
        <w:t>4</w:t>
      </w:r>
      <w:r w:rsidR="00F90529" w:rsidRPr="00554FD8">
        <w:t>.</w:t>
      </w:r>
      <w:r w:rsidRPr="00554FD8">
        <w:t>8</w:t>
      </w:r>
      <w:r w:rsidR="00F90529" w:rsidRPr="00554FD8">
        <w:t xml:space="preserve">. Las normas censuradas carecen de conexidad directa e inmediata, estrecha y verificable con los objetivos, metas, planes o estrategias previstas en las </w:t>
      </w:r>
      <w:r w:rsidR="00A21C73">
        <w:t>B</w:t>
      </w:r>
      <w:r w:rsidR="00F90529" w:rsidRPr="00554FD8">
        <w:t xml:space="preserve">ases del plan, así como </w:t>
      </w:r>
      <w:r w:rsidR="00CA088C">
        <w:t>también respecto de</w:t>
      </w:r>
      <w:r w:rsidR="00F90529" w:rsidRPr="00554FD8">
        <w:t xml:space="preserve"> los programas del </w:t>
      </w:r>
      <w:r w:rsidR="00A7444A">
        <w:t>P</w:t>
      </w:r>
      <w:r w:rsidR="00F90529" w:rsidRPr="00554FD8">
        <w:t xml:space="preserve">lan </w:t>
      </w:r>
      <w:r w:rsidR="00A7444A">
        <w:t>P</w:t>
      </w:r>
      <w:r w:rsidR="00F90529" w:rsidRPr="00554FD8">
        <w:t xml:space="preserve">lurianual de </w:t>
      </w:r>
      <w:r w:rsidR="00A7444A">
        <w:t>I</w:t>
      </w:r>
      <w:r w:rsidR="00F90529" w:rsidRPr="00554FD8">
        <w:t>nversiones</w:t>
      </w:r>
      <w:bookmarkEnd w:id="21"/>
    </w:p>
    <w:p w14:paraId="09A6FADB" w14:textId="77777777" w:rsidR="00F90529" w:rsidRPr="00554FD8" w:rsidRDefault="00F90529" w:rsidP="00F90529">
      <w:pPr>
        <w:widowControl w:val="0"/>
        <w:pBdr>
          <w:top w:val="nil"/>
          <w:left w:val="nil"/>
          <w:bottom w:val="nil"/>
          <w:right w:val="nil"/>
          <w:between w:val="nil"/>
        </w:pBdr>
        <w:tabs>
          <w:tab w:val="left" w:pos="426"/>
        </w:tabs>
        <w:jc w:val="both"/>
        <w:rPr>
          <w:b/>
          <w:sz w:val="28"/>
          <w:szCs w:val="28"/>
        </w:rPr>
      </w:pPr>
    </w:p>
    <w:p w14:paraId="65F25443" w14:textId="1CB1262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u w:color="000000"/>
        </w:rPr>
      </w:pPr>
      <w:r w:rsidRPr="00554FD8">
        <w:rPr>
          <w:sz w:val="28"/>
          <w:szCs w:val="28"/>
          <w:u w:color="000000"/>
        </w:rPr>
        <w:t xml:space="preserve">La </w:t>
      </w:r>
      <w:r w:rsidR="008A443A">
        <w:rPr>
          <w:sz w:val="28"/>
          <w:szCs w:val="28"/>
          <w:u w:color="000000"/>
        </w:rPr>
        <w:t>Corte Constitucional</w:t>
      </w:r>
      <w:r w:rsidR="008A443A" w:rsidRPr="00554FD8">
        <w:rPr>
          <w:sz w:val="28"/>
          <w:szCs w:val="28"/>
          <w:u w:color="000000"/>
        </w:rPr>
        <w:t xml:space="preserve"> </w:t>
      </w:r>
      <w:r w:rsidRPr="00554FD8">
        <w:rPr>
          <w:sz w:val="28"/>
          <w:szCs w:val="28"/>
          <w:u w:color="000000"/>
        </w:rPr>
        <w:t xml:space="preserve">evidencia que no existe una conexidad directa e inmediata entre las normas acusadas y los objetivos, metas, planes o estrategias previstas en el PND ni con el </w:t>
      </w:r>
      <w:r w:rsidR="002A7239">
        <w:rPr>
          <w:sz w:val="28"/>
          <w:szCs w:val="28"/>
          <w:u w:color="000000"/>
        </w:rPr>
        <w:t>P</w:t>
      </w:r>
      <w:r w:rsidRPr="00554FD8">
        <w:rPr>
          <w:sz w:val="28"/>
          <w:szCs w:val="28"/>
          <w:u w:color="000000"/>
        </w:rPr>
        <w:t xml:space="preserve">lan </w:t>
      </w:r>
      <w:r w:rsidR="002A7239">
        <w:rPr>
          <w:sz w:val="28"/>
          <w:szCs w:val="28"/>
          <w:u w:color="000000"/>
        </w:rPr>
        <w:t>P</w:t>
      </w:r>
      <w:r w:rsidRPr="00554FD8">
        <w:rPr>
          <w:sz w:val="28"/>
          <w:szCs w:val="28"/>
          <w:u w:color="000000"/>
        </w:rPr>
        <w:t xml:space="preserve">lurianual de </w:t>
      </w:r>
      <w:r w:rsidR="002A7239">
        <w:rPr>
          <w:sz w:val="28"/>
          <w:szCs w:val="28"/>
          <w:u w:color="000000"/>
        </w:rPr>
        <w:t>I</w:t>
      </w:r>
      <w:r w:rsidRPr="00554FD8">
        <w:rPr>
          <w:sz w:val="28"/>
          <w:szCs w:val="28"/>
          <w:u w:color="000000"/>
        </w:rPr>
        <w:t xml:space="preserve">nversiones. A continuación se analizarán las intervenciones en el trámite legislativo y en </w:t>
      </w:r>
      <w:r w:rsidR="00BE7FC4">
        <w:rPr>
          <w:sz w:val="28"/>
          <w:szCs w:val="28"/>
          <w:u w:color="000000"/>
        </w:rPr>
        <w:t>la</w:t>
      </w:r>
      <w:r w:rsidR="00BE7FC4" w:rsidRPr="00554FD8">
        <w:rPr>
          <w:sz w:val="28"/>
          <w:szCs w:val="28"/>
          <w:u w:color="000000"/>
        </w:rPr>
        <w:t xml:space="preserve"> </w:t>
      </w:r>
      <w:r w:rsidRPr="00AD0E5E">
        <w:rPr>
          <w:sz w:val="28"/>
          <w:szCs w:val="28"/>
          <w:u w:color="000000"/>
        </w:rPr>
        <w:t xml:space="preserve">presente </w:t>
      </w:r>
      <w:r w:rsidR="00BE7FC4" w:rsidRPr="00AD0E5E">
        <w:rPr>
          <w:sz w:val="28"/>
          <w:szCs w:val="28"/>
          <w:u w:color="000000"/>
        </w:rPr>
        <w:t>revisión</w:t>
      </w:r>
      <w:r w:rsidR="00BE7FC4" w:rsidRPr="00554FD8">
        <w:rPr>
          <w:sz w:val="28"/>
          <w:szCs w:val="28"/>
          <w:u w:color="000000"/>
        </w:rPr>
        <w:t xml:space="preserve"> </w:t>
      </w:r>
      <w:r w:rsidRPr="00554FD8">
        <w:rPr>
          <w:sz w:val="28"/>
          <w:szCs w:val="28"/>
          <w:u w:color="000000"/>
        </w:rPr>
        <w:t xml:space="preserve">constitucional para verificar si fue establecida la conexidad directa e inmediata de las normas censuradas con las </w:t>
      </w:r>
      <w:r w:rsidR="00A21C73">
        <w:rPr>
          <w:sz w:val="28"/>
          <w:szCs w:val="28"/>
          <w:u w:color="000000"/>
        </w:rPr>
        <w:t>B</w:t>
      </w:r>
      <w:r w:rsidRPr="00554FD8">
        <w:rPr>
          <w:sz w:val="28"/>
          <w:szCs w:val="28"/>
          <w:u w:color="000000"/>
        </w:rPr>
        <w:t>ases del plan</w:t>
      </w:r>
      <w:r w:rsidR="00A62AF8" w:rsidRPr="00554FD8">
        <w:rPr>
          <w:sz w:val="28"/>
          <w:szCs w:val="28"/>
          <w:u w:color="000000"/>
        </w:rPr>
        <w:t xml:space="preserve"> y </w:t>
      </w:r>
      <w:r w:rsidR="00CA088C">
        <w:rPr>
          <w:sz w:val="28"/>
          <w:szCs w:val="28"/>
          <w:u w:color="000000"/>
        </w:rPr>
        <w:t xml:space="preserve">con </w:t>
      </w:r>
      <w:r w:rsidR="00A62AF8" w:rsidRPr="00554FD8">
        <w:rPr>
          <w:sz w:val="28"/>
          <w:szCs w:val="28"/>
          <w:u w:color="000000"/>
        </w:rPr>
        <w:t xml:space="preserve">el </w:t>
      </w:r>
      <w:r w:rsidR="002A7239">
        <w:rPr>
          <w:sz w:val="28"/>
          <w:szCs w:val="28"/>
          <w:u w:color="000000"/>
        </w:rPr>
        <w:t>P</w:t>
      </w:r>
      <w:r w:rsidR="00A62AF8" w:rsidRPr="00554FD8">
        <w:rPr>
          <w:sz w:val="28"/>
          <w:szCs w:val="28"/>
          <w:u w:color="000000"/>
        </w:rPr>
        <w:t xml:space="preserve">lan </w:t>
      </w:r>
      <w:r w:rsidR="002A7239">
        <w:rPr>
          <w:sz w:val="28"/>
          <w:szCs w:val="28"/>
          <w:u w:color="000000"/>
        </w:rPr>
        <w:t>P</w:t>
      </w:r>
      <w:r w:rsidR="00A62AF8" w:rsidRPr="00554FD8">
        <w:rPr>
          <w:sz w:val="28"/>
          <w:szCs w:val="28"/>
          <w:u w:color="000000"/>
        </w:rPr>
        <w:t xml:space="preserve">lurianual de </w:t>
      </w:r>
      <w:r w:rsidR="002A7239">
        <w:rPr>
          <w:sz w:val="28"/>
          <w:szCs w:val="28"/>
          <w:u w:color="000000"/>
        </w:rPr>
        <w:t>I</w:t>
      </w:r>
      <w:r w:rsidR="00A62AF8" w:rsidRPr="00554FD8">
        <w:rPr>
          <w:sz w:val="28"/>
          <w:szCs w:val="28"/>
          <w:u w:color="000000"/>
        </w:rPr>
        <w:t>nversiones</w:t>
      </w:r>
      <w:r w:rsidR="008A443A">
        <w:rPr>
          <w:sz w:val="28"/>
          <w:szCs w:val="28"/>
          <w:u w:color="000000"/>
        </w:rPr>
        <w:t xml:space="preserve">, en particular, las referidas por el gobierno nacional, el CNE y otras entidades durante el presente trámite. </w:t>
      </w:r>
    </w:p>
    <w:p w14:paraId="4F18D869" w14:textId="77777777" w:rsidR="002F4271" w:rsidRPr="002F4271" w:rsidRDefault="002F4271" w:rsidP="002F4271">
      <w:pPr>
        <w:rPr>
          <w:i/>
          <w:iCs/>
          <w:sz w:val="28"/>
          <w:szCs w:val="28"/>
          <w:u w:color="000000"/>
        </w:rPr>
      </w:pPr>
    </w:p>
    <w:p w14:paraId="77E639FC" w14:textId="2AFDCD28"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u w:color="000000"/>
        </w:rPr>
      </w:pPr>
      <w:r w:rsidRPr="00554FD8">
        <w:rPr>
          <w:i/>
          <w:iCs/>
          <w:sz w:val="28"/>
          <w:szCs w:val="28"/>
          <w:u w:color="000000"/>
        </w:rPr>
        <w:t>Intervenciones en el trámite legislativo.</w:t>
      </w:r>
      <w:r w:rsidRPr="00554FD8">
        <w:rPr>
          <w:sz w:val="28"/>
          <w:szCs w:val="28"/>
          <w:u w:color="000000"/>
        </w:rPr>
        <w:t xml:space="preserve"> En la proposición radicada ante ambas Cámaras por varios congresistas</w:t>
      </w:r>
      <w:r w:rsidRPr="00554FD8">
        <w:rPr>
          <w:rStyle w:val="Refdenotaalpie"/>
          <w:sz w:val="28"/>
          <w:szCs w:val="28"/>
          <w:u w:color="000000"/>
        </w:rPr>
        <w:footnoteReference w:id="126"/>
      </w:r>
      <w:r w:rsidRPr="00554FD8">
        <w:rPr>
          <w:sz w:val="28"/>
          <w:szCs w:val="28"/>
          <w:u w:color="000000"/>
        </w:rPr>
        <w:t xml:space="preserve"> se indicó lo siguiente: </w:t>
      </w:r>
    </w:p>
    <w:p w14:paraId="564B5F46" w14:textId="77777777" w:rsidR="00F90529" w:rsidRPr="00554FD8" w:rsidRDefault="00F90529" w:rsidP="00F90529">
      <w:pPr>
        <w:rPr>
          <w:sz w:val="28"/>
          <w:szCs w:val="28"/>
          <w:lang w:val="es-ES"/>
        </w:rPr>
      </w:pPr>
    </w:p>
    <w:p w14:paraId="2492DB78"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r w:rsidRPr="00554FD8">
        <w:rPr>
          <w:lang w:val="es-ES"/>
        </w:rPr>
        <w:t xml:space="preserve">Consecuentemente, al ordenar el Estatuto Orgánico de Presupuesto la inclusión del presupuesto del Consejo Nacional Electoral en el de la Registraduría Nacional del Estado Civil, de hecho crea una relación subalterna, limitante, que le impide el ejercicio independiente y verdaderamente autónomo de sus funciones Constitucionales y legales […] contrariando el sentido entre otros, del artículo 12 de Acto legislativo 01 de 2009 cuyo texto reza: "Artículo 12. El artículo 265 de la Constitución Política quedará así: El Consejo Nacional Electoral regulará, inspeccionará, vigilará y controlará toda la actividad electoral de los partidos y movimientos políticos, de los grupos significativos de ciudadanos, de sus representantes legales, directivos y candidatos, garantizando el cumplimiento de los principios y deberes que a ellos corresponden, y gozará de autonomía presupuestal y administrativa. […] </w:t>
      </w:r>
    </w:p>
    <w:p w14:paraId="30FA58AC"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p>
    <w:p w14:paraId="0F287C4E"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r w:rsidRPr="00554FD8">
        <w:rPr>
          <w:lang w:val="es-ES"/>
        </w:rPr>
        <w:t>En la práctica encontramos que el señor Registrador al disponer a su arbitrio de las decisiones relacionadas con la ordenación del gasto, los registros contables, de tesorería, la contratación, la nominación de los funcionarios y cualquier otra de carácter presupuestal o administrativo, lo hace a ritmos que dan lugar a ineficiencias y retrasos de la gestión del CNE, en atención a que la prioridad, obviamente, es la gestión de la Registraduría Nacional del Estado Civil.</w:t>
      </w:r>
    </w:p>
    <w:p w14:paraId="1F356A32"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p>
    <w:p w14:paraId="5F37B9EF"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r w:rsidRPr="00554FD8">
        <w:rPr>
          <w:lang w:val="es-ES"/>
        </w:rPr>
        <w:t>La situación ha llegado sistemáticamente a hechos absurdos como lo es que la contratación de la auditoria al proceso electoral la adelanta la Registraduría Nacional del Estado Civil, cuando su función, de conformidad con lo señalado en el inciso tercero del Artículo 266 de la Constitución Política está limitada a que: "Ejercerá las funciones que establezca la ley, incluida la dirección y organización de las elecciones…”, labor, que como ya se ha anotado anteriormente, es competencia constitucional y legal del Consejo Nacional Electoral. Es decir, se convierte en auditor de su propio proceso, haciendo nugatorio el que por mandamiento constitucional le corresponde al CNE. Pues este no puede contratar con el mismo objeto y obligaciones.</w:t>
      </w:r>
    </w:p>
    <w:p w14:paraId="77E4E162"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p>
    <w:p w14:paraId="22A76B75" w14:textId="77777777" w:rsidR="00F90529" w:rsidRPr="00554FD8" w:rsidRDefault="00F90529" w:rsidP="00F90529">
      <w:pPr>
        <w:widowControl w:val="0"/>
        <w:pBdr>
          <w:top w:val="nil"/>
          <w:left w:val="nil"/>
          <w:bottom w:val="nil"/>
          <w:right w:val="nil"/>
          <w:between w:val="nil"/>
        </w:pBdr>
        <w:tabs>
          <w:tab w:val="left" w:pos="426"/>
        </w:tabs>
        <w:ind w:left="284" w:right="284"/>
        <w:jc w:val="both"/>
        <w:rPr>
          <w:lang w:val="es-ES"/>
        </w:rPr>
      </w:pPr>
      <w:r w:rsidRPr="00554FD8">
        <w:rPr>
          <w:lang w:val="es-ES"/>
        </w:rPr>
        <w:t>Es absolutamente evidente la necesidad inaplazable de otorgar al CNE la autonomía presupuestal que como consecuencia de erigirla en Sección Presupuestal en el Presupuesto General de la Nación se alcanzaría”</w:t>
      </w:r>
      <w:r w:rsidRPr="00554FD8">
        <w:rPr>
          <w:rStyle w:val="Refdenotaalpie"/>
          <w:lang w:val="es-ES"/>
        </w:rPr>
        <w:footnoteReference w:id="127"/>
      </w:r>
      <w:r w:rsidRPr="00554FD8">
        <w:rPr>
          <w:lang w:val="es-ES"/>
        </w:rPr>
        <w:t>.</w:t>
      </w:r>
    </w:p>
    <w:p w14:paraId="0BD22EEA" w14:textId="77777777" w:rsidR="00F90529" w:rsidRPr="00554FD8" w:rsidRDefault="00F90529" w:rsidP="00F90529">
      <w:pPr>
        <w:widowControl w:val="0"/>
        <w:pBdr>
          <w:top w:val="nil"/>
          <w:left w:val="nil"/>
          <w:bottom w:val="nil"/>
          <w:right w:val="nil"/>
          <w:between w:val="nil"/>
        </w:pBdr>
        <w:tabs>
          <w:tab w:val="left" w:pos="426"/>
        </w:tabs>
        <w:ind w:right="284"/>
        <w:jc w:val="both"/>
        <w:rPr>
          <w:lang w:val="es-ES"/>
        </w:rPr>
      </w:pPr>
    </w:p>
    <w:p w14:paraId="195E7E75"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u w:color="000000"/>
        </w:rPr>
        <w:t>Adicionalmente, en la sesión plenaria del Senado de la República del 3 de mayo de 2023, el senador John Jairo Roldán Avendaño se refirió a la inclusión de las normas acusadas como artículos nuevos de la siguiente manera: “</w:t>
      </w:r>
      <w:r w:rsidRPr="00554FD8">
        <w:rPr>
          <w:sz w:val="28"/>
          <w:szCs w:val="28"/>
        </w:rPr>
        <w:t>Gracias, señor Presidente, los artículos nuevos avalados son los siguientes: […] El otro, señor Presidente, una proposición presentada por varios Congresistas, que tiene que ver con el Consejo Nacional Electoral, creando la independencia entre el Consejo Nacional y la Registraduría esto ha sido una, algo que siempre se ha tenido en cuenta y se ha luchado”</w:t>
      </w:r>
      <w:r w:rsidRPr="00554FD8">
        <w:rPr>
          <w:rStyle w:val="Refdenotaalpie"/>
          <w:sz w:val="28"/>
          <w:szCs w:val="28"/>
        </w:rPr>
        <w:footnoteReference w:id="128"/>
      </w:r>
      <w:r w:rsidRPr="00554FD8">
        <w:rPr>
          <w:sz w:val="28"/>
          <w:szCs w:val="28"/>
        </w:rPr>
        <w:t xml:space="preserve">. </w:t>
      </w:r>
    </w:p>
    <w:p w14:paraId="592611DD" w14:textId="77777777" w:rsidR="00F90529" w:rsidRPr="00554FD8" w:rsidRDefault="00F90529" w:rsidP="00F90529">
      <w:pPr>
        <w:widowControl w:val="0"/>
        <w:pBdr>
          <w:top w:val="nil"/>
          <w:left w:val="nil"/>
          <w:bottom w:val="nil"/>
          <w:right w:val="nil"/>
          <w:between w:val="nil"/>
        </w:pBdr>
        <w:tabs>
          <w:tab w:val="left" w:pos="426"/>
        </w:tabs>
        <w:jc w:val="both"/>
        <w:rPr>
          <w:sz w:val="28"/>
          <w:szCs w:val="28"/>
        </w:rPr>
      </w:pPr>
    </w:p>
    <w:p w14:paraId="24883071" w14:textId="77777777" w:rsidR="00F90529" w:rsidRPr="00554FD8" w:rsidRDefault="00F90529" w:rsidP="00F90529">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554FD8">
        <w:rPr>
          <w:i/>
          <w:iCs/>
          <w:sz w:val="28"/>
          <w:szCs w:val="28"/>
        </w:rPr>
        <w:t>Intervenciones en el presente trámite de constitucionalidad.</w:t>
      </w:r>
      <w:r w:rsidRPr="00554FD8">
        <w:rPr>
          <w:sz w:val="28"/>
          <w:szCs w:val="28"/>
        </w:rPr>
        <w:t xml:space="preserve"> E</w:t>
      </w:r>
      <w:r w:rsidRPr="00554FD8">
        <w:rPr>
          <w:sz w:val="28"/>
          <w:szCs w:val="28"/>
          <w:lang w:val="es-ES"/>
        </w:rPr>
        <w:t xml:space="preserve">l CNE indicó que </w:t>
      </w:r>
      <w:r w:rsidRPr="00554FD8">
        <w:rPr>
          <w:sz w:val="28"/>
          <w:szCs w:val="28"/>
          <w:lang w:val="es-ES_tradnl" w:eastAsia="es-CO"/>
        </w:rPr>
        <w:t>“la implementación de los decretos Ley No. 2085 y 2086 de 2019 requerían de un proceso más complejo.[…] Por tanto, […] la creación de la sección presupuestal […] responde a un mandato constitucional que define al Consejo Nacional Electoral como una entidad autónoma dentro de la organización electoral y que requería de la creación de la sección presupuestal que permitiera la ordenación del gasto y la nominación, para poder independizar totalmente los procesos del Consejo Nacional Electoral de la Registraduría Nacional del Estado Civil […]”</w:t>
      </w:r>
      <w:r w:rsidRPr="00554FD8">
        <w:rPr>
          <w:rStyle w:val="Refdenotaalpie"/>
          <w:bCs/>
          <w:sz w:val="28"/>
          <w:szCs w:val="28"/>
        </w:rPr>
        <w:footnoteReference w:id="129"/>
      </w:r>
      <w:r w:rsidRPr="00554FD8">
        <w:rPr>
          <w:sz w:val="28"/>
          <w:szCs w:val="28"/>
          <w:lang w:val="es-ES_tradnl" w:eastAsia="es-CO"/>
        </w:rPr>
        <w:t xml:space="preserve">. </w:t>
      </w:r>
    </w:p>
    <w:p w14:paraId="17B71AC5" w14:textId="77777777" w:rsidR="00F90529" w:rsidRPr="00554FD8" w:rsidRDefault="00F90529" w:rsidP="00F90529">
      <w:pPr>
        <w:widowControl w:val="0"/>
        <w:pBdr>
          <w:top w:val="nil"/>
          <w:left w:val="nil"/>
          <w:bottom w:val="nil"/>
          <w:right w:val="nil"/>
          <w:between w:val="nil"/>
        </w:pBdr>
        <w:tabs>
          <w:tab w:val="left" w:pos="426"/>
        </w:tabs>
        <w:jc w:val="both"/>
        <w:rPr>
          <w:sz w:val="28"/>
          <w:szCs w:val="28"/>
          <w:lang w:val="es-ES"/>
        </w:rPr>
      </w:pPr>
    </w:p>
    <w:p w14:paraId="790AE241" w14:textId="53115718" w:rsidR="002B146E" w:rsidRPr="00AD0E5E" w:rsidRDefault="00F90529" w:rsidP="0088696B">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AD0E5E">
        <w:rPr>
          <w:sz w:val="28"/>
          <w:szCs w:val="28"/>
          <w:lang w:val="es-ES"/>
        </w:rPr>
        <w:t xml:space="preserve">De lo expuesto, la Sala encuentra que no se acreditó la existencia de una conexidad directa e inmediata entre las normas acusadas y las </w:t>
      </w:r>
      <w:r w:rsidR="00A21C73" w:rsidRPr="00AD0E5E">
        <w:rPr>
          <w:sz w:val="28"/>
          <w:szCs w:val="28"/>
          <w:lang w:val="es-ES"/>
        </w:rPr>
        <w:t>B</w:t>
      </w:r>
      <w:r w:rsidRPr="00AD0E5E">
        <w:rPr>
          <w:sz w:val="28"/>
          <w:szCs w:val="28"/>
          <w:lang w:val="es-ES"/>
        </w:rPr>
        <w:t xml:space="preserve">ases del plan </w:t>
      </w:r>
      <w:r w:rsidR="000414D8" w:rsidRPr="00AD0E5E">
        <w:rPr>
          <w:sz w:val="28"/>
          <w:szCs w:val="28"/>
          <w:lang w:val="es-ES"/>
        </w:rPr>
        <w:t xml:space="preserve">ni con el </w:t>
      </w:r>
      <w:r w:rsidR="002A7239" w:rsidRPr="00AD0E5E">
        <w:rPr>
          <w:sz w:val="28"/>
          <w:szCs w:val="28"/>
          <w:lang w:val="es-ES"/>
        </w:rPr>
        <w:t>P</w:t>
      </w:r>
      <w:r w:rsidRPr="00AD0E5E">
        <w:rPr>
          <w:sz w:val="28"/>
          <w:szCs w:val="28"/>
          <w:lang w:val="es-ES"/>
        </w:rPr>
        <w:t xml:space="preserve">lan </w:t>
      </w:r>
      <w:r w:rsidR="002A7239" w:rsidRPr="00AD0E5E">
        <w:rPr>
          <w:sz w:val="28"/>
          <w:szCs w:val="28"/>
          <w:lang w:val="es-ES"/>
        </w:rPr>
        <w:t>P</w:t>
      </w:r>
      <w:r w:rsidRPr="00AD0E5E">
        <w:rPr>
          <w:sz w:val="28"/>
          <w:szCs w:val="28"/>
          <w:lang w:val="es-ES"/>
        </w:rPr>
        <w:t xml:space="preserve">lurianual de </w:t>
      </w:r>
      <w:r w:rsidR="002A7239" w:rsidRPr="00AD0E5E">
        <w:rPr>
          <w:sz w:val="28"/>
          <w:szCs w:val="28"/>
          <w:lang w:val="es-ES"/>
        </w:rPr>
        <w:t>I</w:t>
      </w:r>
      <w:r w:rsidRPr="00AD0E5E">
        <w:rPr>
          <w:sz w:val="28"/>
          <w:szCs w:val="28"/>
          <w:lang w:val="es-ES"/>
        </w:rPr>
        <w:t>nversiones</w:t>
      </w:r>
      <w:r w:rsidR="008416E7" w:rsidRPr="00AD0E5E">
        <w:rPr>
          <w:sz w:val="28"/>
          <w:szCs w:val="28"/>
          <w:lang w:val="es-ES"/>
        </w:rPr>
        <w:t>, ni mucho menos que sean efectivas o posibiliten el cumplimiento de aquellas</w:t>
      </w:r>
      <w:r w:rsidRPr="00AD0E5E">
        <w:rPr>
          <w:sz w:val="28"/>
          <w:szCs w:val="28"/>
          <w:lang w:val="es-ES"/>
        </w:rPr>
        <w:t xml:space="preserve">. En </w:t>
      </w:r>
      <w:r w:rsidR="008416E7" w:rsidRPr="00AD0E5E">
        <w:rPr>
          <w:sz w:val="28"/>
          <w:szCs w:val="28"/>
          <w:lang w:val="es-ES"/>
        </w:rPr>
        <w:t xml:space="preserve">dichos </w:t>
      </w:r>
      <w:r w:rsidR="004355B3" w:rsidRPr="00AD0E5E">
        <w:rPr>
          <w:sz w:val="28"/>
          <w:szCs w:val="28"/>
          <w:lang w:val="es-ES"/>
        </w:rPr>
        <w:t>documento</w:t>
      </w:r>
      <w:r w:rsidR="000414D8" w:rsidRPr="00AD0E5E">
        <w:rPr>
          <w:sz w:val="28"/>
          <w:szCs w:val="28"/>
          <w:lang w:val="es-ES"/>
        </w:rPr>
        <w:t>s</w:t>
      </w:r>
      <w:r w:rsidR="004355B3" w:rsidRPr="00AD0E5E">
        <w:rPr>
          <w:sz w:val="28"/>
          <w:szCs w:val="28"/>
          <w:lang w:val="es-ES"/>
        </w:rPr>
        <w:t>, si bien se menciona</w:t>
      </w:r>
      <w:r w:rsidRPr="00AD0E5E">
        <w:rPr>
          <w:sz w:val="28"/>
          <w:szCs w:val="28"/>
          <w:lang w:val="es-ES"/>
        </w:rPr>
        <w:t xml:space="preserve"> </w:t>
      </w:r>
      <w:r w:rsidR="004355B3" w:rsidRPr="00AD0E5E">
        <w:rPr>
          <w:sz w:val="28"/>
          <w:szCs w:val="28"/>
          <w:lang w:val="es-ES"/>
        </w:rPr>
        <w:t xml:space="preserve">el </w:t>
      </w:r>
      <w:r w:rsidR="004355B3" w:rsidRPr="00AD0E5E">
        <w:rPr>
          <w:color w:val="000000"/>
          <w:sz w:val="28"/>
          <w:szCs w:val="28"/>
          <w:lang w:val="es-ES_tradnl" w:eastAsia="es-CO"/>
        </w:rPr>
        <w:t>fortalecimiento institucional, la participación ciudadana y el sistema político y electoral del país, se trata de referencias genéricas que no configuran una conexidad directa ni inmediata</w:t>
      </w:r>
      <w:r w:rsidR="000414D8" w:rsidRPr="00AD0E5E">
        <w:rPr>
          <w:color w:val="000000"/>
          <w:sz w:val="28"/>
          <w:szCs w:val="28"/>
          <w:lang w:val="es-ES_tradnl" w:eastAsia="es-CO"/>
        </w:rPr>
        <w:t xml:space="preserve"> con las disposiciones revisadas</w:t>
      </w:r>
      <w:r w:rsidR="004355B3" w:rsidRPr="00AD0E5E">
        <w:rPr>
          <w:color w:val="000000"/>
          <w:sz w:val="28"/>
          <w:szCs w:val="28"/>
          <w:lang w:val="es-ES_tradnl" w:eastAsia="es-CO"/>
        </w:rPr>
        <w:t xml:space="preserve">, pues </w:t>
      </w:r>
      <w:r w:rsidRPr="00AD0E5E">
        <w:rPr>
          <w:sz w:val="28"/>
          <w:szCs w:val="28"/>
          <w:lang w:val="es-ES"/>
        </w:rPr>
        <w:t xml:space="preserve">no </w:t>
      </w:r>
      <w:r w:rsidR="00BD5016" w:rsidRPr="00AD0E5E">
        <w:rPr>
          <w:sz w:val="28"/>
          <w:szCs w:val="28"/>
          <w:lang w:val="es-ES"/>
        </w:rPr>
        <w:t xml:space="preserve">se aprecia que otorgarle </w:t>
      </w:r>
      <w:r w:rsidRPr="00AD0E5E">
        <w:rPr>
          <w:sz w:val="28"/>
          <w:szCs w:val="28"/>
          <w:lang w:val="es-ES"/>
        </w:rPr>
        <w:t xml:space="preserve">al CNE una sección presupuestaria independiente y dotar al presidente de </w:t>
      </w:r>
      <w:r w:rsidR="0099108F" w:rsidRPr="00AD0E5E">
        <w:rPr>
          <w:sz w:val="28"/>
          <w:szCs w:val="28"/>
          <w:lang w:val="es-ES"/>
        </w:rPr>
        <w:t>dicha</w:t>
      </w:r>
      <w:r w:rsidRPr="00AD0E5E">
        <w:rPr>
          <w:sz w:val="28"/>
          <w:szCs w:val="28"/>
          <w:lang w:val="es-ES"/>
        </w:rPr>
        <w:t xml:space="preserve"> entidad de </w:t>
      </w:r>
      <w:r w:rsidR="0099108F" w:rsidRPr="00AD0E5E">
        <w:rPr>
          <w:sz w:val="28"/>
          <w:szCs w:val="28"/>
          <w:lang w:val="es-ES"/>
        </w:rPr>
        <w:t>facultades contractuales y de ordenación del gasto</w:t>
      </w:r>
      <w:r w:rsidR="00BD5016" w:rsidRPr="00AD0E5E">
        <w:rPr>
          <w:sz w:val="28"/>
          <w:szCs w:val="28"/>
          <w:lang w:val="es-ES"/>
        </w:rPr>
        <w:t>, sean medidas que se relacionen de manera específica</w:t>
      </w:r>
      <w:r w:rsidR="000414D8" w:rsidRPr="00AD0E5E">
        <w:rPr>
          <w:sz w:val="28"/>
          <w:szCs w:val="28"/>
          <w:lang w:val="es-ES"/>
        </w:rPr>
        <w:t xml:space="preserve"> con propósitos claramente identificados en la parte general del PND</w:t>
      </w:r>
      <w:r w:rsidRPr="00AD0E5E">
        <w:rPr>
          <w:sz w:val="28"/>
          <w:szCs w:val="28"/>
          <w:lang w:val="es-ES"/>
        </w:rPr>
        <w:t>.</w:t>
      </w:r>
      <w:r w:rsidR="008A443A" w:rsidRPr="00AD0E5E">
        <w:rPr>
          <w:sz w:val="28"/>
          <w:szCs w:val="28"/>
          <w:lang w:val="es-ES"/>
        </w:rPr>
        <w:t xml:space="preserve"> </w:t>
      </w:r>
      <w:r w:rsidR="002E3C05" w:rsidRPr="00AD0E5E">
        <w:rPr>
          <w:sz w:val="28"/>
          <w:szCs w:val="28"/>
          <w:lang w:val="es-ES"/>
        </w:rPr>
        <w:t xml:space="preserve">Además, ninguna línea de inversión, partida o proyecto del Plan Plurianual de Inversiones se refiere a la necesidad de adoptar los mecanismos previstos en las normas analizadas, pues </w:t>
      </w:r>
      <w:r w:rsidR="002E3C05" w:rsidRPr="00AD0E5E">
        <w:rPr>
          <w:bCs/>
          <w:w w:val="105"/>
          <w:sz w:val="28"/>
          <w:szCs w:val="28"/>
        </w:rPr>
        <w:t>la referencia más cercana a la necesidad de fortalecer el sistema electoral y la participación política es una partida destinada al ejercicio de la oposición en el marco del posconflicto</w:t>
      </w:r>
      <w:r w:rsidR="002E3C05" w:rsidRPr="00AD0E5E">
        <w:rPr>
          <w:rStyle w:val="Refdenotaalpie"/>
          <w:bCs/>
          <w:w w:val="105"/>
          <w:sz w:val="28"/>
          <w:szCs w:val="28"/>
        </w:rPr>
        <w:footnoteReference w:id="130"/>
      </w:r>
      <w:r w:rsidR="002E3C05" w:rsidRPr="00AD0E5E">
        <w:rPr>
          <w:bCs/>
          <w:w w:val="105"/>
          <w:sz w:val="28"/>
          <w:szCs w:val="28"/>
        </w:rPr>
        <w:t>; no obstante, la misma no se relaciona de ninguna manera con la autonomía e independencia presupuestal y contractual del CNE.</w:t>
      </w:r>
    </w:p>
    <w:p w14:paraId="3F6D467C" w14:textId="0C6E7DF3" w:rsidR="002E3C05" w:rsidRPr="002E3C05" w:rsidRDefault="002E3C05" w:rsidP="002E3C05">
      <w:pPr>
        <w:widowControl w:val="0"/>
        <w:pBdr>
          <w:top w:val="nil"/>
          <w:left w:val="nil"/>
          <w:bottom w:val="nil"/>
          <w:right w:val="nil"/>
          <w:between w:val="nil"/>
        </w:pBdr>
        <w:tabs>
          <w:tab w:val="left" w:pos="426"/>
        </w:tabs>
        <w:jc w:val="both"/>
        <w:rPr>
          <w:sz w:val="28"/>
          <w:szCs w:val="28"/>
          <w:highlight w:val="yellow"/>
          <w:lang w:val="es-ES"/>
        </w:rPr>
      </w:pPr>
    </w:p>
    <w:p w14:paraId="5D20246A" w14:textId="722EC262" w:rsidR="004355B3" w:rsidRPr="00AD0E5E" w:rsidRDefault="002B146E" w:rsidP="002B146E">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AD0E5E">
        <w:rPr>
          <w:sz w:val="28"/>
          <w:szCs w:val="28"/>
          <w:lang w:val="es-ES"/>
        </w:rPr>
        <w:t xml:space="preserve">Adicionalmente, se evidencia que </w:t>
      </w:r>
      <w:r w:rsidRPr="00AD0E5E">
        <w:rPr>
          <w:bCs/>
          <w:w w:val="105"/>
          <w:sz w:val="28"/>
          <w:szCs w:val="28"/>
        </w:rPr>
        <w:t>el eje de convergencia regional incluye proyectos de infraestructura física, conectividad y desarrollo territorial, pero ninguno asociado con la necesidad de que el CNE tenga autonomía presupuestal</w:t>
      </w:r>
      <w:r w:rsidRPr="00AD0E5E">
        <w:rPr>
          <w:sz w:val="28"/>
          <w:szCs w:val="28"/>
          <w:lang w:val="es-ES"/>
        </w:rPr>
        <w:t xml:space="preserve"> y contractual. En el mismo sentido, l</w:t>
      </w:r>
      <w:r w:rsidR="008A443A" w:rsidRPr="00AD0E5E">
        <w:rPr>
          <w:sz w:val="28"/>
          <w:szCs w:val="28"/>
          <w:lang w:val="es-ES"/>
        </w:rPr>
        <w:t>a Corte llama especialmente la atención</w:t>
      </w:r>
      <w:r w:rsidRPr="00AD0E5E">
        <w:rPr>
          <w:sz w:val="28"/>
          <w:szCs w:val="28"/>
          <w:lang w:val="es-ES"/>
        </w:rPr>
        <w:t xml:space="preserve"> respecto de</w:t>
      </w:r>
      <w:r w:rsidR="008A443A" w:rsidRPr="00AD0E5E">
        <w:rPr>
          <w:sz w:val="28"/>
          <w:szCs w:val="28"/>
          <w:lang w:val="es-ES"/>
        </w:rPr>
        <w:t xml:space="preserve"> que las normas acusadas fueron incluidas en la sección del PND sobre estabilidad macroeconómica y ni en el trámite legislativo ni en el de constitucionalidad surtido ante esta corporación, se acreditó la manera en que existía conexidad directa e inmediata entre la modificación de la ley orgánica del presupuesto</w:t>
      </w:r>
      <w:r w:rsidR="00BB75B1" w:rsidRPr="00AD0E5E">
        <w:rPr>
          <w:sz w:val="28"/>
          <w:szCs w:val="28"/>
          <w:lang w:val="es-ES"/>
        </w:rPr>
        <w:t xml:space="preserve"> en relación con el CNE</w:t>
      </w:r>
      <w:r w:rsidR="008A443A" w:rsidRPr="00AD0E5E">
        <w:rPr>
          <w:sz w:val="28"/>
          <w:szCs w:val="28"/>
          <w:lang w:val="es-ES"/>
        </w:rPr>
        <w:t xml:space="preserve"> y el cumplimiento de los objetivos del PND en materia de estabilidad macroeconómica. </w:t>
      </w:r>
    </w:p>
    <w:p w14:paraId="3521EFD1" w14:textId="77777777" w:rsidR="004355B3" w:rsidRPr="002B146E" w:rsidRDefault="004355B3" w:rsidP="004355B3">
      <w:pPr>
        <w:pStyle w:val="Prrafodelista"/>
        <w:rPr>
          <w:sz w:val="28"/>
          <w:szCs w:val="28"/>
          <w:highlight w:val="yellow"/>
          <w:lang w:val="es-ES"/>
        </w:rPr>
      </w:pPr>
    </w:p>
    <w:p w14:paraId="668AC87D" w14:textId="45BA7A95" w:rsidR="00F90529" w:rsidRPr="00AD0E5E" w:rsidRDefault="00F90529" w:rsidP="0088183E">
      <w:pPr>
        <w:widowControl w:val="0"/>
        <w:numPr>
          <w:ilvl w:val="0"/>
          <w:numId w:val="1"/>
        </w:numPr>
        <w:pBdr>
          <w:top w:val="nil"/>
          <w:left w:val="nil"/>
          <w:bottom w:val="nil"/>
          <w:right w:val="nil"/>
          <w:between w:val="nil"/>
        </w:pBdr>
        <w:tabs>
          <w:tab w:val="left" w:pos="426"/>
        </w:tabs>
        <w:ind w:left="0" w:firstLine="0"/>
        <w:jc w:val="both"/>
        <w:rPr>
          <w:sz w:val="28"/>
          <w:szCs w:val="28"/>
          <w:lang w:val="es-ES"/>
        </w:rPr>
      </w:pPr>
      <w:r w:rsidRPr="00AD0E5E">
        <w:rPr>
          <w:sz w:val="28"/>
          <w:szCs w:val="28"/>
          <w:lang w:val="es-ES"/>
        </w:rPr>
        <w:t xml:space="preserve">Por el contrario, se aprecia que dichas medidas estuvieron sustentadas en la necesidad de asegurar la aplicación de otras normativas completamente ajenas al PND o en objetivos, fines o programas que no se corresponden con los de las </w:t>
      </w:r>
      <w:r w:rsidR="00A21C73" w:rsidRPr="00AD0E5E">
        <w:rPr>
          <w:sz w:val="28"/>
          <w:szCs w:val="28"/>
          <w:lang w:val="es-ES"/>
        </w:rPr>
        <w:t>B</w:t>
      </w:r>
      <w:r w:rsidRPr="00AD0E5E">
        <w:rPr>
          <w:sz w:val="28"/>
          <w:szCs w:val="28"/>
          <w:lang w:val="es-ES"/>
        </w:rPr>
        <w:t xml:space="preserve">ases del plan o </w:t>
      </w:r>
      <w:r w:rsidR="000414D8" w:rsidRPr="00AD0E5E">
        <w:rPr>
          <w:sz w:val="28"/>
          <w:szCs w:val="28"/>
          <w:lang w:val="es-ES"/>
        </w:rPr>
        <w:t xml:space="preserve">con el </w:t>
      </w:r>
      <w:r w:rsidR="00A21C73" w:rsidRPr="00AD0E5E">
        <w:rPr>
          <w:sz w:val="28"/>
          <w:szCs w:val="28"/>
          <w:lang w:val="es-ES"/>
        </w:rPr>
        <w:t>P</w:t>
      </w:r>
      <w:r w:rsidRPr="00AD0E5E">
        <w:rPr>
          <w:sz w:val="28"/>
          <w:szCs w:val="28"/>
          <w:lang w:val="es-ES"/>
        </w:rPr>
        <w:t xml:space="preserve">lan </w:t>
      </w:r>
      <w:r w:rsidR="00A21C73" w:rsidRPr="00AD0E5E">
        <w:rPr>
          <w:sz w:val="28"/>
          <w:szCs w:val="28"/>
          <w:lang w:val="es-ES"/>
        </w:rPr>
        <w:t>P</w:t>
      </w:r>
      <w:r w:rsidRPr="00AD0E5E">
        <w:rPr>
          <w:sz w:val="28"/>
          <w:szCs w:val="28"/>
          <w:lang w:val="es-ES"/>
        </w:rPr>
        <w:t xml:space="preserve">lurianual de </w:t>
      </w:r>
      <w:r w:rsidR="00A21C73" w:rsidRPr="00AD0E5E">
        <w:rPr>
          <w:sz w:val="28"/>
          <w:szCs w:val="28"/>
          <w:lang w:val="es-ES"/>
        </w:rPr>
        <w:t>I</w:t>
      </w:r>
      <w:r w:rsidRPr="00AD0E5E">
        <w:rPr>
          <w:sz w:val="28"/>
          <w:szCs w:val="28"/>
          <w:lang w:val="es-ES"/>
        </w:rPr>
        <w:t>nversiones, como por ejemplo</w:t>
      </w:r>
      <w:r w:rsidR="000414D8" w:rsidRPr="00AD0E5E">
        <w:rPr>
          <w:sz w:val="28"/>
          <w:szCs w:val="28"/>
          <w:lang w:val="es-ES"/>
        </w:rPr>
        <w:t xml:space="preserve"> respecto de </w:t>
      </w:r>
      <w:r w:rsidRPr="00AD0E5E">
        <w:rPr>
          <w:sz w:val="28"/>
          <w:szCs w:val="28"/>
          <w:lang w:val="es-ES"/>
        </w:rPr>
        <w:t>las menciones</w:t>
      </w:r>
      <w:r w:rsidR="004355B3" w:rsidRPr="00AD0E5E">
        <w:rPr>
          <w:sz w:val="28"/>
          <w:szCs w:val="28"/>
          <w:lang w:val="es-ES"/>
        </w:rPr>
        <w:t xml:space="preserve"> al artículo 12 del Acto Legislativo 01 de 2009,</w:t>
      </w:r>
      <w:r w:rsidRPr="00AD0E5E">
        <w:rPr>
          <w:sz w:val="28"/>
          <w:szCs w:val="28"/>
          <w:lang w:val="es-ES"/>
        </w:rPr>
        <w:t xml:space="preserve"> a la presunta implementación compleja de los decretos ley 2085 y 2086</w:t>
      </w:r>
      <w:r w:rsidR="000414D8" w:rsidRPr="00AD0E5E">
        <w:rPr>
          <w:sz w:val="28"/>
          <w:szCs w:val="28"/>
          <w:lang w:val="es-ES"/>
        </w:rPr>
        <w:t>,</w:t>
      </w:r>
      <w:r w:rsidRPr="00AD0E5E">
        <w:rPr>
          <w:sz w:val="28"/>
          <w:szCs w:val="28"/>
          <w:lang w:val="es-ES"/>
        </w:rPr>
        <w:t xml:space="preserve"> ambos de 2019</w:t>
      </w:r>
      <w:r w:rsidR="000414D8" w:rsidRPr="00AD0E5E">
        <w:rPr>
          <w:sz w:val="28"/>
          <w:szCs w:val="28"/>
          <w:lang w:val="es-ES"/>
        </w:rPr>
        <w:t>,</w:t>
      </w:r>
      <w:r w:rsidRPr="00AD0E5E">
        <w:rPr>
          <w:sz w:val="28"/>
          <w:szCs w:val="28"/>
          <w:lang w:val="es-ES"/>
        </w:rPr>
        <w:t xml:space="preserve"> o a la necesidad de que se conserve la autonomía y la independencia del CNE</w:t>
      </w:r>
      <w:r w:rsidR="000414D8" w:rsidRPr="00AD0E5E">
        <w:rPr>
          <w:sz w:val="28"/>
          <w:szCs w:val="28"/>
          <w:lang w:val="es-ES"/>
        </w:rPr>
        <w:t xml:space="preserve">. </w:t>
      </w:r>
    </w:p>
    <w:p w14:paraId="753A43D7" w14:textId="77777777" w:rsidR="00F90529" w:rsidRPr="00AD0E5E" w:rsidRDefault="00F90529" w:rsidP="00F90529">
      <w:pPr>
        <w:widowControl w:val="0"/>
        <w:pBdr>
          <w:top w:val="nil"/>
          <w:left w:val="nil"/>
          <w:bottom w:val="nil"/>
          <w:right w:val="nil"/>
          <w:between w:val="nil"/>
        </w:pBdr>
        <w:tabs>
          <w:tab w:val="left" w:pos="426"/>
        </w:tabs>
        <w:jc w:val="both"/>
        <w:rPr>
          <w:sz w:val="28"/>
          <w:szCs w:val="28"/>
          <w:lang w:val="es-ES"/>
        </w:rPr>
      </w:pPr>
    </w:p>
    <w:p w14:paraId="0517547A" w14:textId="08907175" w:rsidR="002F4271" w:rsidRPr="00AD0E5E" w:rsidRDefault="002B146E" w:rsidP="002F4271">
      <w:pPr>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AD0E5E">
        <w:rPr>
          <w:sz w:val="28"/>
          <w:szCs w:val="28"/>
          <w:lang w:val="es-ES"/>
        </w:rPr>
        <w:t>Finalmente, para la Sala resulta relevante evidenciar que</w:t>
      </w:r>
      <w:r w:rsidR="00D55132" w:rsidRPr="00AD0E5E">
        <w:rPr>
          <w:sz w:val="28"/>
          <w:szCs w:val="28"/>
          <w:lang w:val="es-ES"/>
        </w:rPr>
        <w:t>,</w:t>
      </w:r>
      <w:r w:rsidRPr="00AD0E5E">
        <w:rPr>
          <w:sz w:val="28"/>
          <w:szCs w:val="28"/>
          <w:lang w:val="es-ES"/>
        </w:rPr>
        <w:t xml:space="preserve"> en el trámite legislativo, específicamente durante la etapa de conciliación, se modificaron las Bases del PND</w:t>
      </w:r>
      <w:r w:rsidR="00D55132" w:rsidRPr="00AD0E5E">
        <w:rPr>
          <w:sz w:val="28"/>
          <w:szCs w:val="28"/>
          <w:lang w:val="es-ES"/>
        </w:rPr>
        <w:t>, pero no sucedió lo mismo con el Plan Plurianual de Inversiones. En específico, en</w:t>
      </w:r>
      <w:r w:rsidR="002F4271" w:rsidRPr="00AD0E5E">
        <w:rPr>
          <w:sz w:val="28"/>
          <w:szCs w:val="28"/>
          <w:lang w:val="es-ES"/>
        </w:rPr>
        <w:t xml:space="preserve"> las Bases originales de la ley del plan y en el Plan Plurianual de Inversiones, publicados en la Gaceta n.° 18 del 13 de febrero de 2023, no se encuentra referencia expresa alguna al CNE o a la necesidad de adoptar mecanismos como los establecidos por los artículos 336 y 337 de la Ley 2294 de 2023 para el cumplimiento de algún propósito específico. Incluso, las normas bajo examen no hacían parte del articulado del proyecto de ley original y fueron propuestas y aprobadas por las plenarias de la Cámara de Representantes y del Senado de la República durante el trámite del segundo debate</w:t>
      </w:r>
      <w:r w:rsidR="002F4271" w:rsidRPr="00AD0E5E">
        <w:rPr>
          <w:rStyle w:val="Refdenotaalpie"/>
          <w:sz w:val="28"/>
          <w:szCs w:val="28"/>
          <w:lang w:val="es-ES"/>
        </w:rPr>
        <w:footnoteReference w:id="131"/>
      </w:r>
      <w:r w:rsidR="002F4271" w:rsidRPr="00AD0E5E">
        <w:rPr>
          <w:sz w:val="28"/>
          <w:szCs w:val="28"/>
          <w:lang w:val="es-ES"/>
        </w:rPr>
        <w:t xml:space="preserve">. Para ese momento, las Bases del plan no contenían ninguna referencia a las mismas. </w:t>
      </w:r>
    </w:p>
    <w:p w14:paraId="6B1080C5" w14:textId="77777777" w:rsidR="002F4271" w:rsidRPr="00E23D7F" w:rsidRDefault="002F4271" w:rsidP="002F4271">
      <w:pPr>
        <w:widowControl w:val="0"/>
        <w:pBdr>
          <w:top w:val="nil"/>
          <w:left w:val="nil"/>
          <w:bottom w:val="nil"/>
          <w:right w:val="nil"/>
          <w:between w:val="nil"/>
        </w:pBdr>
        <w:tabs>
          <w:tab w:val="left" w:pos="426"/>
        </w:tabs>
        <w:jc w:val="both"/>
        <w:rPr>
          <w:iCs/>
          <w:sz w:val="28"/>
          <w:szCs w:val="28"/>
          <w:highlight w:val="yellow"/>
          <w:lang w:val="es-ES"/>
        </w:rPr>
      </w:pPr>
    </w:p>
    <w:p w14:paraId="4CCA25C7" w14:textId="5B472502" w:rsidR="00E23D7F" w:rsidRPr="00AD0E5E" w:rsidRDefault="002F4271" w:rsidP="002F4271">
      <w:pPr>
        <w:widowControl w:val="0"/>
        <w:numPr>
          <w:ilvl w:val="0"/>
          <w:numId w:val="1"/>
        </w:numPr>
        <w:pBdr>
          <w:top w:val="nil"/>
          <w:left w:val="nil"/>
          <w:bottom w:val="nil"/>
          <w:right w:val="nil"/>
          <w:between w:val="nil"/>
        </w:pBdr>
        <w:tabs>
          <w:tab w:val="left" w:pos="426"/>
        </w:tabs>
        <w:ind w:left="0" w:firstLine="0"/>
        <w:jc w:val="both"/>
        <w:rPr>
          <w:sz w:val="28"/>
          <w:szCs w:val="28"/>
          <w:u w:color="000000"/>
        </w:rPr>
      </w:pPr>
      <w:r w:rsidRPr="00AD0E5E">
        <w:rPr>
          <w:iCs/>
          <w:sz w:val="28"/>
          <w:szCs w:val="28"/>
          <w:lang w:val="es-ES"/>
        </w:rPr>
        <w:t xml:space="preserve">No obstante, el documento de las Bases del plan aparece modificado </w:t>
      </w:r>
      <w:r w:rsidRPr="00AD0E5E">
        <w:rPr>
          <w:sz w:val="28"/>
          <w:szCs w:val="28"/>
          <w:u w:color="000000"/>
        </w:rPr>
        <w:t>en la publicación del informe de conciliación efectuada en las gacetas n.° 429 de 2023, 427 de 2023 y 453 de 2024</w:t>
      </w:r>
      <w:r w:rsidRPr="00AD0E5E">
        <w:rPr>
          <w:rStyle w:val="Refdenotaalpie"/>
          <w:sz w:val="28"/>
          <w:szCs w:val="28"/>
          <w:u w:color="000000"/>
        </w:rPr>
        <w:footnoteReference w:id="132"/>
      </w:r>
      <w:r w:rsidRPr="00AD0E5E">
        <w:rPr>
          <w:sz w:val="28"/>
          <w:szCs w:val="28"/>
          <w:u w:color="000000"/>
        </w:rPr>
        <w:t xml:space="preserve">, cuando las normas objeto de control ya habían sido aprobadas por las plenarias de la Cámara de Representantes y del Senado de la República. En concreto, se encuentra que en el documento de Bases del plan aprobado en la fase de conciliación, específicamente en el literal b) denominado “Efectividad de los dispositivos de participación ciudadana, política y electoral” del acápite “Dispositivos democráticos de participación: política de diálogo permanente con decisiones desde y para el territorio” </w:t>
      </w:r>
      <w:r w:rsidR="00BE7FC4" w:rsidRPr="00AD0E5E">
        <w:rPr>
          <w:sz w:val="28"/>
          <w:szCs w:val="28"/>
          <w:u w:color="000000"/>
        </w:rPr>
        <w:t xml:space="preserve">en el </w:t>
      </w:r>
      <w:r w:rsidRPr="00AD0E5E">
        <w:rPr>
          <w:sz w:val="28"/>
          <w:szCs w:val="28"/>
          <w:u w:color="000000"/>
        </w:rPr>
        <w:t xml:space="preserve">capítulo de “Convergencia Regional” se incluyó una mención al Consejo Nacional Electoral y al cumplimiento de sus funciones consagradas en el artículo 265 de la Constitución, aspecto que no estaba presente al momento de la proposición y la aprobación de las normas acusadas. </w:t>
      </w:r>
    </w:p>
    <w:p w14:paraId="021827DA" w14:textId="77777777" w:rsidR="00E23D7F" w:rsidRDefault="00E23D7F" w:rsidP="00E23D7F">
      <w:pPr>
        <w:pStyle w:val="Prrafodelista"/>
        <w:rPr>
          <w:sz w:val="28"/>
          <w:szCs w:val="28"/>
          <w:highlight w:val="yellow"/>
          <w:u w:color="000000"/>
        </w:rPr>
      </w:pPr>
    </w:p>
    <w:p w14:paraId="7328E519" w14:textId="37D23BF1" w:rsidR="002F4271" w:rsidRPr="00AD0E5E" w:rsidRDefault="002F4271" w:rsidP="002F4271">
      <w:pPr>
        <w:widowControl w:val="0"/>
        <w:numPr>
          <w:ilvl w:val="0"/>
          <w:numId w:val="1"/>
        </w:numPr>
        <w:pBdr>
          <w:top w:val="nil"/>
          <w:left w:val="nil"/>
          <w:bottom w:val="nil"/>
          <w:right w:val="nil"/>
          <w:between w:val="nil"/>
        </w:pBdr>
        <w:tabs>
          <w:tab w:val="left" w:pos="426"/>
        </w:tabs>
        <w:ind w:left="0" w:firstLine="0"/>
        <w:jc w:val="both"/>
        <w:rPr>
          <w:sz w:val="28"/>
          <w:szCs w:val="28"/>
          <w:u w:color="000000"/>
        </w:rPr>
      </w:pPr>
      <w:r w:rsidRPr="00AD0E5E">
        <w:rPr>
          <w:sz w:val="28"/>
          <w:szCs w:val="28"/>
          <w:u w:color="000000"/>
        </w:rPr>
        <w:t>Para la Sala</w:t>
      </w:r>
      <w:r w:rsidR="00E23D7F" w:rsidRPr="00AD0E5E">
        <w:rPr>
          <w:sz w:val="28"/>
          <w:szCs w:val="28"/>
          <w:u w:color="000000"/>
        </w:rPr>
        <w:t xml:space="preserve">, la situación expuesta es un referente contextual que resulta necesario tener en cuenta en el análisis </w:t>
      </w:r>
      <w:r w:rsidR="00BE7FC4" w:rsidRPr="00AD0E5E">
        <w:rPr>
          <w:sz w:val="28"/>
          <w:szCs w:val="28"/>
          <w:u w:color="000000"/>
        </w:rPr>
        <w:t xml:space="preserve">sobre </w:t>
      </w:r>
      <w:r w:rsidR="006C7E26" w:rsidRPr="00AD0E5E">
        <w:rPr>
          <w:sz w:val="28"/>
          <w:szCs w:val="28"/>
          <w:u w:color="000000"/>
        </w:rPr>
        <w:t xml:space="preserve">la vulneración del principio de </w:t>
      </w:r>
      <w:r w:rsidR="00E23D7F" w:rsidRPr="00AD0E5E">
        <w:rPr>
          <w:sz w:val="28"/>
          <w:szCs w:val="28"/>
          <w:u w:color="000000"/>
        </w:rPr>
        <w:t>unidad de materia</w:t>
      </w:r>
      <w:r w:rsidR="006C7E26" w:rsidRPr="00AD0E5E">
        <w:rPr>
          <w:sz w:val="28"/>
          <w:szCs w:val="28"/>
          <w:u w:color="000000"/>
        </w:rPr>
        <w:t xml:space="preserve"> en el </w:t>
      </w:r>
      <w:r w:rsidR="00BE7FC4" w:rsidRPr="00AD0E5E">
        <w:rPr>
          <w:sz w:val="28"/>
          <w:szCs w:val="28"/>
          <w:u w:color="000000"/>
        </w:rPr>
        <w:t xml:space="preserve">presente </w:t>
      </w:r>
      <w:r w:rsidR="006C7E26" w:rsidRPr="00AD0E5E">
        <w:rPr>
          <w:sz w:val="28"/>
          <w:szCs w:val="28"/>
          <w:u w:color="000000"/>
        </w:rPr>
        <w:t>proceso</w:t>
      </w:r>
      <w:r w:rsidR="00E23D7F" w:rsidRPr="00AD0E5E">
        <w:rPr>
          <w:sz w:val="28"/>
          <w:szCs w:val="28"/>
          <w:u w:color="000000"/>
        </w:rPr>
        <w:t xml:space="preserve">. Lo anterior, en la medida en que constituye una actuación que </w:t>
      </w:r>
      <w:r w:rsidRPr="00AD0E5E">
        <w:rPr>
          <w:color w:val="000000"/>
          <w:sz w:val="28"/>
          <w:szCs w:val="28"/>
        </w:rPr>
        <w:t xml:space="preserve">resulta reprochable </w:t>
      </w:r>
      <w:r w:rsidR="00E23D7F" w:rsidRPr="00AD0E5E">
        <w:rPr>
          <w:color w:val="000000"/>
          <w:sz w:val="28"/>
          <w:szCs w:val="28"/>
        </w:rPr>
        <w:t xml:space="preserve">toda </w:t>
      </w:r>
      <w:r w:rsidRPr="00AD0E5E">
        <w:rPr>
          <w:color w:val="000000"/>
          <w:sz w:val="28"/>
          <w:szCs w:val="28"/>
        </w:rPr>
        <w:t xml:space="preserve">vez </w:t>
      </w:r>
      <w:r w:rsidR="00E23D7F" w:rsidRPr="00AD0E5E">
        <w:rPr>
          <w:color w:val="000000"/>
          <w:sz w:val="28"/>
          <w:szCs w:val="28"/>
        </w:rPr>
        <w:t xml:space="preserve">que luego de </w:t>
      </w:r>
      <w:r w:rsidRPr="00AD0E5E">
        <w:rPr>
          <w:color w:val="000000"/>
          <w:sz w:val="28"/>
          <w:szCs w:val="28"/>
        </w:rPr>
        <w:t>aprobadas las disposiciones censuradas, se modifica</w:t>
      </w:r>
      <w:r w:rsidR="00E23D7F" w:rsidRPr="00AD0E5E">
        <w:rPr>
          <w:color w:val="000000"/>
          <w:sz w:val="28"/>
          <w:szCs w:val="28"/>
        </w:rPr>
        <w:t>ron</w:t>
      </w:r>
      <w:r w:rsidRPr="00AD0E5E">
        <w:rPr>
          <w:color w:val="000000"/>
          <w:sz w:val="28"/>
          <w:szCs w:val="28"/>
        </w:rPr>
        <w:t xml:space="preserve"> las Bases del plan durante el trámite de conciliación. Tal proceder desconoce los principios democrático y deliberativo que orientan el trámite legislativo y de ninguna manera subsana la falta de conexidad </w:t>
      </w:r>
      <w:r w:rsidR="00D55132" w:rsidRPr="00AD0E5E">
        <w:rPr>
          <w:color w:val="000000"/>
          <w:sz w:val="28"/>
          <w:szCs w:val="28"/>
        </w:rPr>
        <w:t>directa e inmedia</w:t>
      </w:r>
      <w:r w:rsidR="00BE7FC4" w:rsidRPr="00AD0E5E">
        <w:rPr>
          <w:color w:val="000000"/>
          <w:sz w:val="28"/>
          <w:szCs w:val="28"/>
        </w:rPr>
        <w:t>t</w:t>
      </w:r>
      <w:r w:rsidR="00D55132" w:rsidRPr="00AD0E5E">
        <w:rPr>
          <w:color w:val="000000"/>
          <w:sz w:val="28"/>
          <w:szCs w:val="28"/>
        </w:rPr>
        <w:t xml:space="preserve">a </w:t>
      </w:r>
      <w:r w:rsidRPr="00AD0E5E">
        <w:rPr>
          <w:color w:val="000000"/>
          <w:sz w:val="28"/>
          <w:szCs w:val="28"/>
        </w:rPr>
        <w:t xml:space="preserve">de las normas acusadas con las Bases del plan. </w:t>
      </w:r>
    </w:p>
    <w:p w14:paraId="02E9E0B4" w14:textId="77777777" w:rsidR="002F4271" w:rsidRPr="00AD0E5E" w:rsidRDefault="002F4271" w:rsidP="002F4271">
      <w:pPr>
        <w:widowControl w:val="0"/>
        <w:pBdr>
          <w:top w:val="nil"/>
          <w:left w:val="nil"/>
          <w:bottom w:val="nil"/>
          <w:right w:val="nil"/>
          <w:between w:val="nil"/>
        </w:pBdr>
        <w:tabs>
          <w:tab w:val="left" w:pos="426"/>
        </w:tabs>
        <w:jc w:val="both"/>
        <w:rPr>
          <w:sz w:val="28"/>
          <w:szCs w:val="28"/>
          <w:u w:color="000000"/>
        </w:rPr>
      </w:pPr>
    </w:p>
    <w:p w14:paraId="1C7038E9" w14:textId="3FB6D66D" w:rsidR="002F4271" w:rsidRPr="00AD0E5E" w:rsidRDefault="002F4271" w:rsidP="002F4271">
      <w:pPr>
        <w:widowControl w:val="0"/>
        <w:numPr>
          <w:ilvl w:val="0"/>
          <w:numId w:val="1"/>
        </w:numPr>
        <w:pBdr>
          <w:top w:val="nil"/>
          <w:left w:val="nil"/>
          <w:bottom w:val="nil"/>
          <w:right w:val="nil"/>
          <w:between w:val="nil"/>
        </w:pBdr>
        <w:tabs>
          <w:tab w:val="left" w:pos="426"/>
        </w:tabs>
        <w:ind w:left="0" w:firstLine="0"/>
        <w:jc w:val="both"/>
        <w:rPr>
          <w:sz w:val="28"/>
          <w:szCs w:val="28"/>
          <w:u w:color="000000"/>
        </w:rPr>
      </w:pPr>
      <w:r w:rsidRPr="00AD0E5E">
        <w:rPr>
          <w:sz w:val="28"/>
          <w:szCs w:val="28"/>
          <w:u w:color="000000"/>
        </w:rPr>
        <w:t xml:space="preserve">En todo caso, si en gracia de discusión se considerara tal modificación en las Bases del plan, dicha referencia que, se reitera, fue posterior a la aprobación de las normas bajo estudio, no configura una relación </w:t>
      </w:r>
      <w:r w:rsidR="00E23D7F" w:rsidRPr="00AD0E5E">
        <w:rPr>
          <w:sz w:val="28"/>
          <w:szCs w:val="28"/>
          <w:u w:color="000000"/>
        </w:rPr>
        <w:t xml:space="preserve">directa e inmediata </w:t>
      </w:r>
      <w:r w:rsidRPr="00AD0E5E">
        <w:rPr>
          <w:sz w:val="28"/>
          <w:szCs w:val="28"/>
          <w:u w:color="000000"/>
        </w:rPr>
        <w:t>con las normas acusadas puesto que el alcance de la misma está encaminada a que esa autoridad “mantendrá” su autonomía administrativa y presupuestal, aspecto diametralmente opuesto al alcance de las disposiciones censuradas, pues estas no buscan mantener la autonomía administrativa y presupuestal de aquella entidad sino que justamente la reformulan</w:t>
      </w:r>
      <w:r w:rsidR="00BE7FC4" w:rsidRPr="00AD0E5E">
        <w:rPr>
          <w:sz w:val="28"/>
          <w:szCs w:val="28"/>
          <w:u w:color="000000"/>
        </w:rPr>
        <w:t>,</w:t>
      </w:r>
      <w:r w:rsidRPr="00AD0E5E">
        <w:rPr>
          <w:sz w:val="28"/>
          <w:szCs w:val="28"/>
          <w:u w:color="000000"/>
        </w:rPr>
        <w:t xml:space="preserve"> mediante la modificación de la Ley Orgánica del Presupuesto General de la Nación. Adicionalmente, en dicho documento tampoco se hizo una mención expresa a la necesidad de modificar dicho cuerpo normativo de naturaleza orgánica. </w:t>
      </w:r>
    </w:p>
    <w:p w14:paraId="184408EE" w14:textId="77777777" w:rsidR="002F4271" w:rsidRPr="00AD0E5E" w:rsidRDefault="002F4271" w:rsidP="002F4271">
      <w:pPr>
        <w:pStyle w:val="Prrafodelista"/>
        <w:rPr>
          <w:sz w:val="28"/>
          <w:szCs w:val="28"/>
          <w:lang w:val="es-ES"/>
        </w:rPr>
      </w:pPr>
    </w:p>
    <w:p w14:paraId="5749868A" w14:textId="59323D2F" w:rsidR="00F90529" w:rsidRPr="00AD0E5E" w:rsidRDefault="00F90529" w:rsidP="00F90529">
      <w:pPr>
        <w:widowControl w:val="0"/>
        <w:numPr>
          <w:ilvl w:val="0"/>
          <w:numId w:val="1"/>
        </w:numPr>
        <w:pBdr>
          <w:top w:val="nil"/>
          <w:left w:val="nil"/>
          <w:bottom w:val="nil"/>
          <w:right w:val="nil"/>
          <w:between w:val="nil"/>
        </w:pBdr>
        <w:tabs>
          <w:tab w:val="left" w:pos="426"/>
        </w:tabs>
        <w:ind w:left="0" w:firstLine="0"/>
        <w:jc w:val="both"/>
        <w:rPr>
          <w:b/>
          <w:sz w:val="28"/>
          <w:szCs w:val="28"/>
        </w:rPr>
      </w:pPr>
      <w:r w:rsidRPr="00AD0E5E">
        <w:rPr>
          <w:sz w:val="28"/>
          <w:szCs w:val="28"/>
          <w:lang w:val="es-ES"/>
        </w:rPr>
        <w:t xml:space="preserve">Por todo lo anterior, la Sala advierte que no existe un objetivo, meta, plan o proyecto preciso, concreto y específico dentro de las </w:t>
      </w:r>
      <w:r w:rsidR="00A21C73" w:rsidRPr="00AD0E5E">
        <w:rPr>
          <w:sz w:val="28"/>
          <w:szCs w:val="28"/>
          <w:lang w:val="es-ES"/>
        </w:rPr>
        <w:t>B</w:t>
      </w:r>
      <w:r w:rsidRPr="00AD0E5E">
        <w:rPr>
          <w:sz w:val="28"/>
          <w:szCs w:val="28"/>
          <w:lang w:val="es-ES"/>
        </w:rPr>
        <w:t xml:space="preserve">ases del plan o del </w:t>
      </w:r>
      <w:r w:rsidR="00A21C73" w:rsidRPr="00AD0E5E">
        <w:rPr>
          <w:sz w:val="28"/>
          <w:szCs w:val="28"/>
          <w:lang w:val="es-ES"/>
        </w:rPr>
        <w:t>P</w:t>
      </w:r>
      <w:r w:rsidRPr="00AD0E5E">
        <w:rPr>
          <w:sz w:val="28"/>
          <w:szCs w:val="28"/>
          <w:lang w:val="es-ES"/>
        </w:rPr>
        <w:t xml:space="preserve">lan </w:t>
      </w:r>
      <w:r w:rsidR="00A21C73" w:rsidRPr="00AD0E5E">
        <w:rPr>
          <w:sz w:val="28"/>
          <w:szCs w:val="28"/>
          <w:lang w:val="es-ES"/>
        </w:rPr>
        <w:t>P</w:t>
      </w:r>
      <w:r w:rsidRPr="00AD0E5E">
        <w:rPr>
          <w:sz w:val="28"/>
          <w:szCs w:val="28"/>
          <w:lang w:val="es-ES"/>
        </w:rPr>
        <w:t xml:space="preserve">lurianual </w:t>
      </w:r>
      <w:r w:rsidR="001225BA" w:rsidRPr="00AD0E5E">
        <w:rPr>
          <w:sz w:val="28"/>
          <w:szCs w:val="28"/>
          <w:lang w:val="es-ES"/>
        </w:rPr>
        <w:t xml:space="preserve">de </w:t>
      </w:r>
      <w:r w:rsidR="00A21C73" w:rsidRPr="00AD0E5E">
        <w:rPr>
          <w:sz w:val="28"/>
          <w:szCs w:val="28"/>
          <w:lang w:val="es-ES"/>
        </w:rPr>
        <w:t>I</w:t>
      </w:r>
      <w:r w:rsidR="001225BA" w:rsidRPr="00AD0E5E">
        <w:rPr>
          <w:sz w:val="28"/>
          <w:szCs w:val="28"/>
          <w:lang w:val="es-ES"/>
        </w:rPr>
        <w:t xml:space="preserve">nversiones </w:t>
      </w:r>
      <w:r w:rsidRPr="00AD0E5E">
        <w:rPr>
          <w:sz w:val="28"/>
          <w:szCs w:val="28"/>
          <w:lang w:val="es-ES"/>
        </w:rPr>
        <w:t>con el que</w:t>
      </w:r>
      <w:r w:rsidR="004355B3" w:rsidRPr="00AD0E5E">
        <w:rPr>
          <w:sz w:val="28"/>
          <w:szCs w:val="28"/>
          <w:lang w:val="es-ES"/>
        </w:rPr>
        <w:t xml:space="preserve"> las normas acusadas</w:t>
      </w:r>
      <w:r w:rsidRPr="00AD0E5E">
        <w:rPr>
          <w:sz w:val="28"/>
          <w:szCs w:val="28"/>
          <w:lang w:val="es-ES"/>
        </w:rPr>
        <w:t xml:space="preserve"> guarden relación directa e inmediata</w:t>
      </w:r>
      <w:r w:rsidR="00D55132" w:rsidRPr="00AD0E5E">
        <w:rPr>
          <w:sz w:val="28"/>
          <w:szCs w:val="28"/>
          <w:lang w:val="es-ES"/>
        </w:rPr>
        <w:t xml:space="preserve">, estrecha y verificable. </w:t>
      </w:r>
    </w:p>
    <w:p w14:paraId="17717037" w14:textId="77777777" w:rsidR="00F90529" w:rsidRPr="00354273" w:rsidRDefault="00F90529" w:rsidP="00354273">
      <w:pPr>
        <w:rPr>
          <w:b/>
          <w:iCs/>
          <w:sz w:val="28"/>
          <w:szCs w:val="28"/>
          <w:lang w:val="es-ES"/>
        </w:rPr>
      </w:pPr>
    </w:p>
    <w:p w14:paraId="75EAB65C" w14:textId="1752541C" w:rsidR="00F90529" w:rsidRPr="00554FD8" w:rsidRDefault="00F90529" w:rsidP="00F90529">
      <w:pPr>
        <w:pStyle w:val="Prrafodelista"/>
        <w:widowControl w:val="0"/>
        <w:numPr>
          <w:ilvl w:val="0"/>
          <w:numId w:val="27"/>
        </w:numPr>
        <w:pBdr>
          <w:top w:val="nil"/>
          <w:left w:val="nil"/>
          <w:bottom w:val="nil"/>
          <w:right w:val="nil"/>
          <w:between w:val="nil"/>
        </w:pBdr>
        <w:tabs>
          <w:tab w:val="left" w:pos="426"/>
        </w:tabs>
        <w:jc w:val="both"/>
        <w:rPr>
          <w:b/>
          <w:iCs/>
          <w:sz w:val="28"/>
          <w:szCs w:val="28"/>
          <w:lang w:val="es-ES"/>
        </w:rPr>
      </w:pPr>
      <w:r w:rsidRPr="00554FD8">
        <w:rPr>
          <w:b/>
          <w:iCs/>
          <w:sz w:val="28"/>
          <w:szCs w:val="28"/>
          <w:lang w:val="es-ES"/>
        </w:rPr>
        <w:t xml:space="preserve">Conclusión final </w:t>
      </w:r>
      <w:r w:rsidR="006B06C4">
        <w:rPr>
          <w:b/>
          <w:iCs/>
          <w:sz w:val="28"/>
          <w:szCs w:val="28"/>
          <w:lang w:val="es-ES"/>
        </w:rPr>
        <w:t xml:space="preserve">sobre </w:t>
      </w:r>
      <w:r w:rsidR="006B06C4" w:rsidRPr="00554FD8">
        <w:rPr>
          <w:b/>
          <w:iCs/>
          <w:sz w:val="28"/>
          <w:szCs w:val="28"/>
          <w:lang w:val="es-ES"/>
        </w:rPr>
        <w:t xml:space="preserve">el </w:t>
      </w:r>
      <w:r w:rsidRPr="00554FD8">
        <w:rPr>
          <w:b/>
          <w:iCs/>
          <w:sz w:val="28"/>
          <w:szCs w:val="28"/>
          <w:lang w:val="es-ES"/>
        </w:rPr>
        <w:t>juicio de unidad de materia</w:t>
      </w:r>
    </w:p>
    <w:p w14:paraId="4862D318" w14:textId="77777777" w:rsidR="00F90529" w:rsidRPr="00554FD8" w:rsidRDefault="00F90529" w:rsidP="00F90529">
      <w:pPr>
        <w:widowControl w:val="0"/>
        <w:pBdr>
          <w:top w:val="nil"/>
          <w:left w:val="nil"/>
          <w:bottom w:val="nil"/>
          <w:right w:val="nil"/>
          <w:between w:val="nil"/>
        </w:pBdr>
        <w:tabs>
          <w:tab w:val="left" w:pos="426"/>
        </w:tabs>
        <w:jc w:val="both"/>
        <w:rPr>
          <w:b/>
          <w:iCs/>
          <w:sz w:val="28"/>
          <w:szCs w:val="28"/>
          <w:lang w:val="es-ES"/>
        </w:rPr>
      </w:pPr>
    </w:p>
    <w:p w14:paraId="2D31D5E6" w14:textId="77777777" w:rsidR="0000612F" w:rsidRPr="00AD0E5E" w:rsidRDefault="00F90529" w:rsidP="0000612F">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bCs/>
          <w:iCs/>
          <w:sz w:val="28"/>
          <w:szCs w:val="28"/>
          <w:lang w:val="es-ES"/>
        </w:rPr>
        <w:t xml:space="preserve">Luego de aplicar la metodología prevista en la Sentencia C-244 de 2025, la </w:t>
      </w:r>
      <w:r w:rsidRPr="00AD0E5E">
        <w:rPr>
          <w:iCs/>
          <w:sz w:val="28"/>
          <w:szCs w:val="28"/>
          <w:lang w:val="es-ES"/>
        </w:rPr>
        <w:t>Sala</w:t>
      </w:r>
      <w:r w:rsidRPr="00AD0E5E">
        <w:rPr>
          <w:bCs/>
          <w:iCs/>
          <w:sz w:val="28"/>
          <w:szCs w:val="28"/>
          <w:lang w:val="es-ES"/>
        </w:rPr>
        <w:t xml:space="preserve"> </w:t>
      </w:r>
      <w:r w:rsidRPr="00AD0E5E">
        <w:rPr>
          <w:iCs/>
          <w:sz w:val="28"/>
          <w:szCs w:val="28"/>
          <w:lang w:val="es-ES"/>
        </w:rPr>
        <w:t>advierte</w:t>
      </w:r>
      <w:r w:rsidRPr="00AD0E5E">
        <w:rPr>
          <w:bCs/>
          <w:iCs/>
          <w:sz w:val="28"/>
          <w:szCs w:val="28"/>
          <w:lang w:val="es-ES"/>
        </w:rPr>
        <w:t xml:space="preserve"> que la</w:t>
      </w:r>
      <w:r w:rsidR="00B7367B" w:rsidRPr="00AD0E5E">
        <w:rPr>
          <w:bCs/>
          <w:iCs/>
          <w:sz w:val="28"/>
          <w:szCs w:val="28"/>
          <w:lang w:val="es-ES"/>
        </w:rPr>
        <w:t>s</w:t>
      </w:r>
      <w:r w:rsidRPr="00AD0E5E">
        <w:rPr>
          <w:bCs/>
          <w:iCs/>
          <w:sz w:val="28"/>
          <w:szCs w:val="28"/>
          <w:lang w:val="es-ES"/>
        </w:rPr>
        <w:t xml:space="preserve"> normas acusadas vulneraron el principio de unidad de materia. A tal efecto, evidenció que se trataba de </w:t>
      </w:r>
      <w:r w:rsidR="00B7367B" w:rsidRPr="00AD0E5E">
        <w:rPr>
          <w:bCs/>
          <w:iCs/>
          <w:sz w:val="28"/>
          <w:szCs w:val="28"/>
          <w:lang w:val="es-ES"/>
        </w:rPr>
        <w:t>disposiciones</w:t>
      </w:r>
      <w:r w:rsidRPr="00AD0E5E">
        <w:rPr>
          <w:bCs/>
          <w:iCs/>
          <w:sz w:val="28"/>
          <w:szCs w:val="28"/>
          <w:lang w:val="es-ES"/>
        </w:rPr>
        <w:t xml:space="preserve"> que modificaron la </w:t>
      </w:r>
      <w:r w:rsidR="00B7367B" w:rsidRPr="00AD0E5E">
        <w:rPr>
          <w:bCs/>
          <w:iCs/>
          <w:sz w:val="28"/>
          <w:szCs w:val="28"/>
          <w:lang w:val="es-ES"/>
        </w:rPr>
        <w:t>L</w:t>
      </w:r>
      <w:r w:rsidRPr="00AD0E5E">
        <w:rPr>
          <w:bCs/>
          <w:iCs/>
          <w:sz w:val="28"/>
          <w:szCs w:val="28"/>
          <w:lang w:val="es-ES"/>
        </w:rPr>
        <w:t xml:space="preserve">ey </w:t>
      </w:r>
      <w:r w:rsidR="00B7367B" w:rsidRPr="00AD0E5E">
        <w:rPr>
          <w:bCs/>
          <w:iCs/>
          <w:sz w:val="28"/>
          <w:szCs w:val="28"/>
          <w:lang w:val="es-ES"/>
        </w:rPr>
        <w:t>O</w:t>
      </w:r>
      <w:r w:rsidRPr="00AD0E5E">
        <w:rPr>
          <w:bCs/>
          <w:iCs/>
          <w:sz w:val="28"/>
          <w:szCs w:val="28"/>
          <w:lang w:val="es-ES"/>
        </w:rPr>
        <w:t xml:space="preserve">rgánica del </w:t>
      </w:r>
      <w:r w:rsidR="00B7367B" w:rsidRPr="00AD0E5E">
        <w:rPr>
          <w:bCs/>
          <w:iCs/>
          <w:sz w:val="28"/>
          <w:szCs w:val="28"/>
          <w:lang w:val="es-ES"/>
        </w:rPr>
        <w:t>P</w:t>
      </w:r>
      <w:r w:rsidRPr="00AD0E5E">
        <w:rPr>
          <w:bCs/>
          <w:iCs/>
          <w:sz w:val="28"/>
          <w:szCs w:val="28"/>
          <w:lang w:val="es-ES"/>
        </w:rPr>
        <w:t xml:space="preserve">resupuesto y tenían carácter permanente, por lo que procedía la aplicación de un escrutinio estricto. En la primera etapa del juicio pudo establecer que, </w:t>
      </w:r>
      <w:r w:rsidR="00354273" w:rsidRPr="00AD0E5E">
        <w:rPr>
          <w:bCs/>
          <w:iCs/>
          <w:sz w:val="28"/>
          <w:szCs w:val="28"/>
          <w:lang w:val="es-ES"/>
        </w:rPr>
        <w:t xml:space="preserve">en principio, los artículos 336 y 337 del PND tenían naturaleza instrumental </w:t>
      </w:r>
      <w:r w:rsidR="00354273" w:rsidRPr="00AD0E5E">
        <w:rPr>
          <w:sz w:val="28"/>
          <w:szCs w:val="28"/>
        </w:rPr>
        <w:t xml:space="preserve">por su ubicación en la ley del PND, en tanto las mismas contribuirían a la estabilidad macroeconómica a partir de los ajustes al presupuesto general de la Nación, lo que a su vez impactaría en la actualización de la gestión pública de una institución que integra la organización electoral, con incidencia en la garantía de la participación democrática. </w:t>
      </w:r>
    </w:p>
    <w:p w14:paraId="760EC414" w14:textId="77777777" w:rsidR="008416E7" w:rsidRPr="00AD0E5E" w:rsidRDefault="008416E7" w:rsidP="0095227B">
      <w:pPr>
        <w:widowControl w:val="0"/>
        <w:pBdr>
          <w:top w:val="nil"/>
          <w:left w:val="nil"/>
          <w:bottom w:val="nil"/>
          <w:right w:val="nil"/>
          <w:between w:val="nil"/>
        </w:pBdr>
        <w:tabs>
          <w:tab w:val="left" w:pos="426"/>
        </w:tabs>
        <w:jc w:val="both"/>
        <w:rPr>
          <w:sz w:val="28"/>
          <w:szCs w:val="28"/>
        </w:rPr>
      </w:pPr>
    </w:p>
    <w:p w14:paraId="096CAA0C" w14:textId="4C717B8E" w:rsidR="00217AB5" w:rsidRPr="00AD0E5E" w:rsidRDefault="0000612F" w:rsidP="0000612F">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bCs/>
          <w:iCs/>
          <w:sz w:val="28"/>
          <w:szCs w:val="28"/>
        </w:rPr>
        <w:t>En la segunda etapa del juicio</w:t>
      </w:r>
      <w:r w:rsidR="00354273" w:rsidRPr="00AD0E5E">
        <w:rPr>
          <w:bCs/>
          <w:iCs/>
          <w:sz w:val="28"/>
          <w:szCs w:val="28"/>
          <w:lang w:val="es-ES"/>
        </w:rPr>
        <w:t xml:space="preserve"> </w:t>
      </w:r>
      <w:r w:rsidRPr="00AD0E5E">
        <w:rPr>
          <w:bCs/>
          <w:iCs/>
          <w:sz w:val="28"/>
          <w:szCs w:val="28"/>
          <w:lang w:val="es-ES"/>
        </w:rPr>
        <w:t xml:space="preserve">señaló que las normas acusadas podrían relacionarse, en principio, con los ejes de “Convergencia Regional” y “Estabilidad Macroeconómica”, así como con los catalizadores de fortalecimiento institucional y dispositivos democráticos de participación. </w:t>
      </w:r>
    </w:p>
    <w:p w14:paraId="0E88849D" w14:textId="77777777" w:rsidR="00217AB5" w:rsidRPr="00AD0E5E" w:rsidRDefault="00217AB5" w:rsidP="00217AB5">
      <w:pPr>
        <w:widowControl w:val="0"/>
        <w:pBdr>
          <w:top w:val="nil"/>
          <w:left w:val="nil"/>
          <w:bottom w:val="nil"/>
          <w:right w:val="nil"/>
          <w:between w:val="nil"/>
        </w:pBdr>
        <w:tabs>
          <w:tab w:val="left" w:pos="426"/>
        </w:tabs>
        <w:jc w:val="both"/>
        <w:rPr>
          <w:sz w:val="28"/>
          <w:szCs w:val="28"/>
        </w:rPr>
      </w:pPr>
    </w:p>
    <w:p w14:paraId="240FBCB3" w14:textId="389DD812" w:rsidR="00CB3F51" w:rsidRPr="00AD0E5E" w:rsidRDefault="003905F2" w:rsidP="00217AB5">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bCs/>
          <w:iCs/>
          <w:sz w:val="28"/>
          <w:szCs w:val="28"/>
        </w:rPr>
        <w:t>E</w:t>
      </w:r>
      <w:r w:rsidR="0000612F" w:rsidRPr="00AD0E5E">
        <w:rPr>
          <w:bCs/>
          <w:iCs/>
          <w:sz w:val="28"/>
          <w:szCs w:val="28"/>
          <w:lang w:val="es-ES"/>
        </w:rPr>
        <w:t>n la tercera etapa del juicio</w:t>
      </w:r>
      <w:r w:rsidR="0000612F" w:rsidRPr="00AD0E5E">
        <w:rPr>
          <w:sz w:val="28"/>
          <w:szCs w:val="28"/>
          <w:lang w:val="es-ES"/>
        </w:rPr>
        <w:t xml:space="preserve"> </w:t>
      </w:r>
      <w:r w:rsidR="00354273" w:rsidRPr="00AD0E5E">
        <w:rPr>
          <w:bCs/>
          <w:iCs/>
          <w:sz w:val="28"/>
          <w:szCs w:val="28"/>
          <w:lang w:val="es-ES"/>
        </w:rPr>
        <w:t xml:space="preserve">evidenció que </w:t>
      </w:r>
      <w:r w:rsidR="00354273" w:rsidRPr="00AD0E5E">
        <w:rPr>
          <w:bCs/>
          <w:sz w:val="28"/>
          <w:szCs w:val="28"/>
        </w:rPr>
        <w:t>no se acreditó que existiera conexidad directa</w:t>
      </w:r>
      <w:r w:rsidRPr="00AD0E5E">
        <w:rPr>
          <w:bCs/>
          <w:sz w:val="28"/>
          <w:szCs w:val="28"/>
        </w:rPr>
        <w:t xml:space="preserve"> e inmediata</w:t>
      </w:r>
      <w:r w:rsidR="00354273" w:rsidRPr="00AD0E5E">
        <w:rPr>
          <w:bCs/>
          <w:sz w:val="28"/>
          <w:szCs w:val="28"/>
        </w:rPr>
        <w:t xml:space="preserve"> entre los artículos acusados y un objetivo, meta, plan o estrategia de las Bases o con un rubro del Plan Plurianual de Inversiones</w:t>
      </w:r>
      <w:r w:rsidR="00354273" w:rsidRPr="00AD0E5E" w:rsidDel="00CF5F5D">
        <w:rPr>
          <w:bCs/>
          <w:sz w:val="28"/>
          <w:szCs w:val="28"/>
        </w:rPr>
        <w:t xml:space="preserve"> </w:t>
      </w:r>
      <w:r w:rsidR="00354273" w:rsidRPr="00AD0E5E">
        <w:rPr>
          <w:bCs/>
          <w:sz w:val="28"/>
          <w:szCs w:val="28"/>
        </w:rPr>
        <w:t xml:space="preserve">del Plan Nacional de Desarrollo.  </w:t>
      </w:r>
      <w:r w:rsidR="00354273" w:rsidRPr="00AD0E5E">
        <w:rPr>
          <w:bCs/>
          <w:iCs/>
          <w:sz w:val="28"/>
          <w:szCs w:val="28"/>
          <w:lang w:val="es-ES"/>
        </w:rPr>
        <w:t xml:space="preserve">Lo anterior, porque: (i) </w:t>
      </w:r>
      <w:r w:rsidR="00354273" w:rsidRPr="00AD0E5E">
        <w:rPr>
          <w:sz w:val="28"/>
          <w:szCs w:val="28"/>
          <w:lang w:val="es-ES"/>
        </w:rPr>
        <w:t xml:space="preserve">si bien en las aludidas Bases del PND se mencionó el </w:t>
      </w:r>
      <w:r w:rsidR="00354273" w:rsidRPr="00AD0E5E">
        <w:rPr>
          <w:sz w:val="28"/>
          <w:szCs w:val="28"/>
          <w:lang w:val="es-ES_tradnl" w:eastAsia="es-CO"/>
        </w:rPr>
        <w:t>fortalecimiento institucional, la participación ciudadana y el sistema político y electoral del país, se trata de referencias genéricas</w:t>
      </w:r>
      <w:r w:rsidR="00D55132" w:rsidRPr="00AD0E5E">
        <w:rPr>
          <w:sz w:val="28"/>
          <w:szCs w:val="28"/>
          <w:lang w:val="es-ES_tradnl" w:eastAsia="es-CO"/>
        </w:rPr>
        <w:t xml:space="preserve">. </w:t>
      </w:r>
      <w:r w:rsidR="00D55132" w:rsidRPr="00AD0E5E">
        <w:rPr>
          <w:sz w:val="28"/>
          <w:szCs w:val="28"/>
          <w:lang w:val="es-ES"/>
        </w:rPr>
        <w:t>Además, ninguna línea de inversión, partida o proyecto del Plan Plurianual de Inversiones se refiere a la necesidad de adoptar los mecanismos previstos en las normas analizadas</w:t>
      </w:r>
      <w:r w:rsidRPr="00AD0E5E">
        <w:rPr>
          <w:bCs/>
          <w:w w:val="105"/>
          <w:sz w:val="28"/>
          <w:szCs w:val="28"/>
        </w:rPr>
        <w:t>;</w:t>
      </w:r>
      <w:r w:rsidR="002E3C05" w:rsidRPr="00AD0E5E">
        <w:rPr>
          <w:bCs/>
          <w:w w:val="105"/>
          <w:sz w:val="28"/>
          <w:szCs w:val="28"/>
        </w:rPr>
        <w:t xml:space="preserve"> </w:t>
      </w:r>
      <w:r w:rsidR="00354273" w:rsidRPr="00AD0E5E">
        <w:rPr>
          <w:sz w:val="28"/>
          <w:szCs w:val="28"/>
          <w:lang w:val="es-ES_tradnl" w:eastAsia="es-CO"/>
        </w:rPr>
        <w:t>(ii)</w:t>
      </w:r>
      <w:r w:rsidR="00D55132" w:rsidRPr="00AD0E5E">
        <w:rPr>
          <w:sz w:val="28"/>
          <w:szCs w:val="28"/>
          <w:lang w:val="es-ES"/>
        </w:rPr>
        <w:t xml:space="preserve"> </w:t>
      </w:r>
      <w:r w:rsidRPr="00AD0E5E">
        <w:rPr>
          <w:sz w:val="28"/>
          <w:szCs w:val="28"/>
          <w:lang w:val="es-ES"/>
        </w:rPr>
        <w:t>e</w:t>
      </w:r>
      <w:r w:rsidR="00D55132" w:rsidRPr="00AD0E5E">
        <w:rPr>
          <w:sz w:val="28"/>
          <w:szCs w:val="28"/>
          <w:lang w:val="es-ES"/>
        </w:rPr>
        <w:t>l</w:t>
      </w:r>
      <w:r w:rsidR="00354273" w:rsidRPr="00AD0E5E">
        <w:rPr>
          <w:bCs/>
          <w:w w:val="105"/>
          <w:sz w:val="28"/>
          <w:szCs w:val="28"/>
        </w:rPr>
        <w:t xml:space="preserve"> eje de </w:t>
      </w:r>
      <w:r w:rsidRPr="00AD0E5E">
        <w:rPr>
          <w:bCs/>
          <w:w w:val="105"/>
          <w:sz w:val="28"/>
          <w:szCs w:val="28"/>
        </w:rPr>
        <w:t>“</w:t>
      </w:r>
      <w:r w:rsidR="00D55132" w:rsidRPr="00AD0E5E">
        <w:rPr>
          <w:bCs/>
          <w:w w:val="105"/>
          <w:sz w:val="28"/>
          <w:szCs w:val="28"/>
        </w:rPr>
        <w:t>C</w:t>
      </w:r>
      <w:r w:rsidR="00354273" w:rsidRPr="00AD0E5E">
        <w:rPr>
          <w:bCs/>
          <w:w w:val="105"/>
          <w:sz w:val="28"/>
          <w:szCs w:val="28"/>
        </w:rPr>
        <w:t xml:space="preserve">onvergencia </w:t>
      </w:r>
      <w:r w:rsidR="00D55132" w:rsidRPr="00AD0E5E">
        <w:rPr>
          <w:bCs/>
          <w:w w:val="105"/>
          <w:sz w:val="28"/>
          <w:szCs w:val="28"/>
        </w:rPr>
        <w:t>R</w:t>
      </w:r>
      <w:r w:rsidR="00354273" w:rsidRPr="00AD0E5E">
        <w:rPr>
          <w:bCs/>
          <w:w w:val="105"/>
          <w:sz w:val="28"/>
          <w:szCs w:val="28"/>
        </w:rPr>
        <w:t>egional</w:t>
      </w:r>
      <w:r w:rsidRPr="00AD0E5E">
        <w:rPr>
          <w:bCs/>
          <w:w w:val="105"/>
          <w:sz w:val="28"/>
          <w:szCs w:val="28"/>
        </w:rPr>
        <w:t>”</w:t>
      </w:r>
      <w:r w:rsidR="00354273" w:rsidRPr="00AD0E5E">
        <w:rPr>
          <w:bCs/>
          <w:w w:val="105"/>
          <w:sz w:val="28"/>
          <w:szCs w:val="28"/>
        </w:rPr>
        <w:t xml:space="preserve"> incluye proyectos de infraestructura física, conectividad y desarrollo territorial, pero ninguno asociado con la necesidad de que el CNE tenga autonomía presupuestal</w:t>
      </w:r>
      <w:r w:rsidR="002E3C05" w:rsidRPr="00AD0E5E">
        <w:rPr>
          <w:bCs/>
          <w:w w:val="105"/>
          <w:sz w:val="28"/>
          <w:szCs w:val="28"/>
        </w:rPr>
        <w:t xml:space="preserve"> y contractual</w:t>
      </w:r>
      <w:r w:rsidR="00D55132" w:rsidRPr="00AD0E5E">
        <w:rPr>
          <w:bCs/>
          <w:w w:val="105"/>
          <w:sz w:val="28"/>
          <w:szCs w:val="28"/>
        </w:rPr>
        <w:t>; (iii</w:t>
      </w:r>
      <w:r w:rsidR="00354273" w:rsidRPr="00AD0E5E">
        <w:rPr>
          <w:bCs/>
          <w:w w:val="105"/>
          <w:sz w:val="28"/>
          <w:szCs w:val="28"/>
        </w:rPr>
        <w:t xml:space="preserve">) aunque </w:t>
      </w:r>
      <w:r w:rsidR="00354273" w:rsidRPr="00AD0E5E">
        <w:rPr>
          <w:sz w:val="28"/>
          <w:szCs w:val="28"/>
          <w:lang w:val="es-ES"/>
        </w:rPr>
        <w:t xml:space="preserve">las normas acusadas fueron incluidas en la sección del PND sobre estabilidad macroeconómica, ni en el trámite legislativo ni en el de revisión de constitucionalidad se acreditó la manera en que pudiera existir conexidad </w:t>
      </w:r>
      <w:r w:rsidRPr="00AD0E5E">
        <w:rPr>
          <w:sz w:val="28"/>
          <w:szCs w:val="28"/>
          <w:lang w:val="es-ES"/>
        </w:rPr>
        <w:t xml:space="preserve">directa e inmediata </w:t>
      </w:r>
      <w:r w:rsidR="00354273" w:rsidRPr="00AD0E5E">
        <w:rPr>
          <w:sz w:val="28"/>
          <w:szCs w:val="28"/>
          <w:lang w:val="es-ES"/>
        </w:rPr>
        <w:t xml:space="preserve">entre la modificación de la ley orgánica del presupuesto en relación con el CNE y el cumplimiento de los objetivos del PND en esta materia. </w:t>
      </w:r>
      <w:r w:rsidR="00D55132" w:rsidRPr="00AD0E5E">
        <w:rPr>
          <w:sz w:val="28"/>
          <w:szCs w:val="28"/>
          <w:lang w:val="es-ES"/>
        </w:rPr>
        <w:t xml:space="preserve">Finalmente, (iv) las normas objeto de control estuvieron sustentadas en la necesidad de asegurar la aplicación de otras normativas completamente ajenas al PND o en objetivos, fines o programas que no se corresponden con los de las Bases del plan o con el Plan Plurianual de Inversiones. </w:t>
      </w:r>
      <w:r w:rsidR="00354273" w:rsidRPr="00AD0E5E">
        <w:rPr>
          <w:bCs/>
          <w:iCs/>
          <w:sz w:val="28"/>
          <w:szCs w:val="28"/>
          <w:lang w:val="es-ES"/>
        </w:rPr>
        <w:t xml:space="preserve">En consecuencia, se encontró que las normas no contribuían a alcanzar algún objetivo, fin o programa de los referidos.  </w:t>
      </w:r>
    </w:p>
    <w:p w14:paraId="33B0C57C" w14:textId="77777777" w:rsidR="00354273" w:rsidRPr="00AD0E5E" w:rsidRDefault="00354273" w:rsidP="00354273">
      <w:pPr>
        <w:widowControl w:val="0"/>
        <w:pBdr>
          <w:top w:val="nil"/>
          <w:left w:val="nil"/>
          <w:bottom w:val="nil"/>
          <w:right w:val="nil"/>
          <w:between w:val="nil"/>
        </w:pBdr>
        <w:tabs>
          <w:tab w:val="left" w:pos="426"/>
        </w:tabs>
        <w:jc w:val="both"/>
        <w:rPr>
          <w:sz w:val="28"/>
          <w:szCs w:val="28"/>
        </w:rPr>
      </w:pPr>
    </w:p>
    <w:p w14:paraId="152FBEB9" w14:textId="21BF7038" w:rsidR="00354273" w:rsidRPr="00AD0E5E" w:rsidRDefault="00354273" w:rsidP="00354273">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bCs/>
          <w:sz w:val="28"/>
          <w:szCs w:val="28"/>
        </w:rPr>
        <w:t xml:space="preserve">Por lo expuesto, </w:t>
      </w:r>
      <w:r w:rsidRPr="00AD0E5E">
        <w:rPr>
          <w:sz w:val="28"/>
          <w:szCs w:val="28"/>
        </w:rPr>
        <w:t xml:space="preserve">los artículos 336 y 337 de la Ley 2294 de 2023 – Plan Nacional de Desarrollo 2022 – 2026 “Colombia Potencia Mundial de la Vida” son contrarios a la Constitución Política por vulnerar el principio de unidad de materia y, por tal razón, deben ser expulsados del ordenamiento jurídico. </w:t>
      </w:r>
    </w:p>
    <w:p w14:paraId="7A77BB5A" w14:textId="77777777" w:rsidR="00354273" w:rsidRPr="00AD0E5E" w:rsidRDefault="00354273" w:rsidP="00354273">
      <w:pPr>
        <w:pStyle w:val="Prrafodelista"/>
        <w:rPr>
          <w:sz w:val="28"/>
          <w:szCs w:val="28"/>
        </w:rPr>
      </w:pPr>
    </w:p>
    <w:p w14:paraId="1E72204C" w14:textId="32DB5D9B" w:rsidR="00354273" w:rsidRPr="00AD0E5E" w:rsidRDefault="00354273" w:rsidP="00354273">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sz w:val="28"/>
          <w:szCs w:val="28"/>
        </w:rPr>
        <w:t>Ahora bien, la Sala estima que, como se ha efectuado en oportunidades anteriores</w:t>
      </w:r>
      <w:r w:rsidRPr="00AD0E5E">
        <w:rPr>
          <w:rStyle w:val="Refdenotaalpie"/>
          <w:sz w:val="28"/>
          <w:szCs w:val="28"/>
        </w:rPr>
        <w:footnoteReference w:id="133"/>
      </w:r>
      <w:r w:rsidRPr="00AD0E5E">
        <w:rPr>
          <w:sz w:val="28"/>
          <w:szCs w:val="28"/>
        </w:rPr>
        <w:t xml:space="preserve">, al encontrarse acreditada la inexequibilidad de las normas acusadas no resulta necesario adelantar el estudio de la segunda censura propuesta por el demandante sobre la vulneración de la reserva de ley orgánica. En consecuencia, la Sala expondrá a continuación los remedios constitucionales que se adoptarán en el presente caso. </w:t>
      </w:r>
    </w:p>
    <w:p w14:paraId="35754BD1" w14:textId="6C2ECBED" w:rsidR="00202DC8" w:rsidRPr="00354273" w:rsidRDefault="00202DC8" w:rsidP="007E0E9C">
      <w:pPr>
        <w:widowControl w:val="0"/>
        <w:pBdr>
          <w:top w:val="nil"/>
          <w:left w:val="nil"/>
          <w:bottom w:val="nil"/>
          <w:right w:val="nil"/>
          <w:between w:val="nil"/>
        </w:pBdr>
        <w:tabs>
          <w:tab w:val="left" w:pos="426"/>
        </w:tabs>
        <w:jc w:val="both"/>
        <w:rPr>
          <w:iCs/>
          <w:sz w:val="28"/>
          <w:szCs w:val="28"/>
        </w:rPr>
      </w:pPr>
    </w:p>
    <w:p w14:paraId="3D97EABC" w14:textId="7206B9E5" w:rsidR="00E97073" w:rsidRPr="003239AA" w:rsidRDefault="00C45110" w:rsidP="00830587">
      <w:pPr>
        <w:pStyle w:val="Ttulo2"/>
        <w:widowControl w:val="0"/>
        <w:spacing w:before="0"/>
        <w:rPr>
          <w:rFonts w:ascii="Times New Roman" w:hAnsi="Times New Roman" w:cs="Times New Roman"/>
          <w:b/>
          <w:color w:val="auto"/>
          <w:sz w:val="28"/>
          <w:szCs w:val="28"/>
          <w:lang w:val="es-ES"/>
        </w:rPr>
      </w:pPr>
      <w:bookmarkStart w:id="22" w:name="_Toc230846375"/>
      <w:r w:rsidRPr="003239AA">
        <w:rPr>
          <w:rFonts w:ascii="Times New Roman" w:hAnsi="Times New Roman" w:cs="Times New Roman"/>
          <w:b/>
          <w:color w:val="auto"/>
          <w:sz w:val="28"/>
          <w:szCs w:val="28"/>
          <w:lang w:val="es-ES"/>
        </w:rPr>
        <w:t>5</w:t>
      </w:r>
      <w:r w:rsidR="00E97073" w:rsidRPr="003239AA">
        <w:rPr>
          <w:rFonts w:ascii="Times New Roman" w:hAnsi="Times New Roman" w:cs="Times New Roman"/>
          <w:b/>
          <w:color w:val="auto"/>
          <w:sz w:val="28"/>
          <w:szCs w:val="28"/>
          <w:lang w:val="es-ES"/>
        </w:rPr>
        <w:t>. Remedios constitucionales</w:t>
      </w:r>
      <w:bookmarkEnd w:id="22"/>
      <w:r w:rsidR="00E97073" w:rsidRPr="003239AA">
        <w:rPr>
          <w:rFonts w:ascii="Times New Roman" w:hAnsi="Times New Roman" w:cs="Times New Roman"/>
          <w:b/>
          <w:color w:val="auto"/>
          <w:sz w:val="28"/>
          <w:szCs w:val="28"/>
          <w:lang w:val="es-ES"/>
        </w:rPr>
        <w:t xml:space="preserve"> </w:t>
      </w:r>
    </w:p>
    <w:p w14:paraId="0814F03D" w14:textId="77777777" w:rsidR="00E97073" w:rsidRPr="00554FD8" w:rsidRDefault="00E97073" w:rsidP="00830587">
      <w:pPr>
        <w:keepNext/>
        <w:keepLines/>
        <w:widowControl w:val="0"/>
        <w:pBdr>
          <w:top w:val="nil"/>
          <w:left w:val="nil"/>
          <w:bottom w:val="nil"/>
          <w:right w:val="nil"/>
          <w:between w:val="nil"/>
        </w:pBdr>
        <w:tabs>
          <w:tab w:val="left" w:pos="426"/>
        </w:tabs>
        <w:jc w:val="both"/>
        <w:rPr>
          <w:iCs/>
          <w:sz w:val="28"/>
          <w:szCs w:val="28"/>
          <w:lang w:val="es-ES"/>
        </w:rPr>
      </w:pPr>
    </w:p>
    <w:p w14:paraId="265101A5" w14:textId="5A2E4DA2" w:rsidR="00E97073" w:rsidRPr="00AD0E5E" w:rsidRDefault="00E97073" w:rsidP="00830587">
      <w:pPr>
        <w:keepNext/>
        <w:keepLines/>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AD0E5E">
        <w:rPr>
          <w:iCs/>
          <w:sz w:val="28"/>
          <w:szCs w:val="28"/>
          <w:lang w:val="es-ES"/>
        </w:rPr>
        <w:t xml:space="preserve">La Corte Constitucional encontró que las normas demandadas desconocieron </w:t>
      </w:r>
      <w:r w:rsidR="00354273" w:rsidRPr="00AD0E5E">
        <w:rPr>
          <w:iCs/>
          <w:sz w:val="28"/>
          <w:szCs w:val="28"/>
          <w:lang w:val="es-ES"/>
        </w:rPr>
        <w:t xml:space="preserve">el principio </w:t>
      </w:r>
      <w:r w:rsidRPr="00AD0E5E">
        <w:rPr>
          <w:iCs/>
          <w:sz w:val="28"/>
          <w:szCs w:val="28"/>
          <w:lang w:val="es-ES"/>
        </w:rPr>
        <w:t>de unidad de materia. Por tal razón, se declarará la inexequibilidad de los artículos 336 y 337 de la Ley 2294 de 2023.  No obstante, en atención a que dichas normas implicaron una modificación estructural a</w:t>
      </w:r>
      <w:r w:rsidR="00DF7A50" w:rsidRPr="00AD0E5E">
        <w:rPr>
          <w:iCs/>
          <w:sz w:val="28"/>
          <w:szCs w:val="28"/>
          <w:lang w:val="es-ES"/>
        </w:rPr>
        <w:t xml:space="preserve"> las secciones presupuestales de la Registraduría Nacional del Estado Civil y del Consejo Nacional Electoral y </w:t>
      </w:r>
      <w:r w:rsidR="00D820E4" w:rsidRPr="00AD0E5E">
        <w:rPr>
          <w:iCs/>
          <w:sz w:val="28"/>
          <w:szCs w:val="28"/>
          <w:lang w:val="es-ES"/>
        </w:rPr>
        <w:t xml:space="preserve">a </w:t>
      </w:r>
      <w:r w:rsidR="00DF7A50" w:rsidRPr="00AD0E5E">
        <w:rPr>
          <w:iCs/>
          <w:sz w:val="28"/>
          <w:szCs w:val="28"/>
          <w:lang w:val="es-ES"/>
        </w:rPr>
        <w:t xml:space="preserve">las facultades contractuales y de ordenación del gasto del presidente de esta última entidad contenidas en el </w:t>
      </w:r>
      <w:r w:rsidRPr="00AD0E5E">
        <w:rPr>
          <w:iCs/>
          <w:sz w:val="28"/>
          <w:szCs w:val="28"/>
          <w:lang w:val="es-ES"/>
        </w:rPr>
        <w:t>Estatuto Orgánico del Presupuesto, resulta necesario considerar que la decisión de inexequibilidad no genere situaciones inconstitucionales por:  (i) el retiro inmediato de las normas del ordenamiento jurídico</w:t>
      </w:r>
      <w:r w:rsidR="00DF7A50" w:rsidRPr="00AD0E5E">
        <w:rPr>
          <w:iCs/>
          <w:sz w:val="28"/>
          <w:szCs w:val="28"/>
          <w:lang w:val="es-ES"/>
        </w:rPr>
        <w:t xml:space="preserve">, derivado </w:t>
      </w:r>
      <w:r w:rsidR="00D820E4" w:rsidRPr="00AD0E5E">
        <w:rPr>
          <w:iCs/>
          <w:sz w:val="28"/>
          <w:szCs w:val="28"/>
          <w:lang w:val="es-ES"/>
        </w:rPr>
        <w:t xml:space="preserve">del </w:t>
      </w:r>
      <w:r w:rsidR="00DF7A50" w:rsidRPr="00AD0E5E">
        <w:rPr>
          <w:iCs/>
          <w:sz w:val="28"/>
          <w:szCs w:val="28"/>
          <w:lang w:val="es-ES"/>
        </w:rPr>
        <w:t>efecto ordinario y general de las decisiones de la Corte Constitucional</w:t>
      </w:r>
      <w:r w:rsidRPr="00AD0E5E">
        <w:rPr>
          <w:iCs/>
          <w:sz w:val="28"/>
          <w:szCs w:val="28"/>
          <w:lang w:val="es-ES"/>
        </w:rPr>
        <w:t>; (ii) la generación de vacíos normativos</w:t>
      </w:r>
      <w:r w:rsidR="00DF7A50" w:rsidRPr="00AD0E5E">
        <w:rPr>
          <w:iCs/>
          <w:sz w:val="28"/>
          <w:szCs w:val="28"/>
          <w:lang w:val="es-ES"/>
        </w:rPr>
        <w:t xml:space="preserve"> pues</w:t>
      </w:r>
      <w:r w:rsidR="00D820E4" w:rsidRPr="00AD0E5E">
        <w:rPr>
          <w:iCs/>
          <w:sz w:val="28"/>
          <w:szCs w:val="28"/>
          <w:lang w:val="es-ES"/>
        </w:rPr>
        <w:t>,</w:t>
      </w:r>
      <w:r w:rsidR="00DF7A50" w:rsidRPr="00AD0E5E">
        <w:rPr>
          <w:iCs/>
          <w:sz w:val="28"/>
          <w:szCs w:val="28"/>
          <w:lang w:val="es-ES"/>
        </w:rPr>
        <w:t xml:space="preserve"> como se expuso, se trató de una modificación estructural </w:t>
      </w:r>
      <w:r w:rsidR="00D820E4" w:rsidRPr="00AD0E5E">
        <w:rPr>
          <w:iCs/>
          <w:sz w:val="28"/>
          <w:szCs w:val="28"/>
          <w:lang w:val="es-ES"/>
        </w:rPr>
        <w:t xml:space="preserve">al </w:t>
      </w:r>
      <w:r w:rsidR="00DF7A50" w:rsidRPr="00AD0E5E">
        <w:rPr>
          <w:iCs/>
          <w:sz w:val="28"/>
          <w:szCs w:val="28"/>
          <w:lang w:val="es-ES"/>
        </w:rPr>
        <w:t>régimen presupuestal de las mencionadas entidades</w:t>
      </w:r>
      <w:r w:rsidRPr="00AD0E5E">
        <w:rPr>
          <w:iCs/>
          <w:sz w:val="28"/>
          <w:szCs w:val="28"/>
          <w:lang w:val="es-ES"/>
        </w:rPr>
        <w:t xml:space="preserve"> y (iii) la afectación d</w:t>
      </w:r>
      <w:r w:rsidR="00DF7A50" w:rsidRPr="00AD0E5E">
        <w:rPr>
          <w:iCs/>
          <w:sz w:val="28"/>
          <w:szCs w:val="28"/>
          <w:lang w:val="es-ES"/>
        </w:rPr>
        <w:t>e la continuidad en el</w:t>
      </w:r>
      <w:r w:rsidRPr="00AD0E5E">
        <w:rPr>
          <w:iCs/>
          <w:sz w:val="28"/>
          <w:szCs w:val="28"/>
          <w:lang w:val="es-ES"/>
        </w:rPr>
        <w:t xml:space="preserve"> cumplimiento de las funciones constitucionales y legales del CNE. Por tal razón, se adoptarán los siguientes remedios constitucionales: </w:t>
      </w:r>
    </w:p>
    <w:p w14:paraId="0CB8D43C" w14:textId="77777777" w:rsidR="00E97073" w:rsidRPr="00554FD8" w:rsidRDefault="00E97073" w:rsidP="000E2455">
      <w:pPr>
        <w:widowControl w:val="0"/>
        <w:pBdr>
          <w:top w:val="nil"/>
          <w:left w:val="nil"/>
          <w:bottom w:val="nil"/>
          <w:right w:val="nil"/>
          <w:between w:val="nil"/>
        </w:pBdr>
        <w:tabs>
          <w:tab w:val="left" w:pos="426"/>
        </w:tabs>
        <w:jc w:val="both"/>
        <w:rPr>
          <w:iCs/>
          <w:sz w:val="28"/>
          <w:szCs w:val="28"/>
          <w:lang w:val="es-ES"/>
        </w:rPr>
      </w:pPr>
    </w:p>
    <w:p w14:paraId="29B2CB9A" w14:textId="03E15D07" w:rsidR="00E97073" w:rsidRPr="00554FD8" w:rsidRDefault="00C45110" w:rsidP="003239AA">
      <w:pPr>
        <w:pStyle w:val="Ttulo3"/>
        <w:spacing w:before="0" w:after="0"/>
        <w:jc w:val="both"/>
        <w:rPr>
          <w:lang w:val="es-ES"/>
        </w:rPr>
      </w:pPr>
      <w:bookmarkStart w:id="23" w:name="_Toc230846376"/>
      <w:r>
        <w:rPr>
          <w:lang w:val="es-ES"/>
        </w:rPr>
        <w:t>5</w:t>
      </w:r>
      <w:r w:rsidR="00E97073" w:rsidRPr="00554FD8">
        <w:rPr>
          <w:lang w:val="es-ES"/>
        </w:rPr>
        <w:t>.1. La reviviscencia de las normas previas a la Ley 2294 de 2023, contenidas en el Estatuto Orgánico del Presupuesto</w:t>
      </w:r>
      <w:bookmarkEnd w:id="23"/>
    </w:p>
    <w:p w14:paraId="4B39A990" w14:textId="77777777" w:rsidR="00E97073" w:rsidRPr="00554FD8" w:rsidRDefault="00E97073" w:rsidP="00E97073">
      <w:pPr>
        <w:widowControl w:val="0"/>
        <w:pBdr>
          <w:top w:val="nil"/>
          <w:left w:val="nil"/>
          <w:bottom w:val="nil"/>
          <w:right w:val="nil"/>
          <w:between w:val="nil"/>
        </w:pBdr>
        <w:tabs>
          <w:tab w:val="left" w:pos="426"/>
        </w:tabs>
        <w:jc w:val="both"/>
        <w:rPr>
          <w:b/>
          <w:iCs/>
          <w:sz w:val="28"/>
          <w:szCs w:val="28"/>
          <w:lang w:val="es-ES"/>
        </w:rPr>
      </w:pPr>
    </w:p>
    <w:p w14:paraId="7E2AD240" w14:textId="77777777"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554FD8">
        <w:rPr>
          <w:sz w:val="28"/>
          <w:szCs w:val="28"/>
          <w:lang w:val="es-ES"/>
        </w:rPr>
        <w:t xml:space="preserve">La </w:t>
      </w:r>
      <w:r w:rsidRPr="00554FD8">
        <w:rPr>
          <w:iCs/>
          <w:sz w:val="28"/>
          <w:szCs w:val="28"/>
          <w:lang w:val="es-ES"/>
        </w:rPr>
        <w:t>j</w:t>
      </w:r>
      <w:r w:rsidRPr="00554FD8">
        <w:rPr>
          <w:color w:val="000000"/>
          <w:sz w:val="28"/>
          <w:szCs w:val="28"/>
          <w:shd w:val="clear" w:color="auto" w:fill="FFFFFF"/>
        </w:rPr>
        <w:t>urisprudencia constitucional ha señalado que la reviviscencia de normas cuando aquella que la derogó, subrogó o modificó ha sido declarada inexequible, no ocurre de manera automática</w:t>
      </w:r>
      <w:r w:rsidRPr="00554FD8">
        <w:rPr>
          <w:rStyle w:val="Refdenotaalpie"/>
          <w:color w:val="000000"/>
          <w:sz w:val="28"/>
          <w:szCs w:val="28"/>
          <w:shd w:val="clear" w:color="auto" w:fill="FFFFFF"/>
        </w:rPr>
        <w:footnoteReference w:id="134"/>
      </w:r>
      <w:r w:rsidRPr="00554FD8">
        <w:rPr>
          <w:color w:val="000000"/>
          <w:sz w:val="28"/>
          <w:szCs w:val="28"/>
          <w:shd w:val="clear" w:color="auto" w:fill="FFFFFF"/>
        </w:rPr>
        <w:t>. Por el contrario, debe examinarse si se configura alguna circunstancia que la haga procedente. Lo anterior, con el fin de (i) evitar escenarios de inseguridad jurídica ante vacíos normativos generados por la inexequibilidad, (ii) precaver posibles situaciones de vulneración de derechos fundamentales o (iii) garantizar la supremacía de la Constitución, claro está, siempre que las normas reincorporadas al ordenamiento no sean contrarias a la Carta</w:t>
      </w:r>
      <w:r w:rsidRPr="00554FD8">
        <w:rPr>
          <w:rStyle w:val="Refdenotaalpie"/>
          <w:color w:val="000000"/>
          <w:sz w:val="28"/>
          <w:szCs w:val="28"/>
          <w:shd w:val="clear" w:color="auto" w:fill="FFFFFF"/>
        </w:rPr>
        <w:footnoteReference w:id="135"/>
      </w:r>
      <w:r w:rsidRPr="00554FD8">
        <w:rPr>
          <w:color w:val="000000"/>
          <w:sz w:val="28"/>
          <w:szCs w:val="28"/>
          <w:shd w:val="clear" w:color="auto" w:fill="FFFFFF"/>
        </w:rPr>
        <w:t>.</w:t>
      </w:r>
    </w:p>
    <w:p w14:paraId="4BD0D264" w14:textId="77777777" w:rsidR="00E97073" w:rsidRPr="00554FD8" w:rsidRDefault="00E97073" w:rsidP="00E97073">
      <w:pPr>
        <w:rPr>
          <w:sz w:val="28"/>
          <w:szCs w:val="28"/>
        </w:rPr>
      </w:pPr>
    </w:p>
    <w:p w14:paraId="25242AF5" w14:textId="24F129E4"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554FD8">
        <w:rPr>
          <w:sz w:val="28"/>
          <w:szCs w:val="28"/>
          <w:lang w:val="es-ES"/>
        </w:rPr>
        <w:t>Al tener en cuenta que la declaratoria de inexequibilidad de los artículos 336 y 337 del PND implica que las normas bajo estudio desaparecen del ordenamiento jurídico</w:t>
      </w:r>
      <w:r w:rsidR="00FC3569">
        <w:rPr>
          <w:sz w:val="28"/>
          <w:szCs w:val="28"/>
          <w:lang w:val="es-ES"/>
        </w:rPr>
        <w:t>, t</w:t>
      </w:r>
      <w:r w:rsidRPr="00554FD8">
        <w:rPr>
          <w:sz w:val="28"/>
          <w:szCs w:val="28"/>
          <w:lang w:val="es-ES"/>
        </w:rPr>
        <w:t xml:space="preserve">al situación </w:t>
      </w:r>
      <w:r w:rsidR="00FC3569">
        <w:rPr>
          <w:sz w:val="28"/>
          <w:szCs w:val="28"/>
          <w:lang w:val="es-ES"/>
        </w:rPr>
        <w:t>generaría</w:t>
      </w:r>
      <w:r w:rsidRPr="00554FD8">
        <w:rPr>
          <w:sz w:val="28"/>
          <w:szCs w:val="28"/>
          <w:lang w:val="es-ES"/>
        </w:rPr>
        <w:t xml:space="preserve"> un vacío normativo en torno a la situación presupuestal, contractual y de ordenación de gasto del Consejo Nacional Electoral, lo que </w:t>
      </w:r>
      <w:r w:rsidR="00FC3569">
        <w:rPr>
          <w:sz w:val="28"/>
          <w:szCs w:val="28"/>
          <w:lang w:val="es-ES"/>
        </w:rPr>
        <w:t>provoca</w:t>
      </w:r>
      <w:r w:rsidR="00FC3569" w:rsidRPr="00554FD8">
        <w:rPr>
          <w:sz w:val="28"/>
          <w:szCs w:val="28"/>
          <w:lang w:val="es-ES"/>
        </w:rPr>
        <w:t xml:space="preserve">ría </w:t>
      </w:r>
      <w:r w:rsidRPr="00554FD8">
        <w:rPr>
          <w:sz w:val="28"/>
          <w:szCs w:val="28"/>
          <w:lang w:val="es-ES"/>
        </w:rPr>
        <w:t xml:space="preserve">un escenario </w:t>
      </w:r>
      <w:r w:rsidR="00FC3569">
        <w:rPr>
          <w:sz w:val="28"/>
          <w:szCs w:val="28"/>
          <w:lang w:val="es-ES"/>
        </w:rPr>
        <w:t xml:space="preserve">con efectos </w:t>
      </w:r>
      <w:r w:rsidRPr="00554FD8">
        <w:rPr>
          <w:sz w:val="28"/>
          <w:szCs w:val="28"/>
          <w:lang w:val="es-ES"/>
        </w:rPr>
        <w:t>inconstitucional</w:t>
      </w:r>
      <w:r w:rsidR="00FC3569">
        <w:rPr>
          <w:sz w:val="28"/>
          <w:szCs w:val="28"/>
          <w:lang w:val="es-ES"/>
        </w:rPr>
        <w:t>es</w:t>
      </w:r>
      <w:r w:rsidRPr="00554FD8">
        <w:rPr>
          <w:sz w:val="28"/>
          <w:szCs w:val="28"/>
          <w:lang w:val="es-ES"/>
        </w:rPr>
        <w:t xml:space="preserve"> inadmisible, puesto que se podría afectar el normal desempeño de las funciones constitucionales y legales de dicha entidad y la seguridad jurídica de un órgano fundamental en la organización electoral del país</w:t>
      </w:r>
      <w:r w:rsidR="00DF7A50" w:rsidRPr="00554FD8">
        <w:rPr>
          <w:sz w:val="28"/>
          <w:szCs w:val="28"/>
          <w:lang w:val="es-ES"/>
        </w:rPr>
        <w:t>.</w:t>
      </w:r>
    </w:p>
    <w:p w14:paraId="0CF5291F" w14:textId="77777777" w:rsidR="00DF7A50" w:rsidRPr="00554FD8" w:rsidRDefault="00DF7A50" w:rsidP="00DF7A50">
      <w:pPr>
        <w:widowControl w:val="0"/>
        <w:pBdr>
          <w:top w:val="nil"/>
          <w:left w:val="nil"/>
          <w:bottom w:val="nil"/>
          <w:right w:val="nil"/>
          <w:between w:val="nil"/>
        </w:pBdr>
        <w:tabs>
          <w:tab w:val="left" w:pos="426"/>
        </w:tabs>
        <w:jc w:val="both"/>
        <w:rPr>
          <w:iCs/>
          <w:sz w:val="28"/>
          <w:szCs w:val="28"/>
          <w:lang w:val="es-ES"/>
        </w:rPr>
      </w:pPr>
    </w:p>
    <w:p w14:paraId="7790D0AB" w14:textId="77777777"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554FD8">
        <w:rPr>
          <w:iCs/>
          <w:sz w:val="28"/>
          <w:szCs w:val="28"/>
          <w:lang w:val="es-ES"/>
        </w:rPr>
        <w:t xml:space="preserve">Por tal razón, </w:t>
      </w:r>
      <w:r w:rsidRPr="00554FD8">
        <w:rPr>
          <w:sz w:val="28"/>
          <w:szCs w:val="28"/>
          <w:lang w:val="es-ES"/>
        </w:rPr>
        <w:t xml:space="preserve">se estima necesario disponer la reviviscencia de los artículos 36 y 110 del Decreto 111 de 1996 – Estatuto Orgánico del Presupuesto en su versión anterior a la adopción de la Ley 2294 de 2023, cuyo contenido es el siguiente:  </w:t>
      </w:r>
    </w:p>
    <w:p w14:paraId="09A21DE5" w14:textId="77777777" w:rsidR="00E97073" w:rsidRPr="00554FD8" w:rsidRDefault="00E97073" w:rsidP="00E97073">
      <w:pPr>
        <w:pStyle w:val="Prrafodelista"/>
        <w:rPr>
          <w:iCs/>
          <w:sz w:val="28"/>
          <w:szCs w:val="28"/>
          <w:lang w:val="es-ES"/>
        </w:rPr>
      </w:pPr>
    </w:p>
    <w:p w14:paraId="2B6191B7" w14:textId="2537DAA8" w:rsidR="00E97073" w:rsidRPr="00554FD8" w:rsidRDefault="00E97073" w:rsidP="00E97073">
      <w:pPr>
        <w:jc w:val="center"/>
        <w:rPr>
          <w:i/>
          <w:iCs/>
          <w:sz w:val="20"/>
          <w:szCs w:val="20"/>
          <w:lang w:val="es-ES"/>
        </w:rPr>
      </w:pPr>
      <w:r w:rsidRPr="00554FD8">
        <w:rPr>
          <w:iCs/>
          <w:sz w:val="20"/>
          <w:szCs w:val="20"/>
          <w:lang w:val="es-ES"/>
        </w:rPr>
        <w:t xml:space="preserve">Tabla </w:t>
      </w:r>
      <w:r w:rsidR="00AB3A97" w:rsidRPr="00554FD8">
        <w:rPr>
          <w:iCs/>
          <w:sz w:val="20"/>
          <w:szCs w:val="20"/>
          <w:lang w:val="es-ES"/>
        </w:rPr>
        <w:t>4</w:t>
      </w:r>
      <w:r w:rsidRPr="00554FD8">
        <w:rPr>
          <w:iCs/>
          <w:sz w:val="20"/>
          <w:szCs w:val="20"/>
          <w:lang w:val="es-ES"/>
        </w:rPr>
        <w:t xml:space="preserve">. </w:t>
      </w:r>
      <w:r w:rsidRPr="00554FD8">
        <w:rPr>
          <w:i/>
          <w:iCs/>
          <w:sz w:val="20"/>
          <w:szCs w:val="20"/>
          <w:lang w:val="es-ES"/>
        </w:rPr>
        <w:t>Contenido de los artículos 36 y 110 del Decreto 111 de 1996 antes de la Ley 2294 de 2023</w:t>
      </w:r>
    </w:p>
    <w:tbl>
      <w:tblPr>
        <w:tblStyle w:val="Tablaconcuadrcula"/>
        <w:tblW w:w="0" w:type="auto"/>
        <w:jc w:val="center"/>
        <w:tblLook w:val="04A0" w:firstRow="1" w:lastRow="0" w:firstColumn="1" w:lastColumn="0" w:noHBand="0" w:noVBand="1"/>
      </w:tblPr>
      <w:tblGrid>
        <w:gridCol w:w="1413"/>
        <w:gridCol w:w="7415"/>
      </w:tblGrid>
      <w:tr w:rsidR="00E97073" w:rsidRPr="00554FD8" w14:paraId="2581CD43" w14:textId="77777777" w:rsidTr="00E97073">
        <w:trPr>
          <w:jc w:val="center"/>
        </w:trPr>
        <w:tc>
          <w:tcPr>
            <w:tcW w:w="1413" w:type="dxa"/>
            <w:shd w:val="clear" w:color="auto" w:fill="B8CCE4" w:themeFill="accent1" w:themeFillTint="66"/>
          </w:tcPr>
          <w:p w14:paraId="591FE3CF" w14:textId="77777777" w:rsidR="00E97073" w:rsidRPr="00554FD8" w:rsidRDefault="00E97073" w:rsidP="00E97073">
            <w:pPr>
              <w:jc w:val="center"/>
              <w:rPr>
                <w:iCs/>
                <w:sz w:val="20"/>
                <w:szCs w:val="20"/>
                <w:lang w:val="es-ES"/>
              </w:rPr>
            </w:pPr>
            <w:r w:rsidRPr="00554FD8">
              <w:rPr>
                <w:b/>
                <w:iCs/>
                <w:sz w:val="20"/>
                <w:szCs w:val="20"/>
                <w:lang w:val="es-ES"/>
              </w:rPr>
              <w:t>Artículo 36 Decreto 111 de 1996</w:t>
            </w:r>
          </w:p>
        </w:tc>
        <w:tc>
          <w:tcPr>
            <w:tcW w:w="7415" w:type="dxa"/>
          </w:tcPr>
          <w:p w14:paraId="0DE483EF" w14:textId="77777777" w:rsidR="00F2535F" w:rsidRPr="00554FD8" w:rsidRDefault="00F2535F" w:rsidP="00F2535F">
            <w:pPr>
              <w:pStyle w:val="NormalWeb"/>
              <w:shd w:val="clear" w:color="auto" w:fill="FFFFFF"/>
              <w:spacing w:before="0" w:beforeAutospacing="0" w:after="0" w:afterAutospacing="0"/>
              <w:jc w:val="both"/>
              <w:rPr>
                <w:sz w:val="20"/>
                <w:szCs w:val="20"/>
              </w:rPr>
            </w:pPr>
            <w:r w:rsidRPr="00554FD8">
              <w:rPr>
                <w:iCs/>
                <w:sz w:val="20"/>
                <w:szCs w:val="20"/>
                <w:lang w:val="es-ES"/>
              </w:rPr>
              <w:t xml:space="preserve">“Artículo 36. </w:t>
            </w:r>
            <w:r w:rsidRPr="00554FD8">
              <w:rPr>
                <w:sz w:val="20"/>
                <w:szCs w:val="20"/>
              </w:rPr>
              <w:t>El presupuesto de gastos se compondrá de los gastos de funcionamiento, del servicio de la deuda pública y de los gastos de inversión. Cada uno de estos gastos se presentará clasificado en diferentes secciones que corresponderán a: la rama judicial, la rama legislativa, la Fiscalía General de la Nación, la Procuraduría General de la Nación, la Defensoría del Pueblo, la Contraloría General de la República, la Registraduría Nacional del Estado Civil que incluye el Consejo Nacional Electoral, una (1) por cada ministerio, departamento administrativo y establecimientos públicos, una (1) para la Policía Nacional y una (1) para el servicio de la deuda pública. En el proyecto de presupuesto de inversión se indicarán los proyectos establecidos en el plan operativo anual de inversión, clasificado según lo determine el Gobierno Nacional.</w:t>
            </w:r>
          </w:p>
          <w:p w14:paraId="43C6323B" w14:textId="12A613CF" w:rsidR="00E97073" w:rsidRPr="00554FD8" w:rsidRDefault="00F2535F" w:rsidP="00F2535F">
            <w:pPr>
              <w:jc w:val="both"/>
              <w:rPr>
                <w:iCs/>
                <w:sz w:val="20"/>
                <w:szCs w:val="20"/>
                <w:lang w:val="es-ES"/>
              </w:rPr>
            </w:pPr>
            <w:r w:rsidRPr="00554FD8">
              <w:rPr>
                <w:sz w:val="20"/>
                <w:szCs w:val="20"/>
              </w:rPr>
              <w:t>En los presupuestos de gastos de funcionamiento e inversión no se podrán incluir gastos con destino al servicio de la deuda (L. 38/89, art. 23; L. 179/94, art. 16)”.</w:t>
            </w:r>
          </w:p>
        </w:tc>
      </w:tr>
      <w:tr w:rsidR="00E97073" w:rsidRPr="00554FD8" w14:paraId="2978959B" w14:textId="77777777" w:rsidTr="00E97073">
        <w:trPr>
          <w:jc w:val="center"/>
        </w:trPr>
        <w:tc>
          <w:tcPr>
            <w:tcW w:w="1413" w:type="dxa"/>
            <w:shd w:val="clear" w:color="auto" w:fill="B8CCE4" w:themeFill="accent1" w:themeFillTint="66"/>
          </w:tcPr>
          <w:p w14:paraId="7FAC5648" w14:textId="77777777" w:rsidR="00E97073" w:rsidRPr="00554FD8" w:rsidRDefault="00E97073" w:rsidP="00C41665">
            <w:pPr>
              <w:widowControl w:val="0"/>
              <w:jc w:val="center"/>
              <w:rPr>
                <w:iCs/>
                <w:sz w:val="20"/>
                <w:szCs w:val="20"/>
                <w:lang w:val="es-ES"/>
              </w:rPr>
            </w:pPr>
            <w:r w:rsidRPr="00554FD8">
              <w:rPr>
                <w:b/>
                <w:iCs/>
                <w:sz w:val="20"/>
                <w:szCs w:val="20"/>
                <w:lang w:val="es-ES"/>
              </w:rPr>
              <w:t>Artículo 110 Decreto 111 de 1996</w:t>
            </w:r>
          </w:p>
        </w:tc>
        <w:tc>
          <w:tcPr>
            <w:tcW w:w="7415" w:type="dxa"/>
          </w:tcPr>
          <w:p w14:paraId="151F75EA" w14:textId="77777777" w:rsidR="00F2535F" w:rsidRPr="002733A6" w:rsidRDefault="00F2535F" w:rsidP="00C41665">
            <w:pPr>
              <w:widowControl w:val="0"/>
              <w:autoSpaceDE w:val="0"/>
              <w:autoSpaceDN w:val="0"/>
              <w:adjustRightInd w:val="0"/>
              <w:jc w:val="both"/>
              <w:rPr>
                <w:sz w:val="20"/>
                <w:szCs w:val="20"/>
                <w:lang w:val="es-ES_tradnl" w:eastAsia="es-CO"/>
              </w:rPr>
            </w:pPr>
            <w:r w:rsidRPr="002733A6">
              <w:rPr>
                <w:sz w:val="20"/>
                <w:szCs w:val="20"/>
                <w:lang w:val="es-ES_tradnl" w:eastAsia="es-CO"/>
              </w:rPr>
              <w:t>“Artículo 110. Los órganos que son una sección en el Presupuesto General de la Nación, tendrán la capacidad de contratar y comprometer a nombre de la persona jurídica de la cual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w:t>
            </w:r>
          </w:p>
          <w:p w14:paraId="72FB4854" w14:textId="77777777" w:rsidR="00F2535F" w:rsidRPr="002733A6" w:rsidRDefault="00F2535F" w:rsidP="00C41665">
            <w:pPr>
              <w:widowControl w:val="0"/>
              <w:autoSpaceDE w:val="0"/>
              <w:autoSpaceDN w:val="0"/>
              <w:adjustRightInd w:val="0"/>
              <w:jc w:val="both"/>
              <w:rPr>
                <w:sz w:val="20"/>
                <w:szCs w:val="20"/>
                <w:lang w:val="es-ES_tradnl" w:eastAsia="es-CO"/>
              </w:rPr>
            </w:pPr>
            <w:r w:rsidRPr="002733A6">
              <w:rPr>
                <w:sz w:val="20"/>
                <w:szCs w:val="20"/>
                <w:lang w:val="es-ES_tradnl" w:eastAsia="es-CO"/>
              </w:rPr>
              <w:t>En la sección correspondiente a la rama legislativa estas capacidades se ejercerán en la forma arriba indicada y de manera independiente por el Senado y la Cámara de Representantes; en la sección correspondiente a la Rama Judicial serán ejercidas por el Consejo Superior de la Judicatura; igualmente en el caso de la Jurisdicción Especial para la Paz serán ejercidas por la Secretaría Ejecutiva de la misma.</w:t>
            </w:r>
          </w:p>
          <w:p w14:paraId="2D12B2CE" w14:textId="77777777" w:rsidR="00F2535F" w:rsidRPr="002733A6" w:rsidRDefault="00F2535F" w:rsidP="00C41665">
            <w:pPr>
              <w:widowControl w:val="0"/>
              <w:autoSpaceDE w:val="0"/>
              <w:autoSpaceDN w:val="0"/>
              <w:adjustRightInd w:val="0"/>
              <w:jc w:val="both"/>
              <w:rPr>
                <w:sz w:val="20"/>
                <w:szCs w:val="20"/>
                <w:lang w:val="es-ES_tradnl" w:eastAsia="es-CO"/>
              </w:rPr>
            </w:pPr>
            <w:r w:rsidRPr="002733A6">
              <w:rPr>
                <w:sz w:val="20"/>
                <w:szCs w:val="20"/>
                <w:lang w:val="es-ES_tradnl" w:eastAsia="es-CO"/>
              </w:rPr>
              <w:t>En los mismos términos y condiciones tendrán estas capacidades las Superintendencias, Unidades Administrativas Especiales, las Entidades Territoriales, Asambleas y Concejos, las Contralorías y Personerías Territoriales</w:t>
            </w:r>
            <w:r w:rsidRPr="002733A6">
              <w:rPr>
                <w:sz w:val="20"/>
                <w:szCs w:val="20"/>
                <w:u w:val="single"/>
                <w:lang w:val="es-ES_tradnl" w:eastAsia="es-CO"/>
              </w:rPr>
              <w:t> </w:t>
            </w:r>
            <w:r w:rsidRPr="002733A6">
              <w:rPr>
                <w:sz w:val="20"/>
                <w:szCs w:val="20"/>
                <w:lang w:val="es-ES_tradnl" w:eastAsia="es-CO"/>
              </w:rPr>
              <w:t>y todos los demás órganos estatales de cualquier nivel que tengan personería jurídica.</w:t>
            </w:r>
          </w:p>
          <w:p w14:paraId="3D095116" w14:textId="75E65EB9" w:rsidR="00E97073" w:rsidRPr="00554FD8" w:rsidRDefault="00F2535F" w:rsidP="00C41665">
            <w:pPr>
              <w:pStyle w:val="NormalWeb"/>
              <w:widowControl w:val="0"/>
              <w:shd w:val="clear" w:color="auto" w:fill="FFFFFF"/>
              <w:spacing w:before="0" w:beforeAutospacing="0" w:after="0" w:afterAutospacing="0"/>
              <w:jc w:val="both"/>
              <w:rPr>
                <w:iCs/>
                <w:sz w:val="20"/>
                <w:szCs w:val="20"/>
                <w:lang w:val="es-ES"/>
              </w:rPr>
            </w:pPr>
            <w:r w:rsidRPr="002733A6">
              <w:rPr>
                <w:sz w:val="20"/>
                <w:szCs w:val="20"/>
                <w:lang w:val="es-ES_tradnl" w:eastAsia="es-CO"/>
              </w:rPr>
              <w:t>En todo caso, el Presidente de la República podrá celebrar contratos a nombre de la Nación”.</w:t>
            </w:r>
            <w:r w:rsidR="00E97073" w:rsidRPr="00554FD8">
              <w:rPr>
                <w:sz w:val="20"/>
                <w:szCs w:val="20"/>
              </w:rPr>
              <w:t xml:space="preserve"> </w:t>
            </w:r>
          </w:p>
        </w:tc>
      </w:tr>
    </w:tbl>
    <w:p w14:paraId="12102245" w14:textId="77777777" w:rsidR="00E97073" w:rsidRPr="00554FD8" w:rsidRDefault="00E97073" w:rsidP="00C41665">
      <w:pPr>
        <w:widowControl w:val="0"/>
        <w:pBdr>
          <w:top w:val="nil"/>
          <w:left w:val="nil"/>
          <w:bottom w:val="nil"/>
          <w:right w:val="nil"/>
          <w:between w:val="nil"/>
        </w:pBdr>
        <w:tabs>
          <w:tab w:val="left" w:pos="426"/>
        </w:tabs>
        <w:jc w:val="both"/>
        <w:rPr>
          <w:iCs/>
          <w:sz w:val="28"/>
          <w:szCs w:val="28"/>
          <w:lang w:val="es-ES"/>
        </w:rPr>
      </w:pPr>
    </w:p>
    <w:p w14:paraId="4F72B05A" w14:textId="13EDB64C" w:rsidR="00DF7A50" w:rsidRPr="00554FD8" w:rsidRDefault="00DF7A50" w:rsidP="00C41665">
      <w:pPr>
        <w:pStyle w:val="Prrafodelista"/>
        <w:widowControl w:val="0"/>
        <w:numPr>
          <w:ilvl w:val="0"/>
          <w:numId w:val="1"/>
        </w:numPr>
        <w:pBdr>
          <w:top w:val="nil"/>
          <w:left w:val="nil"/>
          <w:bottom w:val="nil"/>
          <w:right w:val="nil"/>
          <w:between w:val="nil"/>
        </w:pBdr>
        <w:ind w:left="0" w:firstLine="0"/>
        <w:jc w:val="both"/>
        <w:rPr>
          <w:b/>
          <w:iCs/>
          <w:sz w:val="28"/>
          <w:szCs w:val="28"/>
          <w:lang w:val="es-ES"/>
        </w:rPr>
      </w:pPr>
      <w:r w:rsidRPr="00554FD8">
        <w:rPr>
          <w:bCs/>
          <w:iCs/>
          <w:sz w:val="28"/>
          <w:szCs w:val="28"/>
          <w:lang w:val="es-ES"/>
        </w:rPr>
        <w:t xml:space="preserve">Como consecuencia de la reviviscencia de las mencionadas normas, el CNE ya no tendrá una sección </w:t>
      </w:r>
      <w:r w:rsidR="00AC780A">
        <w:rPr>
          <w:bCs/>
          <w:iCs/>
          <w:sz w:val="28"/>
          <w:szCs w:val="28"/>
          <w:lang w:val="es-ES"/>
        </w:rPr>
        <w:t xml:space="preserve">en </w:t>
      </w:r>
      <w:r w:rsidR="00AC780A" w:rsidRPr="00554FD8">
        <w:rPr>
          <w:bCs/>
          <w:iCs/>
          <w:sz w:val="28"/>
          <w:szCs w:val="28"/>
          <w:lang w:val="es-ES"/>
        </w:rPr>
        <w:t xml:space="preserve">el </w:t>
      </w:r>
      <w:r w:rsidRPr="00554FD8">
        <w:rPr>
          <w:bCs/>
          <w:iCs/>
          <w:sz w:val="28"/>
          <w:szCs w:val="28"/>
          <w:lang w:val="es-ES"/>
        </w:rPr>
        <w:t xml:space="preserve">presupuesto de gastos independiente, sino que estará incluida en la de la Registraduría Nacional del Estado Civil. De igual manera, al no ser un órgano que </w:t>
      </w:r>
      <w:r w:rsidR="00AC780A">
        <w:rPr>
          <w:bCs/>
          <w:iCs/>
          <w:sz w:val="28"/>
          <w:szCs w:val="28"/>
          <w:lang w:val="es-ES"/>
        </w:rPr>
        <w:t>cuente con</w:t>
      </w:r>
      <w:r w:rsidR="00AC780A" w:rsidRPr="00554FD8">
        <w:rPr>
          <w:bCs/>
          <w:iCs/>
          <w:sz w:val="28"/>
          <w:szCs w:val="28"/>
          <w:lang w:val="es-ES"/>
        </w:rPr>
        <w:t xml:space="preserve"> </w:t>
      </w:r>
      <w:r w:rsidRPr="00554FD8">
        <w:rPr>
          <w:bCs/>
          <w:iCs/>
          <w:sz w:val="28"/>
          <w:szCs w:val="28"/>
          <w:lang w:val="es-ES"/>
        </w:rPr>
        <w:t xml:space="preserve">una sección en el Presupuesto General de la Nación, el presidente del CNE no tendrá la capacidad de contratar y comprometer u ordenar </w:t>
      </w:r>
      <w:r w:rsidR="00AC780A">
        <w:rPr>
          <w:bCs/>
          <w:iCs/>
          <w:sz w:val="28"/>
          <w:szCs w:val="28"/>
          <w:lang w:val="es-ES"/>
        </w:rPr>
        <w:t xml:space="preserve">directamente </w:t>
      </w:r>
      <w:r w:rsidRPr="00554FD8">
        <w:rPr>
          <w:bCs/>
          <w:iCs/>
          <w:sz w:val="28"/>
          <w:szCs w:val="28"/>
          <w:lang w:val="es-ES"/>
        </w:rPr>
        <w:t>el gasto</w:t>
      </w:r>
      <w:r w:rsidR="007874F9">
        <w:rPr>
          <w:bCs/>
          <w:iCs/>
          <w:sz w:val="28"/>
          <w:szCs w:val="28"/>
          <w:lang w:val="es-ES"/>
        </w:rPr>
        <w:t xml:space="preserve"> a nombre de esa entidad</w:t>
      </w:r>
      <w:r w:rsidRPr="00554FD8">
        <w:rPr>
          <w:bCs/>
          <w:iCs/>
          <w:sz w:val="28"/>
          <w:szCs w:val="28"/>
          <w:lang w:val="es-ES"/>
        </w:rPr>
        <w:t xml:space="preserve">. </w:t>
      </w:r>
    </w:p>
    <w:p w14:paraId="2745DB60" w14:textId="77777777" w:rsidR="00DF7A50" w:rsidRPr="00554FD8" w:rsidRDefault="00DF7A50" w:rsidP="00C41665">
      <w:pPr>
        <w:widowControl w:val="0"/>
        <w:pBdr>
          <w:top w:val="nil"/>
          <w:left w:val="nil"/>
          <w:bottom w:val="nil"/>
          <w:right w:val="nil"/>
          <w:between w:val="nil"/>
        </w:pBdr>
        <w:tabs>
          <w:tab w:val="left" w:pos="426"/>
        </w:tabs>
        <w:jc w:val="both"/>
        <w:rPr>
          <w:b/>
          <w:iCs/>
          <w:sz w:val="28"/>
          <w:szCs w:val="28"/>
          <w:lang w:val="es-ES"/>
        </w:rPr>
      </w:pPr>
    </w:p>
    <w:p w14:paraId="0FFF6512" w14:textId="4C4C5DC9" w:rsidR="00E97073" w:rsidRPr="00554FD8" w:rsidRDefault="00C45110" w:rsidP="00BD5016">
      <w:pPr>
        <w:pStyle w:val="Ttulo3"/>
        <w:keepNext w:val="0"/>
        <w:keepLines w:val="0"/>
        <w:widowControl w:val="0"/>
        <w:spacing w:before="0" w:after="0"/>
        <w:jc w:val="both"/>
        <w:rPr>
          <w:lang w:val="es-ES"/>
        </w:rPr>
      </w:pPr>
      <w:bookmarkStart w:id="24" w:name="_Toc230846377"/>
      <w:r>
        <w:rPr>
          <w:lang w:val="es-ES"/>
        </w:rPr>
        <w:t>5</w:t>
      </w:r>
      <w:r w:rsidR="00E97073" w:rsidRPr="00554FD8">
        <w:rPr>
          <w:lang w:val="es-ES"/>
        </w:rPr>
        <w:t xml:space="preserve">.2. La necesidad de modular los efectos de la decisión de inexequibilidad y reviviscencia ante el </w:t>
      </w:r>
      <w:r w:rsidR="007874F9">
        <w:rPr>
          <w:lang w:val="es-ES"/>
        </w:rPr>
        <w:t xml:space="preserve">ejercicio de funciones del CNE y el </w:t>
      </w:r>
      <w:r w:rsidR="00E97073" w:rsidRPr="00554FD8">
        <w:rPr>
          <w:lang w:val="es-ES"/>
        </w:rPr>
        <w:t>proceso de elección de presidente de la República en curso</w:t>
      </w:r>
      <w:bookmarkEnd w:id="24"/>
    </w:p>
    <w:p w14:paraId="53D51943" w14:textId="77777777" w:rsidR="00E97073" w:rsidRPr="00554FD8" w:rsidRDefault="00E97073" w:rsidP="00BD5016">
      <w:pPr>
        <w:widowControl w:val="0"/>
        <w:pBdr>
          <w:top w:val="nil"/>
          <w:left w:val="nil"/>
          <w:bottom w:val="nil"/>
          <w:right w:val="nil"/>
          <w:between w:val="nil"/>
        </w:pBdr>
        <w:tabs>
          <w:tab w:val="left" w:pos="426"/>
        </w:tabs>
        <w:jc w:val="both"/>
        <w:rPr>
          <w:iCs/>
          <w:sz w:val="28"/>
          <w:szCs w:val="28"/>
          <w:lang w:val="es-ES"/>
        </w:rPr>
      </w:pPr>
    </w:p>
    <w:p w14:paraId="3137023F" w14:textId="77777777" w:rsidR="00E97073" w:rsidRPr="00554FD8" w:rsidRDefault="00E97073" w:rsidP="00BD5016">
      <w:pPr>
        <w:widowControl w:val="0"/>
        <w:numPr>
          <w:ilvl w:val="0"/>
          <w:numId w:val="1"/>
        </w:numPr>
        <w:pBdr>
          <w:top w:val="nil"/>
          <w:left w:val="nil"/>
          <w:bottom w:val="nil"/>
          <w:right w:val="nil"/>
          <w:between w:val="nil"/>
        </w:pBdr>
        <w:tabs>
          <w:tab w:val="left" w:pos="426"/>
        </w:tabs>
        <w:ind w:left="0" w:firstLine="0"/>
        <w:jc w:val="both"/>
        <w:rPr>
          <w:iCs/>
          <w:sz w:val="28"/>
          <w:szCs w:val="28"/>
          <w:lang w:val="es-ES"/>
        </w:rPr>
      </w:pPr>
      <w:r w:rsidRPr="00554FD8">
        <w:rPr>
          <w:sz w:val="28"/>
          <w:szCs w:val="28"/>
          <w:shd w:val="clear" w:color="auto" w:fill="FFFFFF"/>
          <w:lang w:val="es-ES_tradnl"/>
        </w:rPr>
        <w:t xml:space="preserve">En virtud de la competencia general otorgada por el artículo 241 superior, la Corte Constitucional puede </w:t>
      </w:r>
      <w:r w:rsidRPr="00554FD8">
        <w:rPr>
          <w:bCs/>
          <w:sz w:val="28"/>
          <w:szCs w:val="28"/>
          <w:lang w:val="es-ES"/>
        </w:rPr>
        <w:t>modular</w:t>
      </w:r>
      <w:r w:rsidRPr="00554FD8">
        <w:rPr>
          <w:sz w:val="28"/>
          <w:szCs w:val="28"/>
          <w:shd w:val="clear" w:color="auto" w:fill="FFFFFF"/>
          <w:lang w:val="es-ES_tradnl"/>
        </w:rPr>
        <w:t xml:space="preserve"> los efectos de las decisiones de control abstracto de constitucionalidad en los casos en los que la guarda de la integridad y la supremacía de la Constitución haga necesario adoptar una modalidad de fallo distinto a la declaratoria exequibilidad o inexequibilidad pura y simple de la norma objeto de control. </w:t>
      </w:r>
    </w:p>
    <w:p w14:paraId="265DFBBC"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7E8F34C2" w14:textId="77777777"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En este sentido, el artículo 45 de la Ley 270 de 1996 dispuso que “</w:t>
      </w:r>
      <w:r w:rsidRPr="00554FD8">
        <w:rPr>
          <w:iCs/>
          <w:sz w:val="28"/>
          <w:szCs w:val="28"/>
        </w:rPr>
        <w:t>[l]as sentencias que profiera la Corte Constitucional sobre los actos sujetos a su control en los términos del artículo </w:t>
      </w:r>
      <w:r w:rsidRPr="00554FD8">
        <w:rPr>
          <w:iCs/>
          <w:sz w:val="28"/>
          <w:szCs w:val="28"/>
          <w:bdr w:val="none" w:sz="0" w:space="0" w:color="auto" w:frame="1"/>
        </w:rPr>
        <w:t>241</w:t>
      </w:r>
      <w:r w:rsidRPr="00554FD8">
        <w:rPr>
          <w:iCs/>
          <w:sz w:val="28"/>
          <w:szCs w:val="28"/>
        </w:rPr>
        <w:t> de la Constitución Política, tienen efectos hacia el futuro a menos que la Corte resuelva lo contrario</w:t>
      </w:r>
      <w:r w:rsidRPr="00554FD8">
        <w:rPr>
          <w:sz w:val="28"/>
          <w:szCs w:val="28"/>
        </w:rPr>
        <w:t>”. Dicha disposición fue declarada exequible mediante la Sentencia C-037 de 2006</w:t>
      </w:r>
      <w:r w:rsidRPr="00554FD8">
        <w:rPr>
          <w:i/>
          <w:iCs/>
          <w:sz w:val="28"/>
          <w:szCs w:val="28"/>
        </w:rPr>
        <w:t>, </w:t>
      </w:r>
      <w:r w:rsidRPr="00554FD8">
        <w:rPr>
          <w:sz w:val="28"/>
          <w:szCs w:val="28"/>
        </w:rPr>
        <w:t>en la cual, además, se determinó que</w:t>
      </w:r>
      <w:r w:rsidRPr="00554FD8">
        <w:rPr>
          <w:i/>
          <w:iCs/>
          <w:sz w:val="28"/>
          <w:szCs w:val="28"/>
        </w:rPr>
        <w:t> </w:t>
      </w:r>
      <w:r w:rsidRPr="00554FD8">
        <w:rPr>
          <w:iCs/>
          <w:sz w:val="28"/>
          <w:szCs w:val="28"/>
        </w:rPr>
        <w:t>“sólo la Corte Constitucional puede definir los efectos de sus sentencias”.</w:t>
      </w:r>
    </w:p>
    <w:p w14:paraId="56E7F208" w14:textId="77777777" w:rsidR="00E97073" w:rsidRPr="00554FD8" w:rsidRDefault="00E97073" w:rsidP="00E97073">
      <w:pPr>
        <w:pStyle w:val="Prrafodelista"/>
        <w:rPr>
          <w:sz w:val="28"/>
          <w:szCs w:val="28"/>
        </w:rPr>
      </w:pPr>
    </w:p>
    <w:p w14:paraId="1B3D0AFA" w14:textId="21772AD2"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 xml:space="preserve">En ejercicio de </w:t>
      </w:r>
      <w:r w:rsidR="007874F9">
        <w:rPr>
          <w:sz w:val="28"/>
          <w:szCs w:val="28"/>
        </w:rPr>
        <w:t>dich</w:t>
      </w:r>
      <w:r w:rsidR="007874F9" w:rsidRPr="00554FD8">
        <w:rPr>
          <w:sz w:val="28"/>
          <w:szCs w:val="28"/>
        </w:rPr>
        <w:t xml:space="preserve">a </w:t>
      </w:r>
      <w:r w:rsidRPr="00554FD8">
        <w:rPr>
          <w:sz w:val="28"/>
          <w:szCs w:val="28"/>
        </w:rPr>
        <w:t xml:space="preserve">atribución esta Corte, excepcionalmente, ha recurrido a las sentencias de inexequibilidad con efectos diferidos cuando, si bien se constata la inconstitucionalidad de las normas bajo análisis, lo cierto es que su expulsión inmediata del ordenamiento jurídico puede generar un daño mayor, ya que se avizora una grave afectación de los principios y derechos superiores en contradicción con la finalidad del juicio de constitucionalidad. </w:t>
      </w:r>
    </w:p>
    <w:p w14:paraId="0FDAEC25" w14:textId="77777777" w:rsidR="00E97073" w:rsidRPr="00554FD8" w:rsidRDefault="00E97073" w:rsidP="00E97073">
      <w:pPr>
        <w:pStyle w:val="Prrafodelista"/>
        <w:rPr>
          <w:sz w:val="28"/>
          <w:szCs w:val="28"/>
        </w:rPr>
      </w:pPr>
    </w:p>
    <w:p w14:paraId="4D0CDC14" w14:textId="09EC423D" w:rsidR="00E97073" w:rsidRPr="00554FD8" w:rsidRDefault="00E97073" w:rsidP="0088183E">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 xml:space="preserve">En el presente asunto, la Sala constata que los artículos 336 y 337 de la Ley 2294 de 2023 han estado vigentes desde el 19 de mayo de 2023, por lo que a partir de ese momento, dicha entidad tiene una sección presupuestal propia y el presidente del CNE cuenta con facultades contractuales y de ordenación del gasto, por lo que para el ejercicio </w:t>
      </w:r>
      <w:r w:rsidR="007874F9" w:rsidRPr="00554FD8">
        <w:rPr>
          <w:sz w:val="28"/>
          <w:szCs w:val="28"/>
        </w:rPr>
        <w:t>de</w:t>
      </w:r>
      <w:r w:rsidR="007874F9">
        <w:rPr>
          <w:sz w:val="28"/>
          <w:szCs w:val="28"/>
        </w:rPr>
        <w:t xml:space="preserve"> las</w:t>
      </w:r>
      <w:r w:rsidR="007874F9" w:rsidRPr="00554FD8">
        <w:rPr>
          <w:sz w:val="28"/>
          <w:szCs w:val="28"/>
        </w:rPr>
        <w:t xml:space="preserve"> mism</w:t>
      </w:r>
      <w:r w:rsidR="007874F9">
        <w:rPr>
          <w:sz w:val="28"/>
          <w:szCs w:val="28"/>
        </w:rPr>
        <w:t>as</w:t>
      </w:r>
      <w:r w:rsidR="007874F9" w:rsidRPr="00554FD8">
        <w:rPr>
          <w:sz w:val="28"/>
          <w:szCs w:val="28"/>
        </w:rPr>
        <w:t xml:space="preserve"> </w:t>
      </w:r>
      <w:r w:rsidRPr="00554FD8">
        <w:rPr>
          <w:sz w:val="28"/>
          <w:szCs w:val="28"/>
        </w:rPr>
        <w:t xml:space="preserve">no se requería la coordinación </w:t>
      </w:r>
      <w:r w:rsidR="007874F9">
        <w:rPr>
          <w:sz w:val="28"/>
          <w:szCs w:val="28"/>
        </w:rPr>
        <w:t>o la ejecución por parte de</w:t>
      </w:r>
      <w:r w:rsidR="007874F9" w:rsidRPr="00554FD8">
        <w:rPr>
          <w:sz w:val="28"/>
          <w:szCs w:val="28"/>
        </w:rPr>
        <w:t xml:space="preserve"> </w:t>
      </w:r>
      <w:r w:rsidRPr="00554FD8">
        <w:rPr>
          <w:sz w:val="28"/>
          <w:szCs w:val="28"/>
        </w:rPr>
        <w:t>la Registraduría Nacional del Estado Civil</w:t>
      </w:r>
      <w:r w:rsidR="00363300" w:rsidRPr="00554FD8">
        <w:rPr>
          <w:sz w:val="28"/>
          <w:szCs w:val="28"/>
        </w:rPr>
        <w:t xml:space="preserve">, por lo que </w:t>
      </w:r>
      <w:r w:rsidR="007874F9">
        <w:rPr>
          <w:sz w:val="28"/>
          <w:szCs w:val="28"/>
        </w:rPr>
        <w:t>el referido Consejo asumió</w:t>
      </w:r>
      <w:r w:rsidR="00363300" w:rsidRPr="00554FD8">
        <w:rPr>
          <w:sz w:val="28"/>
          <w:szCs w:val="28"/>
        </w:rPr>
        <w:t xml:space="preserve"> </w:t>
      </w:r>
      <w:r w:rsidR="007874F9">
        <w:rPr>
          <w:sz w:val="28"/>
          <w:szCs w:val="28"/>
        </w:rPr>
        <w:t>tal</w:t>
      </w:r>
      <w:r w:rsidR="007874F9" w:rsidRPr="00554FD8">
        <w:rPr>
          <w:sz w:val="28"/>
          <w:szCs w:val="28"/>
        </w:rPr>
        <w:t xml:space="preserve"> </w:t>
      </w:r>
      <w:r w:rsidR="00363300" w:rsidRPr="00554FD8">
        <w:rPr>
          <w:sz w:val="28"/>
          <w:szCs w:val="28"/>
        </w:rPr>
        <w:t>tarea directamente y con la institucionalidad dispuesta para tal fin.</w:t>
      </w:r>
    </w:p>
    <w:p w14:paraId="62024F2E" w14:textId="77777777" w:rsidR="00363300" w:rsidRPr="00554FD8" w:rsidRDefault="00363300" w:rsidP="00363300">
      <w:pPr>
        <w:widowControl w:val="0"/>
        <w:pBdr>
          <w:top w:val="nil"/>
          <w:left w:val="nil"/>
          <w:bottom w:val="nil"/>
          <w:right w:val="nil"/>
          <w:between w:val="nil"/>
        </w:pBdr>
        <w:tabs>
          <w:tab w:val="left" w:pos="426"/>
        </w:tabs>
        <w:jc w:val="both"/>
        <w:rPr>
          <w:sz w:val="28"/>
          <w:szCs w:val="28"/>
        </w:rPr>
      </w:pPr>
    </w:p>
    <w:p w14:paraId="0163BF44" w14:textId="1AA9E34A"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 xml:space="preserve">De otra parte, de las pruebas recaudadas en el trámite de control abstracto de constitucionalidad la Sala observa que en aplicación de las </w:t>
      </w:r>
      <w:r w:rsidR="007874F9">
        <w:rPr>
          <w:sz w:val="28"/>
          <w:szCs w:val="28"/>
        </w:rPr>
        <w:t>cuestionadas</w:t>
      </w:r>
      <w:r w:rsidR="007874F9" w:rsidRPr="00554FD8">
        <w:rPr>
          <w:sz w:val="28"/>
          <w:szCs w:val="28"/>
        </w:rPr>
        <w:t xml:space="preserve"> </w:t>
      </w:r>
      <w:r w:rsidRPr="00554FD8">
        <w:rPr>
          <w:sz w:val="28"/>
          <w:szCs w:val="28"/>
        </w:rPr>
        <w:t>normas, se han asignado recursos a la sección presupuestal del CNE, los cuales han sido apropiados y, con cargo a los mismos, dicha corporación ha celebrado contratos para la prestación de bienes y servicios. Al respecto, de acuerdo a lo informado por el Ministerio de Hacienda y Crédito Público</w:t>
      </w:r>
      <w:r w:rsidRPr="00554FD8">
        <w:rPr>
          <w:rStyle w:val="Refdenotaalpie"/>
          <w:bCs/>
          <w:sz w:val="28"/>
          <w:szCs w:val="28"/>
        </w:rPr>
        <w:footnoteReference w:id="136"/>
      </w:r>
      <w:r w:rsidRPr="00554FD8">
        <w:rPr>
          <w:sz w:val="28"/>
          <w:szCs w:val="28"/>
        </w:rPr>
        <w:t xml:space="preserve"> y por el Consejo Nacional Electoral</w:t>
      </w:r>
      <w:r w:rsidRPr="00554FD8">
        <w:rPr>
          <w:rStyle w:val="Refdenotaalpie"/>
          <w:bCs/>
          <w:sz w:val="28"/>
          <w:szCs w:val="28"/>
        </w:rPr>
        <w:footnoteReference w:id="137"/>
      </w:r>
      <w:r w:rsidRPr="00554FD8">
        <w:rPr>
          <w:sz w:val="28"/>
          <w:szCs w:val="28"/>
        </w:rPr>
        <w:t xml:space="preserve"> se evidencia que con fundamento en los artículos 336 y 337 de la Ley 2294 de 2023 se han adelantado las siguientes gestiones: </w:t>
      </w:r>
    </w:p>
    <w:p w14:paraId="6AAD3891" w14:textId="77777777" w:rsidR="00E97073" w:rsidRPr="00554FD8" w:rsidRDefault="00E97073" w:rsidP="00E97073">
      <w:pPr>
        <w:pStyle w:val="Prrafodelista"/>
        <w:rPr>
          <w:sz w:val="28"/>
          <w:szCs w:val="28"/>
        </w:rPr>
      </w:pPr>
    </w:p>
    <w:p w14:paraId="125FFA9B"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r w:rsidRPr="00554FD8">
        <w:rPr>
          <w:sz w:val="28"/>
          <w:szCs w:val="28"/>
        </w:rPr>
        <w:t>(i) Por medio de la Resolución n.° 1987 del 4 de agosto de 2023, el Ministerio de Hacienda y Crédito Público entregó a la sección presupuestal del CNE la suma de $28.856.000.000 M/Cte para la gestión en el 2023</w:t>
      </w:r>
      <w:r w:rsidRPr="00554FD8">
        <w:rPr>
          <w:rStyle w:val="Refdenotaalpie"/>
          <w:bCs/>
          <w:sz w:val="28"/>
          <w:szCs w:val="28"/>
        </w:rPr>
        <w:footnoteReference w:id="138"/>
      </w:r>
      <w:r w:rsidRPr="00554FD8">
        <w:rPr>
          <w:sz w:val="28"/>
          <w:szCs w:val="28"/>
        </w:rPr>
        <w:t xml:space="preserve">. </w:t>
      </w:r>
    </w:p>
    <w:p w14:paraId="071DC8C8"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1CAC442D"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r w:rsidRPr="00554FD8">
        <w:rPr>
          <w:sz w:val="28"/>
          <w:szCs w:val="28"/>
        </w:rPr>
        <w:t>(ii) En 2024, la asignación de recursos para el presupuesto de gastos en la sección presupuestal correspondiente al CNE fue de $240.172.018.748 M/Cte</w:t>
      </w:r>
      <w:r w:rsidRPr="00554FD8">
        <w:rPr>
          <w:rStyle w:val="Refdenotaalpie"/>
          <w:sz w:val="28"/>
          <w:szCs w:val="28"/>
        </w:rPr>
        <w:footnoteReference w:id="139"/>
      </w:r>
      <w:r w:rsidRPr="00554FD8">
        <w:rPr>
          <w:sz w:val="28"/>
          <w:szCs w:val="28"/>
        </w:rPr>
        <w:t xml:space="preserve">. </w:t>
      </w:r>
    </w:p>
    <w:p w14:paraId="17C02993"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42079ADC" w14:textId="77777777" w:rsidR="00E97073" w:rsidRPr="00554FD8" w:rsidRDefault="00E97073" w:rsidP="00E97073">
      <w:pPr>
        <w:pStyle w:val="Prrafodelista"/>
        <w:widowControl w:val="0"/>
        <w:tabs>
          <w:tab w:val="left" w:pos="567"/>
        </w:tabs>
        <w:spacing w:line="240" w:lineRule="atLeast"/>
        <w:ind w:left="0"/>
        <w:jc w:val="both"/>
        <w:rPr>
          <w:bCs/>
          <w:sz w:val="28"/>
          <w:szCs w:val="28"/>
        </w:rPr>
      </w:pPr>
      <w:r w:rsidRPr="00554FD8">
        <w:rPr>
          <w:sz w:val="28"/>
          <w:szCs w:val="28"/>
        </w:rPr>
        <w:t>(iii) En 2025, la asignación de recursos para el presupuesto de gastos en la sección presupuestal correspondiente al CNE fue de $1.066.862.897.934 M/Cte</w:t>
      </w:r>
      <w:r w:rsidRPr="00554FD8">
        <w:rPr>
          <w:rStyle w:val="Refdenotaalpie"/>
          <w:sz w:val="28"/>
          <w:szCs w:val="28"/>
        </w:rPr>
        <w:footnoteReference w:id="140"/>
      </w:r>
      <w:r w:rsidRPr="00554FD8">
        <w:rPr>
          <w:sz w:val="28"/>
          <w:szCs w:val="28"/>
        </w:rPr>
        <w:t xml:space="preserve">. No obstante, dicha cifra se modificó mediante Decreto 0069 del 24 de enero de 2025 y se fijó finalmente en </w:t>
      </w:r>
      <w:r w:rsidRPr="00554FD8">
        <w:rPr>
          <w:bCs/>
          <w:sz w:val="28"/>
          <w:szCs w:val="28"/>
        </w:rPr>
        <w:t>$600.000.000.000 M/Cte</w:t>
      </w:r>
      <w:r w:rsidRPr="00554FD8">
        <w:rPr>
          <w:rStyle w:val="Refdenotaalpie"/>
          <w:bCs/>
          <w:sz w:val="28"/>
          <w:szCs w:val="28"/>
        </w:rPr>
        <w:footnoteReference w:id="141"/>
      </w:r>
      <w:r w:rsidRPr="00554FD8">
        <w:rPr>
          <w:bCs/>
          <w:sz w:val="28"/>
          <w:szCs w:val="28"/>
        </w:rPr>
        <w:t xml:space="preserve">. </w:t>
      </w:r>
    </w:p>
    <w:p w14:paraId="38CCB513"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204B7ADD" w14:textId="3BB94DF8" w:rsidR="00E97073" w:rsidRPr="00554FD8" w:rsidRDefault="00E97073" w:rsidP="00E97073">
      <w:pPr>
        <w:tabs>
          <w:tab w:val="left" w:pos="567"/>
        </w:tabs>
        <w:spacing w:line="240" w:lineRule="atLeast"/>
        <w:jc w:val="both"/>
        <w:rPr>
          <w:bCs/>
          <w:sz w:val="28"/>
          <w:szCs w:val="28"/>
        </w:rPr>
      </w:pPr>
      <w:r w:rsidRPr="00554FD8">
        <w:rPr>
          <w:bCs/>
          <w:sz w:val="28"/>
          <w:szCs w:val="28"/>
        </w:rPr>
        <w:t>(iv) El CNE informó que entre agosto de 2023 y marzo de 2025, la entidad celebró: 23 contratos por contratación directa; 8 por selección abreviada – acuerdo marco de precios –; 3 por selección abreviada – compra de bienes y servicios de características uniformes –; 7 por mínima cuantía; 4 por subasta inversa; 4 por selección abreviada – menor cuantía –; 3 por concurso de méritos y 1 por licitación pública</w:t>
      </w:r>
      <w:r w:rsidRPr="00554FD8">
        <w:rPr>
          <w:rStyle w:val="Refdenotaalpie"/>
          <w:bCs/>
          <w:sz w:val="28"/>
          <w:szCs w:val="28"/>
        </w:rPr>
        <w:footnoteReference w:id="142"/>
      </w:r>
      <w:r w:rsidRPr="00554FD8">
        <w:rPr>
          <w:bCs/>
          <w:sz w:val="28"/>
          <w:szCs w:val="28"/>
        </w:rPr>
        <w:t xml:space="preserve">. Adicionalmente, indicó que del total de contratos celebrados entre las fechas referidas, para marzo de 2025: 8 habían sido liquidados, 22 habían terminado, </w:t>
      </w:r>
      <w:r w:rsidR="006B4D2F" w:rsidRPr="00AD0E5E">
        <w:rPr>
          <w:bCs/>
          <w:sz w:val="28"/>
          <w:szCs w:val="28"/>
        </w:rPr>
        <w:t xml:space="preserve">respecto de </w:t>
      </w:r>
      <w:r w:rsidRPr="00AD0E5E">
        <w:rPr>
          <w:bCs/>
          <w:sz w:val="28"/>
          <w:szCs w:val="28"/>
        </w:rPr>
        <w:t>2 no se requería liquidación, 18 estaban en ejecución y 3 en trámite</w:t>
      </w:r>
      <w:r w:rsidRPr="00AD0E5E">
        <w:rPr>
          <w:rStyle w:val="Refdenotaalpie"/>
          <w:bCs/>
          <w:sz w:val="28"/>
          <w:szCs w:val="28"/>
        </w:rPr>
        <w:footnoteReference w:id="143"/>
      </w:r>
      <w:r w:rsidRPr="00AD0E5E">
        <w:rPr>
          <w:bCs/>
          <w:sz w:val="28"/>
          <w:szCs w:val="28"/>
        </w:rPr>
        <w:t>.</w:t>
      </w:r>
      <w:r w:rsidRPr="00554FD8">
        <w:rPr>
          <w:bCs/>
          <w:sz w:val="28"/>
          <w:szCs w:val="28"/>
        </w:rPr>
        <w:t xml:space="preserve"> </w:t>
      </w:r>
    </w:p>
    <w:p w14:paraId="0AB5256A" w14:textId="77777777" w:rsidR="00E97073" w:rsidRPr="00554FD8" w:rsidRDefault="00E97073" w:rsidP="00E97073">
      <w:pPr>
        <w:rPr>
          <w:sz w:val="28"/>
          <w:szCs w:val="28"/>
        </w:rPr>
      </w:pPr>
    </w:p>
    <w:p w14:paraId="6268FEAA" w14:textId="77777777" w:rsidR="00E97073" w:rsidRPr="00554FD8" w:rsidRDefault="00E97073"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 xml:space="preserve">Si bien no se cuenta con información aportada en el expediente por las entidades respectivas relacionada con la asignación y apropiación de recursos en la vigencia 2026, ni sobre la celebración de contratos desde el 1° de enero de 2026, la Sala a partir de la información pública divulgada en el Portal de Transparencia Económica del Ministerio de Hacienda y Crédito Público y de la plataforma SECOP, recaudó los siguientes datos: </w:t>
      </w:r>
    </w:p>
    <w:p w14:paraId="70FEB192"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0ECB082A" w14:textId="3C5C6D07" w:rsidR="00363300" w:rsidRPr="00554FD8" w:rsidRDefault="00E97073" w:rsidP="00363300">
      <w:pPr>
        <w:jc w:val="both"/>
        <w:rPr>
          <w:sz w:val="28"/>
          <w:szCs w:val="28"/>
          <w:shd w:val="clear" w:color="auto" w:fill="FFFFFF"/>
        </w:rPr>
      </w:pPr>
      <w:r w:rsidRPr="00554FD8">
        <w:rPr>
          <w:sz w:val="28"/>
          <w:szCs w:val="28"/>
        </w:rPr>
        <w:t xml:space="preserve">(i) </w:t>
      </w:r>
      <w:r w:rsidR="00363300" w:rsidRPr="00554FD8">
        <w:rPr>
          <w:sz w:val="28"/>
          <w:szCs w:val="28"/>
        </w:rPr>
        <w:t>El 17 de diciembre de 2025 el CNE celebró un contrato, por el proceso de selección abreviada de menor cuantía, con la Unión Temporal Actores Electorales 2026, con vigencia hasta el 6 de junio de 2026 y valor estimado de $384.266.333.333,00 M/Cte. El objeto de dicho contrato es “</w:t>
      </w:r>
      <w:r w:rsidR="00363300" w:rsidRPr="00554FD8">
        <w:rPr>
          <w:sz w:val="28"/>
          <w:szCs w:val="28"/>
          <w:shd w:val="clear" w:color="auto" w:fill="FFFFFF"/>
        </w:rPr>
        <w:t>[p]restar los servicios integrales de tecnología, apoyo para la postulación, acreditación, validación de testigos electorales, observadores electorales y auditores de sistemas, en cumplimiento de las funciones de regulación, inspección, control y vigilancia en las elecciones de Congreso de la República, Consultas Interpartidistas, Presidente y Vicepresidente de la República que se surtirán en la vigencia 2026”</w:t>
      </w:r>
      <w:r w:rsidR="00363300" w:rsidRPr="00554FD8">
        <w:rPr>
          <w:rStyle w:val="Refdenotaalpie"/>
          <w:sz w:val="28"/>
          <w:szCs w:val="28"/>
          <w:shd w:val="clear" w:color="auto" w:fill="FFFFFF"/>
        </w:rPr>
        <w:footnoteReference w:id="144"/>
      </w:r>
      <w:r w:rsidR="00363300" w:rsidRPr="00554FD8">
        <w:rPr>
          <w:sz w:val="28"/>
          <w:szCs w:val="28"/>
          <w:shd w:val="clear" w:color="auto" w:fill="FFFFFF"/>
        </w:rPr>
        <w:t xml:space="preserve">. </w:t>
      </w:r>
    </w:p>
    <w:p w14:paraId="6FEFAB75" w14:textId="77777777" w:rsidR="00363300" w:rsidRPr="00554FD8" w:rsidRDefault="00363300" w:rsidP="00E97073">
      <w:pPr>
        <w:widowControl w:val="0"/>
        <w:pBdr>
          <w:top w:val="nil"/>
          <w:left w:val="nil"/>
          <w:bottom w:val="nil"/>
          <w:right w:val="nil"/>
          <w:between w:val="nil"/>
        </w:pBdr>
        <w:tabs>
          <w:tab w:val="left" w:pos="426"/>
        </w:tabs>
        <w:jc w:val="both"/>
        <w:rPr>
          <w:sz w:val="28"/>
          <w:szCs w:val="28"/>
        </w:rPr>
      </w:pPr>
    </w:p>
    <w:p w14:paraId="75EF2ADE" w14:textId="2FF0AA17" w:rsidR="00E97073" w:rsidRPr="00554FD8" w:rsidRDefault="00363300" w:rsidP="00E97073">
      <w:pPr>
        <w:widowControl w:val="0"/>
        <w:pBdr>
          <w:top w:val="nil"/>
          <w:left w:val="nil"/>
          <w:bottom w:val="nil"/>
          <w:right w:val="nil"/>
          <w:between w:val="nil"/>
        </w:pBdr>
        <w:tabs>
          <w:tab w:val="left" w:pos="426"/>
        </w:tabs>
        <w:jc w:val="both"/>
        <w:rPr>
          <w:sz w:val="28"/>
          <w:szCs w:val="28"/>
        </w:rPr>
      </w:pPr>
      <w:r w:rsidRPr="00554FD8">
        <w:rPr>
          <w:sz w:val="28"/>
          <w:szCs w:val="28"/>
        </w:rPr>
        <w:t xml:space="preserve">(ii) </w:t>
      </w:r>
      <w:r w:rsidR="00E97073" w:rsidRPr="00554FD8">
        <w:rPr>
          <w:sz w:val="28"/>
          <w:szCs w:val="28"/>
        </w:rPr>
        <w:t>A enero de 2026 la apropiación vigente correspondiente a la sección presupuestal del CNE correspondió a $1.111.673 millones de pesos corrientes. De ellos, para ese momento, estaban comprometidos $383.764 millones de pesos corrientes. A febrero de 2026, el valor de los recursos comprometidos aumentó a $395.289 millones de pesos corrientes. Asimismo, a marzo de 2026, dicho valor correspondió a $446.963 millones de pesos corrientes</w:t>
      </w:r>
      <w:r w:rsidR="00E97073" w:rsidRPr="00554FD8">
        <w:rPr>
          <w:rStyle w:val="Refdenotaalpie"/>
          <w:sz w:val="28"/>
          <w:szCs w:val="28"/>
        </w:rPr>
        <w:footnoteReference w:id="145"/>
      </w:r>
      <w:r w:rsidR="00E97073" w:rsidRPr="00554FD8">
        <w:rPr>
          <w:sz w:val="28"/>
          <w:szCs w:val="28"/>
        </w:rPr>
        <w:t xml:space="preserve">. Lo anterior, tal y como se evidencia en las siguientes imágenes: </w:t>
      </w:r>
    </w:p>
    <w:p w14:paraId="734C7829"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57AAC44A" w14:textId="77777777" w:rsidR="00E97073" w:rsidRPr="00554FD8" w:rsidRDefault="00E97073" w:rsidP="00E97073">
      <w:pPr>
        <w:widowControl w:val="0"/>
        <w:pBdr>
          <w:top w:val="nil"/>
          <w:left w:val="nil"/>
          <w:bottom w:val="nil"/>
          <w:right w:val="nil"/>
          <w:between w:val="nil"/>
        </w:pBdr>
        <w:tabs>
          <w:tab w:val="left" w:pos="426"/>
        </w:tabs>
        <w:jc w:val="center"/>
        <w:rPr>
          <w:sz w:val="28"/>
          <w:szCs w:val="28"/>
        </w:rPr>
      </w:pPr>
      <w:r w:rsidRPr="00554FD8">
        <w:rPr>
          <w:noProof/>
          <w:sz w:val="28"/>
          <w:szCs w:val="28"/>
        </w:rPr>
        <w:drawing>
          <wp:inline distT="0" distB="0" distL="0" distR="0" wp14:anchorId="22912FAC" wp14:editId="36DEA40A">
            <wp:extent cx="5589905" cy="3084629"/>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6-04-15 a la(s) 2.59.14 p. 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40552" cy="3112577"/>
                    </a:xfrm>
                    <a:prstGeom prst="rect">
                      <a:avLst/>
                    </a:prstGeom>
                  </pic:spPr>
                </pic:pic>
              </a:graphicData>
            </a:graphic>
          </wp:inline>
        </w:drawing>
      </w:r>
    </w:p>
    <w:p w14:paraId="4D392D6A"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r w:rsidRPr="00554FD8">
        <w:rPr>
          <w:sz w:val="20"/>
          <w:szCs w:val="20"/>
        </w:rPr>
        <w:t xml:space="preserve">Imagen 4. </w:t>
      </w:r>
      <w:r w:rsidRPr="00554FD8">
        <w:rPr>
          <w:i/>
          <w:sz w:val="20"/>
          <w:szCs w:val="20"/>
        </w:rPr>
        <w:t>Ejecución del presupuesto asignado al CNE para la vigencia de 2026 en enero de dicho año</w:t>
      </w:r>
      <w:r w:rsidRPr="00554FD8">
        <w:rPr>
          <w:rStyle w:val="Refdenotaalpie"/>
          <w:sz w:val="20"/>
          <w:szCs w:val="20"/>
        </w:rPr>
        <w:footnoteReference w:id="146"/>
      </w:r>
    </w:p>
    <w:p w14:paraId="25900FE1"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p>
    <w:p w14:paraId="22BDF272"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p>
    <w:p w14:paraId="6C0AD2BB"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p>
    <w:p w14:paraId="76434F89"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0F4F2180" w14:textId="77777777" w:rsidR="00E97073" w:rsidRPr="00554FD8" w:rsidRDefault="00E97073" w:rsidP="00E97073">
      <w:pPr>
        <w:widowControl w:val="0"/>
        <w:pBdr>
          <w:top w:val="nil"/>
          <w:left w:val="nil"/>
          <w:bottom w:val="nil"/>
          <w:right w:val="nil"/>
          <w:between w:val="nil"/>
        </w:pBdr>
        <w:tabs>
          <w:tab w:val="left" w:pos="426"/>
        </w:tabs>
        <w:jc w:val="center"/>
        <w:rPr>
          <w:sz w:val="28"/>
          <w:szCs w:val="28"/>
        </w:rPr>
      </w:pPr>
      <w:r w:rsidRPr="00554FD8">
        <w:rPr>
          <w:noProof/>
          <w:sz w:val="28"/>
          <w:szCs w:val="28"/>
        </w:rPr>
        <w:drawing>
          <wp:inline distT="0" distB="0" distL="0" distR="0" wp14:anchorId="1647E336" wp14:editId="5EE43E58">
            <wp:extent cx="5612130" cy="3000375"/>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6-04-15 a la(s) 2.59.36 p. 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2130" cy="3000375"/>
                    </a:xfrm>
                    <a:prstGeom prst="rect">
                      <a:avLst/>
                    </a:prstGeom>
                  </pic:spPr>
                </pic:pic>
              </a:graphicData>
            </a:graphic>
          </wp:inline>
        </w:drawing>
      </w:r>
    </w:p>
    <w:p w14:paraId="69C4E02C"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r w:rsidRPr="00554FD8">
        <w:rPr>
          <w:sz w:val="20"/>
          <w:szCs w:val="20"/>
        </w:rPr>
        <w:t xml:space="preserve">Imagen 5. </w:t>
      </w:r>
      <w:r w:rsidRPr="00554FD8">
        <w:rPr>
          <w:i/>
          <w:sz w:val="20"/>
          <w:szCs w:val="20"/>
        </w:rPr>
        <w:t>Ejecución del presupuesto asignado al CNE para la vigencia de 2026 en febrero de dicho año</w:t>
      </w:r>
      <w:r w:rsidRPr="00554FD8">
        <w:rPr>
          <w:rStyle w:val="Refdenotaalpie"/>
          <w:sz w:val="20"/>
          <w:szCs w:val="20"/>
        </w:rPr>
        <w:footnoteReference w:id="147"/>
      </w:r>
    </w:p>
    <w:p w14:paraId="40D8EC6C" w14:textId="77777777" w:rsidR="00E97073" w:rsidRPr="00554FD8" w:rsidRDefault="00E97073" w:rsidP="00E97073">
      <w:pPr>
        <w:widowControl w:val="0"/>
        <w:pBdr>
          <w:top w:val="nil"/>
          <w:left w:val="nil"/>
          <w:bottom w:val="nil"/>
          <w:right w:val="nil"/>
          <w:between w:val="nil"/>
        </w:pBdr>
        <w:tabs>
          <w:tab w:val="left" w:pos="426"/>
        </w:tabs>
        <w:jc w:val="center"/>
        <w:rPr>
          <w:sz w:val="20"/>
          <w:szCs w:val="20"/>
        </w:rPr>
      </w:pPr>
    </w:p>
    <w:p w14:paraId="5CF2CF69"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6A0BE9BA" w14:textId="77777777" w:rsidR="00E97073" w:rsidRPr="00554FD8" w:rsidRDefault="00E97073" w:rsidP="00E97073">
      <w:pPr>
        <w:widowControl w:val="0"/>
        <w:pBdr>
          <w:top w:val="nil"/>
          <w:left w:val="nil"/>
          <w:bottom w:val="nil"/>
          <w:right w:val="nil"/>
          <w:between w:val="nil"/>
        </w:pBdr>
        <w:tabs>
          <w:tab w:val="left" w:pos="426"/>
        </w:tabs>
        <w:jc w:val="center"/>
        <w:rPr>
          <w:sz w:val="28"/>
          <w:szCs w:val="28"/>
        </w:rPr>
      </w:pPr>
      <w:r w:rsidRPr="00554FD8">
        <w:rPr>
          <w:noProof/>
          <w:sz w:val="28"/>
          <w:szCs w:val="28"/>
        </w:rPr>
        <w:drawing>
          <wp:inline distT="0" distB="0" distL="0" distR="0" wp14:anchorId="7538AADB" wp14:editId="19FF7B30">
            <wp:extent cx="5612130" cy="3027680"/>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a de pantalla 2026-04-15 a la(s) 2.59.53 p. 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2130" cy="3027680"/>
                    </a:xfrm>
                    <a:prstGeom prst="rect">
                      <a:avLst/>
                    </a:prstGeom>
                  </pic:spPr>
                </pic:pic>
              </a:graphicData>
            </a:graphic>
          </wp:inline>
        </w:drawing>
      </w:r>
    </w:p>
    <w:p w14:paraId="661264B4" w14:textId="77777777" w:rsidR="00E97073" w:rsidRPr="00554FD8" w:rsidRDefault="00E97073" w:rsidP="00E97073">
      <w:pPr>
        <w:widowControl w:val="0"/>
        <w:pBdr>
          <w:top w:val="nil"/>
          <w:left w:val="nil"/>
          <w:bottom w:val="nil"/>
          <w:right w:val="nil"/>
          <w:between w:val="nil"/>
        </w:pBdr>
        <w:tabs>
          <w:tab w:val="left" w:pos="426"/>
        </w:tabs>
        <w:jc w:val="center"/>
        <w:rPr>
          <w:i/>
          <w:sz w:val="20"/>
          <w:szCs w:val="20"/>
        </w:rPr>
      </w:pPr>
      <w:r w:rsidRPr="00554FD8">
        <w:rPr>
          <w:sz w:val="20"/>
          <w:szCs w:val="20"/>
        </w:rPr>
        <w:t xml:space="preserve">Imagen 6. </w:t>
      </w:r>
      <w:r w:rsidRPr="00554FD8">
        <w:rPr>
          <w:i/>
          <w:sz w:val="20"/>
          <w:szCs w:val="20"/>
        </w:rPr>
        <w:t>Ejecución del presupuesto asignado al CNE para la vigencia de 2026 en marzo de dicho año</w:t>
      </w:r>
      <w:r w:rsidRPr="00554FD8">
        <w:rPr>
          <w:rStyle w:val="Refdenotaalpie"/>
          <w:sz w:val="20"/>
          <w:szCs w:val="20"/>
        </w:rPr>
        <w:footnoteReference w:id="148"/>
      </w:r>
    </w:p>
    <w:p w14:paraId="7FE06CAE" w14:textId="77777777" w:rsidR="00E97073" w:rsidRPr="00554FD8" w:rsidRDefault="00E97073" w:rsidP="00E97073">
      <w:pPr>
        <w:jc w:val="both"/>
      </w:pPr>
    </w:p>
    <w:p w14:paraId="5FB64C6A" w14:textId="1FCE9E16" w:rsidR="00E97073" w:rsidRPr="00554FD8" w:rsidRDefault="00E97073" w:rsidP="00E97073">
      <w:pPr>
        <w:jc w:val="both"/>
        <w:rPr>
          <w:sz w:val="28"/>
          <w:szCs w:val="28"/>
        </w:rPr>
      </w:pPr>
      <w:r w:rsidRPr="00554FD8">
        <w:rPr>
          <w:sz w:val="28"/>
          <w:szCs w:val="28"/>
        </w:rPr>
        <w:t>(iii) Según la información que reposa en la plataforma SECOP, desde el 1° enero de 2026 y hasta el 15 de abril de 2026, el CNE ha gestionado</w:t>
      </w:r>
      <w:r w:rsidR="00AB3A97" w:rsidRPr="00554FD8">
        <w:rPr>
          <w:sz w:val="28"/>
          <w:szCs w:val="28"/>
        </w:rPr>
        <w:t xml:space="preserve"> los siguientes</w:t>
      </w:r>
      <w:r w:rsidRPr="00554FD8">
        <w:rPr>
          <w:sz w:val="28"/>
          <w:szCs w:val="28"/>
        </w:rPr>
        <w:t xml:space="preserve"> procesos contractuales</w:t>
      </w:r>
      <w:r w:rsidRPr="00554FD8">
        <w:rPr>
          <w:rStyle w:val="Refdenotaalpie"/>
          <w:sz w:val="28"/>
          <w:szCs w:val="28"/>
        </w:rPr>
        <w:footnoteReference w:id="149"/>
      </w:r>
      <w:r w:rsidRPr="00554FD8">
        <w:rPr>
          <w:sz w:val="28"/>
          <w:szCs w:val="28"/>
        </w:rPr>
        <w:t xml:space="preserve">: </w:t>
      </w:r>
      <w:r w:rsidR="00AB3A97" w:rsidRPr="00554FD8">
        <w:rPr>
          <w:sz w:val="28"/>
          <w:szCs w:val="28"/>
        </w:rPr>
        <w:t xml:space="preserve">1 por selección abreviada – menor cuantía – que se encuentra publicado a la espera de observaciones; 1 por contratación directa – urgencia manifiesta – que ya fue adjudicado y celebrado y 3 que se encuentran en trámite de evaluación y presentación de observaciones. </w:t>
      </w:r>
    </w:p>
    <w:p w14:paraId="5BF61C0A" w14:textId="77777777" w:rsidR="00E97073" w:rsidRPr="00554FD8" w:rsidRDefault="00E97073" w:rsidP="00E97073">
      <w:pPr>
        <w:widowControl w:val="0"/>
        <w:pBdr>
          <w:top w:val="nil"/>
          <w:left w:val="nil"/>
          <w:bottom w:val="nil"/>
          <w:right w:val="nil"/>
          <w:between w:val="nil"/>
        </w:pBdr>
        <w:tabs>
          <w:tab w:val="left" w:pos="426"/>
        </w:tabs>
        <w:jc w:val="both"/>
        <w:rPr>
          <w:sz w:val="28"/>
          <w:szCs w:val="28"/>
        </w:rPr>
      </w:pPr>
    </w:p>
    <w:p w14:paraId="0B9E8986" w14:textId="63E226DF" w:rsidR="00E97073" w:rsidRPr="00554FD8" w:rsidRDefault="00363300"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554FD8">
        <w:rPr>
          <w:sz w:val="28"/>
          <w:szCs w:val="28"/>
        </w:rPr>
        <w:t>De otra parte</w:t>
      </w:r>
      <w:r w:rsidR="00E97073" w:rsidRPr="00554FD8">
        <w:rPr>
          <w:sz w:val="28"/>
          <w:szCs w:val="28"/>
        </w:rPr>
        <w:t xml:space="preserve">, mediante Resolución 2580 del 5 de marzo de 2025, la Registraduría Nacional del Estado Civil fijó el calendario electoral para las elecciones de Presidente y Vicepresidente de la República (primera vuelta) para el periodo constitucional 2026 – 2030. Conforme al artículo primero de dicha normativa, a la fecha están pendientes las actuaciones del CNE relacionadas con: (i) la selección de delegados del Consejo Nacional Electoral (8 de mayo de 2026); (ii) la fecha límite para la postulación de testigos electorales (25 de mayo de 2026); (iii) la finalización de la asignación de los espacios gratuitos en medios de comunicación social (29 de mayo de 2026) y (iv) el día de la elección (31 de mayo de 2026), entre otras. Por su parte, en caso de ser necesaria una segunda vuelta, aquella se realizaría el 21 de junio de 2026 conforme a lo establecido en el artículo 190 de la Constitución. </w:t>
      </w:r>
    </w:p>
    <w:p w14:paraId="3F3E0308" w14:textId="77777777" w:rsidR="0064028F" w:rsidRPr="00554FD8" w:rsidRDefault="0064028F" w:rsidP="00E97073">
      <w:pPr>
        <w:widowControl w:val="0"/>
        <w:pBdr>
          <w:top w:val="nil"/>
          <w:left w:val="nil"/>
          <w:bottom w:val="nil"/>
          <w:right w:val="nil"/>
          <w:between w:val="nil"/>
        </w:pBdr>
        <w:tabs>
          <w:tab w:val="left" w:pos="426"/>
        </w:tabs>
        <w:jc w:val="both"/>
        <w:rPr>
          <w:sz w:val="28"/>
          <w:szCs w:val="28"/>
        </w:rPr>
      </w:pPr>
    </w:p>
    <w:p w14:paraId="41E4A5C3" w14:textId="5EFEDC4D" w:rsidR="007B49E0" w:rsidRPr="00AD0E5E" w:rsidRDefault="00E97073" w:rsidP="007B49E0">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sz w:val="28"/>
          <w:szCs w:val="28"/>
        </w:rPr>
        <w:t>A lo anterior se suma que, conforme a</w:t>
      </w:r>
      <w:r w:rsidR="0075285C" w:rsidRPr="00AD0E5E">
        <w:rPr>
          <w:sz w:val="28"/>
          <w:szCs w:val="28"/>
        </w:rPr>
        <w:t xml:space="preserve"> los</w:t>
      </w:r>
      <w:r w:rsidRPr="00AD0E5E">
        <w:rPr>
          <w:sz w:val="28"/>
          <w:szCs w:val="28"/>
        </w:rPr>
        <w:t xml:space="preserve"> </w:t>
      </w:r>
      <w:r w:rsidR="0075285C" w:rsidRPr="00AD0E5E">
        <w:rPr>
          <w:sz w:val="28"/>
          <w:szCs w:val="28"/>
        </w:rPr>
        <w:t xml:space="preserve">artículos 120 y 265 de la Constitución, el CNE es un órgano autónomo que hace parte de la organización electoral. En específico, el </w:t>
      </w:r>
      <w:r w:rsidRPr="00AD0E5E">
        <w:rPr>
          <w:sz w:val="28"/>
          <w:szCs w:val="28"/>
        </w:rPr>
        <w:t xml:space="preserve">artículo 265 de la Constitución </w:t>
      </w:r>
      <w:r w:rsidR="0075285C" w:rsidRPr="00AD0E5E">
        <w:rPr>
          <w:sz w:val="28"/>
          <w:szCs w:val="28"/>
        </w:rPr>
        <w:t xml:space="preserve">señala que </w:t>
      </w:r>
      <w:r w:rsidRPr="00AD0E5E">
        <w:rPr>
          <w:sz w:val="28"/>
          <w:szCs w:val="28"/>
        </w:rPr>
        <w:t xml:space="preserve">el CNE regulará, inspeccionará, vigilará y controlará toda la actividad electoral de los partidos y movimientos políticos, de los grupos significativos de ciudadanos, de sus representantes legales, directivos y candidatos. De igual manera, ejerce la inspección vigilancia y control de la organización electoral y, entre otras tareas, distribuye los aportes que para el financiamiento de las campañas electorales y para asegurar el derecho de participación política de los ciudadanos </w:t>
      </w:r>
      <w:r w:rsidR="006B06C4" w:rsidRPr="00AD0E5E">
        <w:rPr>
          <w:sz w:val="28"/>
          <w:szCs w:val="28"/>
        </w:rPr>
        <w:t xml:space="preserve">según lo </w:t>
      </w:r>
      <w:r w:rsidRPr="00AD0E5E">
        <w:rPr>
          <w:sz w:val="28"/>
          <w:szCs w:val="28"/>
        </w:rPr>
        <w:t xml:space="preserve">establezca la ley. En este último caso, conforme al artículo 38 de la Ley 130 de 1994, el CNE administra el Fondo Nacional de Financiación de Partidos y Campañas Electorales, </w:t>
      </w:r>
      <w:r w:rsidR="006B06C4" w:rsidRPr="00AD0E5E">
        <w:rPr>
          <w:sz w:val="28"/>
          <w:szCs w:val="28"/>
        </w:rPr>
        <w:t xml:space="preserve">que cumple </w:t>
      </w:r>
      <w:r w:rsidRPr="00AD0E5E">
        <w:rPr>
          <w:sz w:val="28"/>
          <w:szCs w:val="28"/>
        </w:rPr>
        <w:t>otras funciones fundamentales para el normal desarrollo de los procesos electorales previstos en el ordenamiento jurídico</w:t>
      </w:r>
      <w:r w:rsidR="0075285C" w:rsidRPr="00AD0E5E">
        <w:rPr>
          <w:rStyle w:val="Refdenotaalpie"/>
          <w:sz w:val="28"/>
          <w:szCs w:val="28"/>
        </w:rPr>
        <w:footnoteReference w:id="150"/>
      </w:r>
      <w:r w:rsidRPr="00AD0E5E">
        <w:rPr>
          <w:sz w:val="28"/>
          <w:szCs w:val="28"/>
        </w:rPr>
        <w:t xml:space="preserve">. </w:t>
      </w:r>
    </w:p>
    <w:p w14:paraId="7BB8010E" w14:textId="77777777" w:rsidR="007B49E0" w:rsidRPr="00AF21BF" w:rsidRDefault="007B49E0" w:rsidP="007B49E0">
      <w:pPr>
        <w:pStyle w:val="Prrafodelista"/>
        <w:rPr>
          <w:iCs/>
          <w:sz w:val="28"/>
          <w:szCs w:val="28"/>
          <w:highlight w:val="yellow"/>
          <w:lang w:val="es-ES_tradnl"/>
        </w:rPr>
      </w:pPr>
    </w:p>
    <w:p w14:paraId="7FBF3A15" w14:textId="5C5A9E72" w:rsidR="007B49E0" w:rsidRPr="00AD0E5E" w:rsidRDefault="007B49E0" w:rsidP="007B49E0">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iCs/>
          <w:sz w:val="28"/>
          <w:szCs w:val="28"/>
          <w:lang w:val="es-ES_tradnl"/>
        </w:rPr>
        <w:t>Adicionalmente, de conformidad con lo previsto en los artículos 150.11, 151 y 349 de la Constitución</w:t>
      </w:r>
      <w:r w:rsidR="006E7340" w:rsidRPr="00AD0E5E">
        <w:rPr>
          <w:iCs/>
          <w:sz w:val="28"/>
          <w:szCs w:val="28"/>
          <w:lang w:val="es-ES_tradnl"/>
        </w:rPr>
        <w:t xml:space="preserve"> Política</w:t>
      </w:r>
      <w:r w:rsidRPr="00AD0E5E">
        <w:rPr>
          <w:iCs/>
          <w:sz w:val="28"/>
          <w:szCs w:val="28"/>
          <w:lang w:val="es-ES_tradnl"/>
        </w:rPr>
        <w:t xml:space="preserve">, el Congreso de la República debe expedir cada año el presupuesto general de rentas y la ley de apropiaciones. Según el artículo 11 del Decreto 111 de 1996, el presupuesto de rentas incluye los ingresos de la </w:t>
      </w:r>
      <w:r w:rsidR="006B06C4" w:rsidRPr="00AD0E5E">
        <w:rPr>
          <w:iCs/>
          <w:sz w:val="28"/>
          <w:szCs w:val="28"/>
          <w:lang w:val="es-ES_tradnl"/>
        </w:rPr>
        <w:t>N</w:t>
      </w:r>
      <w:r w:rsidRPr="00AD0E5E">
        <w:rPr>
          <w:iCs/>
          <w:sz w:val="28"/>
          <w:szCs w:val="28"/>
          <w:lang w:val="es-ES_tradnl"/>
        </w:rPr>
        <w:t xml:space="preserve">ación, mientras que el presupuesto de gastos –o la ley de apropiaciones–, </w:t>
      </w:r>
      <w:r w:rsidR="006B06C4" w:rsidRPr="00AD0E5E">
        <w:rPr>
          <w:iCs/>
          <w:sz w:val="28"/>
          <w:szCs w:val="28"/>
          <w:lang w:val="es-ES_tradnl"/>
        </w:rPr>
        <w:t xml:space="preserve">incorpora </w:t>
      </w:r>
      <w:r w:rsidRPr="00AD0E5E">
        <w:rPr>
          <w:iCs/>
          <w:sz w:val="28"/>
          <w:szCs w:val="28"/>
          <w:lang w:val="es-ES_tradnl"/>
        </w:rPr>
        <w:t xml:space="preserve">los gastos de funcionamiento y de inversión de diversas entidades del país. Sobre el particular, con lo dispuesto en las normas demandadas dentro de la ley anual del presupuesto deben incluirse partidas específicas en las que se señalen los valores que podrá recibir el CNE. </w:t>
      </w:r>
    </w:p>
    <w:p w14:paraId="662428EB" w14:textId="77777777" w:rsidR="007B49E0" w:rsidRPr="00AF21BF" w:rsidRDefault="007B49E0" w:rsidP="007B49E0">
      <w:pPr>
        <w:pStyle w:val="Prrafodelista"/>
        <w:rPr>
          <w:iCs/>
          <w:sz w:val="28"/>
          <w:szCs w:val="28"/>
          <w:highlight w:val="yellow"/>
          <w:lang w:val="es-ES_tradnl"/>
        </w:rPr>
      </w:pPr>
    </w:p>
    <w:p w14:paraId="7DC3F79C" w14:textId="1B7D6298" w:rsidR="007B49E0" w:rsidRPr="00AD0E5E" w:rsidRDefault="007B49E0" w:rsidP="007B49E0">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iCs/>
          <w:sz w:val="28"/>
          <w:szCs w:val="28"/>
          <w:lang w:val="es-ES_tradnl"/>
        </w:rPr>
        <w:t>Debe recordarse que en la preparación del proyecto de ley que definirá el Presupuesto General de la Nación para cada vigencia, concurren (i) el Ministerio de Hacienda y Crédito Público –por conducto de la Dirección General del Presupuesto Público Nacional–, a la que corresponde la preparación del presupuesto de rentas y recursos de capital, de funcionamiento y de servicio de la deuda pública; y (ii) el Departamento Nacional de Planeación, al que se le asignó la tarea de definir la inversión pública del orden nacional. Esto último, atendiendo lo previsto en el artículo 37 del Decreto 111 de 1996, así como en el artículo 3 – numerales 9 y 12– del Decreto 1893 de 2021. En ese orden</w:t>
      </w:r>
      <w:r w:rsidR="006B06C4" w:rsidRPr="00AD0E5E">
        <w:rPr>
          <w:iCs/>
          <w:sz w:val="28"/>
          <w:szCs w:val="28"/>
          <w:lang w:val="es-ES_tradnl"/>
        </w:rPr>
        <w:t xml:space="preserve"> de ideas</w:t>
      </w:r>
      <w:r w:rsidRPr="00AD0E5E">
        <w:rPr>
          <w:iCs/>
          <w:sz w:val="28"/>
          <w:szCs w:val="28"/>
          <w:lang w:val="es-ES_tradnl"/>
        </w:rPr>
        <w:t xml:space="preserve">, las entidades que pretendan obtener recursos para financiar sus gastos de inversión, deben remitir un proyecto al DNP en el que justifiquen la necesidad de los mismos. </w:t>
      </w:r>
      <w:r w:rsidR="003B3A45" w:rsidRPr="00AD0E5E">
        <w:rPr>
          <w:iCs/>
          <w:sz w:val="28"/>
          <w:szCs w:val="28"/>
          <w:lang w:val="es-ES_tradnl"/>
        </w:rPr>
        <w:t>De esta manera, los mencionados</w:t>
      </w:r>
      <w:r w:rsidRPr="00AD0E5E">
        <w:rPr>
          <w:iCs/>
          <w:sz w:val="28"/>
          <w:szCs w:val="28"/>
          <w:lang w:val="es-ES_tradnl"/>
        </w:rPr>
        <w:t xml:space="preserve"> recursos se incluirán en la ley anual del presupuesto, teniendo en consideración la realidad fiscal del país.</w:t>
      </w:r>
    </w:p>
    <w:p w14:paraId="61FF1D12" w14:textId="77777777" w:rsidR="007B49E0" w:rsidRPr="00AF21BF" w:rsidRDefault="007B49E0" w:rsidP="007B49E0">
      <w:pPr>
        <w:pStyle w:val="Prrafodelista"/>
        <w:rPr>
          <w:iCs/>
          <w:sz w:val="28"/>
          <w:szCs w:val="28"/>
          <w:highlight w:val="yellow"/>
          <w:lang w:val="es-ES_tradnl"/>
        </w:rPr>
      </w:pPr>
    </w:p>
    <w:p w14:paraId="563E30AC" w14:textId="49AECEED" w:rsidR="003B3A45" w:rsidRPr="00AD0E5E" w:rsidRDefault="007B49E0" w:rsidP="00AD0E5E">
      <w:pPr>
        <w:widowControl w:val="0"/>
        <w:numPr>
          <w:ilvl w:val="0"/>
          <w:numId w:val="1"/>
        </w:numPr>
        <w:pBdr>
          <w:top w:val="nil"/>
          <w:left w:val="nil"/>
          <w:bottom w:val="nil"/>
          <w:right w:val="nil"/>
          <w:between w:val="nil"/>
        </w:pBdr>
        <w:tabs>
          <w:tab w:val="left" w:pos="426"/>
        </w:tabs>
        <w:ind w:left="0" w:firstLine="0"/>
        <w:jc w:val="both"/>
        <w:rPr>
          <w:sz w:val="28"/>
          <w:szCs w:val="28"/>
        </w:rPr>
      </w:pPr>
      <w:r w:rsidRPr="00AD0E5E">
        <w:rPr>
          <w:iCs/>
          <w:sz w:val="28"/>
          <w:szCs w:val="28"/>
          <w:lang w:val="es-ES_tradnl"/>
        </w:rPr>
        <w:t xml:space="preserve">De otra parte, según lo dispuesto en el artículo 68 del Decreto 111 de 1996, “[n]o se podrá ejecutar ningún programa o proyecto que haga parte del Presupuesto General de la Nación hasta tanto se encuentren evaluados por el órgano competente y registrados en el Banco Nacional de Programas y Proyectos”. </w:t>
      </w:r>
    </w:p>
    <w:p w14:paraId="50F87E53" w14:textId="77777777" w:rsidR="007B49E0" w:rsidRPr="00AF21BF" w:rsidRDefault="007B49E0" w:rsidP="00AF21BF">
      <w:pPr>
        <w:widowControl w:val="0"/>
        <w:pBdr>
          <w:top w:val="nil"/>
          <w:left w:val="nil"/>
          <w:bottom w:val="nil"/>
          <w:right w:val="nil"/>
          <w:between w:val="nil"/>
        </w:pBdr>
        <w:tabs>
          <w:tab w:val="left" w:pos="426"/>
        </w:tabs>
        <w:jc w:val="both"/>
        <w:rPr>
          <w:iCs/>
          <w:sz w:val="28"/>
          <w:szCs w:val="28"/>
          <w:highlight w:val="yellow"/>
          <w:lang w:val="es-ES_tradnl"/>
        </w:rPr>
      </w:pPr>
    </w:p>
    <w:p w14:paraId="22E399AA" w14:textId="7B69CF71" w:rsidR="007B49E0" w:rsidRPr="000451DE" w:rsidRDefault="007B49E0" w:rsidP="007B49E0">
      <w:pPr>
        <w:widowControl w:val="0"/>
        <w:numPr>
          <w:ilvl w:val="0"/>
          <w:numId w:val="1"/>
        </w:numPr>
        <w:pBdr>
          <w:top w:val="nil"/>
          <w:left w:val="nil"/>
          <w:bottom w:val="nil"/>
          <w:right w:val="nil"/>
          <w:between w:val="nil"/>
        </w:pBdr>
        <w:tabs>
          <w:tab w:val="left" w:pos="426"/>
        </w:tabs>
        <w:ind w:left="0" w:firstLine="0"/>
        <w:jc w:val="both"/>
        <w:rPr>
          <w:sz w:val="28"/>
          <w:szCs w:val="28"/>
        </w:rPr>
      </w:pPr>
      <w:r w:rsidRPr="000451DE">
        <w:rPr>
          <w:iCs/>
          <w:sz w:val="28"/>
          <w:szCs w:val="28"/>
          <w:lang w:val="es-ES_tradnl"/>
        </w:rPr>
        <w:t xml:space="preserve">Además de lo anterior, debe tenerse en cuenta que el trámite para aprobar el </w:t>
      </w:r>
      <w:r w:rsidR="006B06C4" w:rsidRPr="000451DE">
        <w:rPr>
          <w:iCs/>
          <w:sz w:val="28"/>
          <w:szCs w:val="28"/>
          <w:lang w:val="es-ES_tradnl"/>
        </w:rPr>
        <w:t xml:space="preserve">Presupuesto General </w:t>
      </w:r>
      <w:r w:rsidRPr="000451DE">
        <w:rPr>
          <w:iCs/>
          <w:sz w:val="28"/>
          <w:szCs w:val="28"/>
          <w:lang w:val="es-ES_tradnl"/>
        </w:rPr>
        <w:t xml:space="preserve">de la </w:t>
      </w:r>
      <w:r w:rsidR="006B06C4" w:rsidRPr="000451DE">
        <w:rPr>
          <w:iCs/>
          <w:sz w:val="28"/>
          <w:szCs w:val="28"/>
          <w:lang w:val="es-ES_tradnl"/>
        </w:rPr>
        <w:t xml:space="preserve">Nación </w:t>
      </w:r>
      <w:r w:rsidRPr="000451DE">
        <w:rPr>
          <w:iCs/>
          <w:sz w:val="28"/>
          <w:szCs w:val="28"/>
          <w:lang w:val="es-ES_tradnl"/>
        </w:rPr>
        <w:t>es complejo y debe respetar unos tiempos precisos. Al revisar los artículos 51</w:t>
      </w:r>
      <w:r w:rsidR="006E7340" w:rsidRPr="000451DE">
        <w:rPr>
          <w:iCs/>
          <w:sz w:val="28"/>
          <w:szCs w:val="28"/>
          <w:lang w:val="es-ES_tradnl"/>
        </w:rPr>
        <w:t xml:space="preserve"> a </w:t>
      </w:r>
      <w:r w:rsidRPr="000451DE">
        <w:rPr>
          <w:iCs/>
          <w:sz w:val="28"/>
          <w:szCs w:val="28"/>
          <w:lang w:val="es-ES_tradnl"/>
        </w:rPr>
        <w:t>59 del Decreto 111 de 1996, se advierte que: (i) durante la primera semana de abril, el Ministerio de Hacienda y Crédito Público</w:t>
      </w:r>
      <w:r w:rsidRPr="000451DE">
        <w:rPr>
          <w:sz w:val="28"/>
          <w:szCs w:val="28"/>
        </w:rPr>
        <w:t xml:space="preserve"> </w:t>
      </w:r>
      <w:r w:rsidRPr="000451DE">
        <w:rPr>
          <w:iCs/>
          <w:sz w:val="28"/>
          <w:szCs w:val="28"/>
          <w:lang w:val="es-ES_tradnl"/>
        </w:rPr>
        <w:t xml:space="preserve">debe remitir al Congreso una copia del anteproyecto del Presupuesto Anual de Rentas y Gastos. (ii) Durante los 10 primeros días de cada legislatura, el Gobierno debe presentar al Congreso el proyecto de ley del Presupuesto General de la Nación. (iii) Antes del 15 de agosto, las comisiones económicas pueden devolver el proyecto al Gobierno si no se ajusta al Estatuto Orgánico del Presupuesto; en tal caso, el Gobierno lo deberá reenviar antes del 30 de agosto con enmiendas. (iv) Antes del 15 de septiembre, las comisiones económicas conjuntas deben decidir sobre el monto definitivo del presupuesto. (v) La aprobación en comisiones debe darse antes del 25 de septiembre y la discusión en las plenarias debe empezar el 1 de octubre. (vi) Si el Congreso no expide el Presupuesto antes de la medianoche del 20 de octubre, rige el proyecto presentado por el Gobierno con las modificaciones aprobadas en primer debate. (vii) Después del 20 de octubre, el presidente debe sancionar la </w:t>
      </w:r>
      <w:r w:rsidR="003B3A45" w:rsidRPr="000451DE">
        <w:rPr>
          <w:iCs/>
          <w:sz w:val="28"/>
          <w:szCs w:val="28"/>
          <w:lang w:val="es-ES_tradnl"/>
        </w:rPr>
        <w:t>l</w:t>
      </w:r>
      <w:r w:rsidRPr="000451DE">
        <w:rPr>
          <w:iCs/>
          <w:sz w:val="28"/>
          <w:szCs w:val="28"/>
          <w:lang w:val="es-ES_tradnl"/>
        </w:rPr>
        <w:t xml:space="preserve">ey del Presupuesto. </w:t>
      </w:r>
    </w:p>
    <w:p w14:paraId="396F30C2" w14:textId="77777777" w:rsidR="007B49E0" w:rsidRPr="00AF21BF" w:rsidRDefault="007B49E0" w:rsidP="007B49E0">
      <w:pPr>
        <w:widowControl w:val="0"/>
        <w:pBdr>
          <w:top w:val="nil"/>
          <w:left w:val="nil"/>
          <w:bottom w:val="nil"/>
          <w:right w:val="nil"/>
          <w:between w:val="nil"/>
        </w:pBdr>
        <w:tabs>
          <w:tab w:val="left" w:pos="426"/>
        </w:tabs>
        <w:jc w:val="both"/>
        <w:rPr>
          <w:sz w:val="28"/>
          <w:szCs w:val="28"/>
          <w:highlight w:val="yellow"/>
        </w:rPr>
      </w:pPr>
    </w:p>
    <w:p w14:paraId="32E8064E" w14:textId="65160508" w:rsidR="006C7E26" w:rsidRPr="00830587" w:rsidRDefault="00344CC2" w:rsidP="00331D4D">
      <w:pPr>
        <w:widowControl w:val="0"/>
        <w:numPr>
          <w:ilvl w:val="0"/>
          <w:numId w:val="1"/>
        </w:numPr>
        <w:pBdr>
          <w:top w:val="nil"/>
          <w:left w:val="nil"/>
          <w:bottom w:val="nil"/>
          <w:right w:val="nil"/>
          <w:between w:val="nil"/>
        </w:pBdr>
        <w:tabs>
          <w:tab w:val="left" w:pos="426"/>
        </w:tabs>
        <w:ind w:left="0" w:firstLine="0"/>
        <w:jc w:val="both"/>
        <w:rPr>
          <w:sz w:val="28"/>
          <w:szCs w:val="28"/>
        </w:rPr>
      </w:pPr>
      <w:r w:rsidRPr="00830587">
        <w:rPr>
          <w:sz w:val="28"/>
          <w:szCs w:val="28"/>
        </w:rPr>
        <w:t>T</w:t>
      </w:r>
      <w:r w:rsidR="007B49E0" w:rsidRPr="00830587">
        <w:rPr>
          <w:iCs/>
          <w:sz w:val="28"/>
          <w:szCs w:val="28"/>
          <w:lang w:val="es-ES_tradnl"/>
        </w:rPr>
        <w:t>eniendo en cuenta</w:t>
      </w:r>
      <w:r w:rsidR="000451DE" w:rsidRPr="00830587">
        <w:rPr>
          <w:iCs/>
          <w:sz w:val="28"/>
          <w:szCs w:val="28"/>
          <w:lang w:val="es-ES_tradnl"/>
        </w:rPr>
        <w:t xml:space="preserve"> </w:t>
      </w:r>
      <w:r w:rsidR="000451DE" w:rsidRPr="00830587">
        <w:rPr>
          <w:sz w:val="28"/>
          <w:szCs w:val="28"/>
        </w:rPr>
        <w:t xml:space="preserve">el calendario electoral para las elecciones de Presidente y Vicepresidente de la República para el periodo constitucional 2026 – 2030, </w:t>
      </w:r>
      <w:r w:rsidR="007B49E0" w:rsidRPr="00830587">
        <w:rPr>
          <w:iCs/>
          <w:sz w:val="28"/>
          <w:szCs w:val="28"/>
          <w:lang w:val="es-ES_tradnl"/>
        </w:rPr>
        <w:t>que en materia presupuestal rige el principio de anualidad</w:t>
      </w:r>
      <w:r w:rsidR="007B49E0" w:rsidRPr="00830587">
        <w:rPr>
          <w:rStyle w:val="Refdenotaalpie"/>
          <w:iCs/>
          <w:sz w:val="28"/>
          <w:szCs w:val="28"/>
          <w:lang w:val="es-ES_tradnl"/>
        </w:rPr>
        <w:footnoteReference w:id="151"/>
      </w:r>
      <w:r w:rsidR="007B49E0" w:rsidRPr="00830587">
        <w:rPr>
          <w:iCs/>
          <w:sz w:val="28"/>
          <w:szCs w:val="28"/>
          <w:lang w:val="es-ES_tradnl"/>
        </w:rPr>
        <w:t xml:space="preserve"> y que la Ley 2559 de 2025 “</w:t>
      </w:r>
      <w:r w:rsidR="007B49E0" w:rsidRPr="00830587">
        <w:rPr>
          <w:sz w:val="28"/>
          <w:szCs w:val="28"/>
        </w:rPr>
        <w:t>Por la cual se decreta el presupuesto de rentas y recursos de capital y ley de apropiaciones para la vigencia fiscal del 1° de enero al 31 de diciembre de 2026”</w:t>
      </w:r>
      <w:r w:rsidR="007B49E0" w:rsidRPr="00830587">
        <w:rPr>
          <w:iCs/>
          <w:sz w:val="28"/>
          <w:szCs w:val="28"/>
          <w:lang w:val="es-ES_tradnl"/>
        </w:rPr>
        <w:t xml:space="preserve"> contiene una sección específica para el CNE</w:t>
      </w:r>
      <w:r w:rsidR="007B49E0" w:rsidRPr="00830587">
        <w:rPr>
          <w:rStyle w:val="Refdenotaalpie"/>
          <w:iCs/>
          <w:sz w:val="28"/>
          <w:szCs w:val="28"/>
          <w:lang w:val="es-ES_tradnl"/>
        </w:rPr>
        <w:footnoteReference w:id="152"/>
      </w:r>
      <w:r w:rsidR="007B49E0" w:rsidRPr="00830587">
        <w:rPr>
          <w:iCs/>
          <w:sz w:val="28"/>
          <w:szCs w:val="28"/>
          <w:lang w:val="es-ES_tradnl"/>
        </w:rPr>
        <w:t xml:space="preserve"> donde se detallan sus gastos de funcionamiento y de inversión </w:t>
      </w:r>
      <w:r w:rsidR="006B06C4" w:rsidRPr="00830587">
        <w:rPr>
          <w:iCs/>
          <w:sz w:val="28"/>
          <w:szCs w:val="28"/>
          <w:lang w:val="es-ES_tradnl"/>
        </w:rPr>
        <w:t xml:space="preserve">para </w:t>
      </w:r>
      <w:r w:rsidR="007B49E0" w:rsidRPr="00830587">
        <w:rPr>
          <w:iCs/>
          <w:sz w:val="28"/>
          <w:szCs w:val="28"/>
          <w:lang w:val="es-ES_tradnl"/>
        </w:rPr>
        <w:t>la vigencia fiscal de 2026</w:t>
      </w:r>
      <w:r w:rsidR="006B06C4" w:rsidRPr="00830587">
        <w:rPr>
          <w:iCs/>
          <w:sz w:val="28"/>
          <w:szCs w:val="28"/>
          <w:lang w:val="es-ES_tradnl"/>
        </w:rPr>
        <w:t>,</w:t>
      </w:r>
      <w:r w:rsidR="007B49E0" w:rsidRPr="00830587">
        <w:rPr>
          <w:iCs/>
          <w:sz w:val="28"/>
          <w:szCs w:val="28"/>
          <w:lang w:val="es-ES_tradnl"/>
        </w:rPr>
        <w:t xml:space="preserve"> </w:t>
      </w:r>
      <w:r w:rsidR="007B49E0" w:rsidRPr="00830587">
        <w:rPr>
          <w:sz w:val="28"/>
          <w:szCs w:val="28"/>
        </w:rPr>
        <w:t xml:space="preserve">la Sala considera necesario diferir los efectos de la inexequibilidad y la reviviscencia para que operen a partir del 1° de enero de 2027. </w:t>
      </w:r>
      <w:r w:rsidR="006C7E26" w:rsidRPr="00830587">
        <w:rPr>
          <w:sz w:val="28"/>
          <w:szCs w:val="28"/>
        </w:rPr>
        <w:t xml:space="preserve">No obstante, se aclara que esta decisión </w:t>
      </w:r>
      <w:r w:rsidR="006C7E26" w:rsidRPr="00830587">
        <w:rPr>
          <w:sz w:val="28"/>
          <w:szCs w:val="28"/>
          <w:lang w:eastAsia="es-MX"/>
        </w:rPr>
        <w:t xml:space="preserve">de ninguna manera constituye </w:t>
      </w:r>
      <w:r w:rsidR="006B06C4" w:rsidRPr="00830587">
        <w:rPr>
          <w:sz w:val="28"/>
          <w:szCs w:val="28"/>
          <w:lang w:eastAsia="es-MX"/>
        </w:rPr>
        <w:t>una vía que incentive</w:t>
      </w:r>
      <w:r w:rsidR="006C7E26" w:rsidRPr="00830587">
        <w:rPr>
          <w:sz w:val="28"/>
          <w:szCs w:val="28"/>
          <w:lang w:eastAsia="es-MX"/>
        </w:rPr>
        <w:t xml:space="preserve"> la modificación inconstitucional de normas presupuestales </w:t>
      </w:r>
      <w:r w:rsidR="006B06C4" w:rsidRPr="00830587">
        <w:rPr>
          <w:sz w:val="28"/>
          <w:szCs w:val="28"/>
          <w:lang w:eastAsia="es-MX"/>
        </w:rPr>
        <w:t xml:space="preserve">por </w:t>
      </w:r>
      <w:r w:rsidR="006C7E26" w:rsidRPr="00830587">
        <w:rPr>
          <w:sz w:val="28"/>
          <w:szCs w:val="28"/>
          <w:lang w:eastAsia="es-MX"/>
        </w:rPr>
        <w:t>el beneficio de una decisión diferida en el tiempo con ocasión de la anualidad presupuestal</w:t>
      </w:r>
      <w:r w:rsidR="000451DE" w:rsidRPr="00830587">
        <w:rPr>
          <w:sz w:val="28"/>
          <w:szCs w:val="28"/>
          <w:lang w:eastAsia="es-MX"/>
        </w:rPr>
        <w:t xml:space="preserve">. </w:t>
      </w:r>
    </w:p>
    <w:p w14:paraId="7476705D" w14:textId="77777777" w:rsidR="000451DE" w:rsidRPr="00830587" w:rsidRDefault="000451DE" w:rsidP="000451DE">
      <w:pPr>
        <w:widowControl w:val="0"/>
        <w:pBdr>
          <w:top w:val="nil"/>
          <w:left w:val="nil"/>
          <w:bottom w:val="nil"/>
          <w:right w:val="nil"/>
          <w:between w:val="nil"/>
        </w:pBdr>
        <w:tabs>
          <w:tab w:val="left" w:pos="426"/>
        </w:tabs>
        <w:jc w:val="both"/>
        <w:rPr>
          <w:sz w:val="28"/>
          <w:szCs w:val="28"/>
        </w:rPr>
      </w:pPr>
    </w:p>
    <w:p w14:paraId="2BEFF12E" w14:textId="225F7FC1" w:rsidR="00E97073" w:rsidRPr="00830587" w:rsidRDefault="007B49E0" w:rsidP="000451DE">
      <w:pPr>
        <w:widowControl w:val="0"/>
        <w:numPr>
          <w:ilvl w:val="0"/>
          <w:numId w:val="1"/>
        </w:numPr>
        <w:pBdr>
          <w:top w:val="nil"/>
          <w:left w:val="nil"/>
          <w:bottom w:val="nil"/>
          <w:right w:val="nil"/>
          <w:between w:val="nil"/>
        </w:pBdr>
        <w:tabs>
          <w:tab w:val="left" w:pos="426"/>
        </w:tabs>
        <w:ind w:left="0" w:firstLine="0"/>
        <w:jc w:val="both"/>
        <w:rPr>
          <w:sz w:val="28"/>
          <w:szCs w:val="28"/>
        </w:rPr>
      </w:pPr>
      <w:r w:rsidRPr="00830587">
        <w:rPr>
          <w:sz w:val="28"/>
          <w:szCs w:val="28"/>
        </w:rPr>
        <w:t>Por otro lado</w:t>
      </w:r>
      <w:r w:rsidR="006C7E26" w:rsidRPr="00830587">
        <w:rPr>
          <w:sz w:val="28"/>
          <w:szCs w:val="28"/>
        </w:rPr>
        <w:t xml:space="preserve">, la Sala encuentra necesario adoptar órdenes dirigidas a asegurar una transición normativa e institucional similar a la que aconteció con la aprobación de la Ley 2294 de 2023 y que dio lugar a </w:t>
      </w:r>
      <w:r w:rsidR="006B06C4" w:rsidRPr="00830587">
        <w:rPr>
          <w:sz w:val="28"/>
          <w:szCs w:val="28"/>
        </w:rPr>
        <w:t xml:space="preserve">la </w:t>
      </w:r>
      <w:r w:rsidR="006C7E26" w:rsidRPr="00830587">
        <w:rPr>
          <w:sz w:val="28"/>
          <w:szCs w:val="28"/>
        </w:rPr>
        <w:t>expedición del Decreto 957 de 2023</w:t>
      </w:r>
      <w:r w:rsidR="009B4FB3" w:rsidRPr="00830587">
        <w:rPr>
          <w:sz w:val="28"/>
          <w:szCs w:val="28"/>
        </w:rPr>
        <w:t>,</w:t>
      </w:r>
      <w:r w:rsidR="000451DE" w:rsidRPr="00830587">
        <w:rPr>
          <w:sz w:val="28"/>
          <w:szCs w:val="28"/>
        </w:rPr>
        <w:t xml:space="preserve"> </w:t>
      </w:r>
      <w:r w:rsidR="000451DE" w:rsidRPr="00830587">
        <w:rPr>
          <w:sz w:val="28"/>
          <w:szCs w:val="28"/>
          <w:lang w:eastAsia="es-MX"/>
        </w:rPr>
        <w:t>sin que ello impacte en la operación institucional o en la ejecución de actividades por parte del talento humano del CNE</w:t>
      </w:r>
      <w:r w:rsidR="009B4FB3" w:rsidRPr="00830587">
        <w:rPr>
          <w:sz w:val="28"/>
          <w:szCs w:val="28"/>
        </w:rPr>
        <w:t xml:space="preserve">. Lo anterior, teniendo en cuenta además que antes de la aprobación del PND, el CNE funcionaba por medio de un esquema operativo sin sección presupuestal propia ni capacidad contractual. Al respecto, la Sala ordenará </w:t>
      </w:r>
      <w:r w:rsidR="00217AB5" w:rsidRPr="00830587">
        <w:rPr>
          <w:sz w:val="28"/>
          <w:szCs w:val="28"/>
        </w:rPr>
        <w:t xml:space="preserve">(i) </w:t>
      </w:r>
      <w:r w:rsidR="009B4FB3" w:rsidRPr="00830587">
        <w:rPr>
          <w:sz w:val="28"/>
          <w:szCs w:val="28"/>
        </w:rPr>
        <w:t xml:space="preserve">al </w:t>
      </w:r>
      <w:r w:rsidR="006C7E26" w:rsidRPr="00830587">
        <w:rPr>
          <w:sz w:val="28"/>
          <w:szCs w:val="28"/>
        </w:rPr>
        <w:t>Ministerio de Hacienda y Crédito Público, a la Registraduría Nacional del Estado Civil y al Consejo Nacional Electoral que a más tardar el 31 de diciembre de 2026, de manera coordinada, realicen las adecuaciones normativas e institucionales requeridas respecto de la reviviscencia dispuesta en el resolutivo segundo y (ii) al Ministerio de Hacienda y Crédito Público y al Departamento Nacional de Planeación, así como a la Registraduría Nacional del Estado Civil, en coordinación con el Consejo Nacional Electoral, que en la presentación del proyecto de ley del Presupuesto General de la Nación para la vigencia 2027 se aplique lo dispuesto en esta sentencia.</w:t>
      </w:r>
    </w:p>
    <w:p w14:paraId="1DF4EBAA" w14:textId="77777777" w:rsidR="0075285C" w:rsidRPr="00830587" w:rsidRDefault="0075285C" w:rsidP="0075285C">
      <w:pPr>
        <w:widowControl w:val="0"/>
        <w:pBdr>
          <w:top w:val="nil"/>
          <w:left w:val="nil"/>
          <w:bottom w:val="nil"/>
          <w:right w:val="nil"/>
          <w:between w:val="nil"/>
        </w:pBdr>
        <w:tabs>
          <w:tab w:val="left" w:pos="426"/>
        </w:tabs>
        <w:jc w:val="both"/>
        <w:rPr>
          <w:sz w:val="28"/>
          <w:szCs w:val="28"/>
        </w:rPr>
      </w:pPr>
    </w:p>
    <w:p w14:paraId="2DF2E4F9" w14:textId="199FBFEA" w:rsidR="009B4FB3" w:rsidRPr="00830587" w:rsidRDefault="009B4FB3" w:rsidP="00E97073">
      <w:pPr>
        <w:widowControl w:val="0"/>
        <w:numPr>
          <w:ilvl w:val="0"/>
          <w:numId w:val="1"/>
        </w:numPr>
        <w:pBdr>
          <w:top w:val="nil"/>
          <w:left w:val="nil"/>
          <w:bottom w:val="nil"/>
          <w:right w:val="nil"/>
          <w:between w:val="nil"/>
        </w:pBdr>
        <w:tabs>
          <w:tab w:val="left" w:pos="426"/>
        </w:tabs>
        <w:ind w:left="0" w:firstLine="0"/>
        <w:jc w:val="both"/>
        <w:rPr>
          <w:sz w:val="28"/>
          <w:szCs w:val="28"/>
        </w:rPr>
      </w:pPr>
      <w:r w:rsidRPr="00830587">
        <w:rPr>
          <w:sz w:val="28"/>
          <w:szCs w:val="28"/>
        </w:rPr>
        <w:t>Finalmente, se advierte que dicha transición normativa e institucional debe efectuarse con el acompañamiento de la Procuraduría General de la Nación</w:t>
      </w:r>
      <w:r w:rsidR="00D52700" w:rsidRPr="00830587">
        <w:rPr>
          <w:sz w:val="28"/>
          <w:szCs w:val="28"/>
        </w:rPr>
        <w:t xml:space="preserve"> </w:t>
      </w:r>
      <w:r w:rsidRPr="00830587">
        <w:rPr>
          <w:sz w:val="28"/>
          <w:szCs w:val="28"/>
        </w:rPr>
        <w:t xml:space="preserve">y de la Contraloría General de la República, </w:t>
      </w:r>
      <w:r w:rsidR="00804019" w:rsidRPr="00830587">
        <w:rPr>
          <w:sz w:val="28"/>
          <w:szCs w:val="28"/>
        </w:rPr>
        <w:t>dentro del ámbito</w:t>
      </w:r>
      <w:r w:rsidRPr="00830587">
        <w:rPr>
          <w:sz w:val="28"/>
          <w:szCs w:val="28"/>
        </w:rPr>
        <w:t xml:space="preserve"> de sus competencias. Adicionalmente, se aclara que la presente decisión de inexequibilidad no</w:t>
      </w:r>
      <w:r w:rsidRPr="00830587">
        <w:rPr>
          <w:sz w:val="28"/>
          <w:szCs w:val="28"/>
          <w:lang w:eastAsia="es-MX"/>
        </w:rPr>
        <w:t xml:space="preserve"> es óbice para que</w:t>
      </w:r>
      <w:r w:rsidR="00E038FF" w:rsidRPr="00830587">
        <w:rPr>
          <w:sz w:val="28"/>
          <w:szCs w:val="28"/>
          <w:lang w:eastAsia="es-MX"/>
        </w:rPr>
        <w:t>, previa la deliberación democrática,</w:t>
      </w:r>
      <w:r w:rsidRPr="00830587">
        <w:rPr>
          <w:sz w:val="28"/>
          <w:szCs w:val="28"/>
          <w:lang w:eastAsia="es-MX"/>
        </w:rPr>
        <w:t xml:space="preserve"> se otorgue independencia y autonomía presupuestal y contractual al CNE por medio de la tramitación del respectivo proyecto de ley orgánica ante el Congreso de la República.</w:t>
      </w:r>
    </w:p>
    <w:p w14:paraId="5B992067" w14:textId="77777777" w:rsidR="009B4FB3" w:rsidRPr="009B4FB3" w:rsidRDefault="009B4FB3" w:rsidP="009B4FB3">
      <w:pPr>
        <w:widowControl w:val="0"/>
        <w:pBdr>
          <w:top w:val="nil"/>
          <w:left w:val="nil"/>
          <w:bottom w:val="nil"/>
          <w:right w:val="nil"/>
          <w:between w:val="nil"/>
        </w:pBdr>
        <w:tabs>
          <w:tab w:val="left" w:pos="426"/>
        </w:tabs>
        <w:jc w:val="both"/>
        <w:rPr>
          <w:sz w:val="28"/>
          <w:szCs w:val="28"/>
          <w:highlight w:val="yellow"/>
        </w:rPr>
      </w:pPr>
    </w:p>
    <w:p w14:paraId="2F04469B" w14:textId="77777777" w:rsidR="00E97073" w:rsidRPr="00C41665" w:rsidRDefault="00E97073" w:rsidP="00C41665">
      <w:pPr>
        <w:pStyle w:val="Ttulo1"/>
        <w:spacing w:before="0"/>
        <w:jc w:val="both"/>
        <w:rPr>
          <w:rFonts w:ascii="Times New Roman" w:hAnsi="Times New Roman" w:cs="Times New Roman"/>
          <w:b/>
          <w:color w:val="auto"/>
          <w:sz w:val="28"/>
          <w:szCs w:val="28"/>
        </w:rPr>
      </w:pPr>
      <w:bookmarkStart w:id="25" w:name="_Toc230846378"/>
      <w:r w:rsidRPr="00C41665">
        <w:rPr>
          <w:rFonts w:ascii="Times New Roman" w:hAnsi="Times New Roman" w:cs="Times New Roman"/>
          <w:b/>
          <w:color w:val="auto"/>
          <w:sz w:val="28"/>
          <w:szCs w:val="28"/>
        </w:rPr>
        <w:t>VIII. DECISIÓN</w:t>
      </w:r>
      <w:bookmarkEnd w:id="25"/>
    </w:p>
    <w:p w14:paraId="52157A6E" w14:textId="77777777" w:rsidR="00E97073" w:rsidRPr="00554FD8" w:rsidRDefault="00E97073" w:rsidP="00E97073">
      <w:pPr>
        <w:keepNext/>
        <w:widowControl w:val="0"/>
        <w:pBdr>
          <w:top w:val="nil"/>
          <w:left w:val="nil"/>
          <w:bottom w:val="nil"/>
          <w:right w:val="nil"/>
          <w:between w:val="nil"/>
        </w:pBdr>
        <w:tabs>
          <w:tab w:val="left" w:pos="426"/>
          <w:tab w:val="left" w:pos="567"/>
        </w:tabs>
        <w:jc w:val="both"/>
        <w:rPr>
          <w:sz w:val="28"/>
          <w:szCs w:val="28"/>
        </w:rPr>
      </w:pPr>
    </w:p>
    <w:p w14:paraId="1D06AACD" w14:textId="77777777" w:rsidR="00E97073" w:rsidRPr="00554FD8" w:rsidRDefault="00E97073" w:rsidP="00B35E18">
      <w:pPr>
        <w:widowControl w:val="0"/>
        <w:pBdr>
          <w:top w:val="nil"/>
          <w:left w:val="nil"/>
          <w:bottom w:val="nil"/>
          <w:right w:val="nil"/>
          <w:between w:val="nil"/>
        </w:pBdr>
        <w:tabs>
          <w:tab w:val="left" w:pos="426"/>
        </w:tabs>
        <w:jc w:val="both"/>
        <w:rPr>
          <w:sz w:val="28"/>
          <w:szCs w:val="28"/>
        </w:rPr>
      </w:pPr>
      <w:r w:rsidRPr="00554FD8">
        <w:rPr>
          <w:sz w:val="28"/>
          <w:szCs w:val="28"/>
        </w:rPr>
        <w:t>En mérito de lo expuesto, la Sala Plena de la Corte Constitucional, administrando justicia en nombre del pueblo y por mandato de la Constitución,</w:t>
      </w:r>
    </w:p>
    <w:p w14:paraId="0F594D4E" w14:textId="77777777" w:rsidR="00554FD8" w:rsidRPr="00554FD8" w:rsidRDefault="00554FD8" w:rsidP="00E97073">
      <w:pPr>
        <w:widowControl w:val="0"/>
        <w:pBdr>
          <w:top w:val="nil"/>
          <w:left w:val="nil"/>
          <w:bottom w:val="nil"/>
          <w:right w:val="nil"/>
          <w:between w:val="nil"/>
        </w:pBdr>
        <w:tabs>
          <w:tab w:val="left" w:pos="426"/>
        </w:tabs>
        <w:jc w:val="both"/>
        <w:rPr>
          <w:sz w:val="28"/>
          <w:szCs w:val="28"/>
        </w:rPr>
      </w:pPr>
    </w:p>
    <w:p w14:paraId="77E43174" w14:textId="40196A3D" w:rsidR="00E97073" w:rsidRPr="00554FD8" w:rsidRDefault="00E97073" w:rsidP="00E97073">
      <w:pPr>
        <w:widowControl w:val="0"/>
        <w:pBdr>
          <w:top w:val="nil"/>
          <w:left w:val="nil"/>
          <w:bottom w:val="nil"/>
          <w:right w:val="nil"/>
          <w:between w:val="nil"/>
        </w:pBdr>
        <w:tabs>
          <w:tab w:val="left" w:pos="426"/>
        </w:tabs>
        <w:jc w:val="center"/>
        <w:rPr>
          <w:sz w:val="28"/>
          <w:szCs w:val="28"/>
        </w:rPr>
      </w:pPr>
      <w:r w:rsidRPr="00554FD8">
        <w:rPr>
          <w:b/>
          <w:sz w:val="28"/>
          <w:szCs w:val="28"/>
        </w:rPr>
        <w:t>RESUELVE</w:t>
      </w:r>
    </w:p>
    <w:p w14:paraId="084A32B8" w14:textId="77777777" w:rsidR="00E97073" w:rsidRPr="00720D70" w:rsidRDefault="00E97073" w:rsidP="00720D70">
      <w:pPr>
        <w:widowControl w:val="0"/>
        <w:pBdr>
          <w:top w:val="nil"/>
          <w:left w:val="nil"/>
          <w:bottom w:val="nil"/>
          <w:right w:val="nil"/>
          <w:between w:val="nil"/>
        </w:pBdr>
        <w:tabs>
          <w:tab w:val="left" w:pos="426"/>
        </w:tabs>
        <w:jc w:val="both"/>
        <w:rPr>
          <w:sz w:val="28"/>
          <w:szCs w:val="28"/>
        </w:rPr>
      </w:pPr>
    </w:p>
    <w:p w14:paraId="046D0833" w14:textId="5B3D12A4" w:rsidR="00720D70" w:rsidRPr="000451DE" w:rsidRDefault="00720D70" w:rsidP="00720D70">
      <w:pPr>
        <w:widowControl w:val="0"/>
        <w:tabs>
          <w:tab w:val="left" w:pos="426"/>
        </w:tabs>
        <w:jc w:val="both"/>
        <w:rPr>
          <w:color w:val="000000"/>
          <w:sz w:val="28"/>
          <w:szCs w:val="28"/>
        </w:rPr>
      </w:pPr>
      <w:r w:rsidRPr="000451DE">
        <w:rPr>
          <w:b/>
          <w:color w:val="000000"/>
          <w:sz w:val="28"/>
          <w:szCs w:val="28"/>
        </w:rPr>
        <w:t>PRIMERO.</w:t>
      </w:r>
      <w:r w:rsidRPr="000451DE">
        <w:rPr>
          <w:color w:val="000000"/>
          <w:sz w:val="28"/>
          <w:szCs w:val="28"/>
        </w:rPr>
        <w:t xml:space="preserve"> Declarar </w:t>
      </w:r>
      <w:r w:rsidRPr="000451DE">
        <w:rPr>
          <w:b/>
          <w:color w:val="000000"/>
          <w:sz w:val="28"/>
          <w:szCs w:val="28"/>
        </w:rPr>
        <w:t xml:space="preserve">INEXEQUIBLES </w:t>
      </w:r>
      <w:r w:rsidRPr="000451DE">
        <w:rPr>
          <w:color w:val="000000"/>
          <w:sz w:val="28"/>
          <w:szCs w:val="28"/>
        </w:rPr>
        <w:t xml:space="preserve">los artículos 336 y 337 de la Ley 2294 de 2023 “Por el </w:t>
      </w:r>
      <w:r w:rsidRPr="000451DE">
        <w:rPr>
          <w:sz w:val="28"/>
          <w:szCs w:val="28"/>
        </w:rPr>
        <w:t>cual</w:t>
      </w:r>
      <w:r w:rsidRPr="000451DE">
        <w:rPr>
          <w:color w:val="000000"/>
          <w:sz w:val="28"/>
          <w:szCs w:val="28"/>
        </w:rPr>
        <w:t xml:space="preserve"> se expide el Plan Nacional de Desarrollo 2022-2026 ‘Colombia Potencia Mundial de la Vida”.</w:t>
      </w:r>
    </w:p>
    <w:p w14:paraId="510115B0" w14:textId="77777777" w:rsidR="00720D70" w:rsidRPr="000451DE" w:rsidRDefault="00720D70" w:rsidP="00720D70">
      <w:pPr>
        <w:widowControl w:val="0"/>
        <w:tabs>
          <w:tab w:val="left" w:pos="426"/>
        </w:tabs>
        <w:jc w:val="both"/>
        <w:rPr>
          <w:color w:val="000000"/>
          <w:sz w:val="28"/>
          <w:szCs w:val="28"/>
        </w:rPr>
      </w:pPr>
    </w:p>
    <w:p w14:paraId="65E045B2" w14:textId="31A9E14C" w:rsidR="00720D70" w:rsidRPr="000451DE" w:rsidRDefault="00720D70" w:rsidP="00720D70">
      <w:pPr>
        <w:widowControl w:val="0"/>
        <w:tabs>
          <w:tab w:val="left" w:pos="426"/>
        </w:tabs>
        <w:jc w:val="both"/>
        <w:rPr>
          <w:color w:val="000000"/>
          <w:sz w:val="28"/>
          <w:szCs w:val="28"/>
        </w:rPr>
      </w:pPr>
      <w:r w:rsidRPr="000451DE">
        <w:rPr>
          <w:b/>
          <w:color w:val="000000"/>
          <w:sz w:val="28"/>
          <w:szCs w:val="28"/>
        </w:rPr>
        <w:t>SEGUNDO. DISPONER LA REVIVISCENCIA</w:t>
      </w:r>
      <w:r w:rsidRPr="000451DE">
        <w:rPr>
          <w:color w:val="000000"/>
          <w:sz w:val="28"/>
          <w:szCs w:val="28"/>
        </w:rPr>
        <w:t xml:space="preserve"> del artículo 23 de la Ley 38 de 1989, modificado por el artículo 16 de la Ley 179 de 1994, compilado en el artículo 36 del Decreto 111 de 1996, a su vez modificado por el artículo 123 de la Ley 1957 de 2019. Asimismo, la del artículo 91 de la Ley 38 de 1989, modificado por el artículo 51 de la Ley 179 de 1994, compilado en el artículo 110 del Decreto 111 de 1996, a su vez modificado por el artículo 124 de la Ley 1957 de 2019.</w:t>
      </w:r>
    </w:p>
    <w:p w14:paraId="5D34EAB6" w14:textId="77777777" w:rsidR="00720D70" w:rsidRPr="000451DE" w:rsidRDefault="00720D70" w:rsidP="00720D70">
      <w:pPr>
        <w:widowControl w:val="0"/>
        <w:tabs>
          <w:tab w:val="left" w:pos="426"/>
        </w:tabs>
        <w:jc w:val="both"/>
        <w:rPr>
          <w:color w:val="000000"/>
          <w:sz w:val="28"/>
          <w:szCs w:val="28"/>
        </w:rPr>
      </w:pPr>
    </w:p>
    <w:p w14:paraId="67DEAE34" w14:textId="521D3A9B" w:rsidR="00720D70" w:rsidRPr="000451DE" w:rsidRDefault="00720D70" w:rsidP="00720D70">
      <w:pPr>
        <w:widowControl w:val="0"/>
        <w:tabs>
          <w:tab w:val="left" w:pos="426"/>
        </w:tabs>
        <w:jc w:val="both"/>
        <w:rPr>
          <w:color w:val="000000"/>
          <w:sz w:val="28"/>
          <w:szCs w:val="28"/>
        </w:rPr>
      </w:pPr>
      <w:r w:rsidRPr="000451DE">
        <w:rPr>
          <w:b/>
          <w:color w:val="000000"/>
          <w:sz w:val="28"/>
          <w:szCs w:val="28"/>
        </w:rPr>
        <w:t>TERCERO.</w:t>
      </w:r>
      <w:r w:rsidRPr="000451DE">
        <w:rPr>
          <w:color w:val="000000"/>
          <w:sz w:val="28"/>
          <w:szCs w:val="28"/>
        </w:rPr>
        <w:t xml:space="preserve"> La inexequibilidad y la reviviscencia de que tratan los numerales primero y segundo de la parte resolutiva de esta sentencia tendrán </w:t>
      </w:r>
      <w:r w:rsidRPr="000451DE">
        <w:rPr>
          <w:b/>
          <w:color w:val="000000"/>
          <w:sz w:val="28"/>
          <w:szCs w:val="28"/>
        </w:rPr>
        <w:t>EFECTOS DIFERIDOS</w:t>
      </w:r>
      <w:r w:rsidRPr="000451DE">
        <w:rPr>
          <w:color w:val="000000"/>
          <w:sz w:val="28"/>
          <w:szCs w:val="28"/>
        </w:rPr>
        <w:t xml:space="preserve"> y operarán a partir del 1° de enero de 2027, de conformidad con lo expuesto en esta providencia.</w:t>
      </w:r>
    </w:p>
    <w:p w14:paraId="465E3B21" w14:textId="77777777" w:rsidR="00720D70" w:rsidRPr="000451DE" w:rsidRDefault="00720D70" w:rsidP="00720D70">
      <w:pPr>
        <w:widowControl w:val="0"/>
        <w:tabs>
          <w:tab w:val="left" w:pos="426"/>
        </w:tabs>
        <w:jc w:val="both"/>
        <w:rPr>
          <w:color w:val="000000"/>
          <w:sz w:val="28"/>
          <w:szCs w:val="28"/>
        </w:rPr>
      </w:pPr>
    </w:p>
    <w:p w14:paraId="5A523822" w14:textId="280F2D44" w:rsidR="00B7367B" w:rsidRPr="000451DE" w:rsidRDefault="00720D70" w:rsidP="00720D70">
      <w:pPr>
        <w:jc w:val="both"/>
        <w:rPr>
          <w:color w:val="000000"/>
          <w:sz w:val="28"/>
          <w:szCs w:val="28"/>
        </w:rPr>
      </w:pPr>
      <w:r w:rsidRPr="000451DE">
        <w:rPr>
          <w:b/>
          <w:color w:val="000000"/>
          <w:sz w:val="28"/>
          <w:szCs w:val="28"/>
        </w:rPr>
        <w:t>CUARTO. ORDENAR</w:t>
      </w:r>
      <w:r w:rsidRPr="000451DE">
        <w:rPr>
          <w:color w:val="000000"/>
          <w:sz w:val="28"/>
          <w:szCs w:val="28"/>
        </w:rPr>
        <w:t xml:space="preserve"> (i) al Ministerio de Hacienda y Crédito Público, a la Registraduría Nacional del Estado Civil y al Consejo Nacional Electoral que a más tardar el 31 de diciembre de 2026, de manera coordinada, realicen las adecuaciones normativas e institucionales requeridas respecto de la reviviscencia dispuesta en el resolutivo segundo y (ii) al Ministerio de Hacienda y Crédito Público y al Departamento Nacional de Planeación, así como a la Registraduría Nacional del Estado Civil, en coordinación con el Consejo Nacional Electoral, que en la presentación del proyecto de ley del Presupuesto General de la Nación para la vigencia 2027 se aplique lo dispuesto en esta sentencia.</w:t>
      </w:r>
    </w:p>
    <w:p w14:paraId="69486018" w14:textId="77777777" w:rsidR="00720D70" w:rsidRPr="00720D70" w:rsidRDefault="00720D70" w:rsidP="00720D70">
      <w:pPr>
        <w:jc w:val="both"/>
        <w:rPr>
          <w:iCs/>
          <w:sz w:val="28"/>
          <w:szCs w:val="28"/>
        </w:rPr>
      </w:pPr>
    </w:p>
    <w:p w14:paraId="0B2C1226" w14:textId="77D36401" w:rsidR="00A73D49" w:rsidRDefault="000B11A6" w:rsidP="00A5582A">
      <w:pPr>
        <w:pBdr>
          <w:top w:val="nil"/>
          <w:left w:val="nil"/>
          <w:bottom w:val="nil"/>
          <w:right w:val="nil"/>
          <w:between w:val="nil"/>
        </w:pBdr>
        <w:tabs>
          <w:tab w:val="left" w:pos="426"/>
        </w:tabs>
        <w:jc w:val="both"/>
        <w:rPr>
          <w:color w:val="000000"/>
          <w:sz w:val="28"/>
          <w:szCs w:val="28"/>
        </w:rPr>
      </w:pPr>
      <w:r w:rsidRPr="00554FD8">
        <w:rPr>
          <w:color w:val="000000"/>
          <w:sz w:val="28"/>
          <w:szCs w:val="28"/>
        </w:rPr>
        <w:t>Notifíquese, comuníquese, publíquese y cúmplase</w:t>
      </w:r>
    </w:p>
    <w:p w14:paraId="03B07AB8" w14:textId="24609E2A" w:rsidR="004A02BF" w:rsidRDefault="004A02BF" w:rsidP="00A5582A">
      <w:pPr>
        <w:pBdr>
          <w:top w:val="nil"/>
          <w:left w:val="nil"/>
          <w:bottom w:val="nil"/>
          <w:right w:val="nil"/>
          <w:between w:val="nil"/>
        </w:pBdr>
        <w:tabs>
          <w:tab w:val="left" w:pos="426"/>
        </w:tabs>
        <w:jc w:val="both"/>
        <w:rPr>
          <w:color w:val="000000"/>
          <w:sz w:val="28"/>
          <w:szCs w:val="28"/>
        </w:rPr>
      </w:pPr>
    </w:p>
    <w:p w14:paraId="29A08960" w14:textId="67E6B504"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PAOLA ANDREA MENESES MOSQUERA</w:t>
      </w:r>
    </w:p>
    <w:p w14:paraId="18BB466D" w14:textId="2FF1144D"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Presidenta</w:t>
      </w:r>
    </w:p>
    <w:p w14:paraId="4EA4AA22" w14:textId="1E1FC43A" w:rsidR="004A02BF" w:rsidRDefault="004A02BF" w:rsidP="00A5582A">
      <w:pPr>
        <w:pBdr>
          <w:top w:val="nil"/>
          <w:left w:val="nil"/>
          <w:bottom w:val="nil"/>
          <w:right w:val="nil"/>
          <w:between w:val="nil"/>
        </w:pBdr>
        <w:tabs>
          <w:tab w:val="left" w:pos="426"/>
        </w:tabs>
        <w:jc w:val="both"/>
        <w:rPr>
          <w:color w:val="000000"/>
          <w:sz w:val="28"/>
          <w:szCs w:val="28"/>
        </w:rPr>
      </w:pPr>
    </w:p>
    <w:p w14:paraId="43B7B1CC" w14:textId="792CB8F2" w:rsidR="004A02BF" w:rsidRDefault="004A02BF" w:rsidP="00A5582A">
      <w:pPr>
        <w:pBdr>
          <w:top w:val="nil"/>
          <w:left w:val="nil"/>
          <w:bottom w:val="nil"/>
          <w:right w:val="nil"/>
          <w:between w:val="nil"/>
        </w:pBdr>
        <w:tabs>
          <w:tab w:val="left" w:pos="426"/>
        </w:tabs>
        <w:jc w:val="both"/>
        <w:rPr>
          <w:color w:val="000000"/>
          <w:sz w:val="28"/>
          <w:szCs w:val="28"/>
        </w:rPr>
      </w:pPr>
    </w:p>
    <w:p w14:paraId="43C013F3" w14:textId="78D97016"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NATALIA ÁNGEL CABO</w:t>
      </w:r>
    </w:p>
    <w:p w14:paraId="48ADE5DE" w14:textId="1EFA1696"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Magistrada</w:t>
      </w:r>
    </w:p>
    <w:p w14:paraId="7B41460A" w14:textId="1228EDC3" w:rsidR="004A02BF" w:rsidRDefault="004A02BF" w:rsidP="00A5582A">
      <w:pPr>
        <w:pBdr>
          <w:top w:val="nil"/>
          <w:left w:val="nil"/>
          <w:bottom w:val="nil"/>
          <w:right w:val="nil"/>
          <w:between w:val="nil"/>
        </w:pBdr>
        <w:tabs>
          <w:tab w:val="left" w:pos="426"/>
        </w:tabs>
        <w:jc w:val="both"/>
        <w:rPr>
          <w:color w:val="000000"/>
          <w:sz w:val="28"/>
          <w:szCs w:val="28"/>
        </w:rPr>
      </w:pPr>
    </w:p>
    <w:p w14:paraId="47361CB1" w14:textId="01F79DC1" w:rsidR="004A02BF" w:rsidRDefault="004A02BF" w:rsidP="00A5582A">
      <w:pPr>
        <w:pBdr>
          <w:top w:val="nil"/>
          <w:left w:val="nil"/>
          <w:bottom w:val="nil"/>
          <w:right w:val="nil"/>
          <w:between w:val="nil"/>
        </w:pBdr>
        <w:tabs>
          <w:tab w:val="left" w:pos="426"/>
        </w:tabs>
        <w:jc w:val="both"/>
        <w:rPr>
          <w:color w:val="000000"/>
          <w:sz w:val="28"/>
          <w:szCs w:val="28"/>
        </w:rPr>
      </w:pPr>
    </w:p>
    <w:p w14:paraId="136B945D" w14:textId="7E38CEF4"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CARLOS CAMARGO ASSIS</w:t>
      </w:r>
    </w:p>
    <w:p w14:paraId="64686019" w14:textId="6E246A2D"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060A3577" w14:textId="50B1C61C" w:rsidR="004A02BF" w:rsidRDefault="004A02BF" w:rsidP="00A5582A">
      <w:pPr>
        <w:pBdr>
          <w:top w:val="nil"/>
          <w:left w:val="nil"/>
          <w:bottom w:val="nil"/>
          <w:right w:val="nil"/>
          <w:between w:val="nil"/>
        </w:pBdr>
        <w:tabs>
          <w:tab w:val="left" w:pos="426"/>
        </w:tabs>
        <w:jc w:val="both"/>
        <w:rPr>
          <w:color w:val="000000"/>
          <w:sz w:val="28"/>
          <w:szCs w:val="28"/>
        </w:rPr>
      </w:pPr>
    </w:p>
    <w:p w14:paraId="4F09FCA2" w14:textId="4D2DB23C" w:rsidR="004A02BF" w:rsidRDefault="004A02BF" w:rsidP="00A5582A">
      <w:pPr>
        <w:pBdr>
          <w:top w:val="nil"/>
          <w:left w:val="nil"/>
          <w:bottom w:val="nil"/>
          <w:right w:val="nil"/>
          <w:between w:val="nil"/>
        </w:pBdr>
        <w:tabs>
          <w:tab w:val="left" w:pos="426"/>
        </w:tabs>
        <w:jc w:val="both"/>
        <w:rPr>
          <w:color w:val="000000"/>
          <w:sz w:val="28"/>
          <w:szCs w:val="28"/>
        </w:rPr>
      </w:pPr>
    </w:p>
    <w:p w14:paraId="6D1B8A66" w14:textId="1CEE1224"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HECTOR ALFONSO CARVAJAL LONDOÑO</w:t>
      </w:r>
    </w:p>
    <w:p w14:paraId="743AA360" w14:textId="2CD9913D"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31A5AA7A" w14:textId="3B89D194" w:rsidR="004A02BF" w:rsidRDefault="004A02BF" w:rsidP="00A5582A">
      <w:pPr>
        <w:pBdr>
          <w:top w:val="nil"/>
          <w:left w:val="nil"/>
          <w:bottom w:val="nil"/>
          <w:right w:val="nil"/>
          <w:between w:val="nil"/>
        </w:pBdr>
        <w:tabs>
          <w:tab w:val="left" w:pos="426"/>
        </w:tabs>
        <w:jc w:val="both"/>
        <w:rPr>
          <w:color w:val="000000"/>
          <w:sz w:val="28"/>
          <w:szCs w:val="28"/>
        </w:rPr>
      </w:pPr>
    </w:p>
    <w:p w14:paraId="3139EAA4" w14:textId="15EB612F" w:rsidR="004A02BF" w:rsidRDefault="004A02BF" w:rsidP="00A5582A">
      <w:pPr>
        <w:pBdr>
          <w:top w:val="nil"/>
          <w:left w:val="nil"/>
          <w:bottom w:val="nil"/>
          <w:right w:val="nil"/>
          <w:between w:val="nil"/>
        </w:pBdr>
        <w:tabs>
          <w:tab w:val="left" w:pos="426"/>
        </w:tabs>
        <w:jc w:val="both"/>
        <w:rPr>
          <w:color w:val="000000"/>
          <w:sz w:val="28"/>
          <w:szCs w:val="28"/>
        </w:rPr>
      </w:pPr>
    </w:p>
    <w:p w14:paraId="01FC061E" w14:textId="195F7A2B"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JUAN CARLOS CORTÉS GONZÁLEZ</w:t>
      </w:r>
    </w:p>
    <w:p w14:paraId="7EDE90F2" w14:textId="25F938DC"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65070CE9" w14:textId="5A87414D" w:rsidR="004A02BF" w:rsidRDefault="004A02BF" w:rsidP="00A5582A">
      <w:pPr>
        <w:pBdr>
          <w:top w:val="nil"/>
          <w:left w:val="nil"/>
          <w:bottom w:val="nil"/>
          <w:right w:val="nil"/>
          <w:between w:val="nil"/>
        </w:pBdr>
        <w:tabs>
          <w:tab w:val="left" w:pos="426"/>
        </w:tabs>
        <w:jc w:val="both"/>
        <w:rPr>
          <w:color w:val="000000"/>
          <w:sz w:val="28"/>
          <w:szCs w:val="28"/>
        </w:rPr>
      </w:pPr>
    </w:p>
    <w:p w14:paraId="11E10E14" w14:textId="01E5C659" w:rsidR="004A02BF" w:rsidRDefault="004A02BF" w:rsidP="00A5582A">
      <w:pPr>
        <w:pBdr>
          <w:top w:val="nil"/>
          <w:left w:val="nil"/>
          <w:bottom w:val="nil"/>
          <w:right w:val="nil"/>
          <w:between w:val="nil"/>
        </w:pBdr>
        <w:tabs>
          <w:tab w:val="left" w:pos="426"/>
        </w:tabs>
        <w:jc w:val="both"/>
        <w:rPr>
          <w:color w:val="000000"/>
          <w:sz w:val="28"/>
          <w:szCs w:val="28"/>
        </w:rPr>
      </w:pPr>
    </w:p>
    <w:p w14:paraId="66F6F6D5" w14:textId="578EA7D3"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LINA MARCELA ESCOBAR MARTÍNEZ</w:t>
      </w:r>
    </w:p>
    <w:p w14:paraId="16C9304F" w14:textId="53002C1B"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Magistrada</w:t>
      </w:r>
    </w:p>
    <w:p w14:paraId="48A8EFBC" w14:textId="1401D6AB" w:rsidR="004A02BF" w:rsidRDefault="004A02BF" w:rsidP="00A5582A">
      <w:pPr>
        <w:pBdr>
          <w:top w:val="nil"/>
          <w:left w:val="nil"/>
          <w:bottom w:val="nil"/>
          <w:right w:val="nil"/>
          <w:between w:val="nil"/>
        </w:pBdr>
        <w:tabs>
          <w:tab w:val="left" w:pos="426"/>
        </w:tabs>
        <w:jc w:val="both"/>
        <w:rPr>
          <w:color w:val="000000"/>
          <w:sz w:val="28"/>
          <w:szCs w:val="28"/>
        </w:rPr>
      </w:pPr>
    </w:p>
    <w:p w14:paraId="259509A8" w14:textId="61A039F6" w:rsidR="004A02BF" w:rsidRDefault="004A02BF" w:rsidP="00A5582A">
      <w:pPr>
        <w:pBdr>
          <w:top w:val="nil"/>
          <w:left w:val="nil"/>
          <w:bottom w:val="nil"/>
          <w:right w:val="nil"/>
          <w:between w:val="nil"/>
        </w:pBdr>
        <w:tabs>
          <w:tab w:val="left" w:pos="426"/>
        </w:tabs>
        <w:jc w:val="both"/>
        <w:rPr>
          <w:color w:val="000000"/>
          <w:sz w:val="28"/>
          <w:szCs w:val="28"/>
        </w:rPr>
      </w:pPr>
    </w:p>
    <w:p w14:paraId="5ADC7A97" w14:textId="62230E7E"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VLADIMIR FERNÁNDEZ ANDRADE</w:t>
      </w:r>
    </w:p>
    <w:p w14:paraId="75EFE790" w14:textId="289B3C2F"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6660A6F2" w14:textId="605D3324"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Con impedimento aceptado</w:t>
      </w:r>
    </w:p>
    <w:p w14:paraId="727FD533" w14:textId="2D22FFA9" w:rsidR="004A02BF" w:rsidRDefault="004A02BF" w:rsidP="00A5582A">
      <w:pPr>
        <w:pBdr>
          <w:top w:val="nil"/>
          <w:left w:val="nil"/>
          <w:bottom w:val="nil"/>
          <w:right w:val="nil"/>
          <w:between w:val="nil"/>
        </w:pBdr>
        <w:tabs>
          <w:tab w:val="left" w:pos="426"/>
        </w:tabs>
        <w:jc w:val="both"/>
        <w:rPr>
          <w:color w:val="000000"/>
          <w:sz w:val="28"/>
          <w:szCs w:val="28"/>
        </w:rPr>
      </w:pPr>
    </w:p>
    <w:p w14:paraId="32B6D33B" w14:textId="2AD25A4C" w:rsidR="004A02BF" w:rsidRDefault="004A02BF" w:rsidP="00A5582A">
      <w:pPr>
        <w:pBdr>
          <w:top w:val="nil"/>
          <w:left w:val="nil"/>
          <w:bottom w:val="nil"/>
          <w:right w:val="nil"/>
          <w:between w:val="nil"/>
        </w:pBdr>
        <w:tabs>
          <w:tab w:val="left" w:pos="426"/>
        </w:tabs>
        <w:jc w:val="both"/>
        <w:rPr>
          <w:color w:val="000000"/>
          <w:sz w:val="28"/>
          <w:szCs w:val="28"/>
        </w:rPr>
      </w:pPr>
    </w:p>
    <w:p w14:paraId="62DEE39C" w14:textId="63FE1A71"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 xml:space="preserve">JORGE ENRIQUE IBÁÑEZ NAJAR </w:t>
      </w:r>
    </w:p>
    <w:p w14:paraId="264940D0" w14:textId="61A4CB40"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0A164213" w14:textId="12F194FE" w:rsidR="004A02BF" w:rsidRDefault="004A02BF" w:rsidP="00A5582A">
      <w:pPr>
        <w:pBdr>
          <w:top w:val="nil"/>
          <w:left w:val="nil"/>
          <w:bottom w:val="nil"/>
          <w:right w:val="nil"/>
          <w:between w:val="nil"/>
        </w:pBdr>
        <w:tabs>
          <w:tab w:val="left" w:pos="426"/>
        </w:tabs>
        <w:jc w:val="both"/>
        <w:rPr>
          <w:color w:val="000000"/>
          <w:sz w:val="28"/>
          <w:szCs w:val="28"/>
        </w:rPr>
      </w:pPr>
    </w:p>
    <w:p w14:paraId="58ED8FB1" w14:textId="2CAE54B7" w:rsidR="004A02BF" w:rsidRDefault="004A02BF" w:rsidP="00A5582A">
      <w:pPr>
        <w:pBdr>
          <w:top w:val="nil"/>
          <w:left w:val="nil"/>
          <w:bottom w:val="nil"/>
          <w:right w:val="nil"/>
          <w:between w:val="nil"/>
        </w:pBdr>
        <w:tabs>
          <w:tab w:val="left" w:pos="426"/>
        </w:tabs>
        <w:jc w:val="both"/>
        <w:rPr>
          <w:color w:val="000000"/>
          <w:sz w:val="28"/>
          <w:szCs w:val="28"/>
        </w:rPr>
      </w:pPr>
    </w:p>
    <w:p w14:paraId="36F4BB09" w14:textId="62778F8F"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MIGUEL POLO ROSERO</w:t>
      </w:r>
    </w:p>
    <w:p w14:paraId="1FCB55D7" w14:textId="26CE2A02"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Magistrado</w:t>
      </w:r>
    </w:p>
    <w:p w14:paraId="4E2E4ABE" w14:textId="60F647D1" w:rsidR="004A02BF" w:rsidRDefault="004A02BF" w:rsidP="00A5582A">
      <w:pPr>
        <w:pBdr>
          <w:top w:val="nil"/>
          <w:left w:val="nil"/>
          <w:bottom w:val="nil"/>
          <w:right w:val="nil"/>
          <w:between w:val="nil"/>
        </w:pBdr>
        <w:tabs>
          <w:tab w:val="left" w:pos="426"/>
        </w:tabs>
        <w:jc w:val="both"/>
        <w:rPr>
          <w:color w:val="000000"/>
          <w:sz w:val="28"/>
          <w:szCs w:val="28"/>
        </w:rPr>
      </w:pPr>
    </w:p>
    <w:p w14:paraId="632E133C" w14:textId="79A4DDBA" w:rsidR="004A02BF" w:rsidRDefault="004A02BF" w:rsidP="00A5582A">
      <w:pPr>
        <w:pBdr>
          <w:top w:val="nil"/>
          <w:left w:val="nil"/>
          <w:bottom w:val="nil"/>
          <w:right w:val="nil"/>
          <w:between w:val="nil"/>
        </w:pBdr>
        <w:tabs>
          <w:tab w:val="left" w:pos="426"/>
        </w:tabs>
        <w:jc w:val="both"/>
        <w:rPr>
          <w:color w:val="000000"/>
          <w:sz w:val="28"/>
          <w:szCs w:val="28"/>
        </w:rPr>
      </w:pPr>
    </w:p>
    <w:p w14:paraId="44DB2F37" w14:textId="086630CE"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ANDREA LILIANA ROMERO LOPEZ</w:t>
      </w:r>
    </w:p>
    <w:p w14:paraId="536B12CC" w14:textId="63C16DA1" w:rsidR="004A02BF" w:rsidRDefault="004A02BF" w:rsidP="004A02BF">
      <w:pPr>
        <w:pBdr>
          <w:top w:val="nil"/>
          <w:left w:val="nil"/>
          <w:bottom w:val="nil"/>
          <w:right w:val="nil"/>
          <w:between w:val="nil"/>
        </w:pBdr>
        <w:tabs>
          <w:tab w:val="left" w:pos="426"/>
        </w:tabs>
        <w:jc w:val="center"/>
        <w:rPr>
          <w:color w:val="000000"/>
          <w:sz w:val="28"/>
          <w:szCs w:val="28"/>
        </w:rPr>
      </w:pPr>
      <w:r w:rsidRPr="004A02BF">
        <w:rPr>
          <w:color w:val="000000"/>
          <w:sz w:val="28"/>
          <w:szCs w:val="28"/>
        </w:rPr>
        <w:t>Secretaria General</w:t>
      </w:r>
    </w:p>
    <w:p w14:paraId="0E97B3C6" w14:textId="77777777" w:rsidR="004A02BF" w:rsidRPr="00A5582A" w:rsidRDefault="004A02BF" w:rsidP="00A5582A">
      <w:pPr>
        <w:pBdr>
          <w:top w:val="nil"/>
          <w:left w:val="nil"/>
          <w:bottom w:val="nil"/>
          <w:right w:val="nil"/>
          <w:between w:val="nil"/>
        </w:pBdr>
        <w:tabs>
          <w:tab w:val="left" w:pos="426"/>
        </w:tabs>
        <w:jc w:val="both"/>
        <w:rPr>
          <w:color w:val="000000"/>
          <w:sz w:val="28"/>
          <w:szCs w:val="28"/>
        </w:rPr>
      </w:pPr>
    </w:p>
    <w:sectPr w:rsidR="004A02BF" w:rsidRPr="00A5582A" w:rsidSect="001A5115">
      <w:footerReference w:type="default" r:id="rId15"/>
      <w:type w:val="continuous"/>
      <w:pgSz w:w="12240" w:h="18720"/>
      <w:pgMar w:top="1276" w:right="1701" w:bottom="1701" w:left="1701" w:header="34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7D274" w14:textId="77777777" w:rsidR="00CA0A69" w:rsidRDefault="00CA0A69">
      <w:r>
        <w:separator/>
      </w:r>
    </w:p>
  </w:endnote>
  <w:endnote w:type="continuationSeparator" w:id="0">
    <w:p w14:paraId="69748D28" w14:textId="77777777" w:rsidR="00CA0A69" w:rsidRDefault="00CA0A69">
      <w:r>
        <w:continuationSeparator/>
      </w:r>
    </w:p>
  </w:endnote>
  <w:endnote w:type="continuationNotice" w:id="1">
    <w:p w14:paraId="4DACC0FD" w14:textId="77777777" w:rsidR="00CA0A69" w:rsidRDefault="00CA0A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roman"/>
    <w:pitch w:val="variable"/>
    <w:sig w:usb0="E0002AEF" w:usb1="C0007841"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594973387"/>
      <w:docPartObj>
        <w:docPartGallery w:val="Page Numbers (Bottom of Page)"/>
        <w:docPartUnique/>
      </w:docPartObj>
    </w:sdtPr>
    <w:sdtEndPr>
      <w:rPr>
        <w:rStyle w:val="Nmerodepgina"/>
      </w:rPr>
    </w:sdtEndPr>
    <w:sdtContent>
      <w:p w14:paraId="18B49128" w14:textId="77777777" w:rsidR="00AD0E5E" w:rsidRDefault="00AD0E5E" w:rsidP="00921EE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62316440" w14:textId="77777777" w:rsidR="00AD0E5E" w:rsidRPr="00711CFF" w:rsidRDefault="00AD0E5E" w:rsidP="002C0806">
    <w:pPr>
      <w:pBdr>
        <w:top w:val="nil"/>
        <w:left w:val="nil"/>
        <w:bottom w:val="nil"/>
        <w:right w:val="nil"/>
        <w:between w:val="nil"/>
      </w:pBdr>
      <w:tabs>
        <w:tab w:val="center" w:pos="4419"/>
        <w:tab w:val="left" w:pos="7396"/>
        <w:tab w:val="left" w:pos="8182"/>
        <w:tab w:val="right" w:pos="8838"/>
      </w:tabs>
      <w:ind w:right="360"/>
      <w:rPr>
        <w:color w:val="000000"/>
      </w:rPr>
    </w:pPr>
    <w:r>
      <w:rPr>
        <w:color w:val="000000"/>
      </w:rPr>
      <w:tab/>
    </w:r>
    <w:r>
      <w:rPr>
        <w:color w:val="000000"/>
      </w:rPr>
      <w:tab/>
    </w:r>
    <w:r>
      <w:rPr>
        <w:color w:val="000000"/>
      </w:rPr>
      <w:tab/>
    </w:r>
    <w:r>
      <w:rPr>
        <w:color w:val="000000"/>
      </w:rPr>
      <w:tab/>
    </w:r>
    <w:r w:rsidRPr="00711CFF">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118F7" w14:textId="77777777" w:rsidR="00CA0A69" w:rsidRDefault="00CA0A69">
      <w:r>
        <w:separator/>
      </w:r>
    </w:p>
  </w:footnote>
  <w:footnote w:type="continuationSeparator" w:id="0">
    <w:p w14:paraId="29E30448" w14:textId="77777777" w:rsidR="00CA0A69" w:rsidRDefault="00CA0A69">
      <w:r>
        <w:continuationSeparator/>
      </w:r>
    </w:p>
  </w:footnote>
  <w:footnote w:type="continuationNotice" w:id="1">
    <w:p w14:paraId="6DAC0920" w14:textId="77777777" w:rsidR="00CA0A69" w:rsidRDefault="00CA0A69"/>
  </w:footnote>
  <w:footnote w:id="2">
    <w:p w14:paraId="74F094F0" w14:textId="4455470A" w:rsidR="00AD0E5E" w:rsidRPr="006A6FCD" w:rsidRDefault="00AD0E5E" w:rsidP="006A6FCD">
      <w:pPr>
        <w:pStyle w:val="Textonotapie"/>
        <w:jc w:val="both"/>
      </w:pPr>
      <w:r w:rsidRPr="006A6FCD">
        <w:rPr>
          <w:rStyle w:val="Refdenotaalpie"/>
        </w:rPr>
        <w:footnoteRef/>
      </w:r>
      <w:r w:rsidRPr="006A6FCD">
        <w:t xml:space="preserve"> Disponible en: </w:t>
      </w:r>
      <w:hyperlink r:id="rId1" w:history="1">
        <w:r w:rsidRPr="006A6FCD">
          <w:rPr>
            <w:rStyle w:val="Hipervnculo"/>
          </w:rPr>
          <w:t>https://www.corteconstitucional.gov.co/relatoria/autos/2024/A705-24.htm</w:t>
        </w:r>
      </w:hyperlink>
      <w:r w:rsidRPr="006A6FCD">
        <w:t xml:space="preserve">. </w:t>
      </w:r>
    </w:p>
  </w:footnote>
  <w:footnote w:id="3">
    <w:p w14:paraId="24613959" w14:textId="321CB3E8" w:rsidR="00AD0E5E" w:rsidRPr="006A6FCD" w:rsidRDefault="00AD0E5E" w:rsidP="006A6FCD">
      <w:pPr>
        <w:pStyle w:val="Textonotapie"/>
        <w:jc w:val="both"/>
      </w:pPr>
      <w:r w:rsidRPr="006A6FCD">
        <w:rPr>
          <w:rStyle w:val="Refdenotaalpie"/>
        </w:rPr>
        <w:footnoteRef/>
      </w:r>
      <w:r w:rsidRPr="006A6FCD">
        <w:t xml:space="preserve"> Disponible en: </w:t>
      </w:r>
      <w:hyperlink r:id="rId2" w:history="1">
        <w:r w:rsidRPr="006A6FCD">
          <w:rPr>
            <w:rStyle w:val="Hipervnculo"/>
          </w:rPr>
          <w:t>https://www.corteconstitucional.gov.co/relatoria/2024/c-448-24.htm</w:t>
        </w:r>
      </w:hyperlink>
      <w:r w:rsidRPr="006A6FCD">
        <w:t xml:space="preserve">. </w:t>
      </w:r>
    </w:p>
  </w:footnote>
  <w:footnote w:id="4">
    <w:p w14:paraId="3B46F029" w14:textId="2B7833E8" w:rsidR="00AD0E5E" w:rsidRPr="006A6FCD" w:rsidRDefault="00AD0E5E" w:rsidP="006A6FCD">
      <w:pPr>
        <w:pStyle w:val="Textonotapie"/>
        <w:jc w:val="both"/>
      </w:pPr>
      <w:r w:rsidRPr="006A6FCD">
        <w:rPr>
          <w:rStyle w:val="Refdenotaalpie"/>
        </w:rPr>
        <w:footnoteRef/>
      </w:r>
      <w:r w:rsidRPr="006A6FCD">
        <w:t xml:space="preserve"> Expediente digital, archivo “D0015963-Peticiones y Otros-(2025-02-12 10-15-26).pdf”. </w:t>
      </w:r>
    </w:p>
  </w:footnote>
  <w:footnote w:id="5">
    <w:p w14:paraId="2054025A"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“D0015963-Auto Admisorio-(2025-02-27 07-47-43).pdf”. </w:t>
      </w:r>
    </w:p>
  </w:footnote>
  <w:footnote w:id="6">
    <w:p w14:paraId="7A77CF3E" w14:textId="53BF9994" w:rsidR="00AD0E5E" w:rsidRPr="006B4D2F" w:rsidRDefault="00AD0E5E" w:rsidP="006B4D2F">
      <w:pPr>
        <w:jc w:val="both"/>
        <w:rPr>
          <w:sz w:val="20"/>
          <w:szCs w:val="20"/>
        </w:rPr>
      </w:pPr>
      <w:r w:rsidRPr="00AD0E5E">
        <w:rPr>
          <w:rStyle w:val="Refdenotaalpie"/>
          <w:sz w:val="20"/>
          <w:szCs w:val="20"/>
        </w:rPr>
        <w:footnoteRef/>
      </w:r>
      <w:r w:rsidRPr="00AD0E5E">
        <w:rPr>
          <w:sz w:val="20"/>
          <w:szCs w:val="20"/>
        </w:rPr>
        <w:t xml:space="preserve"> En particular, este despacho invitó a Fedesarrollo, alCentro de Estudios de Derecho, Justicia y Sociedad Dejusticia, a la Comisión Colombiana de Juristas, al Colegio Colombiano de Abogados Administrativistas, al Observatorio de Agenda Legislativa y Asuntos Electorales de la Universidad Externado de Colombia, al Observatorio Legislativo de la Universidad del Rosario, al Observatorio Legislativo del Instituto de Ciencia Política Hernán Echavarría Olózaga, a las facultades de derecho de las Universidades Nacional de Colombia, de Antioquia, de Los Andes, Javeriana, del Rosario, Externado, Gran Colombia, Industrial de Santander, Libre, EAFIT, Sergio Arboleda, Santo Tomás, del Norte y de la Sabana.</w:t>
      </w:r>
    </w:p>
  </w:footnote>
  <w:footnote w:id="7">
    <w:p w14:paraId="63EF1DD1" w14:textId="2F35BF88" w:rsidR="00AD0E5E" w:rsidRPr="006A6FCD" w:rsidRDefault="00AD0E5E" w:rsidP="006A6FCD">
      <w:pPr>
        <w:pStyle w:val="Textonotapie"/>
        <w:jc w:val="both"/>
      </w:pPr>
      <w:r w:rsidRPr="006A6FCD">
        <w:rPr>
          <w:rStyle w:val="Refdenotaalpie"/>
        </w:rPr>
        <w:footnoteRef/>
      </w:r>
      <w:r w:rsidRPr="006A6FCD">
        <w:t xml:space="preserve"> Expediente digital, archivo “D0015963-Peticiones y Otros-(2025-06-17 16-27-44).pdf”. </w:t>
      </w:r>
    </w:p>
  </w:footnote>
  <w:footnote w:id="8">
    <w:p w14:paraId="01EEB5A0" w14:textId="720F5D70" w:rsidR="00AD0E5E" w:rsidRPr="006A6FCD" w:rsidRDefault="00AD0E5E" w:rsidP="006A6FCD">
      <w:pPr>
        <w:pStyle w:val="Textonotapie"/>
        <w:jc w:val="both"/>
      </w:pPr>
      <w:r w:rsidRPr="006A6FCD">
        <w:rPr>
          <w:rStyle w:val="Refdenotaalpie"/>
        </w:rPr>
        <w:footnoteRef/>
      </w:r>
      <w:r w:rsidRPr="006A6FCD">
        <w:t xml:space="preserve"> Disponible en: </w:t>
      </w:r>
      <w:hyperlink r:id="rId3" w:history="1">
        <w:r w:rsidRPr="006A6FCD">
          <w:rPr>
            <w:rStyle w:val="Hipervnculo"/>
          </w:rPr>
          <w:t>https://www.corteconstitucional.gov.co/secretaria/archivo.php?id=124352</w:t>
        </w:r>
      </w:hyperlink>
      <w:r w:rsidRPr="006A6FCD">
        <w:t xml:space="preserve">. </w:t>
      </w:r>
    </w:p>
  </w:footnote>
  <w:footnote w:id="9">
    <w:p w14:paraId="6F280EA3" w14:textId="233DA676" w:rsidR="00AD0E5E" w:rsidRPr="006A6FCD" w:rsidRDefault="00AD0E5E" w:rsidP="006A6FCD">
      <w:pPr>
        <w:pStyle w:val="Textonotapie"/>
        <w:jc w:val="both"/>
      </w:pPr>
      <w:r w:rsidRPr="006A6FCD">
        <w:rPr>
          <w:rStyle w:val="Refdenotaalpie"/>
        </w:rPr>
        <w:footnoteRef/>
      </w:r>
      <w:r w:rsidRPr="006A6FCD">
        <w:t xml:space="preserve"> Disponible en: </w:t>
      </w:r>
      <w:hyperlink r:id="rId4" w:history="1">
        <w:r w:rsidRPr="006A6FCD">
          <w:rPr>
            <w:rStyle w:val="Hipervnculo"/>
          </w:rPr>
          <w:t>https://www.corteconstitucional.gov.co/secretaria/archivo.php?id=128411</w:t>
        </w:r>
      </w:hyperlink>
      <w:r w:rsidRPr="006A6FCD">
        <w:t xml:space="preserve">. </w:t>
      </w:r>
    </w:p>
  </w:footnote>
  <w:footnote w:id="10">
    <w:p w14:paraId="6DF3AE8F" w14:textId="63D02A4C" w:rsidR="00AD0E5E" w:rsidRPr="006A6FCD" w:rsidRDefault="00AD0E5E" w:rsidP="006A6FCD">
      <w:pPr>
        <w:pStyle w:val="Textonotapie"/>
        <w:jc w:val="both"/>
      </w:pPr>
      <w:r w:rsidRPr="006A6FCD">
        <w:rPr>
          <w:rStyle w:val="Refdenotaalpie"/>
        </w:rPr>
        <w:footnoteRef/>
      </w:r>
      <w:r w:rsidRPr="006A6FCD">
        <w:t xml:space="preserve"> Corte Constitucional, Sentencia C-415 de 2020. </w:t>
      </w:r>
    </w:p>
  </w:footnote>
  <w:footnote w:id="11">
    <w:p w14:paraId="7690738F" w14:textId="77777777" w:rsidR="00AD0E5E" w:rsidRPr="006A6FCD" w:rsidRDefault="00AD0E5E" w:rsidP="006A6FCD">
      <w:pPr>
        <w:jc w:val="both"/>
        <w:rPr>
          <w:sz w:val="20"/>
          <w:szCs w:val="20"/>
        </w:rPr>
      </w:pPr>
      <w:r w:rsidRPr="006A6FCD">
        <w:rPr>
          <w:rStyle w:val="Refdenotaalpie"/>
          <w:sz w:val="20"/>
          <w:szCs w:val="20"/>
        </w:rPr>
        <w:footnoteRef/>
      </w:r>
      <w:r w:rsidRPr="006A6FCD">
        <w:rPr>
          <w:sz w:val="20"/>
          <w:szCs w:val="20"/>
        </w:rPr>
        <w:t xml:space="preserve"> Expediente digital, archivo “D0015963-Presentación Demanda-(2024-07-05 09-53-18).pdf”. </w:t>
      </w:r>
    </w:p>
  </w:footnote>
  <w:footnote w:id="12">
    <w:p w14:paraId="2759292D" w14:textId="591C05F0" w:rsidR="00AD0E5E" w:rsidRPr="006A6FCD" w:rsidRDefault="00AD0E5E" w:rsidP="006A6FCD">
      <w:pPr>
        <w:jc w:val="both"/>
        <w:rPr>
          <w:sz w:val="20"/>
          <w:szCs w:val="20"/>
        </w:rPr>
      </w:pPr>
      <w:r w:rsidRPr="006A6FCD">
        <w:rPr>
          <w:rStyle w:val="Refdenotaalpie"/>
          <w:sz w:val="20"/>
          <w:szCs w:val="20"/>
        </w:rPr>
        <w:footnoteRef/>
      </w:r>
      <w:r w:rsidRPr="006A6FCD">
        <w:rPr>
          <w:sz w:val="20"/>
          <w:szCs w:val="20"/>
        </w:rPr>
        <w:t xml:space="preserve"> Ibidem. </w:t>
      </w:r>
    </w:p>
  </w:footnote>
  <w:footnote w:id="13">
    <w:p w14:paraId="00E7CFFB" w14:textId="6FBF2A82" w:rsidR="00AD0E5E" w:rsidRPr="006A6FCD" w:rsidRDefault="00AD0E5E" w:rsidP="006A6FCD">
      <w:pPr>
        <w:pStyle w:val="Textonotapie"/>
        <w:jc w:val="both"/>
      </w:pPr>
      <w:r w:rsidRPr="006A6FCD">
        <w:rPr>
          <w:rStyle w:val="Refdenotaalpie"/>
        </w:rPr>
        <w:footnoteRef/>
      </w:r>
      <w:r w:rsidRPr="006A6FCD">
        <w:t xml:space="preserve"> Ibidem. </w:t>
      </w:r>
    </w:p>
  </w:footnote>
  <w:footnote w:id="14">
    <w:p w14:paraId="7DCD10B3" w14:textId="34BD0254" w:rsidR="00AD0E5E" w:rsidRPr="006A6FCD" w:rsidRDefault="00AD0E5E" w:rsidP="006A6FCD">
      <w:pPr>
        <w:pStyle w:val="Textonotapie"/>
        <w:jc w:val="both"/>
      </w:pPr>
      <w:r w:rsidRPr="006A6FCD">
        <w:rPr>
          <w:rStyle w:val="Refdenotaalpie"/>
        </w:rPr>
        <w:footnoteRef/>
      </w:r>
      <w:r w:rsidRPr="006A6FCD">
        <w:t xml:space="preserve"> Ibidem. </w:t>
      </w:r>
    </w:p>
  </w:footnote>
  <w:footnote w:id="15">
    <w:p w14:paraId="03C32615" w14:textId="3CDA7448" w:rsidR="00AD0E5E" w:rsidRPr="006A6FCD" w:rsidRDefault="00AD0E5E" w:rsidP="006A6FCD">
      <w:pPr>
        <w:pStyle w:val="Textonotapie"/>
        <w:jc w:val="both"/>
      </w:pPr>
      <w:r w:rsidRPr="006A6FCD">
        <w:rPr>
          <w:rStyle w:val="Refdenotaalpie"/>
        </w:rPr>
        <w:footnoteRef/>
      </w:r>
      <w:r w:rsidRPr="006A6FCD">
        <w:t xml:space="preserve"> Ibidem. </w:t>
      </w:r>
    </w:p>
  </w:footnote>
  <w:footnote w:id="16">
    <w:p w14:paraId="4A061118" w14:textId="2903CD3E"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Al respecto, el actor se refirió a la Gaceta n.° 180 de 2023. </w:t>
      </w:r>
    </w:p>
  </w:footnote>
  <w:footnote w:id="17">
    <w:p w14:paraId="12B196C8" w14:textId="5A91A8E9"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Al respecto, el actor se refirió a las gacetas n.° 386 y 388 de 2023. </w:t>
      </w:r>
    </w:p>
  </w:footnote>
  <w:footnote w:id="18">
    <w:p w14:paraId="3FF51844" w14:textId="4FA08653"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Al respecto, el actor se refirió a la Gaceta n.° 427 de 2023. </w:t>
      </w:r>
    </w:p>
  </w:footnote>
  <w:footnote w:id="19">
    <w:p w14:paraId="67C808F5" w14:textId="7B788526"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Al respecto, el actor se refirió a las gacetas n.° 417 y 428 de 2023. </w:t>
      </w:r>
    </w:p>
  </w:footnote>
  <w:footnote w:id="20">
    <w:p w14:paraId="7CAD11C5"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Expediente digital, archivo “D0015963-Presentación Demanda-(2024-07-05 09-53-18).pdf”.</w:t>
      </w:r>
    </w:p>
  </w:footnote>
  <w:footnote w:id="21">
    <w:p w14:paraId="168FA655"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Ibidem. </w:t>
      </w:r>
    </w:p>
  </w:footnote>
  <w:footnote w:id="22">
    <w:p w14:paraId="095E891F" w14:textId="21B1A0C1" w:rsidR="00AD0E5E" w:rsidRPr="006A6FCD" w:rsidRDefault="00AD0E5E" w:rsidP="006A6FCD">
      <w:pPr>
        <w:pStyle w:val="Textonotapie"/>
        <w:jc w:val="both"/>
        <w:rPr>
          <w:lang w:val="es-ES_tradnl"/>
        </w:rPr>
      </w:pPr>
      <w:r w:rsidRPr="006A6FCD">
        <w:rPr>
          <w:rStyle w:val="Refdenotaalpie"/>
        </w:rPr>
        <w:footnoteRef/>
      </w:r>
      <w:r w:rsidRPr="006A6FCD">
        <w:t xml:space="preserve"> Expediente digital, archivo “D0015963-Presentación Demanda-(2024-07-05 09-53-18).pdf”.</w:t>
      </w:r>
    </w:p>
  </w:footnote>
  <w:footnote w:id="23">
    <w:p w14:paraId="6F2E5BF4" w14:textId="6D03227C"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24">
    <w:p w14:paraId="6A5FE607" w14:textId="728591FE"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25">
    <w:p w14:paraId="017BC449"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Expediente digital, archivo “D0015963-Presentación Demanda-(2024-07-05 09-53-18).pdf”.</w:t>
      </w:r>
    </w:p>
  </w:footnote>
  <w:footnote w:id="26">
    <w:p w14:paraId="68FA4989" w14:textId="15C5D9D8" w:rsidR="00AD0E5E" w:rsidRPr="006A6FCD" w:rsidRDefault="00AD0E5E" w:rsidP="006A6FCD">
      <w:pPr>
        <w:snapToGrid w:val="0"/>
        <w:jc w:val="both"/>
        <w:rPr>
          <w:sz w:val="20"/>
          <w:szCs w:val="20"/>
          <w:u w:color="000000"/>
        </w:rPr>
      </w:pPr>
      <w:r w:rsidRPr="006A6FCD">
        <w:rPr>
          <w:rStyle w:val="Refdenotaalpie"/>
          <w:sz w:val="20"/>
          <w:szCs w:val="20"/>
        </w:rPr>
        <w:footnoteRef/>
      </w:r>
      <w:r w:rsidRPr="006A6FCD">
        <w:rPr>
          <w:sz w:val="20"/>
          <w:szCs w:val="20"/>
        </w:rPr>
        <w:t xml:space="preserve"> La Comisión Cuarta Constitucional Permanente del Senado de la República, mediante oficio n.° CCU-CS-3153-2025 informó que trasladó el Auto del 25 de febrero de 2025 a la Comisión Tercera Constitucional Permanente de la misma Corporación para que contestara lo solicitado, dado que fue aquella la que dirigió los debates relacionados con el </w:t>
      </w:r>
      <w:r w:rsidRPr="006A6FCD">
        <w:rPr>
          <w:sz w:val="20"/>
          <w:szCs w:val="20"/>
          <w:u w:color="000000"/>
        </w:rPr>
        <w:t xml:space="preserve">proyecto de ley </w:t>
      </w:r>
      <w:r w:rsidRPr="006A6FCD">
        <w:rPr>
          <w:sz w:val="20"/>
          <w:szCs w:val="20"/>
        </w:rPr>
        <w:t xml:space="preserve">n.° 274 de 2023 Senado, 338 de 2023 Cámara. Expediente digital, archivo “D0015963-Peticiones y Otros-(2025-02-28 05-39-54).pdf”. </w:t>
      </w:r>
    </w:p>
  </w:footnote>
  <w:footnote w:id="27">
    <w:p w14:paraId="63078B78"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“D0015963-Conceptos e Intervenciones-(2025-04-09 18-51-31).pdf” y “D0015963-Conceptos e Intervenciones-(2025-04-09 19-09-32).pdf”. </w:t>
      </w:r>
    </w:p>
  </w:footnote>
  <w:footnote w:id="28">
    <w:p w14:paraId="66A64670" w14:textId="75DC38CD"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29">
    <w:p w14:paraId="5B0C3776" w14:textId="390DFCA9"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0">
    <w:p w14:paraId="466C7BAD"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“D0015963-Conceptos e Intervenciones-(2025-04-09 18-51-31).pdf” y “D0015963-Conceptos e Intervenciones-(2025-04-09 19-09-32).pdf”. </w:t>
      </w:r>
    </w:p>
  </w:footnote>
  <w:footnote w:id="31">
    <w:p w14:paraId="19FB4731" w14:textId="04A1266B"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2">
    <w:p w14:paraId="2C3B5EB3" w14:textId="336C0A74"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3">
    <w:p w14:paraId="72BFEFD8" w14:textId="4D9DBBFC"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Despacho)-(2025-03-17 05-56-28).pdf” y “D0015963-Pruebas del Expediente (Recepción y Paso al Despacho)-(2025-03-17 05-57-14).pdf”. </w:t>
      </w:r>
    </w:p>
  </w:footnote>
  <w:footnote w:id="34">
    <w:p w14:paraId="2BC4A87B" w14:textId="3D8229DA"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5">
    <w:p w14:paraId="50D86433" w14:textId="4947D6E3"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6">
    <w:p w14:paraId="033F463F" w14:textId="14CC0F9E"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Expediente digital, archivos “D0015963-Pruebas del Expediente (Recepción y Paso al Despacho)-(2025-03-17 05-56-28).pdf”.</w:t>
      </w:r>
    </w:p>
  </w:footnote>
  <w:footnote w:id="37">
    <w:p w14:paraId="13ED3C5D" w14:textId="6D5AA3A3"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8">
    <w:p w14:paraId="72BA507A"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39">
    <w:p w14:paraId="6FBAC30E" w14:textId="6EE3FBAD"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El ministerio remitió, como anexo, una copia de la Resolución 1987 del 4 de agosto de 2023. Expediente digital, archivo “D0015963-Pruebas del Expediente (Recepción y Paso al Despacho)-(2025-03-17 05-57-14).pdf”. </w:t>
      </w:r>
    </w:p>
  </w:footnote>
  <w:footnote w:id="40">
    <w:p w14:paraId="79253512" w14:textId="18FDCC8F"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41">
    <w:p w14:paraId="3B97C145" w14:textId="10CFCC6C"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42">
    <w:p w14:paraId="030ECEBC"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Despacho)-(2025-03-18 16-00-17).pdf”. </w:t>
      </w:r>
    </w:p>
  </w:footnote>
  <w:footnote w:id="43">
    <w:p w14:paraId="7D7AC95F"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Despacho)-(2025-03-18 16-00-17).pdf”, pág. 10. </w:t>
      </w:r>
    </w:p>
  </w:footnote>
  <w:footnote w:id="44">
    <w:p w14:paraId="1EAB5EB8"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Despacho)-(2025-04-03 05-29-32).pdf”. </w:t>
      </w:r>
    </w:p>
  </w:footnote>
  <w:footnote w:id="45">
    <w:p w14:paraId="017F266C"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Gaceta del Congreso n.° 1143 de 2023 Cámara, pág. 130. </w:t>
      </w:r>
    </w:p>
  </w:footnote>
  <w:footnote w:id="46">
    <w:p w14:paraId="05F1A64D"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Despacho)-(2025-04-03 05-29-32).pdf”, págs. 7 y 8.  </w:t>
      </w:r>
    </w:p>
  </w:footnote>
  <w:footnote w:id="47">
    <w:p w14:paraId="338D4ECD" w14:textId="5631C2CB"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Despacho)-(2025-03-06 19-38-13).pdf”. </w:t>
      </w:r>
    </w:p>
  </w:footnote>
  <w:footnote w:id="48">
    <w:p w14:paraId="46E7EA16" w14:textId="232808DB"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“D0015963-Pruebas del Expediente (Recepción y Paso al Despacho)-(2025-03-12 20-55-23).pdf”. </w:t>
      </w:r>
    </w:p>
  </w:footnote>
  <w:footnote w:id="49">
    <w:p w14:paraId="7E41CB15"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“D0015963-Peticiones y Otros-(2025-03-12 07-13-35).pdf”. </w:t>
      </w:r>
    </w:p>
  </w:footnote>
  <w:footnote w:id="50">
    <w:p w14:paraId="17FE9024" w14:textId="0C1332CE"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Despacho)-(2025-03-14 04-32-23).pdf”, “D0015963-Pruebas del Expediente (Recepción y Paso al Despacho)-(2025-03-14 15-10-08).pdf” y “D0015963-Pruebas del Expediente (Recepción y Paso al Despacho)-(2025-03-14 04-33-33) (1).xlsx”. </w:t>
      </w:r>
    </w:p>
  </w:footnote>
  <w:footnote w:id="51">
    <w:p w14:paraId="5D3B8A2F" w14:textId="6C00E015"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52">
    <w:p w14:paraId="6E33A1F4" w14:textId="45E60313"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53">
    <w:p w14:paraId="13702455" w14:textId="0C5731C4"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54">
    <w:p w14:paraId="21D2F428"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Despacho)-(2025-03-14 04-32-23).pdf”, “D0015963-Pruebas del Expediente (Recepción y Paso al Despacho)-(2025-03-14 15-10-08).pdf” y “D0015963-Pruebas del Expediente (Recepción y Paso al Despacho)-(2025-03-14 04-33-33) (1).xlsx”. </w:t>
      </w:r>
    </w:p>
  </w:footnote>
  <w:footnote w:id="55">
    <w:p w14:paraId="708DE6DA" w14:textId="11F8023F" w:rsidR="00AD0E5E" w:rsidRPr="006A6FCD" w:rsidRDefault="00AD0E5E" w:rsidP="006A6FCD">
      <w:pPr>
        <w:pStyle w:val="Textonotapie"/>
        <w:jc w:val="both"/>
      </w:pPr>
      <w:r w:rsidRPr="008B1FEF">
        <w:rPr>
          <w:rStyle w:val="Refdenotaalpie"/>
        </w:rPr>
        <w:footnoteRef/>
      </w:r>
      <w:r w:rsidRPr="008B1FEF">
        <w:t xml:space="preserve"> Luego del vencimiento del término de fijación en lista se recibieron las intervenciones de las universidades Sergio Arboleda y Santo Tomás, las cuales fueron allegadas el 28 de mayo de 2025, y del Colegio Colombiano de Abogados Administrativistas que se recibió el 29 del mismo mes y año. </w:t>
      </w:r>
    </w:p>
  </w:footnote>
  <w:footnote w:id="56">
    <w:p w14:paraId="79E2C3F4" w14:textId="77777777" w:rsidR="00AD0E5E" w:rsidRPr="006A6FCD" w:rsidRDefault="00AD0E5E" w:rsidP="006A6FCD">
      <w:pPr>
        <w:jc w:val="both"/>
        <w:rPr>
          <w:sz w:val="20"/>
          <w:szCs w:val="20"/>
        </w:rPr>
      </w:pPr>
      <w:r w:rsidRPr="006A6FCD">
        <w:rPr>
          <w:rStyle w:val="Refdenotaalpie"/>
          <w:sz w:val="20"/>
          <w:szCs w:val="20"/>
        </w:rPr>
        <w:footnoteRef/>
      </w:r>
      <w:r w:rsidRPr="006A6FCD">
        <w:rPr>
          <w:sz w:val="20"/>
          <w:szCs w:val="20"/>
        </w:rPr>
        <w:t xml:space="preserve"> Lo anterior, de conformidad con los informes de la Secretaría General de la Corte Constitucional del 23 de enero de 2026. Expediente digital, archivos “D0015963-Peticiones y Otros-(2026-01-23 08-25-58).pdf” y “D0015963-Peticiones y Otros-(2026-01-23 08-28-52).pdf”. </w:t>
      </w:r>
    </w:p>
  </w:footnote>
  <w:footnote w:id="57">
    <w:p w14:paraId="7F1FD6C4" w14:textId="6321DC92"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“D0015963-Conceptos e Intervenciones-(2025-05-27 17-22-54).pdf”. </w:t>
      </w:r>
    </w:p>
  </w:footnote>
  <w:footnote w:id="58">
    <w:p w14:paraId="144260B6"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“D0015963-Conceptos e Intervenciones-(2025-05-27 17-22-54).pdf”. </w:t>
      </w:r>
    </w:p>
  </w:footnote>
  <w:footnote w:id="59">
    <w:p w14:paraId="0A96A638" w14:textId="55D582C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60">
    <w:p w14:paraId="0D06ADF2" w14:textId="2D601FBF"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“D0015963-Conceptos e Intervenciones-(2025-05-27 11-11-30).pdf”. </w:t>
      </w:r>
    </w:p>
  </w:footnote>
  <w:footnote w:id="61">
    <w:p w14:paraId="4EB5F4AF" w14:textId="5DE44209"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Expediente digital, archivo “D0015963-Conceptos e Intervenciones-(2025-05-27 11-11-30).pdf”.</w:t>
      </w:r>
    </w:p>
  </w:footnote>
  <w:footnote w:id="62">
    <w:p w14:paraId="24F5E585" w14:textId="147A469F"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“D0015963-Conceptos e Intervenciones-(2025-05-20 03-49-12).pdf”. </w:t>
      </w:r>
    </w:p>
  </w:footnote>
  <w:footnote w:id="63">
    <w:p w14:paraId="48DA8342"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“D0015963-Conceptos e Intervenciones-(2025-05-26 00-08-42).pdf” y “D0015963-Conceptos e Intervenciones-(2025-05-26 17-18-34).pdf”. </w:t>
      </w:r>
    </w:p>
  </w:footnote>
  <w:footnote w:id="64">
    <w:p w14:paraId="4E9B7A45" w14:textId="07F08695"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bCs/>
        </w:rPr>
        <w:t>Como petición subsidiaria, solicitaron que se exhorte al Congreso de la República y al Gobierno nacional a regular y limitar el uso de las facultades excepcionales previstas en los artículos demandados. Lo anterior, con el fin de que cuente con: (i) control previo del Congreso de la República; (ii) se asegure la participación de los entes territoriales y comunidades locales y (iii) se garantice el cumplimiento de las obligaciones de transparencia, evaluación técnica, sostenibilidad y rendición de cuentas.</w:t>
      </w:r>
    </w:p>
  </w:footnote>
  <w:footnote w:id="65">
    <w:p w14:paraId="3D556E46" w14:textId="3B7E13E9" w:rsidR="00AD0E5E" w:rsidRPr="00085E19" w:rsidRDefault="00AD0E5E" w:rsidP="00085E19">
      <w:pPr>
        <w:pStyle w:val="Textonotapie"/>
        <w:jc w:val="both"/>
        <w:rPr>
          <w:lang w:val="es-ES_tradnl"/>
        </w:rPr>
      </w:pPr>
      <w:r>
        <w:rPr>
          <w:rStyle w:val="Refdenotaalpie"/>
        </w:rPr>
        <w:footnoteRef/>
      </w:r>
      <w:r>
        <w:t xml:space="preserve"> </w:t>
      </w:r>
      <w:r w:rsidRPr="006A6FCD">
        <w:rPr>
          <w:lang w:val="es-ES_tradnl"/>
        </w:rPr>
        <w:t>Expediente digital, archivo</w:t>
      </w:r>
      <w:r>
        <w:rPr>
          <w:lang w:val="es-ES_tradnl"/>
        </w:rPr>
        <w:t>s</w:t>
      </w:r>
      <w:r w:rsidRPr="006A6FCD">
        <w:rPr>
          <w:lang w:val="es-ES_tradnl"/>
        </w:rPr>
        <w:t xml:space="preserve"> “D0015963-Conceptos e Intervenciones-(2025-05-20 03-49-12).pdf”</w:t>
      </w:r>
      <w:r>
        <w:rPr>
          <w:lang w:val="es-ES_tradnl"/>
        </w:rPr>
        <w:t xml:space="preserve">, </w:t>
      </w:r>
      <w:r w:rsidRPr="006A6FCD">
        <w:rPr>
          <w:lang w:val="es-ES_tradnl"/>
        </w:rPr>
        <w:t xml:space="preserve">“D0015963-Conceptos e Intervenciones-(2025-05-26 00-08-42).pdf” y “D0015963-Conceptos e Intervenciones-(2025-05-26 17-18-34).pdf”. </w:t>
      </w:r>
    </w:p>
  </w:footnote>
  <w:footnote w:id="66">
    <w:p w14:paraId="49B92E2C"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“D0015963-Conceptos e Intervenciones-(2025-05-26 00-08-42).pdf” y “D0015963-Conceptos e Intervenciones-(2025-05-26 17-18-34).pdf”. </w:t>
      </w:r>
    </w:p>
  </w:footnote>
  <w:footnote w:id="67">
    <w:p w14:paraId="2A71EAC5"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Expediente digital, archivos “D0015963-Conceptos e Intervenciones-(2025-05-26 00-08-42).pdf” y</w:t>
      </w:r>
    </w:p>
  </w:footnote>
  <w:footnote w:id="68">
    <w:p w14:paraId="1436083D" w14:textId="77777777" w:rsidR="00AD0E5E" w:rsidRPr="006A6FCD" w:rsidRDefault="00AD0E5E" w:rsidP="006A6FCD">
      <w:pPr>
        <w:pStyle w:val="Textonotapie"/>
        <w:jc w:val="both"/>
        <w:rPr>
          <w:lang w:val="es-ES_tradnl"/>
        </w:rPr>
      </w:pPr>
      <w:r w:rsidRPr="006A6FCD">
        <w:rPr>
          <w:lang w:val="es-ES_tradnl"/>
        </w:rPr>
        <w:t xml:space="preserve"> “D0015963-Conceptos e Intervenciones-(2025-05-26 17-18-34).pdf”. </w:t>
      </w:r>
    </w:p>
    <w:p w14:paraId="47A1E730" w14:textId="589F498E" w:rsidR="00AD0E5E" w:rsidRPr="006A6FCD" w:rsidRDefault="00AD0E5E" w:rsidP="006A6FCD">
      <w:pPr>
        <w:pStyle w:val="Textonotapie"/>
        <w:jc w:val="both"/>
        <w:rPr>
          <w:lang w:val="es-ES_tradnl"/>
        </w:rPr>
      </w:pPr>
      <w:r w:rsidRPr="006A6FCD">
        <w:rPr>
          <w:lang w:val="es-ES_tradnl"/>
        </w:rPr>
        <w:t xml:space="preserve">(2026-01-20 10-45-06).pdf”. </w:t>
      </w:r>
    </w:p>
  </w:footnote>
  <w:footnote w:id="69">
    <w:p w14:paraId="04FE3A82" w14:textId="77497FE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70">
    <w:p w14:paraId="07F09A18" w14:textId="27081F2F"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71">
    <w:p w14:paraId="72B3CA48" w14:textId="77777777" w:rsidR="00AD0E5E" w:rsidRPr="006A6FCD" w:rsidRDefault="00AD0E5E" w:rsidP="006A6FCD">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 “D0015963-Conceptos e Intervenciones-(2026-01-20 10-45-06).pdf”. </w:t>
      </w:r>
    </w:p>
  </w:footnote>
  <w:footnote w:id="72">
    <w:p w14:paraId="7AAA33CC" w14:textId="77777777" w:rsidR="00AD0E5E" w:rsidRPr="006A6FCD" w:rsidRDefault="00AD0E5E" w:rsidP="00A11859">
      <w:pPr>
        <w:pStyle w:val="Textonotapie"/>
        <w:jc w:val="both"/>
      </w:pPr>
      <w:r w:rsidRPr="006A6FCD">
        <w:rPr>
          <w:rStyle w:val="Refdenotaalpie"/>
        </w:rPr>
        <w:footnoteRef/>
      </w:r>
      <w:r w:rsidRPr="006A6FCD">
        <w:t xml:space="preserve"> Consideraciones tomadas parcialmente de las Sentencias C-</w:t>
      </w:r>
      <w:r>
        <w:t>162 de 2022, C-332 de 2023, C-053 de 2024 y C-500 de 2024.</w:t>
      </w:r>
    </w:p>
  </w:footnote>
  <w:footnote w:id="73">
    <w:p w14:paraId="6BD1CB46" w14:textId="57401014" w:rsidR="00AD0E5E" w:rsidRPr="009A2B39" w:rsidRDefault="00AD0E5E">
      <w:pPr>
        <w:pStyle w:val="Textonotapie"/>
      </w:pPr>
      <w:r>
        <w:rPr>
          <w:rStyle w:val="Refdenotaalpie"/>
        </w:rPr>
        <w:footnoteRef/>
      </w:r>
      <w:r>
        <w:t xml:space="preserve"> </w:t>
      </w:r>
      <w:r>
        <w:rPr>
          <w:lang w:val="es-ES_tradnl"/>
        </w:rPr>
        <w:t>Expediente digital, archivo “</w:t>
      </w:r>
      <w:r w:rsidRPr="00523893">
        <w:rPr>
          <w:lang w:val="es-ES_tradnl"/>
        </w:rPr>
        <w:t>D0015963-Conceptos e Intervenciones-(2026-01-20 10-45-06).pdf</w:t>
      </w:r>
      <w:r>
        <w:rPr>
          <w:lang w:val="es-ES_tradnl"/>
        </w:rPr>
        <w:t>”.</w:t>
      </w:r>
    </w:p>
  </w:footnote>
  <w:footnote w:id="74">
    <w:p w14:paraId="6E920860" w14:textId="77777777" w:rsidR="00AD0E5E" w:rsidRPr="0052291A" w:rsidRDefault="00AD0E5E" w:rsidP="00A11859">
      <w:pPr>
        <w:jc w:val="both"/>
        <w:rPr>
          <w:sz w:val="20"/>
          <w:szCs w:val="20"/>
        </w:rPr>
      </w:pPr>
      <w:r w:rsidRPr="0052291A">
        <w:rPr>
          <w:rStyle w:val="Refdenotaalpie"/>
          <w:sz w:val="20"/>
          <w:szCs w:val="20"/>
        </w:rPr>
        <w:footnoteRef/>
      </w:r>
      <w:r w:rsidRPr="0052291A">
        <w:rPr>
          <w:sz w:val="20"/>
          <w:szCs w:val="20"/>
        </w:rPr>
        <w:t xml:space="preserve"> “</w:t>
      </w:r>
      <w:r>
        <w:rPr>
          <w:color w:val="0D0D0D"/>
          <w:sz w:val="20"/>
          <w:szCs w:val="20"/>
          <w:shd w:val="clear" w:color="auto" w:fill="FFFFFF"/>
        </w:rPr>
        <w:t>[L]</w:t>
      </w:r>
      <w:r w:rsidRPr="0052291A">
        <w:rPr>
          <w:color w:val="0D0D0D"/>
          <w:sz w:val="20"/>
          <w:szCs w:val="20"/>
          <w:shd w:val="clear" w:color="auto" w:fill="FFFFFF"/>
        </w:rPr>
        <w:t>a Corte</w:t>
      </w:r>
      <w:r w:rsidRPr="0052291A">
        <w:rPr>
          <w:i/>
          <w:iCs/>
          <w:color w:val="2D2D2D"/>
          <w:sz w:val="20"/>
          <w:szCs w:val="20"/>
          <w:shd w:val="clear" w:color="auto" w:fill="FFFFFF"/>
        </w:rPr>
        <w:t> </w:t>
      </w:r>
      <w:r w:rsidRPr="0052291A">
        <w:rPr>
          <w:color w:val="0D0D0D"/>
          <w:sz w:val="20"/>
          <w:szCs w:val="20"/>
          <w:shd w:val="clear" w:color="auto" w:fill="FFFFFF"/>
        </w:rPr>
        <w:t>[…]</w:t>
      </w:r>
      <w:r w:rsidRPr="0052291A">
        <w:rPr>
          <w:i/>
          <w:iCs/>
          <w:color w:val="2D2D2D"/>
          <w:sz w:val="20"/>
          <w:szCs w:val="20"/>
          <w:shd w:val="clear" w:color="auto" w:fill="FFFFFF"/>
        </w:rPr>
        <w:t> </w:t>
      </w:r>
      <w:r w:rsidRPr="0052291A">
        <w:rPr>
          <w:color w:val="0D0D0D"/>
          <w:sz w:val="20"/>
          <w:szCs w:val="20"/>
          <w:shd w:val="clear" w:color="auto" w:fill="FFFFFF"/>
        </w:rPr>
        <w:t xml:space="preserve">podrá señalar en la sentencia las [otras disposiciones] que, a su juicio, conforman unidad normativa con aquellas otras que declara inconstitucionales”. </w:t>
      </w:r>
    </w:p>
  </w:footnote>
  <w:footnote w:id="75">
    <w:p w14:paraId="21639F06" w14:textId="77777777" w:rsidR="00AD0E5E" w:rsidRPr="001C3E0E" w:rsidRDefault="00AD0E5E" w:rsidP="002C1D4C">
      <w:pPr>
        <w:pStyle w:val="Textonotapie"/>
        <w:jc w:val="both"/>
      </w:pPr>
      <w:r>
        <w:rPr>
          <w:rStyle w:val="Refdenotaalpie"/>
        </w:rPr>
        <w:footnoteRef/>
      </w:r>
      <w:r>
        <w:t xml:space="preserve"> Corte Constitucional, Sentencia C-500 de 2024. También pueden consultarse las sentencias C-104 de 2016 y C-162 de 2022. </w:t>
      </w:r>
    </w:p>
  </w:footnote>
  <w:footnote w:id="76">
    <w:p w14:paraId="1BC3E158" w14:textId="77777777" w:rsidR="00AD0E5E" w:rsidRPr="001C3E0E" w:rsidRDefault="00AD0E5E" w:rsidP="00A11859">
      <w:pPr>
        <w:pStyle w:val="Textonotapie"/>
      </w:pPr>
      <w:r>
        <w:rPr>
          <w:rStyle w:val="Refdenotaalpie"/>
        </w:rPr>
        <w:footnoteRef/>
      </w:r>
      <w:r>
        <w:t xml:space="preserve"> Corte Constitucional, Sentencia C-053 de 2024. También puede consultarse la Sentencia C-332 de 2023. </w:t>
      </w:r>
    </w:p>
  </w:footnote>
  <w:footnote w:id="77">
    <w:p w14:paraId="1761A196" w14:textId="77777777" w:rsidR="00AD0E5E" w:rsidRPr="00523893" w:rsidRDefault="00AD0E5E" w:rsidP="00A11859">
      <w:pPr>
        <w:pStyle w:val="Textonotapie"/>
        <w:jc w:val="both"/>
        <w:rPr>
          <w:lang w:val="es-ES_tradnl"/>
        </w:rPr>
      </w:pPr>
      <w:r>
        <w:rPr>
          <w:rStyle w:val="Refdenotaalpie"/>
        </w:rPr>
        <w:footnoteRef/>
      </w:r>
      <w:r>
        <w:t xml:space="preserve"> </w:t>
      </w:r>
      <w:r>
        <w:rPr>
          <w:lang w:val="es-ES_tradnl"/>
        </w:rPr>
        <w:t>Expediente digital, archivo “</w:t>
      </w:r>
      <w:r w:rsidRPr="00523893">
        <w:rPr>
          <w:lang w:val="es-ES_tradnl"/>
        </w:rPr>
        <w:t>D0015963-Conceptos e Intervenciones-(2026-01-20 10-45-06).pdf</w:t>
      </w:r>
      <w:r>
        <w:rPr>
          <w:lang w:val="es-ES_tradnl"/>
        </w:rPr>
        <w:t xml:space="preserve">”. </w:t>
      </w:r>
    </w:p>
  </w:footnote>
  <w:footnote w:id="78">
    <w:p w14:paraId="5489540F"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C-489 de 2024. </w:t>
      </w:r>
    </w:p>
  </w:footnote>
  <w:footnote w:id="79">
    <w:p w14:paraId="336A956C"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Constitución Política. Artículo 150.3. Énfasis por fuera del texto original. Corte Constitucional, sentencia C-489 de 2024. </w:t>
      </w:r>
    </w:p>
  </w:footnote>
  <w:footnote w:id="80">
    <w:p w14:paraId="1AF31F23" w14:textId="1DB42CED" w:rsidR="00AD0E5E" w:rsidRPr="00573FCC"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w:t>
      </w:r>
      <w:r>
        <w:rPr>
          <w:iCs/>
          <w:color w:val="000000" w:themeColor="text1"/>
        </w:rPr>
        <w:t xml:space="preserve">Ibidem. </w:t>
      </w:r>
    </w:p>
  </w:footnote>
  <w:footnote w:id="81">
    <w:p w14:paraId="7BFE3F74" w14:textId="77777777" w:rsidR="00AD0E5E" w:rsidRPr="00F53417" w:rsidRDefault="00AD0E5E" w:rsidP="00F90529">
      <w:pPr>
        <w:pStyle w:val="Textonotapie"/>
        <w:jc w:val="both"/>
        <w:rPr>
          <w:color w:val="000000" w:themeColor="text1"/>
        </w:rPr>
      </w:pPr>
      <w:r w:rsidRPr="00F53417">
        <w:rPr>
          <w:rStyle w:val="Refdenotaalpie"/>
        </w:rPr>
        <w:footnoteRef/>
      </w:r>
      <w:r w:rsidRPr="00F53417">
        <w:t xml:space="preserve"> </w:t>
      </w:r>
      <w:r w:rsidRPr="00F53417">
        <w:rPr>
          <w:iCs/>
        </w:rPr>
        <w:t>Ibidem</w:t>
      </w:r>
      <w:r w:rsidRPr="00573FCC">
        <w:t>.</w:t>
      </w:r>
      <w:r w:rsidRPr="00573FCC">
        <w:rPr>
          <w:rStyle w:val="Hipervnculo"/>
          <w:u w:val="none"/>
        </w:rPr>
        <w:t xml:space="preserve"> </w:t>
      </w:r>
      <w:r w:rsidRPr="00573FCC">
        <w:rPr>
          <w:rStyle w:val="Hipervnculo"/>
          <w:color w:val="auto"/>
          <w:u w:val="none"/>
        </w:rPr>
        <w:t>Al respecto, también ver la sentencia C-430 de 2024, donde se reconoció lo siguiente: “(…)</w:t>
      </w:r>
      <w:r w:rsidRPr="00573FCC">
        <w:rPr>
          <w:rStyle w:val="Hipervnculo"/>
          <w:color w:val="auto"/>
        </w:rPr>
        <w:t xml:space="preserve"> </w:t>
      </w:r>
      <w:r w:rsidRPr="00F53417">
        <w:rPr>
          <w:iCs/>
          <w:shd w:val="clear" w:color="auto" w:fill="FFFFFF"/>
          <w:lang w:eastAsia="es-CO"/>
        </w:rPr>
        <w:t>para garantizar su ejecución, el plan nacional de desarrollo y de inversiones públicas señalará –en la parte general– </w:t>
      </w:r>
      <w:r w:rsidRPr="00F53417">
        <w:rPr>
          <w:iCs/>
          <w:lang w:eastAsia="es-CO"/>
        </w:rPr>
        <w:t>los “procedimientos y mecanismos generales” necesarios para alcanzar las metas nacionales y sectoriales que se propongan en el plan (artículo 5.b, Ley 152 de 1994), y –en el plan de inversiones–, los “mecanismos idóneos” para la ejecución de los principales programas y proyectos de inversión (artículo 6.d, Ley 152 de 1994). En la ley aprobatoria, por su parte, se determinarán</w:t>
      </w:r>
      <w:r w:rsidRPr="00F53417">
        <w:rPr>
          <w:iCs/>
          <w:shd w:val="clear" w:color="auto" w:fill="FFFFFF"/>
          <w:lang w:eastAsia="es-CO"/>
        </w:rPr>
        <w:t> los recursos y apropiaciones que se autoricen para la ejecución del plan y las medidas necesarias para impulsar su cumplimiento (artículo 150.3 de la Constitución). Este tipo de disposiciones que pueden ser incorporadas al plan y a la ley aprobatoria (procedimientos, mecanismos, apropiaciones y medidas) tienen por finalidad impulsar el cumplimiento o la ejecución del plan y, precisamente por ello, han llevado a la jurisprudencia a precisar que se trata de disposiciones instrumentales o de asignación de recursos, necesarias para su ejecución</w:t>
      </w:r>
      <w:r w:rsidRPr="00F53417">
        <w:rPr>
          <w:shd w:val="clear" w:color="auto" w:fill="FFFFFF"/>
          <w:lang w:eastAsia="es-CO"/>
        </w:rPr>
        <w:t>”.</w:t>
      </w:r>
    </w:p>
  </w:footnote>
  <w:footnote w:id="82">
    <w:p w14:paraId="63D538C1"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C-370 de 2024.</w:t>
      </w:r>
    </w:p>
  </w:footnote>
  <w:footnote w:id="83">
    <w:p w14:paraId="05EF2872"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w:t>
      </w:r>
      <w:r w:rsidRPr="00F53417">
        <w:rPr>
          <w:iCs/>
          <w:color w:val="000000" w:themeColor="text1"/>
        </w:rPr>
        <w:t xml:space="preserve">Ibidem. </w:t>
      </w:r>
    </w:p>
  </w:footnote>
  <w:footnote w:id="84">
    <w:p w14:paraId="42EF5935"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w:t>
      </w:r>
      <w:r w:rsidRPr="00F53417">
        <w:rPr>
          <w:iCs/>
          <w:color w:val="000000" w:themeColor="text1"/>
        </w:rPr>
        <w:t xml:space="preserve">Ibidem. </w:t>
      </w:r>
    </w:p>
  </w:footnote>
  <w:footnote w:id="85">
    <w:p w14:paraId="733E1E24"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C-244 de 2025. </w:t>
      </w:r>
    </w:p>
  </w:footnote>
  <w:footnote w:id="86">
    <w:p w14:paraId="31174DC1"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C-714 de 2008. </w:t>
      </w:r>
    </w:p>
  </w:footnote>
  <w:footnote w:id="87">
    <w:p w14:paraId="660EB68F"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Ibidem.</w:t>
      </w:r>
    </w:p>
  </w:footnote>
  <w:footnote w:id="88">
    <w:p w14:paraId="5D7E76CC"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C-489 de 2024.</w:t>
      </w:r>
    </w:p>
  </w:footnote>
  <w:footnote w:id="89">
    <w:p w14:paraId="57A04AB2" w14:textId="77777777" w:rsidR="00AD0E5E" w:rsidRPr="00F53417" w:rsidRDefault="00AD0E5E" w:rsidP="00F90529">
      <w:pPr>
        <w:pStyle w:val="Textonotapie"/>
        <w:jc w:val="both"/>
      </w:pPr>
      <w:r w:rsidRPr="00F53417">
        <w:rPr>
          <w:rStyle w:val="Refdenotaalpie"/>
        </w:rPr>
        <w:footnoteRef/>
      </w:r>
      <w:r w:rsidRPr="00F53417">
        <w:t xml:space="preserve"> </w:t>
      </w:r>
      <w:r w:rsidRPr="00F53417">
        <w:rPr>
          <w:iCs/>
        </w:rPr>
        <w:t>Ibidem</w:t>
      </w:r>
      <w:r w:rsidRPr="00F53417">
        <w:t>.</w:t>
      </w:r>
    </w:p>
  </w:footnote>
  <w:footnote w:id="90">
    <w:p w14:paraId="3B5E7FA8" w14:textId="77777777" w:rsidR="00AD0E5E" w:rsidRPr="00F53417" w:rsidRDefault="00AD0E5E" w:rsidP="00F90529">
      <w:pPr>
        <w:pStyle w:val="Textonotapie"/>
        <w:jc w:val="both"/>
      </w:pPr>
      <w:r w:rsidRPr="00F53417">
        <w:rPr>
          <w:rStyle w:val="Refdenotaalpie"/>
        </w:rPr>
        <w:footnoteRef/>
      </w:r>
      <w:r w:rsidRPr="00F53417">
        <w:t xml:space="preserve"> </w:t>
      </w:r>
      <w:r w:rsidRPr="00F53417">
        <w:rPr>
          <w:iCs/>
        </w:rPr>
        <w:t>Ibidem</w:t>
      </w:r>
      <w:r w:rsidRPr="00F53417">
        <w:t xml:space="preserve">. También se puede consultar, Corte Constitucional, Sentencia C-453 de 2016. </w:t>
      </w:r>
    </w:p>
  </w:footnote>
  <w:footnote w:id="91">
    <w:p w14:paraId="33542693" w14:textId="77777777" w:rsidR="00AD0E5E" w:rsidRPr="00F53417" w:rsidRDefault="00AD0E5E" w:rsidP="00F90529">
      <w:pPr>
        <w:pStyle w:val="Textonotapie"/>
        <w:jc w:val="both"/>
      </w:pPr>
      <w:r w:rsidRPr="00F53417">
        <w:rPr>
          <w:rStyle w:val="Refdenotaalpie"/>
        </w:rPr>
        <w:footnoteRef/>
      </w:r>
      <w:r w:rsidRPr="00F53417">
        <w:t xml:space="preserve"> </w:t>
      </w:r>
      <w:r w:rsidRPr="00F53417">
        <w:rPr>
          <w:iCs/>
        </w:rPr>
        <w:t>Ibidem.</w:t>
      </w:r>
    </w:p>
  </w:footnote>
  <w:footnote w:id="92">
    <w:p w14:paraId="3E58A760"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C-026 de 2020. </w:t>
      </w:r>
    </w:p>
  </w:footnote>
  <w:footnote w:id="93">
    <w:p w14:paraId="2A6DB154" w14:textId="33D0C3F4" w:rsidR="000451DE" w:rsidRPr="000451DE" w:rsidRDefault="000451DE" w:rsidP="000451DE">
      <w:pPr>
        <w:pStyle w:val="Textonotapie"/>
        <w:jc w:val="both"/>
      </w:pPr>
      <w:r w:rsidRPr="00830587">
        <w:rPr>
          <w:rStyle w:val="Refdenotaalpie"/>
        </w:rPr>
        <w:footnoteRef/>
      </w:r>
      <w:r w:rsidRPr="00830587">
        <w:t xml:space="preserve"> La jurisprudencia ha precisado que el PND podrá modificar normas de carácter permanente si la disposición acusada cumple tres condiciones: (i) la modificación debe tener un fin planificador y de impulso a la ejecución del plan cuatrienal (ii) en el trámite legislativo, los congresistas debieron tener información sobre esa modificación, esta debió ser tenida en cuenta por los mismos y debió existir la posibilidad de deliberar sobre este punto en el Congreso y (iii) la medida debe estar precedida de una </w:t>
      </w:r>
      <w:r w:rsidRPr="00830587">
        <w:rPr>
          <w:iCs/>
        </w:rPr>
        <w:t>justificación suficiente</w:t>
      </w:r>
      <w:r w:rsidRPr="00830587">
        <w:t>, ofrecida por el Gobierno nacional durante dicho trámite, en la que este explique cuál es la función de planeación que cumple la norma, su carácter instrumental y su idoneidad para ejecutar la parte general del PND y el PNI. Corte Constitucional, sentencias C-063 de 2021 y C-464, y C-415, C-126, C-068 y C-026 de 2020.</w:t>
      </w:r>
    </w:p>
  </w:footnote>
  <w:footnote w:id="94">
    <w:p w14:paraId="6A19DCC6" w14:textId="77777777" w:rsidR="00AD0E5E" w:rsidRPr="00F53417" w:rsidRDefault="00AD0E5E" w:rsidP="00F90529">
      <w:pPr>
        <w:pStyle w:val="Textonotapie"/>
        <w:jc w:val="both"/>
      </w:pPr>
      <w:r w:rsidRPr="00F53417">
        <w:rPr>
          <w:rStyle w:val="Refdenotaalpie"/>
        </w:rPr>
        <w:footnoteRef/>
      </w:r>
      <w:r w:rsidRPr="00F53417">
        <w:t xml:space="preserve"> Corte Constitucional, sentencias C-063 de 2021 y C-464, y C-415, C-126, C-068 y C-026 de 2020.</w:t>
      </w:r>
    </w:p>
  </w:footnote>
  <w:footnote w:id="95">
    <w:p w14:paraId="7D377C08" w14:textId="77777777" w:rsidR="00AD0E5E" w:rsidRPr="00F53417" w:rsidRDefault="00AD0E5E" w:rsidP="00F90529">
      <w:pPr>
        <w:pStyle w:val="Textonotapie"/>
        <w:jc w:val="both"/>
      </w:pPr>
      <w:r w:rsidRPr="00F53417">
        <w:rPr>
          <w:rStyle w:val="Refdenotaalpie"/>
        </w:rPr>
        <w:footnoteRef/>
      </w:r>
      <w:r w:rsidRPr="00F53417">
        <w:t xml:space="preserve"> Corte Constitucional, Sentencia C-068 de 2020.</w:t>
      </w:r>
    </w:p>
  </w:footnote>
  <w:footnote w:id="96">
    <w:p w14:paraId="549E3285" w14:textId="77777777" w:rsidR="00AD0E5E" w:rsidRPr="00F53417" w:rsidRDefault="00AD0E5E" w:rsidP="00F90529">
      <w:pPr>
        <w:pStyle w:val="Textonotapie"/>
        <w:jc w:val="both"/>
      </w:pPr>
      <w:r w:rsidRPr="00F53417">
        <w:rPr>
          <w:rStyle w:val="Refdenotaalpie"/>
        </w:rPr>
        <w:footnoteRef/>
      </w:r>
      <w:r w:rsidRPr="00F53417">
        <w:t xml:space="preserve"> Corte Constitucional, Sentencia C-126 de 2020.</w:t>
      </w:r>
    </w:p>
  </w:footnote>
  <w:footnote w:id="97">
    <w:p w14:paraId="5404FCA5" w14:textId="77777777" w:rsidR="00AD0E5E" w:rsidRPr="00F53417" w:rsidRDefault="00AD0E5E" w:rsidP="00F90529">
      <w:pPr>
        <w:pStyle w:val="Textonotapie"/>
        <w:jc w:val="both"/>
      </w:pPr>
      <w:r w:rsidRPr="00F53417">
        <w:rPr>
          <w:rStyle w:val="Refdenotaalpie"/>
        </w:rPr>
        <w:footnoteRef/>
      </w:r>
      <w:r w:rsidRPr="00F53417">
        <w:t xml:space="preserve"> </w:t>
      </w:r>
      <w:bookmarkStart w:id="15" w:name="_Hlk192154416"/>
      <w:r w:rsidRPr="00F53417">
        <w:t>Corte Constitucional, Sentencia C-415 de 2020.</w:t>
      </w:r>
      <w:bookmarkEnd w:id="15"/>
    </w:p>
  </w:footnote>
  <w:footnote w:id="98">
    <w:p w14:paraId="5E5D2819" w14:textId="77777777" w:rsidR="00AD0E5E" w:rsidRPr="00F53417" w:rsidRDefault="00AD0E5E" w:rsidP="00F90529">
      <w:pPr>
        <w:pStyle w:val="Textonotapie"/>
        <w:jc w:val="both"/>
      </w:pPr>
      <w:r w:rsidRPr="00F53417">
        <w:rPr>
          <w:rStyle w:val="Refdenotaalpie"/>
        </w:rPr>
        <w:footnoteRef/>
      </w:r>
      <w:r w:rsidRPr="00F53417">
        <w:t xml:space="preserve"> </w:t>
      </w:r>
      <w:r w:rsidRPr="00F53417">
        <w:rPr>
          <w:iCs/>
        </w:rPr>
        <w:t>Ibidem</w:t>
      </w:r>
      <w:r w:rsidRPr="00F53417">
        <w:t>. También se pueden consultar, Corte Constitucional, sentencias C-430 de 2024, C-370 de 2024 y C-037 de 2024.</w:t>
      </w:r>
    </w:p>
  </w:footnote>
  <w:footnote w:id="99">
    <w:p w14:paraId="36D81EF9" w14:textId="77777777" w:rsidR="00AD0E5E" w:rsidRPr="00F53417" w:rsidRDefault="00AD0E5E" w:rsidP="00F90529">
      <w:pPr>
        <w:pStyle w:val="Textonotapie"/>
        <w:jc w:val="both"/>
      </w:pPr>
      <w:r w:rsidRPr="00F53417">
        <w:rPr>
          <w:rStyle w:val="Refdenotaalpie"/>
        </w:rPr>
        <w:footnoteRef/>
      </w:r>
      <w:r w:rsidRPr="00F53417">
        <w:t xml:space="preserve"> Corte Constitucional, Sentencia C-063 de 2021.</w:t>
      </w:r>
    </w:p>
  </w:footnote>
  <w:footnote w:id="100">
    <w:p w14:paraId="1C2912C5" w14:textId="77777777" w:rsidR="00AD0E5E" w:rsidRPr="00F53417" w:rsidRDefault="00AD0E5E" w:rsidP="00F90529">
      <w:pPr>
        <w:pStyle w:val="Textonotapie"/>
        <w:jc w:val="both"/>
      </w:pPr>
      <w:r w:rsidRPr="00F53417">
        <w:rPr>
          <w:rStyle w:val="Refdenotaalpie"/>
        </w:rPr>
        <w:footnoteRef/>
      </w:r>
      <w:r w:rsidRPr="00F53417">
        <w:t xml:space="preserve"> Corte Constitucional, Sentencia C-415 de 2020.</w:t>
      </w:r>
    </w:p>
  </w:footnote>
  <w:footnote w:id="101">
    <w:p w14:paraId="6EC1E103" w14:textId="77777777" w:rsidR="00AD0E5E" w:rsidRPr="00F53417" w:rsidRDefault="00AD0E5E" w:rsidP="00F90529">
      <w:pPr>
        <w:pStyle w:val="Textonotapie"/>
        <w:jc w:val="both"/>
      </w:pPr>
      <w:r w:rsidRPr="00F53417">
        <w:rPr>
          <w:rStyle w:val="Refdenotaalpie"/>
        </w:rPr>
        <w:footnoteRef/>
      </w:r>
      <w:r w:rsidRPr="00F53417">
        <w:t xml:space="preserve"> </w:t>
      </w:r>
      <w:r w:rsidRPr="00F53417">
        <w:rPr>
          <w:iCs/>
        </w:rPr>
        <w:t>Ibidem.</w:t>
      </w:r>
    </w:p>
  </w:footnote>
  <w:footnote w:id="102">
    <w:p w14:paraId="1EE21AF1" w14:textId="77777777" w:rsidR="00AD0E5E" w:rsidRPr="00F53417" w:rsidRDefault="00AD0E5E" w:rsidP="00F90529">
      <w:pPr>
        <w:pStyle w:val="Textonotapie"/>
        <w:jc w:val="both"/>
      </w:pPr>
      <w:r w:rsidRPr="00F53417">
        <w:rPr>
          <w:rStyle w:val="Refdenotaalpie"/>
        </w:rPr>
        <w:footnoteRef/>
      </w:r>
      <w:r w:rsidRPr="00F53417">
        <w:t xml:space="preserve"> Corte Constitucional, sentencias C-038 de 2025, C-095 de 2021 y C-464 de 2020. </w:t>
      </w:r>
    </w:p>
  </w:footnote>
  <w:footnote w:id="103">
    <w:p w14:paraId="633043ED" w14:textId="77777777" w:rsidR="00AD0E5E" w:rsidRPr="00F53417" w:rsidRDefault="00AD0E5E" w:rsidP="00F90529">
      <w:pPr>
        <w:pStyle w:val="Textonotapie"/>
        <w:jc w:val="both"/>
      </w:pPr>
      <w:r w:rsidRPr="00F53417">
        <w:rPr>
          <w:rStyle w:val="Refdenotaalpie"/>
        </w:rPr>
        <w:footnoteRef/>
      </w:r>
      <w:r w:rsidRPr="00F53417">
        <w:t xml:space="preserve"> Corte Constitucional, Sentencia C-464 de 2020. </w:t>
      </w:r>
    </w:p>
  </w:footnote>
  <w:footnote w:id="104">
    <w:p w14:paraId="4DAAB3AA" w14:textId="5FF98344" w:rsidR="00AD0E5E" w:rsidRPr="00F53417" w:rsidRDefault="00AD0E5E" w:rsidP="00F90529">
      <w:pPr>
        <w:jc w:val="both"/>
        <w:rPr>
          <w:sz w:val="20"/>
          <w:szCs w:val="20"/>
        </w:rPr>
      </w:pPr>
      <w:r w:rsidRPr="00F53417">
        <w:rPr>
          <w:rStyle w:val="Refdenotaalpie"/>
          <w:sz w:val="20"/>
          <w:szCs w:val="20"/>
        </w:rPr>
        <w:footnoteRef/>
      </w:r>
      <w:r w:rsidRPr="00F53417">
        <w:rPr>
          <w:sz w:val="20"/>
          <w:szCs w:val="20"/>
        </w:rPr>
        <w:t xml:space="preserve"> Al respecto, también puede consultarse la Sentencia C-095 de 2021. En esta se señaló que: “</w:t>
      </w:r>
      <w:r w:rsidRPr="00F53417">
        <w:rPr>
          <w:sz w:val="20"/>
          <w:szCs w:val="20"/>
          <w:shd w:val="clear" w:color="auto" w:fill="FFFFFF"/>
          <w:lang w:val="es-ES"/>
        </w:rPr>
        <w:t>Los artículos 26 y 28 de la Ley 1955 de 2019 se encuentran en la Sección I, que regula el </w:t>
      </w:r>
      <w:r w:rsidRPr="00F53417">
        <w:rPr>
          <w:sz w:val="20"/>
          <w:szCs w:val="20"/>
          <w:shd w:val="clear" w:color="auto" w:fill="FFFFFF"/>
        </w:rPr>
        <w:t>“</w:t>
      </w:r>
      <w:r w:rsidRPr="00F53417">
        <w:rPr>
          <w:iCs/>
          <w:sz w:val="20"/>
          <w:szCs w:val="20"/>
          <w:shd w:val="clear" w:color="auto" w:fill="FFFFFF"/>
        </w:rPr>
        <w:t>Pacto por la legalidad: seguridad efectiva y justicia transparente para que todos vivamos con libertad y en democracia”. </w:t>
      </w:r>
      <w:r w:rsidRPr="00F53417">
        <w:rPr>
          <w:sz w:val="20"/>
          <w:szCs w:val="20"/>
          <w:shd w:val="clear" w:color="auto" w:fill="FFFFFF"/>
        </w:rPr>
        <w:t>Sin embargo, la Sala advierte que </w:t>
      </w:r>
      <w:r w:rsidRPr="00F53417">
        <w:rPr>
          <w:sz w:val="20"/>
          <w:szCs w:val="20"/>
          <w:shd w:val="clear" w:color="auto" w:fill="FFFFFF"/>
          <w:lang w:val="es-ES"/>
        </w:rPr>
        <w:t>las disposiciones mencionadas carecen de relación y conexidad con el pacto estructural mencionado. Es más, la</w:t>
      </w:r>
      <w:r w:rsidRPr="00F53417">
        <w:rPr>
          <w:sz w:val="20"/>
          <w:szCs w:val="20"/>
          <w:shd w:val="clear" w:color="auto" w:fill="FFFFFF"/>
        </w:rPr>
        <w:t xml:space="preserve"> regulación de los procedimientos para liquidar contratos </w:t>
      </w:r>
      <w:r w:rsidRPr="00AD0E5E">
        <w:rPr>
          <w:sz w:val="20"/>
          <w:szCs w:val="20"/>
          <w:shd w:val="clear" w:color="auto" w:fill="FFFFFF"/>
        </w:rPr>
        <w:t>mineros y liberar las áreas de explotación no se encuadra dentro del objetivo de ese pacto, que consiste en: </w:t>
      </w:r>
      <w:r w:rsidRPr="00AD0E5E">
        <w:rPr>
          <w:iCs/>
          <w:sz w:val="20"/>
          <w:szCs w:val="20"/>
          <w:shd w:val="clear" w:color="auto" w:fill="FFFFFF"/>
          <w:lang w:val="es-ES_tradnl"/>
        </w:rPr>
        <w:t>“</w:t>
      </w:r>
      <w:r w:rsidRPr="00AD0E5E">
        <w:rPr>
          <w:iCs/>
          <w:sz w:val="20"/>
          <w:szCs w:val="20"/>
          <w:shd w:val="clear" w:color="auto" w:fill="FFFFFF"/>
        </w:rPr>
        <w:t>establece [sic] las bases para la protección de las libertades individuales y de los bienes públicos, para el imperio de la ley y la garantía de los derechos humanos, para una lucha certera contra la corrupción y para el fortalecimiento</w:t>
      </w:r>
      <w:r w:rsidRPr="00F53417">
        <w:rPr>
          <w:iCs/>
          <w:sz w:val="20"/>
          <w:szCs w:val="20"/>
          <w:shd w:val="clear" w:color="auto" w:fill="FFFFFF"/>
        </w:rPr>
        <w:t xml:space="preserve"> de la Rama Judicial”. </w:t>
      </w:r>
      <w:r w:rsidRPr="00F53417">
        <w:rPr>
          <w:sz w:val="20"/>
          <w:szCs w:val="20"/>
          <w:shd w:val="clear" w:color="auto" w:fill="FFFFFF"/>
        </w:rPr>
        <w:t xml:space="preserve">Dicho de otra forma, las proposiciones atacadas no son instrumentales para alcanzar la meta referida”. </w:t>
      </w:r>
    </w:p>
  </w:footnote>
  <w:footnote w:id="105">
    <w:p w14:paraId="28BB4F0F" w14:textId="77777777" w:rsidR="00AD0E5E" w:rsidRPr="00AF320E" w:rsidRDefault="00AD0E5E" w:rsidP="00F90529">
      <w:pPr>
        <w:pStyle w:val="Textonotapie"/>
        <w:jc w:val="both"/>
      </w:pPr>
      <w:r w:rsidRPr="00F53417">
        <w:rPr>
          <w:rStyle w:val="Refdenotaalpie"/>
        </w:rPr>
        <w:footnoteRef/>
      </w:r>
      <w:r w:rsidRPr="00F53417">
        <w:t xml:space="preserve"> </w:t>
      </w:r>
      <w:r w:rsidRPr="00AF320E">
        <w:t xml:space="preserve">Corte Constitucional, Sentencia C-415 de 2020. </w:t>
      </w:r>
    </w:p>
  </w:footnote>
  <w:footnote w:id="106">
    <w:p w14:paraId="34D4C52C" w14:textId="77777777" w:rsidR="00AD0E5E" w:rsidRPr="00AF320E" w:rsidRDefault="00AD0E5E" w:rsidP="00F90529">
      <w:pPr>
        <w:pStyle w:val="Textonotapie"/>
        <w:jc w:val="both"/>
      </w:pPr>
      <w:r w:rsidRPr="00AF320E">
        <w:rPr>
          <w:rStyle w:val="Refdenotaalpie"/>
        </w:rPr>
        <w:footnoteRef/>
      </w:r>
      <w:r w:rsidRPr="00AF320E">
        <w:t xml:space="preserve"> Corte Constitucional, Sentencia C-244 de 2025. </w:t>
      </w:r>
    </w:p>
  </w:footnote>
  <w:footnote w:id="107">
    <w:p w14:paraId="731D6C58" w14:textId="21AB1F78" w:rsidR="00AD0E5E" w:rsidRPr="00C06F70" w:rsidRDefault="00AD0E5E" w:rsidP="00AF320E">
      <w:pPr>
        <w:pStyle w:val="Textonotapie"/>
        <w:rPr>
          <w:sz w:val="18"/>
          <w:szCs w:val="18"/>
        </w:rPr>
      </w:pPr>
      <w:r w:rsidRPr="00AF320E">
        <w:rPr>
          <w:rStyle w:val="Refdenotaalpie"/>
        </w:rPr>
        <w:footnoteRef/>
      </w:r>
      <w:r w:rsidRPr="00AF320E">
        <w:t xml:space="preserve"> Corte Constitucional, sentencias C-244 de 2025 y C-415 de 2020.</w:t>
      </w:r>
    </w:p>
  </w:footnote>
  <w:footnote w:id="108">
    <w:p w14:paraId="1144EDDB" w14:textId="54515E5B" w:rsidR="00AD0E5E" w:rsidRPr="00AF320E" w:rsidRDefault="00AD0E5E" w:rsidP="00AF320E">
      <w:pPr>
        <w:jc w:val="both"/>
        <w:rPr>
          <w:sz w:val="20"/>
          <w:szCs w:val="20"/>
        </w:rPr>
      </w:pPr>
      <w:r w:rsidRPr="00AD0E5E">
        <w:rPr>
          <w:rStyle w:val="Refdenotaalpie"/>
          <w:sz w:val="20"/>
          <w:szCs w:val="20"/>
        </w:rPr>
        <w:footnoteRef/>
      </w:r>
      <w:r w:rsidRPr="00AD0E5E">
        <w:rPr>
          <w:sz w:val="20"/>
          <w:szCs w:val="20"/>
        </w:rPr>
        <w:t xml:space="preserve"> La Sentencia C-244 de 2025 reiteró que “en la ley del plan </w:t>
      </w:r>
      <w:r w:rsidRPr="00AD0E5E">
        <w:rPr>
          <w:iCs/>
          <w:sz w:val="20"/>
          <w:szCs w:val="20"/>
        </w:rPr>
        <w:t>no se pueden contener cualquier tipología de normatividad legal</w:t>
      </w:r>
      <w:r w:rsidRPr="00AD0E5E">
        <w:rPr>
          <w:sz w:val="20"/>
          <w:szCs w:val="20"/>
        </w:rPr>
        <w:t xml:space="preserve">, ni convertirse en una colcha de retazos que lleve a un limbo normativo, pues, de no hacer esta distinción cualquier medida de política principalmente económica tendría siempre conexión -así fuera remota- con el Plan Nacional de Desarrollo”. Entonces, es factible advertir que el </w:t>
      </w:r>
      <w:r w:rsidRPr="00AD0E5E">
        <w:rPr>
          <w:iCs/>
          <w:sz w:val="20"/>
          <w:szCs w:val="20"/>
        </w:rPr>
        <w:t>principio de unidad de materia se evalúa también en virtud de la naturaleza del plan de desarrollo</w:t>
      </w:r>
      <w:r w:rsidRPr="00AD0E5E">
        <w:rPr>
          <w:sz w:val="20"/>
          <w:szCs w:val="20"/>
        </w:rPr>
        <w:t xml:space="preserve">. Igualmente, la Sentencia C-126 de 2020 señaló que la ley del plan tiene un alcance y condiciones de aprobación diferentes a las de otras leyes: “así, aunque la ley del plan </w:t>
      </w:r>
      <w:r w:rsidRPr="00AD0E5E">
        <w:rPr>
          <w:iCs/>
          <w:sz w:val="20"/>
          <w:szCs w:val="20"/>
        </w:rPr>
        <w:t>es una ley de carácter ordinario</w:t>
      </w:r>
      <w:r w:rsidRPr="00AD0E5E">
        <w:rPr>
          <w:sz w:val="20"/>
          <w:szCs w:val="20"/>
        </w:rPr>
        <w:t xml:space="preserve"> -no estatutaria ni orgánica-, </w:t>
      </w:r>
      <w:r w:rsidRPr="00AD0E5E">
        <w:rPr>
          <w:iCs/>
          <w:sz w:val="20"/>
          <w:szCs w:val="20"/>
        </w:rPr>
        <w:t>ni requiere de mayorías especiales</w:t>
      </w:r>
      <w:r w:rsidRPr="00AD0E5E">
        <w:rPr>
          <w:sz w:val="20"/>
          <w:szCs w:val="20"/>
        </w:rPr>
        <w:t xml:space="preserve"> para su aprobación, </w:t>
      </w:r>
      <w:r w:rsidRPr="00AD0E5E">
        <w:rPr>
          <w:iCs/>
          <w:sz w:val="20"/>
          <w:szCs w:val="20"/>
        </w:rPr>
        <w:t>sí tiene una finalidad especial</w:t>
      </w:r>
      <w:r w:rsidRPr="00AD0E5E">
        <w:rPr>
          <w:sz w:val="20"/>
          <w:szCs w:val="20"/>
        </w:rPr>
        <w:t xml:space="preserve">, pues está orientada a cumplir los objetivos que el Gobierno en funciones quiere promover, </w:t>
      </w:r>
      <w:r w:rsidRPr="00AD0E5E">
        <w:rPr>
          <w:iCs/>
          <w:sz w:val="20"/>
          <w:szCs w:val="20"/>
        </w:rPr>
        <w:t>por lo que su vigencia es temporal e igualmente su trámite es más breve</w:t>
      </w:r>
      <w:r w:rsidRPr="00AD0E5E">
        <w:rPr>
          <w:sz w:val="20"/>
          <w:szCs w:val="20"/>
        </w:rPr>
        <w:t>, y está sujeto a condiciones constitucionales especiales en las que el Gobierno tiene mayor injerencia en la decisión del legislativo, en los términos regulados por el artículo 341 de la Constitución”. También, pueden verse las sentencias C-143 de 2025 y C-126 de 2020.</w:t>
      </w:r>
    </w:p>
  </w:footnote>
  <w:footnote w:id="109">
    <w:p w14:paraId="619CF0D7"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C-489 de 2024.</w:t>
      </w:r>
    </w:p>
  </w:footnote>
  <w:footnote w:id="110">
    <w:p w14:paraId="5CD0495C"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C-244 de 2025. </w:t>
      </w:r>
    </w:p>
  </w:footnote>
  <w:footnote w:id="111">
    <w:p w14:paraId="3D9B45C8"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12">
    <w:p w14:paraId="08D0F110"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C-489 de 2024.</w:t>
      </w:r>
    </w:p>
  </w:footnote>
  <w:footnote w:id="113">
    <w:p w14:paraId="52BC9966" w14:textId="77777777" w:rsidR="00AD0E5E" w:rsidRPr="00F53417" w:rsidRDefault="00AD0E5E" w:rsidP="00F90529">
      <w:pPr>
        <w:pStyle w:val="Textonotapie"/>
        <w:jc w:val="both"/>
        <w:rPr>
          <w:color w:val="000000" w:themeColor="text1"/>
        </w:rPr>
      </w:pPr>
      <w:r w:rsidRPr="00F53417">
        <w:rPr>
          <w:rStyle w:val="Refdenotaalpie"/>
          <w:color w:val="000000" w:themeColor="text1"/>
        </w:rPr>
        <w:footnoteRef/>
      </w:r>
      <w:r w:rsidRPr="00F53417">
        <w:rPr>
          <w:color w:val="000000" w:themeColor="text1"/>
        </w:rPr>
        <w:t xml:space="preserve"> Corte Constitucional, sentencia C-489 de 2024. Citada en la Sentencia C-244 de 2025. </w:t>
      </w:r>
    </w:p>
  </w:footnote>
  <w:footnote w:id="114">
    <w:p w14:paraId="2855CCCD"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C-244 de 2025. </w:t>
      </w:r>
    </w:p>
  </w:footnote>
  <w:footnote w:id="115">
    <w:p w14:paraId="7E9E99C7"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16">
    <w:p w14:paraId="257E682C"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Corte Constitucional, Sentencia C-489 de 2024. </w:t>
      </w:r>
    </w:p>
  </w:footnote>
  <w:footnote w:id="117">
    <w:p w14:paraId="7D6F23A4"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18">
    <w:p w14:paraId="2BB74B9B"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19">
    <w:p w14:paraId="2D5EBFA5" w14:textId="1ABA59FE" w:rsidR="00AD0E5E" w:rsidRPr="004E607E" w:rsidRDefault="00AD0E5E" w:rsidP="004E607E">
      <w:pPr>
        <w:pStyle w:val="Textonotapie"/>
        <w:jc w:val="both"/>
      </w:pPr>
      <w:r>
        <w:rPr>
          <w:rStyle w:val="Refdenotaalpie"/>
        </w:rPr>
        <w:footnoteRef/>
      </w:r>
      <w:r>
        <w:t xml:space="preserve"> Corte Constitucional, Sentencia C-652 de 2015.</w:t>
      </w:r>
    </w:p>
  </w:footnote>
  <w:footnote w:id="120">
    <w:p w14:paraId="58124669" w14:textId="56834296" w:rsidR="00AD0E5E" w:rsidRPr="004E607E" w:rsidRDefault="00AD0E5E" w:rsidP="004E607E">
      <w:pPr>
        <w:pStyle w:val="Textonotapie"/>
        <w:jc w:val="both"/>
      </w:pPr>
      <w:r>
        <w:rPr>
          <w:rStyle w:val="Refdenotaalpie"/>
        </w:rPr>
        <w:footnoteRef/>
      </w:r>
      <w:r>
        <w:t xml:space="preserve"> Corte Constitucional, Sentencia C-142 de 2015. </w:t>
      </w:r>
    </w:p>
  </w:footnote>
  <w:footnote w:id="121">
    <w:p w14:paraId="690080E8" w14:textId="77777777" w:rsidR="00AD0E5E" w:rsidRPr="00F53417" w:rsidRDefault="00AD0E5E" w:rsidP="00E23D7F">
      <w:pPr>
        <w:pStyle w:val="Textonotapie"/>
        <w:jc w:val="both"/>
        <w:rPr>
          <w:lang w:val="es-ES_tradnl"/>
        </w:rPr>
      </w:pPr>
      <w:r w:rsidRPr="00F53417">
        <w:rPr>
          <w:rStyle w:val="Refdenotaalpie"/>
        </w:rPr>
        <w:footnoteRef/>
      </w:r>
      <w:r w:rsidRPr="00F53417">
        <w:t xml:space="preserve"> </w:t>
      </w:r>
      <w:r w:rsidRPr="00F53417">
        <w:rPr>
          <w:lang w:val="es-ES_tradnl"/>
        </w:rPr>
        <w:t xml:space="preserve">Expediente digital, archivos “D0015963-Conceptos e Intervenciones-(2025-04-09 18-51-31).pdf” y “D0015963-Conceptos e Intervenciones-(2025-04-09 19-09-32).pdf”. </w:t>
      </w:r>
    </w:p>
  </w:footnote>
  <w:footnote w:id="122">
    <w:p w14:paraId="535E3679" w14:textId="77777777" w:rsidR="00AD0E5E" w:rsidRPr="00F53417" w:rsidRDefault="00AD0E5E" w:rsidP="00E23D7F">
      <w:pPr>
        <w:pStyle w:val="Textonotapie"/>
        <w:jc w:val="both"/>
        <w:rPr>
          <w:lang w:val="es-ES_tradnl"/>
        </w:rPr>
      </w:pPr>
      <w:r w:rsidRPr="00F53417">
        <w:rPr>
          <w:rStyle w:val="Refdenotaalpie"/>
        </w:rPr>
        <w:footnoteRef/>
      </w:r>
      <w:r w:rsidRPr="00F53417">
        <w:t xml:space="preserve"> </w:t>
      </w:r>
      <w:r w:rsidRPr="00F53417">
        <w:rPr>
          <w:lang w:val="es-ES_tradnl"/>
        </w:rPr>
        <w:t xml:space="preserve">Expediente digital, archivos “D0015963-Conceptos e Intervenciones-(2025-04-09 18-51-31).pdf” y “D0015963-Conceptos e Intervenciones-(2025-04-09 19-09-32).pdf”. </w:t>
      </w:r>
    </w:p>
  </w:footnote>
  <w:footnote w:id="123">
    <w:p w14:paraId="605C92E7" w14:textId="77777777" w:rsidR="00AD0E5E" w:rsidRPr="00F53417" w:rsidRDefault="00AD0E5E" w:rsidP="00E23D7F">
      <w:pPr>
        <w:pStyle w:val="Textonotapie"/>
        <w:jc w:val="both"/>
        <w:rPr>
          <w:lang w:val="es-ES_tradnl"/>
        </w:rPr>
      </w:pPr>
      <w:r w:rsidRPr="00F53417">
        <w:rPr>
          <w:rStyle w:val="Refdenotaalpie"/>
        </w:rPr>
        <w:footnoteRef/>
      </w:r>
      <w:r w:rsidRPr="00F53417">
        <w:t xml:space="preserve"> </w:t>
      </w:r>
      <w:r w:rsidRPr="00F53417">
        <w:rPr>
          <w:lang w:val="es-ES_tradnl"/>
        </w:rPr>
        <w:t>Expediente digital, archivos “D0015963-Conceptos e Intervenciones-(2025-04-09 18-51-31).pdf” y “D0015963-Conceptos e Intervenciones-(2025-04-09 19-09-32).pdf”.</w:t>
      </w:r>
    </w:p>
  </w:footnote>
  <w:footnote w:id="124">
    <w:p w14:paraId="5A7C84AE" w14:textId="77777777" w:rsidR="00AD0E5E" w:rsidRPr="00F53417" w:rsidRDefault="00AD0E5E" w:rsidP="00E23D7F">
      <w:pPr>
        <w:pStyle w:val="Textonotapie"/>
        <w:jc w:val="both"/>
      </w:pPr>
      <w:r w:rsidRPr="00F53417">
        <w:rPr>
          <w:rStyle w:val="Refdenotaalpie"/>
        </w:rPr>
        <w:footnoteRef/>
      </w:r>
      <w:r w:rsidRPr="00F53417">
        <w:t xml:space="preserve"> Gacetas del Congreso n.° 429 de 2023 (pág.129) y 427 de 2023 (pág. 129).</w:t>
      </w:r>
    </w:p>
  </w:footnote>
  <w:footnote w:id="125">
    <w:p w14:paraId="75FADC1A" w14:textId="77777777" w:rsidR="00AD0E5E" w:rsidRPr="00F53417" w:rsidRDefault="00AD0E5E" w:rsidP="00E23D7F">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26">
    <w:p w14:paraId="1F2F467B"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Los congresistas que presentaron la proposición fueron </w:t>
      </w:r>
      <w:r w:rsidRPr="00F53417">
        <w:t>los representantes Ingrid Aguirre, Mary Anne Perdomo, Andrés Cancimance, Ermes Pete, Gloria Elena Aristizábal, Alejandro Ocampo, Gabriel Becerra, María del Mar Pizarro, Leyla Marleny Rincón, Dorina Hernández, Jorge Bastidas, Alirio Uribe y Tamara Argote, así como por el senador Miguel Ángel Pinto y la senadora Karina Espinosa</w:t>
      </w:r>
      <w:r w:rsidRPr="00F53417">
        <w:rPr>
          <w:u w:color="000000"/>
        </w:rPr>
        <w:t>.</w:t>
      </w:r>
    </w:p>
  </w:footnote>
  <w:footnote w:id="127">
    <w:p w14:paraId="73AF9D32" w14:textId="77777777" w:rsidR="00AD0E5E" w:rsidRPr="00F53417" w:rsidRDefault="00AD0E5E" w:rsidP="00F90529">
      <w:pPr>
        <w:pStyle w:val="Textonotapie"/>
        <w:jc w:val="both"/>
      </w:pPr>
      <w:r w:rsidRPr="00F53417">
        <w:rPr>
          <w:rStyle w:val="Refdenotaalpie"/>
        </w:rPr>
        <w:footnoteRef/>
      </w:r>
      <w:r w:rsidRPr="00F53417">
        <w:t xml:space="preserve"> Expediente digital, archivo “</w:t>
      </w:r>
      <w:r w:rsidRPr="00F53417">
        <w:rPr>
          <w:lang w:val="es-ES"/>
        </w:rPr>
        <w:t xml:space="preserve">D0015963-Pruebas del Expediente (Recepcion y Paso al Despacho)-(2025-04-03 05-29-32).pdf”, págs. 22464 a 2466. También puede verse la Gaceta del Congreso n.° 902 de 2023, pág. 123. </w:t>
      </w:r>
    </w:p>
  </w:footnote>
  <w:footnote w:id="128">
    <w:p w14:paraId="332E7011"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Gaceta del Congreso n.° 902 de 2023, Pág. 120. </w:t>
      </w:r>
    </w:p>
  </w:footnote>
  <w:footnote w:id="129">
    <w:p w14:paraId="178DFB0B" w14:textId="77777777" w:rsidR="00AD0E5E" w:rsidRPr="00F53417" w:rsidRDefault="00AD0E5E" w:rsidP="00F90529">
      <w:pPr>
        <w:pStyle w:val="Textonotapie"/>
        <w:jc w:val="both"/>
        <w:rPr>
          <w:lang w:val="es-ES_tradnl"/>
        </w:rPr>
      </w:pPr>
      <w:r w:rsidRPr="00F53417">
        <w:rPr>
          <w:rStyle w:val="Refdenotaalpie"/>
        </w:rPr>
        <w:footnoteRef/>
      </w:r>
      <w:r w:rsidRPr="00F53417">
        <w:t xml:space="preserve"> </w:t>
      </w:r>
      <w:r w:rsidRPr="00F53417">
        <w:rPr>
          <w:lang w:val="es-ES_tradnl"/>
        </w:rPr>
        <w:t xml:space="preserve">Ibidem. </w:t>
      </w:r>
    </w:p>
  </w:footnote>
  <w:footnote w:id="130">
    <w:p w14:paraId="5AB0D7E9" w14:textId="77777777" w:rsidR="00AD0E5E" w:rsidRDefault="00AD0E5E" w:rsidP="002E3C05">
      <w:pPr>
        <w:pStyle w:val="Textonotapie"/>
      </w:pPr>
      <w:r w:rsidRPr="00AD0E5E">
        <w:rPr>
          <w:rStyle w:val="Refdenotaalpie"/>
        </w:rPr>
        <w:footnoteRef/>
      </w:r>
      <w:r w:rsidRPr="00AD0E5E">
        <w:t xml:space="preserve"> Disponible en:  </w:t>
      </w:r>
      <w:hyperlink r:id="rId5" w:history="1">
        <w:r w:rsidRPr="00AD0E5E">
          <w:rPr>
            <w:rStyle w:val="Hipervnculo"/>
          </w:rPr>
          <w:t>https://www.dnp.gov.co/plan-nacional-desarrollo/pnd-2022-2026/Paginas/plan-plurianual-de-inversiones.aspx</w:t>
        </w:r>
      </w:hyperlink>
      <w:r>
        <w:t xml:space="preserve"> </w:t>
      </w:r>
    </w:p>
  </w:footnote>
  <w:footnote w:id="131">
    <w:p w14:paraId="702BF1CD" w14:textId="77777777" w:rsidR="00AD0E5E" w:rsidRPr="00CA088C" w:rsidRDefault="00AD0E5E" w:rsidP="002F4271">
      <w:pPr>
        <w:pStyle w:val="Textonotapie"/>
        <w:jc w:val="both"/>
      </w:pPr>
      <w:r w:rsidRPr="0088183E">
        <w:rPr>
          <w:rStyle w:val="Refdenotaalpie"/>
        </w:rPr>
        <w:footnoteRef/>
      </w:r>
      <w:r w:rsidRPr="0088183E">
        <w:t xml:space="preserve"> Tal como consta en las gacetas n.° 1143 de 2023 y 902 de 2023, las normas objeto de control fueron incluidas en el proyecto de ley que culminó con la expedición de la Ley 2294 de 2023 por medio de una proposición de adición de dos artículos nuevos avalados. Dicha proposición fue explicada y, posteriormente, aprobada en las sesiones plenarias del 3 y 4 de mayo de 2023 en el Senado de la República y en la Cámara de Representantes, respectivamente, en el trámite de segundo debate.</w:t>
      </w:r>
      <w:r w:rsidRPr="00CA088C">
        <w:t xml:space="preserve"> </w:t>
      </w:r>
    </w:p>
  </w:footnote>
  <w:footnote w:id="132">
    <w:p w14:paraId="60E84BBE" w14:textId="77777777" w:rsidR="00AD0E5E" w:rsidRPr="00C5690D" w:rsidRDefault="00AD0E5E" w:rsidP="002F4271">
      <w:pPr>
        <w:pStyle w:val="Textonotapie"/>
        <w:jc w:val="both"/>
      </w:pPr>
      <w:r w:rsidRPr="0088183E">
        <w:rPr>
          <w:rStyle w:val="Refdenotaalpie"/>
        </w:rPr>
        <w:footnoteRef/>
      </w:r>
      <w:r w:rsidRPr="0088183E">
        <w:t xml:space="preserve"> En esta gaceta se publicó el mismo informe de conciliación publicado en la Gaceta n.° 427 de 2023. Lo anterior, con ocasión del trámite de aprobación efectuado ante el Senado de la República</w:t>
      </w:r>
      <w:r>
        <w:t xml:space="preserve"> de acuerdo a</w:t>
      </w:r>
      <w:r w:rsidRPr="0088183E">
        <w:t xml:space="preserve"> lo ordenado en el Auto 705 de 2024 proferido por la Corte Constitucional.</w:t>
      </w:r>
      <w:r>
        <w:t xml:space="preserve"> </w:t>
      </w:r>
    </w:p>
  </w:footnote>
  <w:footnote w:id="133">
    <w:p w14:paraId="2C374D48" w14:textId="103EDA0D" w:rsidR="00AD0E5E" w:rsidRPr="00354273" w:rsidRDefault="00AD0E5E" w:rsidP="00354273">
      <w:pPr>
        <w:jc w:val="both"/>
        <w:rPr>
          <w:sz w:val="20"/>
          <w:szCs w:val="20"/>
        </w:rPr>
      </w:pPr>
      <w:r w:rsidRPr="00354273">
        <w:rPr>
          <w:rStyle w:val="Refdenotaalpie"/>
          <w:sz w:val="20"/>
          <w:szCs w:val="20"/>
        </w:rPr>
        <w:footnoteRef/>
      </w:r>
      <w:r w:rsidRPr="00354273">
        <w:rPr>
          <w:sz w:val="20"/>
          <w:szCs w:val="20"/>
        </w:rPr>
        <w:t xml:space="preserve"> </w:t>
      </w:r>
      <w:r w:rsidRPr="00354273">
        <w:rPr>
          <w:color w:val="000000"/>
          <w:sz w:val="20"/>
          <w:szCs w:val="20"/>
        </w:rPr>
        <w:t>Esta metodología también fue adoptada por la Corte en las sentencias C-159 de 2021 y C-100 de 2025, entre otras.</w:t>
      </w:r>
    </w:p>
  </w:footnote>
  <w:footnote w:id="134">
    <w:p w14:paraId="25D41DF2" w14:textId="77777777" w:rsidR="00AD0E5E" w:rsidRPr="006A6FCD" w:rsidRDefault="00AD0E5E" w:rsidP="00E97073">
      <w:pPr>
        <w:jc w:val="both"/>
        <w:rPr>
          <w:sz w:val="20"/>
          <w:szCs w:val="20"/>
        </w:rPr>
      </w:pPr>
      <w:r w:rsidRPr="006A6FCD">
        <w:rPr>
          <w:rStyle w:val="Refdenotaalpie"/>
          <w:sz w:val="20"/>
          <w:szCs w:val="20"/>
        </w:rPr>
        <w:footnoteRef/>
      </w:r>
      <w:r w:rsidRPr="006A6FCD">
        <w:rPr>
          <w:sz w:val="20"/>
          <w:szCs w:val="20"/>
        </w:rPr>
        <w:t xml:space="preserve"> </w:t>
      </w:r>
      <w:r w:rsidRPr="006A6FCD">
        <w:rPr>
          <w:color w:val="000000"/>
          <w:sz w:val="20"/>
          <w:szCs w:val="20"/>
          <w:shd w:val="clear" w:color="auto" w:fill="FFFFFF"/>
        </w:rPr>
        <w:t>Corte Constitucional, sentencias C-608 de 1992, C-145 de 1994 y C-055 de 1996.</w:t>
      </w:r>
    </w:p>
  </w:footnote>
  <w:footnote w:id="135">
    <w:p w14:paraId="558D84CF"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Corte Constitucional, Sentencia C-244 de 2025. </w:t>
      </w:r>
    </w:p>
  </w:footnote>
  <w:footnote w:id="136">
    <w:p w14:paraId="312CE65F"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Despacho)-(2025-03-17 05-56-28).pdf” y “D0015963-Pruebas del Expediente (Recepción y Paso al Despacho)-(2025-03-17 05-57-14).pdf”. </w:t>
      </w:r>
    </w:p>
  </w:footnote>
  <w:footnote w:id="137">
    <w:p w14:paraId="228E96F1"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Despacho)-(2025-03-14 04-32-23).pdf”, “D0015963-Pruebas del Expediente (Recepción y Paso al Despacho)-(2025-03-14 15-10-08).pdf” y “D0015963-Pruebas del Expediente (Recepción y Paso al Despacho)-(2025-03-14 04-33-33) (1).xlsx”. </w:t>
      </w:r>
    </w:p>
  </w:footnote>
  <w:footnote w:id="138">
    <w:p w14:paraId="53415984"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Despacho)-(2025-03-17 05-56-28).pdf” y “D0015963-Pruebas del Expediente (Recepción y Paso al Despacho)-(2025-03-17 05-57-14).pdf”. </w:t>
      </w:r>
    </w:p>
  </w:footnote>
  <w:footnote w:id="139">
    <w:p w14:paraId="0D13FF1D"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140">
    <w:p w14:paraId="532EAD10" w14:textId="77777777" w:rsidR="00AD0E5E" w:rsidRPr="006A6FCD" w:rsidRDefault="00AD0E5E" w:rsidP="00E97073">
      <w:pPr>
        <w:pStyle w:val="Textonotapie"/>
        <w:jc w:val="both"/>
      </w:pPr>
      <w:r w:rsidRPr="006A6FCD">
        <w:rPr>
          <w:rStyle w:val="Refdenotaalpie"/>
        </w:rPr>
        <w:footnoteRef/>
      </w:r>
      <w:r w:rsidRPr="006A6FCD">
        <w:t xml:space="preserve"> Ibidem. </w:t>
      </w:r>
    </w:p>
  </w:footnote>
  <w:footnote w:id="141">
    <w:p w14:paraId="40B21B20"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Expediente digital, archivos “D0015963-Pruebas del Expediente (Recepción y Paso al Despacho)-(2025-03-14 04-32-23).pdf”, “D0015963-Pruebas del Expediente (Recepción y Paso al Despacho)-(2025-03-14 15-10-08).pdf”. </w:t>
      </w:r>
    </w:p>
  </w:footnote>
  <w:footnote w:id="142">
    <w:p w14:paraId="0BC76C13" w14:textId="77777777" w:rsidR="00AD0E5E" w:rsidRPr="00E723B7" w:rsidRDefault="00AD0E5E" w:rsidP="00E97073">
      <w:pPr>
        <w:pStyle w:val="Textonotapie"/>
        <w:jc w:val="both"/>
      </w:pPr>
      <w:r>
        <w:rPr>
          <w:rStyle w:val="Refdenotaalpie"/>
        </w:rPr>
        <w:footnoteRef/>
      </w:r>
      <w:r>
        <w:t xml:space="preserve"> El detalle de cada uno de estos contratos, puede consultarse en el siguiente enlace del expediente: </w:t>
      </w:r>
      <w:hyperlink r:id="rId6" w:history="1">
        <w:r w:rsidRPr="0021792B">
          <w:rPr>
            <w:rStyle w:val="Hipervnculo"/>
          </w:rPr>
          <w:t>https://www.corteconstitucional.gov.co/secretaria/archivo.php?id=102640</w:t>
        </w:r>
      </w:hyperlink>
      <w:r>
        <w:t xml:space="preserve"> </w:t>
      </w:r>
    </w:p>
  </w:footnote>
  <w:footnote w:id="143">
    <w:p w14:paraId="4E22DB28" w14:textId="164317B4" w:rsidR="00AD0E5E" w:rsidRPr="00E97073" w:rsidRDefault="00AD0E5E" w:rsidP="00E97073">
      <w:pPr>
        <w:pStyle w:val="Textonotapie"/>
        <w:jc w:val="both"/>
      </w:pPr>
      <w:r>
        <w:rPr>
          <w:rStyle w:val="Refdenotaalpie"/>
        </w:rPr>
        <w:footnoteRef/>
      </w:r>
      <w:r>
        <w:t xml:space="preserve"> Al respecto, puede consultarse el siguiente enlace del expediente: </w:t>
      </w:r>
      <w:hyperlink r:id="rId7" w:history="1">
        <w:r w:rsidRPr="0021792B">
          <w:rPr>
            <w:rStyle w:val="Hipervnculo"/>
          </w:rPr>
          <w:t>https://www.corteconstitucional.gov.co/secretaria/archivo.php?id=102640</w:t>
        </w:r>
      </w:hyperlink>
    </w:p>
  </w:footnote>
  <w:footnote w:id="144">
    <w:p w14:paraId="3F25742C" w14:textId="77777777" w:rsidR="00AD0E5E" w:rsidRPr="006A6FCD" w:rsidRDefault="00AD0E5E" w:rsidP="00363300">
      <w:pPr>
        <w:pStyle w:val="Textonotapie"/>
        <w:jc w:val="both"/>
        <w:rPr>
          <w:lang w:val="es-ES_tradnl"/>
        </w:rPr>
      </w:pPr>
      <w:r w:rsidRPr="006A6FCD">
        <w:rPr>
          <w:rStyle w:val="Refdenotaalpie"/>
        </w:rPr>
        <w:footnoteRef/>
      </w:r>
      <w:r w:rsidRPr="006A6FCD">
        <w:t xml:space="preserve"> </w:t>
      </w:r>
      <w:r w:rsidRPr="006A6FCD">
        <w:rPr>
          <w:lang w:val="es-ES_tradnl"/>
        </w:rPr>
        <w:t xml:space="preserve">Información obtenida de SECOP. Disponible en: </w:t>
      </w:r>
      <w:hyperlink r:id="rId8" w:history="1">
        <w:r w:rsidRPr="006A6FCD">
          <w:rPr>
            <w:rStyle w:val="Hipervnculo"/>
          </w:rPr>
          <w:t>https://community.secop.gov.co/Public/Tendering/OpportunityDetail/Index?noticeUID=CO1.NTC.9235430</w:t>
        </w:r>
      </w:hyperlink>
    </w:p>
  </w:footnote>
  <w:footnote w:id="145">
    <w:p w14:paraId="7C89D962"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Ministerio de Hacienda y Crédito Público, Portal de Transparencia Económica, Presupuesto General de la Nación, Cuadros de Ejecución PGN. Disponible en: </w:t>
      </w:r>
      <w:hyperlink r:id="rId9" w:history="1">
        <w:r w:rsidRPr="006A6FCD">
          <w:rPr>
            <w:rStyle w:val="Hipervnculo"/>
            <w:lang w:val="es-ES_tradnl"/>
          </w:rPr>
          <w:t>https://www.pte.gov.co/es/web/pte/presupuesto-general-nacion</w:t>
        </w:r>
      </w:hyperlink>
      <w:r w:rsidRPr="006A6FCD">
        <w:rPr>
          <w:lang w:val="es-ES_tradnl"/>
        </w:rPr>
        <w:t xml:space="preserve">. </w:t>
      </w:r>
    </w:p>
  </w:footnote>
  <w:footnote w:id="146">
    <w:p w14:paraId="4F65858D"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147">
    <w:p w14:paraId="04C1634B"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148">
    <w:p w14:paraId="0A0AEB66" w14:textId="77777777"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 xml:space="preserve">Ibidem. </w:t>
      </w:r>
    </w:p>
  </w:footnote>
  <w:footnote w:id="149">
    <w:p w14:paraId="60F956C5" w14:textId="77568ED5" w:rsidR="00AD0E5E" w:rsidRPr="006A6FCD" w:rsidRDefault="00AD0E5E" w:rsidP="00E97073">
      <w:pPr>
        <w:pStyle w:val="Textonotapie"/>
        <w:jc w:val="both"/>
        <w:rPr>
          <w:lang w:val="es-ES_tradnl"/>
        </w:rPr>
      </w:pPr>
      <w:r w:rsidRPr="006A6FCD">
        <w:rPr>
          <w:rStyle w:val="Refdenotaalpie"/>
        </w:rPr>
        <w:footnoteRef/>
      </w:r>
      <w:r w:rsidRPr="006A6FCD">
        <w:t xml:space="preserve"> </w:t>
      </w:r>
      <w:r w:rsidRPr="006A6FCD">
        <w:rPr>
          <w:lang w:val="es-ES_tradnl"/>
        </w:rPr>
        <w:t>La información se obtuvo de la herramienta de búsqueda de procesos, incorporada en el SECOP y disponible en:</w:t>
      </w:r>
      <w:hyperlink r:id="rId10" w:history="1">
        <w:r w:rsidRPr="006A6FCD">
          <w:rPr>
            <w:rStyle w:val="Hipervnculo"/>
            <w:lang w:val="es-ES_tradnl"/>
          </w:rPr>
          <w:t>https://community.secop.gov.co/Public/Tendering/ContractNoticeManagement/Index?currentLanguage=es-CO&amp;Page=login&amp;Country=CO&amp;SkinName=CCE</w:t>
        </w:r>
      </w:hyperlink>
      <w:r>
        <w:rPr>
          <w:lang w:val="es-ES_tradnl"/>
        </w:rPr>
        <w:t xml:space="preserve">. Consultada el 15 de abril de 2026. </w:t>
      </w:r>
    </w:p>
  </w:footnote>
  <w:footnote w:id="150">
    <w:p w14:paraId="38863404" w14:textId="35978EBA" w:rsidR="00AD0E5E" w:rsidRPr="0075285C" w:rsidRDefault="00AD0E5E" w:rsidP="0075285C">
      <w:pPr>
        <w:autoSpaceDE w:val="0"/>
        <w:autoSpaceDN w:val="0"/>
        <w:adjustRightInd w:val="0"/>
        <w:jc w:val="both"/>
        <w:rPr>
          <w:sz w:val="20"/>
          <w:szCs w:val="20"/>
          <w:highlight w:val="yellow"/>
          <w:lang w:val="es-ES_tradnl" w:eastAsia="es-CO"/>
        </w:rPr>
      </w:pPr>
      <w:r w:rsidRPr="00AD0E5E">
        <w:rPr>
          <w:rStyle w:val="Refdenotaalpie"/>
          <w:sz w:val="20"/>
          <w:szCs w:val="20"/>
        </w:rPr>
        <w:footnoteRef/>
      </w:r>
      <w:r w:rsidRPr="00AD0E5E">
        <w:rPr>
          <w:sz w:val="20"/>
          <w:szCs w:val="20"/>
        </w:rPr>
        <w:t xml:space="preserve"> </w:t>
      </w:r>
      <w:r w:rsidRPr="00AD0E5E">
        <w:rPr>
          <w:sz w:val="20"/>
          <w:szCs w:val="20"/>
          <w:lang w:val="es-ES_tradnl" w:eastAsia="es-CO"/>
        </w:rPr>
        <w:t>“ARTÍCULO 265. El Consejo Nacional Electoral regulará, inspeccionará, vigilará y controlará toda la actividad electoral de los partidos y movimientos políticos, de los grupos significativos de ciudadanos, de sus representantes legales, directivos y candidatos, garantizando el cumplimiento de los principios y deberes que a ellos corresponden, y gozará de autonomía presupuestal y administrativa. Tendrá las siguientes atribuciones especiales: 1. Ejercer la suprema inspección, vigilancia y control de la organización electoral […] 3. Conocer y decidir definitivamente los recursos que se interpongan contra las decisiones de sus delegados sobre escrutinios generales y en tales casos hacer la declaratoria de elección y expedir las credenciales correspondientes. 4. Además, de oficio, o por solicitud, revisar escrutinios y los documentos electorales concernientes a cualquiera de las etapas del proceso administrativo de elección con el objeto de que se garantice la verdad de los resultados […] 6. Velar por el cumplimiento de las normas sobre Partidos y Movimientos Políticos y de las disposiciones sobre publicidad y encuestas de opinión política; por los derechos de la oposición y de las minorías, y por el desarrollo de los procesos electorales en condiciones de plenas garantías. 7. Distribuir los aportes que para el financiamiento de las campañas electorales y para asegurar el derecho de participación política de los ciudadanos, establezca la ley. 8. Efectuar el escrutinio general de toda votación nacional, hacer la declaratoria de elección y expedir las credenciales a que haya lugar. 9. Reconocer y revocar la Personería Jurídica de los partidos y movimientos políticos. 10. Reglamentar la participación de los Partidos y Movimientos Políticos en los medios de comunicación social del Estado. 11. Colaborar para la realización de consultas de los partidos y movimientos para la toma de decisiones y la escogencia de sus candidatos. 12. Decidir la revocatoria de la inscripción de candidatos a Corporaciones Públicas o cargos de elección popular, cuando exista plena prueba de que aquellos están incursos en causal de inhabilidad prevista en la Constitución y la ley. En ningún caso podrá declarar la elección de dichos candidatos […]”.</w:t>
      </w:r>
      <w:r w:rsidRPr="0075285C">
        <w:rPr>
          <w:rFonts w:ascii="AppleSystemUIFont" w:hAnsi="AppleSystemUIFont" w:cs="AppleSystemUIFont"/>
          <w:sz w:val="26"/>
          <w:szCs w:val="26"/>
          <w:lang w:val="es-ES_tradnl" w:eastAsia="es-CO"/>
        </w:rPr>
        <w:t xml:space="preserve"> </w:t>
      </w:r>
    </w:p>
  </w:footnote>
  <w:footnote w:id="151">
    <w:p w14:paraId="390855AF" w14:textId="449C6A30" w:rsidR="00AD0E5E" w:rsidRPr="00512AAF" w:rsidRDefault="00AD0E5E" w:rsidP="007B49E0">
      <w:pPr>
        <w:autoSpaceDE w:val="0"/>
        <w:autoSpaceDN w:val="0"/>
        <w:adjustRightInd w:val="0"/>
        <w:jc w:val="both"/>
        <w:rPr>
          <w:iCs/>
          <w:sz w:val="20"/>
          <w:szCs w:val="20"/>
          <w:lang w:val="es-ES_tradnl"/>
        </w:rPr>
      </w:pPr>
      <w:r w:rsidRPr="00512AAF">
        <w:rPr>
          <w:rStyle w:val="Refdenotaalpie"/>
          <w:sz w:val="20"/>
          <w:szCs w:val="20"/>
        </w:rPr>
        <w:footnoteRef/>
      </w:r>
      <w:r w:rsidRPr="00512AAF">
        <w:rPr>
          <w:sz w:val="20"/>
          <w:szCs w:val="20"/>
        </w:rPr>
        <w:t xml:space="preserve"> </w:t>
      </w:r>
      <w:r w:rsidRPr="00512AAF">
        <w:rPr>
          <w:iCs/>
          <w:sz w:val="20"/>
          <w:szCs w:val="20"/>
          <w:lang w:val="es-ES_tradnl"/>
        </w:rPr>
        <w:t>Decreto 111 de 1996, artículo 14. “El año fiscal comienza el l</w:t>
      </w:r>
      <w:r>
        <w:rPr>
          <w:iCs/>
          <w:sz w:val="20"/>
          <w:szCs w:val="20"/>
          <w:lang w:val="es-ES_tradnl"/>
        </w:rPr>
        <w:t>°</w:t>
      </w:r>
      <w:r w:rsidRPr="00512AAF">
        <w:rPr>
          <w:iCs/>
          <w:sz w:val="20"/>
          <w:szCs w:val="20"/>
          <w:lang w:val="es-ES_tradnl"/>
        </w:rPr>
        <w:t>. de enero y termina el 31 de diciembre de cada año. Después del 31 de diciembre no podrán asumirse compromisos con cargo a las apropiaciones del año fiscal que se cierra en esa fecha y los saldos de apropiación no afectados por compromisos caducarán sin excepción (Ley 38/89, artículo 10)”.</w:t>
      </w:r>
    </w:p>
  </w:footnote>
  <w:footnote w:id="152">
    <w:p w14:paraId="0FCBDD30" w14:textId="77777777" w:rsidR="00AD0E5E" w:rsidRPr="00512AAF" w:rsidRDefault="00AD0E5E" w:rsidP="007B49E0">
      <w:pPr>
        <w:pStyle w:val="Textonotapie"/>
        <w:jc w:val="both"/>
        <w:rPr>
          <w:lang w:val="es-ES_tradnl"/>
        </w:rPr>
      </w:pPr>
      <w:r w:rsidRPr="00512AAF">
        <w:rPr>
          <w:rStyle w:val="Refdenotaalpie"/>
        </w:rPr>
        <w:footnoteRef/>
      </w:r>
      <w:r w:rsidRPr="00512AAF">
        <w:t xml:space="preserve"> </w:t>
      </w:r>
      <w:r w:rsidRPr="00512AAF">
        <w:rPr>
          <w:iCs/>
          <w:lang w:val="es-ES_tradnl"/>
        </w:rPr>
        <w:t>Ley 2559 de 2025, artículo 2. Sección 2804.</w:t>
      </w:r>
    </w:p>
  </w:footnote>
</w:footnotes>
</file>

<file path=word/intelligence2.xml><?xml version="1.0" encoding="utf-8"?>
<int2:intelligence xmlns:int2="http://schemas.microsoft.com/office/intelligence/2020/intelligence" xmlns:oel="http://schemas.microsoft.com/office/2019/extlst">
  <int2:observations>
    <int2:textHash int2:hashCode="9ODLzNWP/SrYTG" int2:id="slVJvmD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5362"/>
    <w:multiLevelType w:val="multilevel"/>
    <w:tmpl w:val="9B72F628"/>
    <w:lvl w:ilvl="0">
      <w:start w:val="1"/>
      <w:numFmt w:val="decimal"/>
      <w:lvlText w:val="%1."/>
      <w:lvlJc w:val="left"/>
      <w:pPr>
        <w:ind w:left="2487" w:hanging="360"/>
      </w:pPr>
      <w:rPr>
        <w:rFonts w:ascii="Times New Roman" w:hAnsi="Times New Roman" w:cs="Times New Roman" w:hint="default"/>
        <w:b/>
        <w:bCs/>
        <w:i w:val="0"/>
        <w:sz w:val="28"/>
        <w:szCs w:val="28"/>
        <w:vertAlign w:val="baseline"/>
      </w:rPr>
    </w:lvl>
    <w:lvl w:ilvl="1">
      <w:start w:val="1"/>
      <w:numFmt w:val="decimal"/>
      <w:lvlText w:val="%1.%2."/>
      <w:lvlJc w:val="left"/>
      <w:pPr>
        <w:ind w:left="1152" w:hanging="432"/>
      </w:pPr>
      <w:rPr>
        <w:b/>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22741D5"/>
    <w:multiLevelType w:val="hybridMultilevel"/>
    <w:tmpl w:val="AC140BC6"/>
    <w:lvl w:ilvl="0" w:tplc="040A0001">
      <w:start w:val="1"/>
      <w:numFmt w:val="bullet"/>
      <w:lvlText w:val=""/>
      <w:lvlJc w:val="left"/>
      <w:pPr>
        <w:ind w:left="777" w:hanging="360"/>
      </w:pPr>
      <w:rPr>
        <w:rFonts w:ascii="Symbol" w:hAnsi="Symbol" w:hint="default"/>
      </w:rPr>
    </w:lvl>
    <w:lvl w:ilvl="1" w:tplc="040A0003">
      <w:start w:val="1"/>
      <w:numFmt w:val="bullet"/>
      <w:lvlText w:val="o"/>
      <w:lvlJc w:val="left"/>
      <w:pPr>
        <w:ind w:left="1497" w:hanging="360"/>
      </w:pPr>
      <w:rPr>
        <w:rFonts w:ascii="Courier New" w:hAnsi="Courier New" w:cs="Courier New" w:hint="default"/>
      </w:rPr>
    </w:lvl>
    <w:lvl w:ilvl="2" w:tplc="040A0005" w:tentative="1">
      <w:start w:val="1"/>
      <w:numFmt w:val="bullet"/>
      <w:lvlText w:val=""/>
      <w:lvlJc w:val="left"/>
      <w:pPr>
        <w:ind w:left="2217" w:hanging="360"/>
      </w:pPr>
      <w:rPr>
        <w:rFonts w:ascii="Wingdings" w:hAnsi="Wingdings" w:hint="default"/>
      </w:rPr>
    </w:lvl>
    <w:lvl w:ilvl="3" w:tplc="040A0001" w:tentative="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2" w15:restartNumberingAfterBreak="0">
    <w:nsid w:val="05567407"/>
    <w:multiLevelType w:val="hybridMultilevel"/>
    <w:tmpl w:val="5FCC7066"/>
    <w:lvl w:ilvl="0" w:tplc="BDFCFEF4">
      <w:start w:val="4"/>
      <w:numFmt w:val="bullet"/>
      <w:lvlText w:val="-"/>
      <w:lvlJc w:val="left"/>
      <w:pPr>
        <w:ind w:left="360" w:hanging="360"/>
      </w:pPr>
      <w:rPr>
        <w:rFonts w:ascii="Times New Roman" w:eastAsia="Times New Roman"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6EB1D2B"/>
    <w:multiLevelType w:val="hybridMultilevel"/>
    <w:tmpl w:val="883CE2C0"/>
    <w:lvl w:ilvl="0" w:tplc="040A0001">
      <w:start w:val="1"/>
      <w:numFmt w:val="bullet"/>
      <w:lvlText w:val=""/>
      <w:lvlJc w:val="left"/>
      <w:pPr>
        <w:ind w:left="777" w:hanging="360"/>
      </w:pPr>
      <w:rPr>
        <w:rFonts w:ascii="Symbol" w:hAnsi="Symbol" w:hint="default"/>
      </w:rPr>
    </w:lvl>
    <w:lvl w:ilvl="1" w:tplc="040A0003" w:tentative="1">
      <w:start w:val="1"/>
      <w:numFmt w:val="bullet"/>
      <w:lvlText w:val="o"/>
      <w:lvlJc w:val="left"/>
      <w:pPr>
        <w:ind w:left="1497" w:hanging="360"/>
      </w:pPr>
      <w:rPr>
        <w:rFonts w:ascii="Courier New" w:hAnsi="Courier New" w:cs="Courier New" w:hint="default"/>
      </w:rPr>
    </w:lvl>
    <w:lvl w:ilvl="2" w:tplc="040A0005" w:tentative="1">
      <w:start w:val="1"/>
      <w:numFmt w:val="bullet"/>
      <w:lvlText w:val=""/>
      <w:lvlJc w:val="left"/>
      <w:pPr>
        <w:ind w:left="2217" w:hanging="360"/>
      </w:pPr>
      <w:rPr>
        <w:rFonts w:ascii="Wingdings" w:hAnsi="Wingdings" w:hint="default"/>
      </w:rPr>
    </w:lvl>
    <w:lvl w:ilvl="3" w:tplc="040A0001" w:tentative="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4" w15:restartNumberingAfterBreak="0">
    <w:nsid w:val="1AED2C18"/>
    <w:multiLevelType w:val="hybridMultilevel"/>
    <w:tmpl w:val="0C6E2140"/>
    <w:lvl w:ilvl="0" w:tplc="BDFCFEF4">
      <w:start w:val="4"/>
      <w:numFmt w:val="bullet"/>
      <w:lvlText w:val="-"/>
      <w:lvlJc w:val="left"/>
      <w:pPr>
        <w:ind w:left="1497" w:hanging="360"/>
      </w:pPr>
      <w:rPr>
        <w:rFonts w:ascii="Times New Roman" w:eastAsia="Times New Roman" w:hAnsi="Times New Roman" w:cs="Times New Roman" w:hint="default"/>
      </w:rPr>
    </w:lvl>
    <w:lvl w:ilvl="1" w:tplc="040A0003" w:tentative="1">
      <w:start w:val="1"/>
      <w:numFmt w:val="bullet"/>
      <w:lvlText w:val="o"/>
      <w:lvlJc w:val="left"/>
      <w:pPr>
        <w:ind w:left="2217" w:hanging="360"/>
      </w:pPr>
      <w:rPr>
        <w:rFonts w:ascii="Courier New" w:hAnsi="Courier New" w:cs="Courier New" w:hint="default"/>
      </w:rPr>
    </w:lvl>
    <w:lvl w:ilvl="2" w:tplc="040A0005" w:tentative="1">
      <w:start w:val="1"/>
      <w:numFmt w:val="bullet"/>
      <w:lvlText w:val=""/>
      <w:lvlJc w:val="left"/>
      <w:pPr>
        <w:ind w:left="2937" w:hanging="360"/>
      </w:pPr>
      <w:rPr>
        <w:rFonts w:ascii="Wingdings" w:hAnsi="Wingdings" w:hint="default"/>
      </w:rPr>
    </w:lvl>
    <w:lvl w:ilvl="3" w:tplc="040A0001" w:tentative="1">
      <w:start w:val="1"/>
      <w:numFmt w:val="bullet"/>
      <w:lvlText w:val=""/>
      <w:lvlJc w:val="left"/>
      <w:pPr>
        <w:ind w:left="3657" w:hanging="360"/>
      </w:pPr>
      <w:rPr>
        <w:rFonts w:ascii="Symbol" w:hAnsi="Symbol" w:hint="default"/>
      </w:rPr>
    </w:lvl>
    <w:lvl w:ilvl="4" w:tplc="040A0003" w:tentative="1">
      <w:start w:val="1"/>
      <w:numFmt w:val="bullet"/>
      <w:lvlText w:val="o"/>
      <w:lvlJc w:val="left"/>
      <w:pPr>
        <w:ind w:left="4377" w:hanging="360"/>
      </w:pPr>
      <w:rPr>
        <w:rFonts w:ascii="Courier New" w:hAnsi="Courier New" w:cs="Courier New" w:hint="default"/>
      </w:rPr>
    </w:lvl>
    <w:lvl w:ilvl="5" w:tplc="040A0005" w:tentative="1">
      <w:start w:val="1"/>
      <w:numFmt w:val="bullet"/>
      <w:lvlText w:val=""/>
      <w:lvlJc w:val="left"/>
      <w:pPr>
        <w:ind w:left="5097" w:hanging="360"/>
      </w:pPr>
      <w:rPr>
        <w:rFonts w:ascii="Wingdings" w:hAnsi="Wingdings" w:hint="default"/>
      </w:rPr>
    </w:lvl>
    <w:lvl w:ilvl="6" w:tplc="040A0001" w:tentative="1">
      <w:start w:val="1"/>
      <w:numFmt w:val="bullet"/>
      <w:lvlText w:val=""/>
      <w:lvlJc w:val="left"/>
      <w:pPr>
        <w:ind w:left="5817" w:hanging="360"/>
      </w:pPr>
      <w:rPr>
        <w:rFonts w:ascii="Symbol" w:hAnsi="Symbol" w:hint="default"/>
      </w:rPr>
    </w:lvl>
    <w:lvl w:ilvl="7" w:tplc="040A0003" w:tentative="1">
      <w:start w:val="1"/>
      <w:numFmt w:val="bullet"/>
      <w:lvlText w:val="o"/>
      <w:lvlJc w:val="left"/>
      <w:pPr>
        <w:ind w:left="6537" w:hanging="360"/>
      </w:pPr>
      <w:rPr>
        <w:rFonts w:ascii="Courier New" w:hAnsi="Courier New" w:cs="Courier New" w:hint="default"/>
      </w:rPr>
    </w:lvl>
    <w:lvl w:ilvl="8" w:tplc="040A0005" w:tentative="1">
      <w:start w:val="1"/>
      <w:numFmt w:val="bullet"/>
      <w:lvlText w:val=""/>
      <w:lvlJc w:val="left"/>
      <w:pPr>
        <w:ind w:left="7257" w:hanging="360"/>
      </w:pPr>
      <w:rPr>
        <w:rFonts w:ascii="Wingdings" w:hAnsi="Wingdings" w:hint="default"/>
      </w:rPr>
    </w:lvl>
  </w:abstractNum>
  <w:abstractNum w:abstractNumId="5" w15:restartNumberingAfterBreak="0">
    <w:nsid w:val="1D3A78BF"/>
    <w:multiLevelType w:val="hybridMultilevel"/>
    <w:tmpl w:val="01F8CBD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EA142D2"/>
    <w:multiLevelType w:val="multilevel"/>
    <w:tmpl w:val="17D8FA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upperLetter"/>
      <w:isLgl/>
      <w:lvlText w:val="%1.%2.%3."/>
      <w:lvlJc w:val="left"/>
      <w:pPr>
        <w:ind w:left="1080" w:hanging="720"/>
      </w:pPr>
      <w:rPr>
        <w:rFonts w:hint="default"/>
        <w:i/>
      </w:rPr>
    </w:lvl>
    <w:lvl w:ilvl="3">
      <w:start w:val="1"/>
      <w:numFmt w:val="decimal"/>
      <w:isLgl/>
      <w:lvlText w:val="%1.%2.%3.%4."/>
      <w:lvlJc w:val="left"/>
      <w:pPr>
        <w:ind w:left="1440" w:hanging="108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800" w:hanging="1440"/>
      </w:pPr>
      <w:rPr>
        <w:rFonts w:hint="default"/>
        <w:i/>
      </w:rPr>
    </w:lvl>
    <w:lvl w:ilvl="6">
      <w:start w:val="1"/>
      <w:numFmt w:val="decimal"/>
      <w:isLgl/>
      <w:lvlText w:val="%1.%2.%3.%4.%5.%6.%7."/>
      <w:lvlJc w:val="left"/>
      <w:pPr>
        <w:ind w:left="2160" w:hanging="1800"/>
      </w:pPr>
      <w:rPr>
        <w:rFonts w:hint="default"/>
        <w:i/>
      </w:rPr>
    </w:lvl>
    <w:lvl w:ilvl="7">
      <w:start w:val="1"/>
      <w:numFmt w:val="decimal"/>
      <w:isLgl/>
      <w:lvlText w:val="%1.%2.%3.%4.%5.%6.%7.%8."/>
      <w:lvlJc w:val="left"/>
      <w:pPr>
        <w:ind w:left="2160" w:hanging="1800"/>
      </w:pPr>
      <w:rPr>
        <w:rFonts w:hint="default"/>
        <w:i/>
      </w:rPr>
    </w:lvl>
    <w:lvl w:ilvl="8">
      <w:start w:val="1"/>
      <w:numFmt w:val="decimal"/>
      <w:isLgl/>
      <w:lvlText w:val="%1.%2.%3.%4.%5.%6.%7.%8.%9."/>
      <w:lvlJc w:val="left"/>
      <w:pPr>
        <w:ind w:left="2520" w:hanging="2160"/>
      </w:pPr>
      <w:rPr>
        <w:rFonts w:hint="default"/>
        <w:i/>
      </w:rPr>
    </w:lvl>
  </w:abstractNum>
  <w:abstractNum w:abstractNumId="7" w15:restartNumberingAfterBreak="0">
    <w:nsid w:val="1EEB478E"/>
    <w:multiLevelType w:val="hybridMultilevel"/>
    <w:tmpl w:val="86AAA51E"/>
    <w:lvl w:ilvl="0" w:tplc="D51AC440">
      <w:start w:val="1"/>
      <w:numFmt w:val="bullet"/>
      <w:lvlText w:val="-"/>
      <w:lvlJc w:val="left"/>
      <w:pPr>
        <w:ind w:left="720" w:hanging="360"/>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2E60A6"/>
    <w:multiLevelType w:val="multilevel"/>
    <w:tmpl w:val="F214969E"/>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5601F00"/>
    <w:multiLevelType w:val="hybridMultilevel"/>
    <w:tmpl w:val="4D7261FC"/>
    <w:lvl w:ilvl="0" w:tplc="07CEE0F2">
      <w:start w:val="1"/>
      <w:numFmt w:val="decimal"/>
      <w:lvlText w:val="%1."/>
      <w:lvlJc w:val="left"/>
      <w:pPr>
        <w:ind w:left="417" w:hanging="360"/>
      </w:pPr>
      <w:rPr>
        <w:rFonts w:hint="default"/>
      </w:rPr>
    </w:lvl>
    <w:lvl w:ilvl="1" w:tplc="080A0019" w:tentative="1">
      <w:start w:val="1"/>
      <w:numFmt w:val="lowerLetter"/>
      <w:lvlText w:val="%2."/>
      <w:lvlJc w:val="left"/>
      <w:pPr>
        <w:ind w:left="1137" w:hanging="360"/>
      </w:pPr>
    </w:lvl>
    <w:lvl w:ilvl="2" w:tplc="080A001B" w:tentative="1">
      <w:start w:val="1"/>
      <w:numFmt w:val="lowerRoman"/>
      <w:lvlText w:val="%3."/>
      <w:lvlJc w:val="right"/>
      <w:pPr>
        <w:ind w:left="1857" w:hanging="180"/>
      </w:pPr>
    </w:lvl>
    <w:lvl w:ilvl="3" w:tplc="080A000F" w:tentative="1">
      <w:start w:val="1"/>
      <w:numFmt w:val="decimal"/>
      <w:lvlText w:val="%4."/>
      <w:lvlJc w:val="left"/>
      <w:pPr>
        <w:ind w:left="2577" w:hanging="360"/>
      </w:pPr>
    </w:lvl>
    <w:lvl w:ilvl="4" w:tplc="080A0019" w:tentative="1">
      <w:start w:val="1"/>
      <w:numFmt w:val="lowerLetter"/>
      <w:lvlText w:val="%5."/>
      <w:lvlJc w:val="left"/>
      <w:pPr>
        <w:ind w:left="3297" w:hanging="360"/>
      </w:pPr>
    </w:lvl>
    <w:lvl w:ilvl="5" w:tplc="080A001B" w:tentative="1">
      <w:start w:val="1"/>
      <w:numFmt w:val="lowerRoman"/>
      <w:lvlText w:val="%6."/>
      <w:lvlJc w:val="right"/>
      <w:pPr>
        <w:ind w:left="4017" w:hanging="180"/>
      </w:pPr>
    </w:lvl>
    <w:lvl w:ilvl="6" w:tplc="080A000F" w:tentative="1">
      <w:start w:val="1"/>
      <w:numFmt w:val="decimal"/>
      <w:lvlText w:val="%7."/>
      <w:lvlJc w:val="left"/>
      <w:pPr>
        <w:ind w:left="4737" w:hanging="360"/>
      </w:pPr>
    </w:lvl>
    <w:lvl w:ilvl="7" w:tplc="080A0019" w:tentative="1">
      <w:start w:val="1"/>
      <w:numFmt w:val="lowerLetter"/>
      <w:lvlText w:val="%8."/>
      <w:lvlJc w:val="left"/>
      <w:pPr>
        <w:ind w:left="5457" w:hanging="360"/>
      </w:pPr>
    </w:lvl>
    <w:lvl w:ilvl="8" w:tplc="080A001B" w:tentative="1">
      <w:start w:val="1"/>
      <w:numFmt w:val="lowerRoman"/>
      <w:lvlText w:val="%9."/>
      <w:lvlJc w:val="right"/>
      <w:pPr>
        <w:ind w:left="6177" w:hanging="180"/>
      </w:pPr>
    </w:lvl>
  </w:abstractNum>
  <w:abstractNum w:abstractNumId="10" w15:restartNumberingAfterBreak="0">
    <w:nsid w:val="26D15170"/>
    <w:multiLevelType w:val="multilevel"/>
    <w:tmpl w:val="D932FD32"/>
    <w:lvl w:ilvl="0">
      <w:start w:val="4"/>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27C3303A"/>
    <w:multiLevelType w:val="hybridMultilevel"/>
    <w:tmpl w:val="5506548A"/>
    <w:lvl w:ilvl="0" w:tplc="C9F2CD7E">
      <w:start w:val="1"/>
      <w:numFmt w:val="decimal"/>
      <w:suff w:val="space"/>
      <w:lvlText w:val="%1."/>
      <w:lvlJc w:val="left"/>
      <w:rPr>
        <w:rFonts w:ascii="Times New Roman" w:hAnsi="Times New Roman" w:cs="Times New Roman" w:hint="default"/>
        <w:b w:val="0"/>
        <w:bCs w:val="0"/>
        <w:i w:val="0"/>
        <w:iCs/>
        <w:sz w:val="28"/>
        <w:szCs w:val="28"/>
      </w:rPr>
    </w:lvl>
    <w:lvl w:ilvl="1" w:tplc="9DA2C33C">
      <w:start w:val="1"/>
      <w:numFmt w:val="lowerRoman"/>
      <w:lvlText w:val="(%2)"/>
      <w:lvlJc w:val="left"/>
      <w:pPr>
        <w:ind w:left="1800" w:hanging="720"/>
      </w:pPr>
      <w:rPr>
        <w:rFonts w:cs="Times New Roman" w:hint="default"/>
        <w:b w:val="0"/>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2A3F73D1"/>
    <w:multiLevelType w:val="hybridMultilevel"/>
    <w:tmpl w:val="6DFCE20C"/>
    <w:lvl w:ilvl="0" w:tplc="64BABBE4">
      <w:start w:val="1"/>
      <w:numFmt w:val="decimal"/>
      <w:lvlText w:val="%1."/>
      <w:lvlJc w:val="left"/>
      <w:pPr>
        <w:ind w:left="2913" w:hanging="360"/>
      </w:pPr>
      <w:rPr>
        <w:b w:val="0"/>
        <w:bCs w:val="0"/>
        <w:i w:val="0"/>
        <w:iCs w:val="0"/>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BF1885"/>
    <w:multiLevelType w:val="hybridMultilevel"/>
    <w:tmpl w:val="A25C4A60"/>
    <w:lvl w:ilvl="0" w:tplc="F2A8CA5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0F4305"/>
    <w:multiLevelType w:val="hybridMultilevel"/>
    <w:tmpl w:val="B7360A5A"/>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F366E1"/>
    <w:multiLevelType w:val="hybridMultilevel"/>
    <w:tmpl w:val="289898E6"/>
    <w:lvl w:ilvl="0" w:tplc="0362342E">
      <w:start w:val="4"/>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800C00"/>
    <w:multiLevelType w:val="hybridMultilevel"/>
    <w:tmpl w:val="1020E40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7" w15:restartNumberingAfterBreak="0">
    <w:nsid w:val="35A40A45"/>
    <w:multiLevelType w:val="hybridMultilevel"/>
    <w:tmpl w:val="C61EDFB2"/>
    <w:lvl w:ilvl="0" w:tplc="2B34E1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7015CB4"/>
    <w:multiLevelType w:val="hybridMultilevel"/>
    <w:tmpl w:val="261A06D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89F64E7"/>
    <w:multiLevelType w:val="hybridMultilevel"/>
    <w:tmpl w:val="95E02A4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3BC77725"/>
    <w:multiLevelType w:val="hybridMultilevel"/>
    <w:tmpl w:val="4950CE30"/>
    <w:lvl w:ilvl="0" w:tplc="040A0001">
      <w:start w:val="1"/>
      <w:numFmt w:val="bullet"/>
      <w:lvlText w:val=""/>
      <w:lvlJc w:val="left"/>
      <w:pPr>
        <w:ind w:left="777" w:hanging="360"/>
      </w:pPr>
      <w:rPr>
        <w:rFonts w:ascii="Symbol" w:hAnsi="Symbol" w:hint="default"/>
      </w:rPr>
    </w:lvl>
    <w:lvl w:ilvl="1" w:tplc="040A0003" w:tentative="1">
      <w:start w:val="1"/>
      <w:numFmt w:val="bullet"/>
      <w:lvlText w:val="o"/>
      <w:lvlJc w:val="left"/>
      <w:pPr>
        <w:ind w:left="1497" w:hanging="360"/>
      </w:pPr>
      <w:rPr>
        <w:rFonts w:ascii="Courier New" w:hAnsi="Courier New" w:cs="Courier New" w:hint="default"/>
      </w:rPr>
    </w:lvl>
    <w:lvl w:ilvl="2" w:tplc="040A0005" w:tentative="1">
      <w:start w:val="1"/>
      <w:numFmt w:val="bullet"/>
      <w:lvlText w:val=""/>
      <w:lvlJc w:val="left"/>
      <w:pPr>
        <w:ind w:left="2217" w:hanging="360"/>
      </w:pPr>
      <w:rPr>
        <w:rFonts w:ascii="Wingdings" w:hAnsi="Wingdings" w:hint="default"/>
      </w:rPr>
    </w:lvl>
    <w:lvl w:ilvl="3" w:tplc="040A0001" w:tentative="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21" w15:restartNumberingAfterBreak="0">
    <w:nsid w:val="3CA71B64"/>
    <w:multiLevelType w:val="hybridMultilevel"/>
    <w:tmpl w:val="3D3EE3A2"/>
    <w:lvl w:ilvl="0" w:tplc="3F96BB92">
      <w:start w:val="1"/>
      <w:numFmt w:val="decimal"/>
      <w:lvlText w:val="%1."/>
      <w:lvlJc w:val="left"/>
      <w:pPr>
        <w:ind w:left="644" w:hanging="360"/>
      </w:pPr>
      <w:rPr>
        <w:rFonts w:cs="Times New Roman"/>
        <w:b w:val="0"/>
        <w:bCs/>
        <w:i w:val="0"/>
        <w:iCs w:val="0"/>
        <w:sz w:val="24"/>
        <w:szCs w:val="24"/>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446636D4"/>
    <w:multiLevelType w:val="multilevel"/>
    <w:tmpl w:val="FA9AB05A"/>
    <w:lvl w:ilvl="0">
      <w:start w:val="1"/>
      <w:numFmt w:val="decimal"/>
      <w:lvlText w:val="%1."/>
      <w:lvlJc w:val="left"/>
      <w:pPr>
        <w:ind w:left="360" w:hanging="360"/>
      </w:pPr>
      <w:rPr>
        <w:b w:val="0"/>
        <w:i w:val="0"/>
        <w:iCs w:val="0"/>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3" w15:restartNumberingAfterBreak="0">
    <w:nsid w:val="611D5491"/>
    <w:multiLevelType w:val="hybridMultilevel"/>
    <w:tmpl w:val="1270BF1E"/>
    <w:lvl w:ilvl="0" w:tplc="F2A8CA58">
      <w:start w:val="2"/>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150F66"/>
    <w:multiLevelType w:val="hybridMultilevel"/>
    <w:tmpl w:val="DF2AFF0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6644870"/>
    <w:multiLevelType w:val="multilevel"/>
    <w:tmpl w:val="F268184E"/>
    <w:lvl w:ilvl="0">
      <w:start w:val="1"/>
      <w:numFmt w:val="decimal"/>
      <w:suff w:val="space"/>
      <w:lvlText w:val="%1."/>
      <w:lvlJc w:val="left"/>
      <w:pPr>
        <w:ind w:left="0" w:firstLine="0"/>
      </w:pPr>
      <w:rPr>
        <w:rFonts w:ascii="Times New Roman" w:hAnsi="Times New Roman" w:cs="Times New Roman" w:hint="default"/>
        <w:b w:val="0"/>
        <w:bCs w:val="0"/>
        <w:i w:val="0"/>
        <w:color w:val="auto"/>
        <w:sz w:val="28"/>
        <w:szCs w:val="28"/>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A9C2CB6"/>
    <w:multiLevelType w:val="hybridMultilevel"/>
    <w:tmpl w:val="6E680756"/>
    <w:lvl w:ilvl="0" w:tplc="FFFFFFFF">
      <w:start w:val="1"/>
      <w:numFmt w:val="decimal"/>
      <w:lvlText w:val="%1."/>
      <w:lvlJc w:val="left"/>
      <w:pPr>
        <w:ind w:left="355" w:hanging="360"/>
      </w:pPr>
      <w:rPr>
        <w:rFonts w:ascii="Times New Roman" w:hAnsi="Times New Roman" w:cs="Times New Roman" w:hint="default"/>
        <w:b w:val="0"/>
        <w:bCs w:val="0"/>
        <w:i w:val="0"/>
        <w:iCs/>
        <w:color w:val="auto"/>
        <w:sz w:val="28"/>
        <w:szCs w:val="28"/>
      </w:rPr>
    </w:lvl>
    <w:lvl w:ilvl="1" w:tplc="FFFFFFFF" w:tentative="1">
      <w:start w:val="1"/>
      <w:numFmt w:val="lowerLetter"/>
      <w:lvlText w:val="%2."/>
      <w:lvlJc w:val="left"/>
      <w:pPr>
        <w:ind w:left="1075" w:hanging="360"/>
      </w:pPr>
    </w:lvl>
    <w:lvl w:ilvl="2" w:tplc="FFFFFFFF" w:tentative="1">
      <w:start w:val="1"/>
      <w:numFmt w:val="lowerRoman"/>
      <w:lvlText w:val="%3."/>
      <w:lvlJc w:val="right"/>
      <w:pPr>
        <w:ind w:left="1795" w:hanging="180"/>
      </w:pPr>
    </w:lvl>
    <w:lvl w:ilvl="3" w:tplc="FFFFFFFF" w:tentative="1">
      <w:start w:val="1"/>
      <w:numFmt w:val="decimal"/>
      <w:lvlText w:val="%4."/>
      <w:lvlJc w:val="left"/>
      <w:pPr>
        <w:ind w:left="2515" w:hanging="360"/>
      </w:pPr>
    </w:lvl>
    <w:lvl w:ilvl="4" w:tplc="FFFFFFFF" w:tentative="1">
      <w:start w:val="1"/>
      <w:numFmt w:val="lowerLetter"/>
      <w:lvlText w:val="%5."/>
      <w:lvlJc w:val="left"/>
      <w:pPr>
        <w:ind w:left="3235" w:hanging="360"/>
      </w:pPr>
    </w:lvl>
    <w:lvl w:ilvl="5" w:tplc="FFFFFFFF" w:tentative="1">
      <w:start w:val="1"/>
      <w:numFmt w:val="lowerRoman"/>
      <w:lvlText w:val="%6."/>
      <w:lvlJc w:val="right"/>
      <w:pPr>
        <w:ind w:left="3955" w:hanging="180"/>
      </w:pPr>
    </w:lvl>
    <w:lvl w:ilvl="6" w:tplc="FFFFFFFF" w:tentative="1">
      <w:start w:val="1"/>
      <w:numFmt w:val="decimal"/>
      <w:lvlText w:val="%7."/>
      <w:lvlJc w:val="left"/>
      <w:pPr>
        <w:ind w:left="4675" w:hanging="360"/>
      </w:pPr>
    </w:lvl>
    <w:lvl w:ilvl="7" w:tplc="FFFFFFFF" w:tentative="1">
      <w:start w:val="1"/>
      <w:numFmt w:val="lowerLetter"/>
      <w:lvlText w:val="%8."/>
      <w:lvlJc w:val="left"/>
      <w:pPr>
        <w:ind w:left="5395" w:hanging="360"/>
      </w:pPr>
    </w:lvl>
    <w:lvl w:ilvl="8" w:tplc="FFFFFFFF" w:tentative="1">
      <w:start w:val="1"/>
      <w:numFmt w:val="lowerRoman"/>
      <w:lvlText w:val="%9."/>
      <w:lvlJc w:val="right"/>
      <w:pPr>
        <w:ind w:left="6115" w:hanging="180"/>
      </w:pPr>
    </w:lvl>
  </w:abstractNum>
  <w:num w:numId="1">
    <w:abstractNumId w:val="22"/>
  </w:num>
  <w:num w:numId="2">
    <w:abstractNumId w:val="8"/>
  </w:num>
  <w:num w:numId="3">
    <w:abstractNumId w:val="2"/>
  </w:num>
  <w:num w:numId="4">
    <w:abstractNumId w:val="16"/>
  </w:num>
  <w:num w:numId="5">
    <w:abstractNumId w:val="19"/>
  </w:num>
  <w:num w:numId="6">
    <w:abstractNumId w:val="7"/>
  </w:num>
  <w:num w:numId="7">
    <w:abstractNumId w:val="26"/>
  </w:num>
  <w:num w:numId="8">
    <w:abstractNumId w:val="0"/>
  </w:num>
  <w:num w:numId="9">
    <w:abstractNumId w:val="21"/>
  </w:num>
  <w:num w:numId="10">
    <w:abstractNumId w:val="6"/>
  </w:num>
  <w:num w:numId="11">
    <w:abstractNumId w:val="11"/>
  </w:num>
  <w:num w:numId="12">
    <w:abstractNumId w:val="25"/>
  </w:num>
  <w:num w:numId="13">
    <w:abstractNumId w:val="12"/>
  </w:num>
  <w:num w:numId="14">
    <w:abstractNumId w:val="15"/>
  </w:num>
  <w:num w:numId="15">
    <w:abstractNumId w:val="10"/>
  </w:num>
  <w:num w:numId="16">
    <w:abstractNumId w:val="13"/>
  </w:num>
  <w:num w:numId="17">
    <w:abstractNumId w:val="23"/>
  </w:num>
  <w:num w:numId="18">
    <w:abstractNumId w:val="24"/>
  </w:num>
  <w:num w:numId="19">
    <w:abstractNumId w:val="14"/>
  </w:num>
  <w:num w:numId="20">
    <w:abstractNumId w:val="9"/>
  </w:num>
  <w:num w:numId="21">
    <w:abstractNumId w:val="3"/>
  </w:num>
  <w:num w:numId="22">
    <w:abstractNumId w:val="20"/>
  </w:num>
  <w:num w:numId="23">
    <w:abstractNumId w:val="4"/>
  </w:num>
  <w:num w:numId="24">
    <w:abstractNumId w:val="1"/>
  </w:num>
  <w:num w:numId="25">
    <w:abstractNumId w:val="5"/>
  </w:num>
  <w:num w:numId="26">
    <w:abstractNumId w:val="17"/>
  </w:num>
  <w:num w:numId="27">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E4"/>
    <w:rsid w:val="00001048"/>
    <w:rsid w:val="00001AF7"/>
    <w:rsid w:val="00001E5B"/>
    <w:rsid w:val="000028FD"/>
    <w:rsid w:val="00003F06"/>
    <w:rsid w:val="00004C79"/>
    <w:rsid w:val="00005C24"/>
    <w:rsid w:val="0000607F"/>
    <w:rsid w:val="0000612F"/>
    <w:rsid w:val="00006CF0"/>
    <w:rsid w:val="0000707F"/>
    <w:rsid w:val="00007871"/>
    <w:rsid w:val="00007E00"/>
    <w:rsid w:val="000118CA"/>
    <w:rsid w:val="000119D4"/>
    <w:rsid w:val="00011CE8"/>
    <w:rsid w:val="000135BD"/>
    <w:rsid w:val="00013ACC"/>
    <w:rsid w:val="000148CD"/>
    <w:rsid w:val="00014BD6"/>
    <w:rsid w:val="000157EA"/>
    <w:rsid w:val="00015CB4"/>
    <w:rsid w:val="00016043"/>
    <w:rsid w:val="00016FC1"/>
    <w:rsid w:val="000176B2"/>
    <w:rsid w:val="000201E6"/>
    <w:rsid w:val="00020DCD"/>
    <w:rsid w:val="00020F94"/>
    <w:rsid w:val="000216D8"/>
    <w:rsid w:val="000219CA"/>
    <w:rsid w:val="00021BE2"/>
    <w:rsid w:val="00021C29"/>
    <w:rsid w:val="000220EB"/>
    <w:rsid w:val="00023A32"/>
    <w:rsid w:val="000244AC"/>
    <w:rsid w:val="000247E3"/>
    <w:rsid w:val="00024861"/>
    <w:rsid w:val="000250D2"/>
    <w:rsid w:val="000251F7"/>
    <w:rsid w:val="00026B6C"/>
    <w:rsid w:val="00027BB9"/>
    <w:rsid w:val="00027FF2"/>
    <w:rsid w:val="000303A4"/>
    <w:rsid w:val="00030B08"/>
    <w:rsid w:val="00030DEC"/>
    <w:rsid w:val="000315F6"/>
    <w:rsid w:val="00031657"/>
    <w:rsid w:val="00031BD9"/>
    <w:rsid w:val="00032684"/>
    <w:rsid w:val="000326A4"/>
    <w:rsid w:val="0003283E"/>
    <w:rsid w:val="00032A91"/>
    <w:rsid w:val="0003349A"/>
    <w:rsid w:val="0003363F"/>
    <w:rsid w:val="000342A6"/>
    <w:rsid w:val="00034A61"/>
    <w:rsid w:val="00034F3B"/>
    <w:rsid w:val="00035235"/>
    <w:rsid w:val="00035B22"/>
    <w:rsid w:val="00036B56"/>
    <w:rsid w:val="00036B5F"/>
    <w:rsid w:val="00036CC9"/>
    <w:rsid w:val="00037862"/>
    <w:rsid w:val="0004045F"/>
    <w:rsid w:val="0004088B"/>
    <w:rsid w:val="00040CCC"/>
    <w:rsid w:val="0004149D"/>
    <w:rsid w:val="000414D8"/>
    <w:rsid w:val="00041B59"/>
    <w:rsid w:val="00041BCD"/>
    <w:rsid w:val="00041DA1"/>
    <w:rsid w:val="00041F4A"/>
    <w:rsid w:val="000420A9"/>
    <w:rsid w:val="0004345D"/>
    <w:rsid w:val="00043A68"/>
    <w:rsid w:val="000441D3"/>
    <w:rsid w:val="00044E5E"/>
    <w:rsid w:val="00044F09"/>
    <w:rsid w:val="000451DE"/>
    <w:rsid w:val="0004563C"/>
    <w:rsid w:val="00046DF9"/>
    <w:rsid w:val="00046FDB"/>
    <w:rsid w:val="00047977"/>
    <w:rsid w:val="0005080F"/>
    <w:rsid w:val="00050F30"/>
    <w:rsid w:val="00051156"/>
    <w:rsid w:val="000511D4"/>
    <w:rsid w:val="00051EE0"/>
    <w:rsid w:val="00051F34"/>
    <w:rsid w:val="00054600"/>
    <w:rsid w:val="0005479A"/>
    <w:rsid w:val="00054877"/>
    <w:rsid w:val="00054F57"/>
    <w:rsid w:val="00055057"/>
    <w:rsid w:val="00055448"/>
    <w:rsid w:val="00055CA2"/>
    <w:rsid w:val="00057DEB"/>
    <w:rsid w:val="00061181"/>
    <w:rsid w:val="0006147C"/>
    <w:rsid w:val="00061C05"/>
    <w:rsid w:val="0006201B"/>
    <w:rsid w:val="00062965"/>
    <w:rsid w:val="00063206"/>
    <w:rsid w:val="0006343D"/>
    <w:rsid w:val="00063B72"/>
    <w:rsid w:val="00065052"/>
    <w:rsid w:val="0006564E"/>
    <w:rsid w:val="000656FF"/>
    <w:rsid w:val="000666AE"/>
    <w:rsid w:val="00066996"/>
    <w:rsid w:val="00070490"/>
    <w:rsid w:val="00070E74"/>
    <w:rsid w:val="0007107E"/>
    <w:rsid w:val="00072570"/>
    <w:rsid w:val="000730A6"/>
    <w:rsid w:val="00073158"/>
    <w:rsid w:val="00073BF1"/>
    <w:rsid w:val="00073F55"/>
    <w:rsid w:val="000746E4"/>
    <w:rsid w:val="000752B1"/>
    <w:rsid w:val="0007535F"/>
    <w:rsid w:val="00075680"/>
    <w:rsid w:val="00075790"/>
    <w:rsid w:val="00075D34"/>
    <w:rsid w:val="00075DA3"/>
    <w:rsid w:val="00075E3C"/>
    <w:rsid w:val="00076078"/>
    <w:rsid w:val="0007634F"/>
    <w:rsid w:val="00076438"/>
    <w:rsid w:val="000769E1"/>
    <w:rsid w:val="00076A88"/>
    <w:rsid w:val="00077327"/>
    <w:rsid w:val="00077813"/>
    <w:rsid w:val="00077F07"/>
    <w:rsid w:val="000802D3"/>
    <w:rsid w:val="00080924"/>
    <w:rsid w:val="000818F6"/>
    <w:rsid w:val="00081A01"/>
    <w:rsid w:val="00081B0B"/>
    <w:rsid w:val="000829EC"/>
    <w:rsid w:val="00083199"/>
    <w:rsid w:val="00083EDF"/>
    <w:rsid w:val="000846D0"/>
    <w:rsid w:val="000853C8"/>
    <w:rsid w:val="00085855"/>
    <w:rsid w:val="000858B2"/>
    <w:rsid w:val="00085E19"/>
    <w:rsid w:val="0008653E"/>
    <w:rsid w:val="000870FC"/>
    <w:rsid w:val="000871D1"/>
    <w:rsid w:val="000872AD"/>
    <w:rsid w:val="000878AD"/>
    <w:rsid w:val="0009095E"/>
    <w:rsid w:val="00090EF8"/>
    <w:rsid w:val="00091256"/>
    <w:rsid w:val="00091960"/>
    <w:rsid w:val="00092184"/>
    <w:rsid w:val="000928CC"/>
    <w:rsid w:val="000938C7"/>
    <w:rsid w:val="00093A71"/>
    <w:rsid w:val="00093B6D"/>
    <w:rsid w:val="00095BC8"/>
    <w:rsid w:val="000966E4"/>
    <w:rsid w:val="00096DFA"/>
    <w:rsid w:val="00097064"/>
    <w:rsid w:val="0009717E"/>
    <w:rsid w:val="0009756A"/>
    <w:rsid w:val="000976EA"/>
    <w:rsid w:val="000A0133"/>
    <w:rsid w:val="000A0A20"/>
    <w:rsid w:val="000A0C5D"/>
    <w:rsid w:val="000A15D2"/>
    <w:rsid w:val="000A175D"/>
    <w:rsid w:val="000A17E9"/>
    <w:rsid w:val="000A1B7F"/>
    <w:rsid w:val="000A2D71"/>
    <w:rsid w:val="000A32E5"/>
    <w:rsid w:val="000A42EA"/>
    <w:rsid w:val="000A4835"/>
    <w:rsid w:val="000A5893"/>
    <w:rsid w:val="000A5B97"/>
    <w:rsid w:val="000A6759"/>
    <w:rsid w:val="000A7237"/>
    <w:rsid w:val="000A7A8E"/>
    <w:rsid w:val="000A7CC4"/>
    <w:rsid w:val="000A7ED8"/>
    <w:rsid w:val="000B0C2B"/>
    <w:rsid w:val="000B0E92"/>
    <w:rsid w:val="000B11A6"/>
    <w:rsid w:val="000B1895"/>
    <w:rsid w:val="000B25DC"/>
    <w:rsid w:val="000B298C"/>
    <w:rsid w:val="000B3127"/>
    <w:rsid w:val="000B34E9"/>
    <w:rsid w:val="000B470F"/>
    <w:rsid w:val="000B65A8"/>
    <w:rsid w:val="000B725C"/>
    <w:rsid w:val="000B754C"/>
    <w:rsid w:val="000C055B"/>
    <w:rsid w:val="000C2516"/>
    <w:rsid w:val="000C2C87"/>
    <w:rsid w:val="000C30B6"/>
    <w:rsid w:val="000C38EA"/>
    <w:rsid w:val="000C3CBC"/>
    <w:rsid w:val="000C3E27"/>
    <w:rsid w:val="000C3F55"/>
    <w:rsid w:val="000C4939"/>
    <w:rsid w:val="000C4BED"/>
    <w:rsid w:val="000C4DE0"/>
    <w:rsid w:val="000C5355"/>
    <w:rsid w:val="000C578A"/>
    <w:rsid w:val="000C646A"/>
    <w:rsid w:val="000C6824"/>
    <w:rsid w:val="000C71E5"/>
    <w:rsid w:val="000C7667"/>
    <w:rsid w:val="000D02C6"/>
    <w:rsid w:val="000D0415"/>
    <w:rsid w:val="000D0758"/>
    <w:rsid w:val="000D0CDB"/>
    <w:rsid w:val="000D12ED"/>
    <w:rsid w:val="000D237C"/>
    <w:rsid w:val="000D25BD"/>
    <w:rsid w:val="000D2BD7"/>
    <w:rsid w:val="000D3258"/>
    <w:rsid w:val="000D325B"/>
    <w:rsid w:val="000D3886"/>
    <w:rsid w:val="000D38C9"/>
    <w:rsid w:val="000D3B58"/>
    <w:rsid w:val="000D3E56"/>
    <w:rsid w:val="000D3EBA"/>
    <w:rsid w:val="000D43E7"/>
    <w:rsid w:val="000D4974"/>
    <w:rsid w:val="000D4ECE"/>
    <w:rsid w:val="000D5017"/>
    <w:rsid w:val="000D5357"/>
    <w:rsid w:val="000D5404"/>
    <w:rsid w:val="000D5BF7"/>
    <w:rsid w:val="000D63E1"/>
    <w:rsid w:val="000D63E6"/>
    <w:rsid w:val="000D6A77"/>
    <w:rsid w:val="000D70A0"/>
    <w:rsid w:val="000E0034"/>
    <w:rsid w:val="000E0199"/>
    <w:rsid w:val="000E05D7"/>
    <w:rsid w:val="000E11C7"/>
    <w:rsid w:val="000E1834"/>
    <w:rsid w:val="000E195E"/>
    <w:rsid w:val="000E2223"/>
    <w:rsid w:val="000E2455"/>
    <w:rsid w:val="000E2C13"/>
    <w:rsid w:val="000E3C07"/>
    <w:rsid w:val="000E4813"/>
    <w:rsid w:val="000E48A8"/>
    <w:rsid w:val="000E4CC4"/>
    <w:rsid w:val="000E4FB3"/>
    <w:rsid w:val="000E5061"/>
    <w:rsid w:val="000E5560"/>
    <w:rsid w:val="000E60F7"/>
    <w:rsid w:val="000E6148"/>
    <w:rsid w:val="000E61D8"/>
    <w:rsid w:val="000E6853"/>
    <w:rsid w:val="000E6F67"/>
    <w:rsid w:val="000F02C8"/>
    <w:rsid w:val="000F2993"/>
    <w:rsid w:val="000F2E17"/>
    <w:rsid w:val="000F3369"/>
    <w:rsid w:val="000F40BF"/>
    <w:rsid w:val="000F4E0E"/>
    <w:rsid w:val="000F5457"/>
    <w:rsid w:val="000F56A5"/>
    <w:rsid w:val="000F68B6"/>
    <w:rsid w:val="000F6EDA"/>
    <w:rsid w:val="000F72FE"/>
    <w:rsid w:val="001002D4"/>
    <w:rsid w:val="00100309"/>
    <w:rsid w:val="00101470"/>
    <w:rsid w:val="00101B73"/>
    <w:rsid w:val="00102714"/>
    <w:rsid w:val="00102E5F"/>
    <w:rsid w:val="0010326E"/>
    <w:rsid w:val="00103EA8"/>
    <w:rsid w:val="00104307"/>
    <w:rsid w:val="001044EA"/>
    <w:rsid w:val="001047AE"/>
    <w:rsid w:val="001047BD"/>
    <w:rsid w:val="00104F3D"/>
    <w:rsid w:val="001061ED"/>
    <w:rsid w:val="0010650F"/>
    <w:rsid w:val="00106778"/>
    <w:rsid w:val="00106935"/>
    <w:rsid w:val="00106E64"/>
    <w:rsid w:val="00106EEB"/>
    <w:rsid w:val="00107898"/>
    <w:rsid w:val="00110194"/>
    <w:rsid w:val="00110BF7"/>
    <w:rsid w:val="00110E82"/>
    <w:rsid w:val="0011191F"/>
    <w:rsid w:val="001123C0"/>
    <w:rsid w:val="001128A9"/>
    <w:rsid w:val="00112AEE"/>
    <w:rsid w:val="00113165"/>
    <w:rsid w:val="00113FFE"/>
    <w:rsid w:val="001141FD"/>
    <w:rsid w:val="00114E22"/>
    <w:rsid w:val="0011574D"/>
    <w:rsid w:val="001160F1"/>
    <w:rsid w:val="0011641F"/>
    <w:rsid w:val="001166B7"/>
    <w:rsid w:val="00116C83"/>
    <w:rsid w:val="00116FF9"/>
    <w:rsid w:val="0011753F"/>
    <w:rsid w:val="00117B53"/>
    <w:rsid w:val="00117E75"/>
    <w:rsid w:val="00120A24"/>
    <w:rsid w:val="00120BA6"/>
    <w:rsid w:val="00120EA3"/>
    <w:rsid w:val="00121E60"/>
    <w:rsid w:val="001225BA"/>
    <w:rsid w:val="001227B1"/>
    <w:rsid w:val="00122FF1"/>
    <w:rsid w:val="0012352B"/>
    <w:rsid w:val="00123FE5"/>
    <w:rsid w:val="00124755"/>
    <w:rsid w:val="001247DC"/>
    <w:rsid w:val="00124E19"/>
    <w:rsid w:val="00125032"/>
    <w:rsid w:val="001253ED"/>
    <w:rsid w:val="00126263"/>
    <w:rsid w:val="001265C7"/>
    <w:rsid w:val="00126802"/>
    <w:rsid w:val="00126EE8"/>
    <w:rsid w:val="00127735"/>
    <w:rsid w:val="00130221"/>
    <w:rsid w:val="0013038B"/>
    <w:rsid w:val="00130503"/>
    <w:rsid w:val="0013061E"/>
    <w:rsid w:val="0013098D"/>
    <w:rsid w:val="00130A1A"/>
    <w:rsid w:val="001312B9"/>
    <w:rsid w:val="00131E98"/>
    <w:rsid w:val="0013248A"/>
    <w:rsid w:val="00132B52"/>
    <w:rsid w:val="001353EE"/>
    <w:rsid w:val="001375A2"/>
    <w:rsid w:val="00137E25"/>
    <w:rsid w:val="0014124A"/>
    <w:rsid w:val="0014185E"/>
    <w:rsid w:val="00141A03"/>
    <w:rsid w:val="001424E1"/>
    <w:rsid w:val="001430F3"/>
    <w:rsid w:val="00144176"/>
    <w:rsid w:val="0014534A"/>
    <w:rsid w:val="00146086"/>
    <w:rsid w:val="00146B7D"/>
    <w:rsid w:val="001475CD"/>
    <w:rsid w:val="00150E8C"/>
    <w:rsid w:val="00150ED2"/>
    <w:rsid w:val="00151216"/>
    <w:rsid w:val="00151263"/>
    <w:rsid w:val="00152AD9"/>
    <w:rsid w:val="00153DFE"/>
    <w:rsid w:val="00153F46"/>
    <w:rsid w:val="001541B6"/>
    <w:rsid w:val="00154829"/>
    <w:rsid w:val="00154F48"/>
    <w:rsid w:val="001554C7"/>
    <w:rsid w:val="00155FAA"/>
    <w:rsid w:val="0015651D"/>
    <w:rsid w:val="0015660B"/>
    <w:rsid w:val="00157207"/>
    <w:rsid w:val="0015736C"/>
    <w:rsid w:val="001579BE"/>
    <w:rsid w:val="00157AB9"/>
    <w:rsid w:val="0016040D"/>
    <w:rsid w:val="00160F46"/>
    <w:rsid w:val="00161758"/>
    <w:rsid w:val="00162161"/>
    <w:rsid w:val="0016224A"/>
    <w:rsid w:val="00163284"/>
    <w:rsid w:val="00163418"/>
    <w:rsid w:val="0016463F"/>
    <w:rsid w:val="00164A8D"/>
    <w:rsid w:val="00164AA1"/>
    <w:rsid w:val="00164D42"/>
    <w:rsid w:val="001651CD"/>
    <w:rsid w:val="001657C1"/>
    <w:rsid w:val="00165F76"/>
    <w:rsid w:val="00166221"/>
    <w:rsid w:val="00166CED"/>
    <w:rsid w:val="00166D07"/>
    <w:rsid w:val="00166F91"/>
    <w:rsid w:val="001674F0"/>
    <w:rsid w:val="00167665"/>
    <w:rsid w:val="0016769E"/>
    <w:rsid w:val="00170142"/>
    <w:rsid w:val="00170604"/>
    <w:rsid w:val="0017064E"/>
    <w:rsid w:val="00170919"/>
    <w:rsid w:val="00170D18"/>
    <w:rsid w:val="00171689"/>
    <w:rsid w:val="0017234E"/>
    <w:rsid w:val="00173436"/>
    <w:rsid w:val="001739F9"/>
    <w:rsid w:val="00173A68"/>
    <w:rsid w:val="001749D0"/>
    <w:rsid w:val="00174AA3"/>
    <w:rsid w:val="00174C4F"/>
    <w:rsid w:val="0017658A"/>
    <w:rsid w:val="001768C6"/>
    <w:rsid w:val="0017718F"/>
    <w:rsid w:val="00177197"/>
    <w:rsid w:val="0017738B"/>
    <w:rsid w:val="001773C8"/>
    <w:rsid w:val="0017777C"/>
    <w:rsid w:val="00180413"/>
    <w:rsid w:val="001804DE"/>
    <w:rsid w:val="00180789"/>
    <w:rsid w:val="00180F6C"/>
    <w:rsid w:val="00181B5D"/>
    <w:rsid w:val="00181C80"/>
    <w:rsid w:val="00181CE2"/>
    <w:rsid w:val="00182E3A"/>
    <w:rsid w:val="00183523"/>
    <w:rsid w:val="00183C55"/>
    <w:rsid w:val="00183E7E"/>
    <w:rsid w:val="00184789"/>
    <w:rsid w:val="001847B0"/>
    <w:rsid w:val="00184947"/>
    <w:rsid w:val="001850C4"/>
    <w:rsid w:val="00185742"/>
    <w:rsid w:val="0018606D"/>
    <w:rsid w:val="00186482"/>
    <w:rsid w:val="00186C88"/>
    <w:rsid w:val="001876F8"/>
    <w:rsid w:val="0019011B"/>
    <w:rsid w:val="00190D54"/>
    <w:rsid w:val="0019118A"/>
    <w:rsid w:val="00191378"/>
    <w:rsid w:val="00191511"/>
    <w:rsid w:val="0019204F"/>
    <w:rsid w:val="00192401"/>
    <w:rsid w:val="00192635"/>
    <w:rsid w:val="00193A66"/>
    <w:rsid w:val="00193A8A"/>
    <w:rsid w:val="00193FBA"/>
    <w:rsid w:val="00194351"/>
    <w:rsid w:val="001948FC"/>
    <w:rsid w:val="00195587"/>
    <w:rsid w:val="00195A01"/>
    <w:rsid w:val="00195A9E"/>
    <w:rsid w:val="00195D80"/>
    <w:rsid w:val="00195E2A"/>
    <w:rsid w:val="00196629"/>
    <w:rsid w:val="00197535"/>
    <w:rsid w:val="00197ACE"/>
    <w:rsid w:val="00197FDD"/>
    <w:rsid w:val="001A04D3"/>
    <w:rsid w:val="001A0946"/>
    <w:rsid w:val="001A0B7C"/>
    <w:rsid w:val="001A12D2"/>
    <w:rsid w:val="001A1938"/>
    <w:rsid w:val="001A1F26"/>
    <w:rsid w:val="001A2428"/>
    <w:rsid w:val="001A2780"/>
    <w:rsid w:val="001A2793"/>
    <w:rsid w:val="001A29AE"/>
    <w:rsid w:val="001A2F7B"/>
    <w:rsid w:val="001A3399"/>
    <w:rsid w:val="001A3463"/>
    <w:rsid w:val="001A3952"/>
    <w:rsid w:val="001A3DDB"/>
    <w:rsid w:val="001A4112"/>
    <w:rsid w:val="001A4119"/>
    <w:rsid w:val="001A50AF"/>
    <w:rsid w:val="001A5115"/>
    <w:rsid w:val="001A593B"/>
    <w:rsid w:val="001A5CEC"/>
    <w:rsid w:val="001A63BE"/>
    <w:rsid w:val="001A6826"/>
    <w:rsid w:val="001A79D2"/>
    <w:rsid w:val="001B0238"/>
    <w:rsid w:val="001B0416"/>
    <w:rsid w:val="001B1B23"/>
    <w:rsid w:val="001B1B9D"/>
    <w:rsid w:val="001B1C5B"/>
    <w:rsid w:val="001B1E19"/>
    <w:rsid w:val="001B23D4"/>
    <w:rsid w:val="001B247B"/>
    <w:rsid w:val="001B2B79"/>
    <w:rsid w:val="001B32BF"/>
    <w:rsid w:val="001B3558"/>
    <w:rsid w:val="001B3AFE"/>
    <w:rsid w:val="001B3B70"/>
    <w:rsid w:val="001B3C18"/>
    <w:rsid w:val="001B3CC3"/>
    <w:rsid w:val="001B4453"/>
    <w:rsid w:val="001B44AA"/>
    <w:rsid w:val="001B44CC"/>
    <w:rsid w:val="001B4B8E"/>
    <w:rsid w:val="001B58CB"/>
    <w:rsid w:val="001B5D1F"/>
    <w:rsid w:val="001B640E"/>
    <w:rsid w:val="001B649E"/>
    <w:rsid w:val="001B6704"/>
    <w:rsid w:val="001B6972"/>
    <w:rsid w:val="001B6A02"/>
    <w:rsid w:val="001B7916"/>
    <w:rsid w:val="001B7AD0"/>
    <w:rsid w:val="001C0D76"/>
    <w:rsid w:val="001C0F27"/>
    <w:rsid w:val="001C0F48"/>
    <w:rsid w:val="001C1102"/>
    <w:rsid w:val="001C1F07"/>
    <w:rsid w:val="001C1F67"/>
    <w:rsid w:val="001C238A"/>
    <w:rsid w:val="001C2D01"/>
    <w:rsid w:val="001C302E"/>
    <w:rsid w:val="001C38AA"/>
    <w:rsid w:val="001C55F7"/>
    <w:rsid w:val="001C5C59"/>
    <w:rsid w:val="001C6E57"/>
    <w:rsid w:val="001C762F"/>
    <w:rsid w:val="001D027F"/>
    <w:rsid w:val="001D0328"/>
    <w:rsid w:val="001D0736"/>
    <w:rsid w:val="001D0C24"/>
    <w:rsid w:val="001D12E3"/>
    <w:rsid w:val="001D1462"/>
    <w:rsid w:val="001D1616"/>
    <w:rsid w:val="001D22A8"/>
    <w:rsid w:val="001D2FDE"/>
    <w:rsid w:val="001D30C4"/>
    <w:rsid w:val="001D3238"/>
    <w:rsid w:val="001D407B"/>
    <w:rsid w:val="001D4595"/>
    <w:rsid w:val="001D4AB4"/>
    <w:rsid w:val="001D7440"/>
    <w:rsid w:val="001D7573"/>
    <w:rsid w:val="001D7A60"/>
    <w:rsid w:val="001E0256"/>
    <w:rsid w:val="001E072C"/>
    <w:rsid w:val="001E073C"/>
    <w:rsid w:val="001E13EC"/>
    <w:rsid w:val="001E1700"/>
    <w:rsid w:val="001E1E36"/>
    <w:rsid w:val="001E1F85"/>
    <w:rsid w:val="001E23D4"/>
    <w:rsid w:val="001E352D"/>
    <w:rsid w:val="001E3D44"/>
    <w:rsid w:val="001E408E"/>
    <w:rsid w:val="001E4110"/>
    <w:rsid w:val="001E4CA6"/>
    <w:rsid w:val="001E4D6F"/>
    <w:rsid w:val="001E4DB2"/>
    <w:rsid w:val="001E555C"/>
    <w:rsid w:val="001E57F9"/>
    <w:rsid w:val="001E61A5"/>
    <w:rsid w:val="001E6678"/>
    <w:rsid w:val="001E678B"/>
    <w:rsid w:val="001E6D25"/>
    <w:rsid w:val="001E6E36"/>
    <w:rsid w:val="001E7136"/>
    <w:rsid w:val="001F0852"/>
    <w:rsid w:val="001F0A4F"/>
    <w:rsid w:val="001F0B24"/>
    <w:rsid w:val="001F0D12"/>
    <w:rsid w:val="001F0DB2"/>
    <w:rsid w:val="001F17D3"/>
    <w:rsid w:val="001F1A1F"/>
    <w:rsid w:val="001F1D34"/>
    <w:rsid w:val="001F210A"/>
    <w:rsid w:val="001F3915"/>
    <w:rsid w:val="001F43F6"/>
    <w:rsid w:val="001F4A7F"/>
    <w:rsid w:val="001F52B4"/>
    <w:rsid w:val="001F543A"/>
    <w:rsid w:val="001F565A"/>
    <w:rsid w:val="001F5D40"/>
    <w:rsid w:val="001F5EF1"/>
    <w:rsid w:val="001F6473"/>
    <w:rsid w:val="001F64FE"/>
    <w:rsid w:val="001F665D"/>
    <w:rsid w:val="001F722F"/>
    <w:rsid w:val="001F7787"/>
    <w:rsid w:val="001F7DED"/>
    <w:rsid w:val="0020047B"/>
    <w:rsid w:val="00200599"/>
    <w:rsid w:val="00200AF2"/>
    <w:rsid w:val="00200FB0"/>
    <w:rsid w:val="0020109B"/>
    <w:rsid w:val="00201168"/>
    <w:rsid w:val="00201409"/>
    <w:rsid w:val="00201910"/>
    <w:rsid w:val="002022C3"/>
    <w:rsid w:val="002028AE"/>
    <w:rsid w:val="00202DC8"/>
    <w:rsid w:val="00204360"/>
    <w:rsid w:val="00204527"/>
    <w:rsid w:val="0020527A"/>
    <w:rsid w:val="00205D60"/>
    <w:rsid w:val="0020674F"/>
    <w:rsid w:val="00206DBC"/>
    <w:rsid w:val="0020783D"/>
    <w:rsid w:val="00207A17"/>
    <w:rsid w:val="00210E6A"/>
    <w:rsid w:val="00211C3B"/>
    <w:rsid w:val="00212572"/>
    <w:rsid w:val="002139F7"/>
    <w:rsid w:val="00213F86"/>
    <w:rsid w:val="002141C6"/>
    <w:rsid w:val="00214914"/>
    <w:rsid w:val="00215704"/>
    <w:rsid w:val="00216697"/>
    <w:rsid w:val="00216FC0"/>
    <w:rsid w:val="00217825"/>
    <w:rsid w:val="00217AB5"/>
    <w:rsid w:val="00217F08"/>
    <w:rsid w:val="002214E6"/>
    <w:rsid w:val="00221F85"/>
    <w:rsid w:val="002226FF"/>
    <w:rsid w:val="00222E3C"/>
    <w:rsid w:val="0022337B"/>
    <w:rsid w:val="002234BF"/>
    <w:rsid w:val="0022445B"/>
    <w:rsid w:val="0022460B"/>
    <w:rsid w:val="002247CD"/>
    <w:rsid w:val="002255DE"/>
    <w:rsid w:val="00225D77"/>
    <w:rsid w:val="00225F81"/>
    <w:rsid w:val="00226143"/>
    <w:rsid w:val="0022635C"/>
    <w:rsid w:val="00226D3E"/>
    <w:rsid w:val="00231477"/>
    <w:rsid w:val="00231A9F"/>
    <w:rsid w:val="002324AC"/>
    <w:rsid w:val="002325C6"/>
    <w:rsid w:val="002326B9"/>
    <w:rsid w:val="00232AFA"/>
    <w:rsid w:val="002337DF"/>
    <w:rsid w:val="002343E4"/>
    <w:rsid w:val="0023451E"/>
    <w:rsid w:val="00234743"/>
    <w:rsid w:val="002349AB"/>
    <w:rsid w:val="002353AD"/>
    <w:rsid w:val="002361CE"/>
    <w:rsid w:val="002361F4"/>
    <w:rsid w:val="00236461"/>
    <w:rsid w:val="00236769"/>
    <w:rsid w:val="00237BFC"/>
    <w:rsid w:val="00240282"/>
    <w:rsid w:val="002415A3"/>
    <w:rsid w:val="00241627"/>
    <w:rsid w:val="00241D05"/>
    <w:rsid w:val="002424FA"/>
    <w:rsid w:val="002425E0"/>
    <w:rsid w:val="0024334B"/>
    <w:rsid w:val="002439E1"/>
    <w:rsid w:val="00243C19"/>
    <w:rsid w:val="00244029"/>
    <w:rsid w:val="002446AC"/>
    <w:rsid w:val="0024474A"/>
    <w:rsid w:val="00244C81"/>
    <w:rsid w:val="00244D9F"/>
    <w:rsid w:val="002450BB"/>
    <w:rsid w:val="002450CE"/>
    <w:rsid w:val="00245959"/>
    <w:rsid w:val="00245FC0"/>
    <w:rsid w:val="002463A9"/>
    <w:rsid w:val="00246718"/>
    <w:rsid w:val="00246725"/>
    <w:rsid w:val="002467E6"/>
    <w:rsid w:val="00246C9D"/>
    <w:rsid w:val="00247512"/>
    <w:rsid w:val="00247CBB"/>
    <w:rsid w:val="00247EDD"/>
    <w:rsid w:val="00247F2C"/>
    <w:rsid w:val="002506C1"/>
    <w:rsid w:val="00250A3B"/>
    <w:rsid w:val="00250D8C"/>
    <w:rsid w:val="00251479"/>
    <w:rsid w:val="002517AE"/>
    <w:rsid w:val="002517C5"/>
    <w:rsid w:val="002518DA"/>
    <w:rsid w:val="00251F78"/>
    <w:rsid w:val="00253109"/>
    <w:rsid w:val="002538F3"/>
    <w:rsid w:val="00253C8D"/>
    <w:rsid w:val="00253DA8"/>
    <w:rsid w:val="00255043"/>
    <w:rsid w:val="0025646E"/>
    <w:rsid w:val="002566D2"/>
    <w:rsid w:val="00257603"/>
    <w:rsid w:val="0025776C"/>
    <w:rsid w:val="00257E2F"/>
    <w:rsid w:val="002607E2"/>
    <w:rsid w:val="00260CD1"/>
    <w:rsid w:val="00261CDD"/>
    <w:rsid w:val="002620C1"/>
    <w:rsid w:val="002620F8"/>
    <w:rsid w:val="0026277B"/>
    <w:rsid w:val="002627C0"/>
    <w:rsid w:val="00262DCE"/>
    <w:rsid w:val="00263CEB"/>
    <w:rsid w:val="00263D33"/>
    <w:rsid w:val="0026470E"/>
    <w:rsid w:val="00264A4A"/>
    <w:rsid w:val="00264BF1"/>
    <w:rsid w:val="00264E75"/>
    <w:rsid w:val="00265E0A"/>
    <w:rsid w:val="0026674B"/>
    <w:rsid w:val="00266C54"/>
    <w:rsid w:val="00266E08"/>
    <w:rsid w:val="0026711A"/>
    <w:rsid w:val="002673DD"/>
    <w:rsid w:val="00267530"/>
    <w:rsid w:val="00267AF9"/>
    <w:rsid w:val="00267CD1"/>
    <w:rsid w:val="002700F5"/>
    <w:rsid w:val="0027010B"/>
    <w:rsid w:val="00270725"/>
    <w:rsid w:val="00271420"/>
    <w:rsid w:val="002717F9"/>
    <w:rsid w:val="00271A57"/>
    <w:rsid w:val="00274096"/>
    <w:rsid w:val="00274299"/>
    <w:rsid w:val="00274D80"/>
    <w:rsid w:val="00274F0E"/>
    <w:rsid w:val="00275148"/>
    <w:rsid w:val="00275188"/>
    <w:rsid w:val="0027619E"/>
    <w:rsid w:val="002764A0"/>
    <w:rsid w:val="00276ADD"/>
    <w:rsid w:val="002806A1"/>
    <w:rsid w:val="00280952"/>
    <w:rsid w:val="002810E5"/>
    <w:rsid w:val="002816C9"/>
    <w:rsid w:val="00282461"/>
    <w:rsid w:val="00282DC6"/>
    <w:rsid w:val="00282E65"/>
    <w:rsid w:val="002833D6"/>
    <w:rsid w:val="00283B37"/>
    <w:rsid w:val="00284238"/>
    <w:rsid w:val="002844B1"/>
    <w:rsid w:val="0028517F"/>
    <w:rsid w:val="002852E2"/>
    <w:rsid w:val="00285D6B"/>
    <w:rsid w:val="00286B90"/>
    <w:rsid w:val="00286D6A"/>
    <w:rsid w:val="002875D9"/>
    <w:rsid w:val="00287C85"/>
    <w:rsid w:val="002904E2"/>
    <w:rsid w:val="00291635"/>
    <w:rsid w:val="00291D29"/>
    <w:rsid w:val="0029230F"/>
    <w:rsid w:val="00292BDD"/>
    <w:rsid w:val="0029336C"/>
    <w:rsid w:val="00293D47"/>
    <w:rsid w:val="002945D8"/>
    <w:rsid w:val="002947F5"/>
    <w:rsid w:val="002951C3"/>
    <w:rsid w:val="00295D73"/>
    <w:rsid w:val="00295E2F"/>
    <w:rsid w:val="00297149"/>
    <w:rsid w:val="002975C4"/>
    <w:rsid w:val="00297731"/>
    <w:rsid w:val="00297C31"/>
    <w:rsid w:val="00297FFB"/>
    <w:rsid w:val="002A0C26"/>
    <w:rsid w:val="002A148A"/>
    <w:rsid w:val="002A196B"/>
    <w:rsid w:val="002A1A3F"/>
    <w:rsid w:val="002A1AEA"/>
    <w:rsid w:val="002A29B9"/>
    <w:rsid w:val="002A2BA6"/>
    <w:rsid w:val="002A2F8E"/>
    <w:rsid w:val="002A3432"/>
    <w:rsid w:val="002A344E"/>
    <w:rsid w:val="002A3E58"/>
    <w:rsid w:val="002A41B6"/>
    <w:rsid w:val="002A5BD8"/>
    <w:rsid w:val="002A6913"/>
    <w:rsid w:val="002A6EDC"/>
    <w:rsid w:val="002A6FD1"/>
    <w:rsid w:val="002A70A0"/>
    <w:rsid w:val="002A7239"/>
    <w:rsid w:val="002A740B"/>
    <w:rsid w:val="002A7ED9"/>
    <w:rsid w:val="002B08A6"/>
    <w:rsid w:val="002B0D75"/>
    <w:rsid w:val="002B146E"/>
    <w:rsid w:val="002B147D"/>
    <w:rsid w:val="002B1E30"/>
    <w:rsid w:val="002B2322"/>
    <w:rsid w:val="002B26A8"/>
    <w:rsid w:val="002B2CBD"/>
    <w:rsid w:val="002B3F70"/>
    <w:rsid w:val="002B3FF7"/>
    <w:rsid w:val="002B416B"/>
    <w:rsid w:val="002B41C8"/>
    <w:rsid w:val="002B510E"/>
    <w:rsid w:val="002B53B2"/>
    <w:rsid w:val="002B54BE"/>
    <w:rsid w:val="002B5530"/>
    <w:rsid w:val="002B5778"/>
    <w:rsid w:val="002B5B13"/>
    <w:rsid w:val="002B60DD"/>
    <w:rsid w:val="002B67DF"/>
    <w:rsid w:val="002B6CA0"/>
    <w:rsid w:val="002B6F06"/>
    <w:rsid w:val="002B71E9"/>
    <w:rsid w:val="002B739D"/>
    <w:rsid w:val="002B74DE"/>
    <w:rsid w:val="002B7AB0"/>
    <w:rsid w:val="002B7DE9"/>
    <w:rsid w:val="002C0806"/>
    <w:rsid w:val="002C0E30"/>
    <w:rsid w:val="002C1731"/>
    <w:rsid w:val="002C1940"/>
    <w:rsid w:val="002C1D4C"/>
    <w:rsid w:val="002C23CB"/>
    <w:rsid w:val="002C2658"/>
    <w:rsid w:val="002C35C0"/>
    <w:rsid w:val="002C4738"/>
    <w:rsid w:val="002C4C9D"/>
    <w:rsid w:val="002C4D48"/>
    <w:rsid w:val="002C500B"/>
    <w:rsid w:val="002C52D9"/>
    <w:rsid w:val="002C541E"/>
    <w:rsid w:val="002C548D"/>
    <w:rsid w:val="002C6ACD"/>
    <w:rsid w:val="002C7A9F"/>
    <w:rsid w:val="002C7C01"/>
    <w:rsid w:val="002C7C55"/>
    <w:rsid w:val="002D0BAE"/>
    <w:rsid w:val="002D10EB"/>
    <w:rsid w:val="002D12A8"/>
    <w:rsid w:val="002D1C8E"/>
    <w:rsid w:val="002D2742"/>
    <w:rsid w:val="002D2BD3"/>
    <w:rsid w:val="002D2C30"/>
    <w:rsid w:val="002D30B8"/>
    <w:rsid w:val="002D4A58"/>
    <w:rsid w:val="002D4FB9"/>
    <w:rsid w:val="002D57FB"/>
    <w:rsid w:val="002D5819"/>
    <w:rsid w:val="002D5EAC"/>
    <w:rsid w:val="002D6363"/>
    <w:rsid w:val="002D6601"/>
    <w:rsid w:val="002D6AD6"/>
    <w:rsid w:val="002E0EDA"/>
    <w:rsid w:val="002E12F9"/>
    <w:rsid w:val="002E137F"/>
    <w:rsid w:val="002E261B"/>
    <w:rsid w:val="002E263B"/>
    <w:rsid w:val="002E3C05"/>
    <w:rsid w:val="002E43BC"/>
    <w:rsid w:val="002E61BA"/>
    <w:rsid w:val="002E6210"/>
    <w:rsid w:val="002E69FD"/>
    <w:rsid w:val="002E7182"/>
    <w:rsid w:val="002E7301"/>
    <w:rsid w:val="002E74C0"/>
    <w:rsid w:val="002E76D5"/>
    <w:rsid w:val="002E7B21"/>
    <w:rsid w:val="002F0BC5"/>
    <w:rsid w:val="002F11B2"/>
    <w:rsid w:val="002F1984"/>
    <w:rsid w:val="002F2905"/>
    <w:rsid w:val="002F2E07"/>
    <w:rsid w:val="002F2E29"/>
    <w:rsid w:val="002F334D"/>
    <w:rsid w:val="002F40CE"/>
    <w:rsid w:val="002F4271"/>
    <w:rsid w:val="002F4363"/>
    <w:rsid w:val="002F440B"/>
    <w:rsid w:val="002F4467"/>
    <w:rsid w:val="002F47D6"/>
    <w:rsid w:val="002F50CA"/>
    <w:rsid w:val="002F5B73"/>
    <w:rsid w:val="002F655A"/>
    <w:rsid w:val="002F6991"/>
    <w:rsid w:val="002F6B93"/>
    <w:rsid w:val="002F6E83"/>
    <w:rsid w:val="002F7C3D"/>
    <w:rsid w:val="002F7E0E"/>
    <w:rsid w:val="00300276"/>
    <w:rsid w:val="003006E3"/>
    <w:rsid w:val="0030155A"/>
    <w:rsid w:val="00301CFB"/>
    <w:rsid w:val="00301D49"/>
    <w:rsid w:val="0030365B"/>
    <w:rsid w:val="003043F7"/>
    <w:rsid w:val="0030486C"/>
    <w:rsid w:val="00304A80"/>
    <w:rsid w:val="00304AE9"/>
    <w:rsid w:val="00304DDE"/>
    <w:rsid w:val="00305490"/>
    <w:rsid w:val="00306790"/>
    <w:rsid w:val="003068DD"/>
    <w:rsid w:val="00306C43"/>
    <w:rsid w:val="00307183"/>
    <w:rsid w:val="00307C81"/>
    <w:rsid w:val="003105E2"/>
    <w:rsid w:val="003107D8"/>
    <w:rsid w:val="0031084B"/>
    <w:rsid w:val="00311077"/>
    <w:rsid w:val="003112E5"/>
    <w:rsid w:val="00311906"/>
    <w:rsid w:val="003128D9"/>
    <w:rsid w:val="00312D25"/>
    <w:rsid w:val="00312D7C"/>
    <w:rsid w:val="00312E33"/>
    <w:rsid w:val="00314F47"/>
    <w:rsid w:val="00315293"/>
    <w:rsid w:val="0031623A"/>
    <w:rsid w:val="00317D25"/>
    <w:rsid w:val="00320057"/>
    <w:rsid w:val="00320EA4"/>
    <w:rsid w:val="00321F3A"/>
    <w:rsid w:val="0032244C"/>
    <w:rsid w:val="00322EB3"/>
    <w:rsid w:val="003239AA"/>
    <w:rsid w:val="00323C35"/>
    <w:rsid w:val="003250FF"/>
    <w:rsid w:val="003262D7"/>
    <w:rsid w:val="003266FE"/>
    <w:rsid w:val="00326E4A"/>
    <w:rsid w:val="00327460"/>
    <w:rsid w:val="00327D00"/>
    <w:rsid w:val="00327F1E"/>
    <w:rsid w:val="00330473"/>
    <w:rsid w:val="003307A5"/>
    <w:rsid w:val="00330944"/>
    <w:rsid w:val="00330ADF"/>
    <w:rsid w:val="00331288"/>
    <w:rsid w:val="00331651"/>
    <w:rsid w:val="00332868"/>
    <w:rsid w:val="0033483B"/>
    <w:rsid w:val="00334CDE"/>
    <w:rsid w:val="003356EB"/>
    <w:rsid w:val="00335B7F"/>
    <w:rsid w:val="00336439"/>
    <w:rsid w:val="003368A0"/>
    <w:rsid w:val="003376F3"/>
    <w:rsid w:val="00337719"/>
    <w:rsid w:val="00337800"/>
    <w:rsid w:val="003378EC"/>
    <w:rsid w:val="00340585"/>
    <w:rsid w:val="00340F6F"/>
    <w:rsid w:val="00341ADA"/>
    <w:rsid w:val="003420DC"/>
    <w:rsid w:val="003432CE"/>
    <w:rsid w:val="00343D20"/>
    <w:rsid w:val="00343DC5"/>
    <w:rsid w:val="0034439D"/>
    <w:rsid w:val="0034472F"/>
    <w:rsid w:val="00344CC2"/>
    <w:rsid w:val="00344D33"/>
    <w:rsid w:val="003477F7"/>
    <w:rsid w:val="003503DE"/>
    <w:rsid w:val="00350F14"/>
    <w:rsid w:val="00351032"/>
    <w:rsid w:val="00351A7C"/>
    <w:rsid w:val="00352137"/>
    <w:rsid w:val="003535EE"/>
    <w:rsid w:val="003539A9"/>
    <w:rsid w:val="00353E78"/>
    <w:rsid w:val="003541A9"/>
    <w:rsid w:val="00354273"/>
    <w:rsid w:val="00354ADE"/>
    <w:rsid w:val="0035503B"/>
    <w:rsid w:val="003557A8"/>
    <w:rsid w:val="00356337"/>
    <w:rsid w:val="00356B24"/>
    <w:rsid w:val="00356B28"/>
    <w:rsid w:val="0035701D"/>
    <w:rsid w:val="00357042"/>
    <w:rsid w:val="0035725A"/>
    <w:rsid w:val="003576E9"/>
    <w:rsid w:val="00357A47"/>
    <w:rsid w:val="00357B27"/>
    <w:rsid w:val="00357C4A"/>
    <w:rsid w:val="00360039"/>
    <w:rsid w:val="00361B75"/>
    <w:rsid w:val="0036285C"/>
    <w:rsid w:val="00362CE5"/>
    <w:rsid w:val="00362F44"/>
    <w:rsid w:val="00363300"/>
    <w:rsid w:val="00364D7F"/>
    <w:rsid w:val="003652F2"/>
    <w:rsid w:val="00366E43"/>
    <w:rsid w:val="0036704D"/>
    <w:rsid w:val="00370153"/>
    <w:rsid w:val="003703BD"/>
    <w:rsid w:val="00370D95"/>
    <w:rsid w:val="00371D3E"/>
    <w:rsid w:val="00372048"/>
    <w:rsid w:val="003724B9"/>
    <w:rsid w:val="003728E5"/>
    <w:rsid w:val="00372935"/>
    <w:rsid w:val="00372C50"/>
    <w:rsid w:val="00372FAC"/>
    <w:rsid w:val="00373649"/>
    <w:rsid w:val="003736CD"/>
    <w:rsid w:val="003749C9"/>
    <w:rsid w:val="00374BD5"/>
    <w:rsid w:val="00375348"/>
    <w:rsid w:val="00375DC3"/>
    <w:rsid w:val="00376171"/>
    <w:rsid w:val="00376467"/>
    <w:rsid w:val="003778C8"/>
    <w:rsid w:val="0038037B"/>
    <w:rsid w:val="0038109C"/>
    <w:rsid w:val="003818D5"/>
    <w:rsid w:val="00381AEF"/>
    <w:rsid w:val="00382118"/>
    <w:rsid w:val="00382F9F"/>
    <w:rsid w:val="003833DA"/>
    <w:rsid w:val="00383797"/>
    <w:rsid w:val="00383D5F"/>
    <w:rsid w:val="0038402E"/>
    <w:rsid w:val="00384095"/>
    <w:rsid w:val="00384935"/>
    <w:rsid w:val="003849B6"/>
    <w:rsid w:val="00384C5D"/>
    <w:rsid w:val="00385475"/>
    <w:rsid w:val="00385799"/>
    <w:rsid w:val="00385EC5"/>
    <w:rsid w:val="00385FEC"/>
    <w:rsid w:val="00386022"/>
    <w:rsid w:val="003871A7"/>
    <w:rsid w:val="00387F7E"/>
    <w:rsid w:val="003900AD"/>
    <w:rsid w:val="003904DC"/>
    <w:rsid w:val="003905F2"/>
    <w:rsid w:val="00390D6D"/>
    <w:rsid w:val="003910CE"/>
    <w:rsid w:val="00391D05"/>
    <w:rsid w:val="003926DC"/>
    <w:rsid w:val="00392F62"/>
    <w:rsid w:val="00393A88"/>
    <w:rsid w:val="00393AE6"/>
    <w:rsid w:val="00393E45"/>
    <w:rsid w:val="003944E5"/>
    <w:rsid w:val="00394929"/>
    <w:rsid w:val="00396814"/>
    <w:rsid w:val="00396A76"/>
    <w:rsid w:val="003971DD"/>
    <w:rsid w:val="00397738"/>
    <w:rsid w:val="00397C31"/>
    <w:rsid w:val="003A0443"/>
    <w:rsid w:val="003A08ED"/>
    <w:rsid w:val="003A0D9D"/>
    <w:rsid w:val="003A1728"/>
    <w:rsid w:val="003A3C3A"/>
    <w:rsid w:val="003A4000"/>
    <w:rsid w:val="003A48B1"/>
    <w:rsid w:val="003A4D88"/>
    <w:rsid w:val="003A6AE7"/>
    <w:rsid w:val="003A6B82"/>
    <w:rsid w:val="003A6BA6"/>
    <w:rsid w:val="003A74B9"/>
    <w:rsid w:val="003A75E6"/>
    <w:rsid w:val="003A7F84"/>
    <w:rsid w:val="003B044B"/>
    <w:rsid w:val="003B06A5"/>
    <w:rsid w:val="003B071F"/>
    <w:rsid w:val="003B1008"/>
    <w:rsid w:val="003B132A"/>
    <w:rsid w:val="003B151C"/>
    <w:rsid w:val="003B1D66"/>
    <w:rsid w:val="003B26AF"/>
    <w:rsid w:val="003B3A45"/>
    <w:rsid w:val="003B453D"/>
    <w:rsid w:val="003B50D4"/>
    <w:rsid w:val="003B5B66"/>
    <w:rsid w:val="003B5C30"/>
    <w:rsid w:val="003B5FE3"/>
    <w:rsid w:val="003B615D"/>
    <w:rsid w:val="003B68F6"/>
    <w:rsid w:val="003B769B"/>
    <w:rsid w:val="003C07F4"/>
    <w:rsid w:val="003C0FC5"/>
    <w:rsid w:val="003C1416"/>
    <w:rsid w:val="003C1E18"/>
    <w:rsid w:val="003C26C0"/>
    <w:rsid w:val="003C2C2E"/>
    <w:rsid w:val="003C2EBB"/>
    <w:rsid w:val="003C3913"/>
    <w:rsid w:val="003C3A62"/>
    <w:rsid w:val="003C43B3"/>
    <w:rsid w:val="003C466F"/>
    <w:rsid w:val="003C4912"/>
    <w:rsid w:val="003C4ABA"/>
    <w:rsid w:val="003C4BD2"/>
    <w:rsid w:val="003C4BF0"/>
    <w:rsid w:val="003C5842"/>
    <w:rsid w:val="003C5DAE"/>
    <w:rsid w:val="003C5FC4"/>
    <w:rsid w:val="003C69EA"/>
    <w:rsid w:val="003D02D9"/>
    <w:rsid w:val="003D1409"/>
    <w:rsid w:val="003D1837"/>
    <w:rsid w:val="003D192A"/>
    <w:rsid w:val="003D1933"/>
    <w:rsid w:val="003D2025"/>
    <w:rsid w:val="003D25AA"/>
    <w:rsid w:val="003D297E"/>
    <w:rsid w:val="003D2AF2"/>
    <w:rsid w:val="003D33EF"/>
    <w:rsid w:val="003D3BA7"/>
    <w:rsid w:val="003D45E7"/>
    <w:rsid w:val="003D46A8"/>
    <w:rsid w:val="003D4DF0"/>
    <w:rsid w:val="003D56DB"/>
    <w:rsid w:val="003D706D"/>
    <w:rsid w:val="003D770F"/>
    <w:rsid w:val="003E0B1F"/>
    <w:rsid w:val="003E0B78"/>
    <w:rsid w:val="003E10DF"/>
    <w:rsid w:val="003E1D2D"/>
    <w:rsid w:val="003E2296"/>
    <w:rsid w:val="003E2708"/>
    <w:rsid w:val="003E2DF4"/>
    <w:rsid w:val="003E2F52"/>
    <w:rsid w:val="003E3976"/>
    <w:rsid w:val="003E3B79"/>
    <w:rsid w:val="003E3C97"/>
    <w:rsid w:val="003E3D58"/>
    <w:rsid w:val="003E4855"/>
    <w:rsid w:val="003E4B67"/>
    <w:rsid w:val="003E54F0"/>
    <w:rsid w:val="003E6DCD"/>
    <w:rsid w:val="003E6DF5"/>
    <w:rsid w:val="003E7212"/>
    <w:rsid w:val="003E75F5"/>
    <w:rsid w:val="003E7898"/>
    <w:rsid w:val="003F007F"/>
    <w:rsid w:val="003F00D8"/>
    <w:rsid w:val="003F0D32"/>
    <w:rsid w:val="003F0DE9"/>
    <w:rsid w:val="003F177F"/>
    <w:rsid w:val="003F1F06"/>
    <w:rsid w:val="003F2146"/>
    <w:rsid w:val="003F221E"/>
    <w:rsid w:val="003F2393"/>
    <w:rsid w:val="003F4F16"/>
    <w:rsid w:val="003F5A58"/>
    <w:rsid w:val="003F5C7E"/>
    <w:rsid w:val="003F60D3"/>
    <w:rsid w:val="003F611A"/>
    <w:rsid w:val="003F6CF1"/>
    <w:rsid w:val="003F6E61"/>
    <w:rsid w:val="003F7580"/>
    <w:rsid w:val="00400968"/>
    <w:rsid w:val="0040114B"/>
    <w:rsid w:val="00401579"/>
    <w:rsid w:val="004029A0"/>
    <w:rsid w:val="00402AC2"/>
    <w:rsid w:val="00402CB9"/>
    <w:rsid w:val="00403038"/>
    <w:rsid w:val="00404231"/>
    <w:rsid w:val="00404473"/>
    <w:rsid w:val="004053A4"/>
    <w:rsid w:val="00405C61"/>
    <w:rsid w:val="00410B28"/>
    <w:rsid w:val="0041104D"/>
    <w:rsid w:val="00413975"/>
    <w:rsid w:val="0041490F"/>
    <w:rsid w:val="00414AE8"/>
    <w:rsid w:val="00414DBF"/>
    <w:rsid w:val="004150C7"/>
    <w:rsid w:val="0041597A"/>
    <w:rsid w:val="004159B3"/>
    <w:rsid w:val="00415A47"/>
    <w:rsid w:val="00415EA2"/>
    <w:rsid w:val="00416AED"/>
    <w:rsid w:val="004170AB"/>
    <w:rsid w:val="00417A4D"/>
    <w:rsid w:val="00417AF2"/>
    <w:rsid w:val="0041E1FE"/>
    <w:rsid w:val="00421B04"/>
    <w:rsid w:val="004239BB"/>
    <w:rsid w:val="00424419"/>
    <w:rsid w:val="00424810"/>
    <w:rsid w:val="00425073"/>
    <w:rsid w:val="00425EC6"/>
    <w:rsid w:val="00425FC8"/>
    <w:rsid w:val="004269A1"/>
    <w:rsid w:val="0042714E"/>
    <w:rsid w:val="004273ED"/>
    <w:rsid w:val="004277A5"/>
    <w:rsid w:val="0042798C"/>
    <w:rsid w:val="0043010A"/>
    <w:rsid w:val="00430364"/>
    <w:rsid w:val="00430982"/>
    <w:rsid w:val="00431003"/>
    <w:rsid w:val="00432E5B"/>
    <w:rsid w:val="00433F68"/>
    <w:rsid w:val="00434837"/>
    <w:rsid w:val="00434880"/>
    <w:rsid w:val="004355B3"/>
    <w:rsid w:val="00436008"/>
    <w:rsid w:val="004365E8"/>
    <w:rsid w:val="00436A0F"/>
    <w:rsid w:val="00436EE0"/>
    <w:rsid w:val="004407B2"/>
    <w:rsid w:val="00441362"/>
    <w:rsid w:val="0044136F"/>
    <w:rsid w:val="00441707"/>
    <w:rsid w:val="00441B4A"/>
    <w:rsid w:val="0044269A"/>
    <w:rsid w:val="00442994"/>
    <w:rsid w:val="004431B3"/>
    <w:rsid w:val="00443A76"/>
    <w:rsid w:val="0044433E"/>
    <w:rsid w:val="004445EF"/>
    <w:rsid w:val="00445D15"/>
    <w:rsid w:val="00446310"/>
    <w:rsid w:val="0044648E"/>
    <w:rsid w:val="004470D5"/>
    <w:rsid w:val="004474FA"/>
    <w:rsid w:val="00447582"/>
    <w:rsid w:val="004479D9"/>
    <w:rsid w:val="00450234"/>
    <w:rsid w:val="0045076C"/>
    <w:rsid w:val="00450847"/>
    <w:rsid w:val="00450E04"/>
    <w:rsid w:val="00451B9E"/>
    <w:rsid w:val="0045222A"/>
    <w:rsid w:val="00453012"/>
    <w:rsid w:val="004530FD"/>
    <w:rsid w:val="00453E88"/>
    <w:rsid w:val="00454069"/>
    <w:rsid w:val="0045483F"/>
    <w:rsid w:val="004548F3"/>
    <w:rsid w:val="00454A49"/>
    <w:rsid w:val="00454D2D"/>
    <w:rsid w:val="00454DDD"/>
    <w:rsid w:val="00454EEA"/>
    <w:rsid w:val="0045592C"/>
    <w:rsid w:val="00455E4C"/>
    <w:rsid w:val="00456738"/>
    <w:rsid w:val="00456969"/>
    <w:rsid w:val="00457492"/>
    <w:rsid w:val="0045756A"/>
    <w:rsid w:val="00457A44"/>
    <w:rsid w:val="00457FA5"/>
    <w:rsid w:val="00460A97"/>
    <w:rsid w:val="0046236D"/>
    <w:rsid w:val="00462849"/>
    <w:rsid w:val="00462F2E"/>
    <w:rsid w:val="00463240"/>
    <w:rsid w:val="00463718"/>
    <w:rsid w:val="00464300"/>
    <w:rsid w:val="00464846"/>
    <w:rsid w:val="00464AAE"/>
    <w:rsid w:val="00464BCE"/>
    <w:rsid w:val="0046546A"/>
    <w:rsid w:val="00465C66"/>
    <w:rsid w:val="004661E0"/>
    <w:rsid w:val="00466D0F"/>
    <w:rsid w:val="00467B41"/>
    <w:rsid w:val="00467C26"/>
    <w:rsid w:val="00470E45"/>
    <w:rsid w:val="00470FB5"/>
    <w:rsid w:val="0047188E"/>
    <w:rsid w:val="00471BA7"/>
    <w:rsid w:val="00471CA3"/>
    <w:rsid w:val="00471CE8"/>
    <w:rsid w:val="00472097"/>
    <w:rsid w:val="00472320"/>
    <w:rsid w:val="00473265"/>
    <w:rsid w:val="004737EA"/>
    <w:rsid w:val="00473ADF"/>
    <w:rsid w:val="00473D7B"/>
    <w:rsid w:val="00473FD8"/>
    <w:rsid w:val="004743E7"/>
    <w:rsid w:val="00474FA8"/>
    <w:rsid w:val="00474FF9"/>
    <w:rsid w:val="00475184"/>
    <w:rsid w:val="00475350"/>
    <w:rsid w:val="00476021"/>
    <w:rsid w:val="0047668B"/>
    <w:rsid w:val="004767F6"/>
    <w:rsid w:val="0047682B"/>
    <w:rsid w:val="004779FC"/>
    <w:rsid w:val="00477C01"/>
    <w:rsid w:val="00480637"/>
    <w:rsid w:val="00480A1E"/>
    <w:rsid w:val="00480B1D"/>
    <w:rsid w:val="004810CB"/>
    <w:rsid w:val="00481C75"/>
    <w:rsid w:val="00482592"/>
    <w:rsid w:val="004829B6"/>
    <w:rsid w:val="00483772"/>
    <w:rsid w:val="004839EF"/>
    <w:rsid w:val="00483B10"/>
    <w:rsid w:val="00484290"/>
    <w:rsid w:val="00484382"/>
    <w:rsid w:val="00484389"/>
    <w:rsid w:val="00484509"/>
    <w:rsid w:val="0048552F"/>
    <w:rsid w:val="004856E1"/>
    <w:rsid w:val="00485D2D"/>
    <w:rsid w:val="00486081"/>
    <w:rsid w:val="004867A8"/>
    <w:rsid w:val="004868DB"/>
    <w:rsid w:val="00486B1D"/>
    <w:rsid w:val="00486DF4"/>
    <w:rsid w:val="00486E30"/>
    <w:rsid w:val="0048721F"/>
    <w:rsid w:val="00487C21"/>
    <w:rsid w:val="0049103D"/>
    <w:rsid w:val="00491A27"/>
    <w:rsid w:val="004936CF"/>
    <w:rsid w:val="00493D1B"/>
    <w:rsid w:val="00494487"/>
    <w:rsid w:val="00494C3A"/>
    <w:rsid w:val="00495E6E"/>
    <w:rsid w:val="004966C5"/>
    <w:rsid w:val="00496D85"/>
    <w:rsid w:val="004971FA"/>
    <w:rsid w:val="004972FD"/>
    <w:rsid w:val="00497970"/>
    <w:rsid w:val="00497E1C"/>
    <w:rsid w:val="00497F7E"/>
    <w:rsid w:val="004A013E"/>
    <w:rsid w:val="004A02BF"/>
    <w:rsid w:val="004A084A"/>
    <w:rsid w:val="004A084B"/>
    <w:rsid w:val="004A0BDD"/>
    <w:rsid w:val="004A14C1"/>
    <w:rsid w:val="004A1BB1"/>
    <w:rsid w:val="004A2D50"/>
    <w:rsid w:val="004A30CF"/>
    <w:rsid w:val="004A30E7"/>
    <w:rsid w:val="004A32C4"/>
    <w:rsid w:val="004A3422"/>
    <w:rsid w:val="004A4051"/>
    <w:rsid w:val="004A408B"/>
    <w:rsid w:val="004A40B9"/>
    <w:rsid w:val="004A4380"/>
    <w:rsid w:val="004A4745"/>
    <w:rsid w:val="004A5CB3"/>
    <w:rsid w:val="004A6521"/>
    <w:rsid w:val="004A689F"/>
    <w:rsid w:val="004A6B6F"/>
    <w:rsid w:val="004A6C43"/>
    <w:rsid w:val="004A7050"/>
    <w:rsid w:val="004A7A25"/>
    <w:rsid w:val="004A7AC8"/>
    <w:rsid w:val="004B0300"/>
    <w:rsid w:val="004B10B0"/>
    <w:rsid w:val="004B1204"/>
    <w:rsid w:val="004B13AD"/>
    <w:rsid w:val="004B22E7"/>
    <w:rsid w:val="004B3A1F"/>
    <w:rsid w:val="004B4C29"/>
    <w:rsid w:val="004B516F"/>
    <w:rsid w:val="004B6615"/>
    <w:rsid w:val="004B7464"/>
    <w:rsid w:val="004B78B4"/>
    <w:rsid w:val="004B7C32"/>
    <w:rsid w:val="004C0C7E"/>
    <w:rsid w:val="004C0E2D"/>
    <w:rsid w:val="004C1F02"/>
    <w:rsid w:val="004C2296"/>
    <w:rsid w:val="004C22E9"/>
    <w:rsid w:val="004C27C6"/>
    <w:rsid w:val="004C2830"/>
    <w:rsid w:val="004C2A9C"/>
    <w:rsid w:val="004C3729"/>
    <w:rsid w:val="004C42A7"/>
    <w:rsid w:val="004C4982"/>
    <w:rsid w:val="004C4F32"/>
    <w:rsid w:val="004C548C"/>
    <w:rsid w:val="004C64E2"/>
    <w:rsid w:val="004C6966"/>
    <w:rsid w:val="004C6AC4"/>
    <w:rsid w:val="004C6D96"/>
    <w:rsid w:val="004D0B78"/>
    <w:rsid w:val="004D1401"/>
    <w:rsid w:val="004D1BD3"/>
    <w:rsid w:val="004D1C8E"/>
    <w:rsid w:val="004D1F84"/>
    <w:rsid w:val="004D2412"/>
    <w:rsid w:val="004D2E38"/>
    <w:rsid w:val="004D4115"/>
    <w:rsid w:val="004D42B1"/>
    <w:rsid w:val="004D45A6"/>
    <w:rsid w:val="004D45D8"/>
    <w:rsid w:val="004D498C"/>
    <w:rsid w:val="004D4EBA"/>
    <w:rsid w:val="004D51A0"/>
    <w:rsid w:val="004D5599"/>
    <w:rsid w:val="004D5E1A"/>
    <w:rsid w:val="004D5EA2"/>
    <w:rsid w:val="004D6038"/>
    <w:rsid w:val="004D692C"/>
    <w:rsid w:val="004D6C74"/>
    <w:rsid w:val="004D7C69"/>
    <w:rsid w:val="004E0234"/>
    <w:rsid w:val="004E02FA"/>
    <w:rsid w:val="004E0929"/>
    <w:rsid w:val="004E1037"/>
    <w:rsid w:val="004E11EB"/>
    <w:rsid w:val="004E17C3"/>
    <w:rsid w:val="004E25F6"/>
    <w:rsid w:val="004E3004"/>
    <w:rsid w:val="004E32D7"/>
    <w:rsid w:val="004E32DA"/>
    <w:rsid w:val="004E3D23"/>
    <w:rsid w:val="004E439C"/>
    <w:rsid w:val="004E4548"/>
    <w:rsid w:val="004E5D5E"/>
    <w:rsid w:val="004E607E"/>
    <w:rsid w:val="004E6923"/>
    <w:rsid w:val="004E6951"/>
    <w:rsid w:val="004E69C4"/>
    <w:rsid w:val="004E6F86"/>
    <w:rsid w:val="004E782B"/>
    <w:rsid w:val="004E7C38"/>
    <w:rsid w:val="004F02FA"/>
    <w:rsid w:val="004F03E5"/>
    <w:rsid w:val="004F0623"/>
    <w:rsid w:val="004F25C2"/>
    <w:rsid w:val="004F3259"/>
    <w:rsid w:val="004F3572"/>
    <w:rsid w:val="004F441C"/>
    <w:rsid w:val="004F4450"/>
    <w:rsid w:val="004F5167"/>
    <w:rsid w:val="004F5915"/>
    <w:rsid w:val="004F5F75"/>
    <w:rsid w:val="004F67B2"/>
    <w:rsid w:val="004F7A49"/>
    <w:rsid w:val="004F7B72"/>
    <w:rsid w:val="004F7FFB"/>
    <w:rsid w:val="004FE0AF"/>
    <w:rsid w:val="0050035F"/>
    <w:rsid w:val="005026CE"/>
    <w:rsid w:val="00502717"/>
    <w:rsid w:val="005031A4"/>
    <w:rsid w:val="005031AF"/>
    <w:rsid w:val="005034AE"/>
    <w:rsid w:val="0050382F"/>
    <w:rsid w:val="0050396B"/>
    <w:rsid w:val="00504A44"/>
    <w:rsid w:val="00506A60"/>
    <w:rsid w:val="00511111"/>
    <w:rsid w:val="005112E1"/>
    <w:rsid w:val="00513CAD"/>
    <w:rsid w:val="00513FFC"/>
    <w:rsid w:val="00514608"/>
    <w:rsid w:val="00515200"/>
    <w:rsid w:val="00515A35"/>
    <w:rsid w:val="00515B78"/>
    <w:rsid w:val="00515F2F"/>
    <w:rsid w:val="00516780"/>
    <w:rsid w:val="005179DB"/>
    <w:rsid w:val="00517B51"/>
    <w:rsid w:val="0052032C"/>
    <w:rsid w:val="00520F0A"/>
    <w:rsid w:val="00521E9D"/>
    <w:rsid w:val="00522610"/>
    <w:rsid w:val="005230D9"/>
    <w:rsid w:val="00523179"/>
    <w:rsid w:val="0052330E"/>
    <w:rsid w:val="00523707"/>
    <w:rsid w:val="00523A0C"/>
    <w:rsid w:val="00523BFA"/>
    <w:rsid w:val="00523EBA"/>
    <w:rsid w:val="00525043"/>
    <w:rsid w:val="005254F6"/>
    <w:rsid w:val="0052560B"/>
    <w:rsid w:val="00526D39"/>
    <w:rsid w:val="00526F5C"/>
    <w:rsid w:val="0052710A"/>
    <w:rsid w:val="0052750F"/>
    <w:rsid w:val="005276FF"/>
    <w:rsid w:val="005277E0"/>
    <w:rsid w:val="00530D14"/>
    <w:rsid w:val="0053259E"/>
    <w:rsid w:val="00532DB9"/>
    <w:rsid w:val="00532FE9"/>
    <w:rsid w:val="00533347"/>
    <w:rsid w:val="00533A91"/>
    <w:rsid w:val="0053424A"/>
    <w:rsid w:val="00534AE9"/>
    <w:rsid w:val="00534D2C"/>
    <w:rsid w:val="00535C27"/>
    <w:rsid w:val="00536B3A"/>
    <w:rsid w:val="005374C3"/>
    <w:rsid w:val="0054096B"/>
    <w:rsid w:val="00540986"/>
    <w:rsid w:val="00540ED0"/>
    <w:rsid w:val="0054195A"/>
    <w:rsid w:val="005421A4"/>
    <w:rsid w:val="0054284A"/>
    <w:rsid w:val="00542935"/>
    <w:rsid w:val="00542A17"/>
    <w:rsid w:val="00543082"/>
    <w:rsid w:val="00543132"/>
    <w:rsid w:val="0054333C"/>
    <w:rsid w:val="005434BB"/>
    <w:rsid w:val="00544734"/>
    <w:rsid w:val="00544D6A"/>
    <w:rsid w:val="00544E52"/>
    <w:rsid w:val="00546C32"/>
    <w:rsid w:val="00546DF9"/>
    <w:rsid w:val="005478F0"/>
    <w:rsid w:val="0055018A"/>
    <w:rsid w:val="005512B7"/>
    <w:rsid w:val="00552E56"/>
    <w:rsid w:val="00554FD8"/>
    <w:rsid w:val="00556792"/>
    <w:rsid w:val="00557064"/>
    <w:rsid w:val="00557E8B"/>
    <w:rsid w:val="0056063C"/>
    <w:rsid w:val="00561ADF"/>
    <w:rsid w:val="005626F1"/>
    <w:rsid w:val="00562CE9"/>
    <w:rsid w:val="0056315D"/>
    <w:rsid w:val="00563EFB"/>
    <w:rsid w:val="005644E3"/>
    <w:rsid w:val="005648E9"/>
    <w:rsid w:val="005656DC"/>
    <w:rsid w:val="00565AC8"/>
    <w:rsid w:val="00566C1D"/>
    <w:rsid w:val="00566ECF"/>
    <w:rsid w:val="0056716C"/>
    <w:rsid w:val="00567BAD"/>
    <w:rsid w:val="00567C47"/>
    <w:rsid w:val="005708AC"/>
    <w:rsid w:val="0057102A"/>
    <w:rsid w:val="005716FD"/>
    <w:rsid w:val="00571D91"/>
    <w:rsid w:val="0057266E"/>
    <w:rsid w:val="00573FCC"/>
    <w:rsid w:val="005745D4"/>
    <w:rsid w:val="00574A7A"/>
    <w:rsid w:val="005750A5"/>
    <w:rsid w:val="00575906"/>
    <w:rsid w:val="00575A9D"/>
    <w:rsid w:val="005776AA"/>
    <w:rsid w:val="0057784C"/>
    <w:rsid w:val="00580323"/>
    <w:rsid w:val="00580428"/>
    <w:rsid w:val="00580619"/>
    <w:rsid w:val="00580AE8"/>
    <w:rsid w:val="00580E0E"/>
    <w:rsid w:val="00580FCE"/>
    <w:rsid w:val="005814E5"/>
    <w:rsid w:val="005819A8"/>
    <w:rsid w:val="005822C2"/>
    <w:rsid w:val="00582EE6"/>
    <w:rsid w:val="005830C0"/>
    <w:rsid w:val="00583BA8"/>
    <w:rsid w:val="005844E1"/>
    <w:rsid w:val="005855A7"/>
    <w:rsid w:val="00586ABA"/>
    <w:rsid w:val="00586F40"/>
    <w:rsid w:val="00587058"/>
    <w:rsid w:val="0059075F"/>
    <w:rsid w:val="0059080D"/>
    <w:rsid w:val="00591788"/>
    <w:rsid w:val="00591D34"/>
    <w:rsid w:val="00591F83"/>
    <w:rsid w:val="005920E7"/>
    <w:rsid w:val="0059229D"/>
    <w:rsid w:val="00592323"/>
    <w:rsid w:val="00592CAB"/>
    <w:rsid w:val="00592FD4"/>
    <w:rsid w:val="005933F4"/>
    <w:rsid w:val="0059342C"/>
    <w:rsid w:val="005935C7"/>
    <w:rsid w:val="005935F5"/>
    <w:rsid w:val="00594085"/>
    <w:rsid w:val="00594657"/>
    <w:rsid w:val="005949BD"/>
    <w:rsid w:val="00594A72"/>
    <w:rsid w:val="00595540"/>
    <w:rsid w:val="00595E2F"/>
    <w:rsid w:val="005966BB"/>
    <w:rsid w:val="005966BD"/>
    <w:rsid w:val="005974A2"/>
    <w:rsid w:val="00597872"/>
    <w:rsid w:val="00597B0E"/>
    <w:rsid w:val="00597CFD"/>
    <w:rsid w:val="00597E51"/>
    <w:rsid w:val="005A01C3"/>
    <w:rsid w:val="005A076F"/>
    <w:rsid w:val="005A0AFB"/>
    <w:rsid w:val="005A1D9F"/>
    <w:rsid w:val="005A2197"/>
    <w:rsid w:val="005A26CE"/>
    <w:rsid w:val="005A333D"/>
    <w:rsid w:val="005A3595"/>
    <w:rsid w:val="005A3D54"/>
    <w:rsid w:val="005A4314"/>
    <w:rsid w:val="005A481C"/>
    <w:rsid w:val="005A522C"/>
    <w:rsid w:val="005A5D0F"/>
    <w:rsid w:val="005A7079"/>
    <w:rsid w:val="005A79A1"/>
    <w:rsid w:val="005A7D1C"/>
    <w:rsid w:val="005B0CE1"/>
    <w:rsid w:val="005B2592"/>
    <w:rsid w:val="005B2716"/>
    <w:rsid w:val="005B36D8"/>
    <w:rsid w:val="005B3791"/>
    <w:rsid w:val="005B3878"/>
    <w:rsid w:val="005B38A9"/>
    <w:rsid w:val="005B38F1"/>
    <w:rsid w:val="005B3A8B"/>
    <w:rsid w:val="005B3BF1"/>
    <w:rsid w:val="005B417E"/>
    <w:rsid w:val="005B46AA"/>
    <w:rsid w:val="005B6DFF"/>
    <w:rsid w:val="005B7024"/>
    <w:rsid w:val="005B7503"/>
    <w:rsid w:val="005B7B56"/>
    <w:rsid w:val="005C0587"/>
    <w:rsid w:val="005C0885"/>
    <w:rsid w:val="005C1E41"/>
    <w:rsid w:val="005C2254"/>
    <w:rsid w:val="005C2AAC"/>
    <w:rsid w:val="005C3D9B"/>
    <w:rsid w:val="005C4D8C"/>
    <w:rsid w:val="005C51C5"/>
    <w:rsid w:val="005C5836"/>
    <w:rsid w:val="005C5D04"/>
    <w:rsid w:val="005C60DF"/>
    <w:rsid w:val="005C62B0"/>
    <w:rsid w:val="005C6312"/>
    <w:rsid w:val="005C6419"/>
    <w:rsid w:val="005C660A"/>
    <w:rsid w:val="005C6B95"/>
    <w:rsid w:val="005C6CB3"/>
    <w:rsid w:val="005C70F7"/>
    <w:rsid w:val="005C7810"/>
    <w:rsid w:val="005C7A65"/>
    <w:rsid w:val="005D0857"/>
    <w:rsid w:val="005D0971"/>
    <w:rsid w:val="005D0D1B"/>
    <w:rsid w:val="005D1002"/>
    <w:rsid w:val="005D1573"/>
    <w:rsid w:val="005D157F"/>
    <w:rsid w:val="005D1E63"/>
    <w:rsid w:val="005D22E4"/>
    <w:rsid w:val="005D2AB7"/>
    <w:rsid w:val="005D2E2B"/>
    <w:rsid w:val="005D31AC"/>
    <w:rsid w:val="005D32B6"/>
    <w:rsid w:val="005D3455"/>
    <w:rsid w:val="005D35C1"/>
    <w:rsid w:val="005D4310"/>
    <w:rsid w:val="005D45E8"/>
    <w:rsid w:val="005D4EFF"/>
    <w:rsid w:val="005D5CE7"/>
    <w:rsid w:val="005D773E"/>
    <w:rsid w:val="005D7E2C"/>
    <w:rsid w:val="005D7F5D"/>
    <w:rsid w:val="005E0390"/>
    <w:rsid w:val="005E2AA8"/>
    <w:rsid w:val="005E3610"/>
    <w:rsid w:val="005E36F9"/>
    <w:rsid w:val="005E3E49"/>
    <w:rsid w:val="005E4390"/>
    <w:rsid w:val="005E585D"/>
    <w:rsid w:val="005E64BC"/>
    <w:rsid w:val="005E678E"/>
    <w:rsid w:val="005E6952"/>
    <w:rsid w:val="005E7146"/>
    <w:rsid w:val="005F0C9C"/>
    <w:rsid w:val="005F1309"/>
    <w:rsid w:val="005F1B79"/>
    <w:rsid w:val="005F21AE"/>
    <w:rsid w:val="005F2398"/>
    <w:rsid w:val="005F2624"/>
    <w:rsid w:val="005F2F09"/>
    <w:rsid w:val="005F3214"/>
    <w:rsid w:val="005F32A7"/>
    <w:rsid w:val="005F37CB"/>
    <w:rsid w:val="005F3A57"/>
    <w:rsid w:val="005F44D9"/>
    <w:rsid w:val="005F45C5"/>
    <w:rsid w:val="005F4DE6"/>
    <w:rsid w:val="005F5554"/>
    <w:rsid w:val="005F5678"/>
    <w:rsid w:val="005F612D"/>
    <w:rsid w:val="005F627E"/>
    <w:rsid w:val="005F632B"/>
    <w:rsid w:val="005F6ACC"/>
    <w:rsid w:val="005F6B1D"/>
    <w:rsid w:val="00600AC3"/>
    <w:rsid w:val="00601152"/>
    <w:rsid w:val="0060168E"/>
    <w:rsid w:val="006016EF"/>
    <w:rsid w:val="00601B49"/>
    <w:rsid w:val="0060246C"/>
    <w:rsid w:val="00603060"/>
    <w:rsid w:val="006032D7"/>
    <w:rsid w:val="00603369"/>
    <w:rsid w:val="00603912"/>
    <w:rsid w:val="006056C4"/>
    <w:rsid w:val="00605A7E"/>
    <w:rsid w:val="00605D47"/>
    <w:rsid w:val="0060720D"/>
    <w:rsid w:val="00607D58"/>
    <w:rsid w:val="00607FDF"/>
    <w:rsid w:val="00610208"/>
    <w:rsid w:val="00610237"/>
    <w:rsid w:val="00610A1C"/>
    <w:rsid w:val="00610B71"/>
    <w:rsid w:val="00611B27"/>
    <w:rsid w:val="00611DF1"/>
    <w:rsid w:val="00612EDD"/>
    <w:rsid w:val="006142F3"/>
    <w:rsid w:val="006150C5"/>
    <w:rsid w:val="00615971"/>
    <w:rsid w:val="00616143"/>
    <w:rsid w:val="00616464"/>
    <w:rsid w:val="00616514"/>
    <w:rsid w:val="00617938"/>
    <w:rsid w:val="0062054C"/>
    <w:rsid w:val="00620984"/>
    <w:rsid w:val="0062118E"/>
    <w:rsid w:val="006217DE"/>
    <w:rsid w:val="006217FD"/>
    <w:rsid w:val="006228D0"/>
    <w:rsid w:val="00623239"/>
    <w:rsid w:val="00623329"/>
    <w:rsid w:val="00623335"/>
    <w:rsid w:val="006233B3"/>
    <w:rsid w:val="0062346A"/>
    <w:rsid w:val="006235B9"/>
    <w:rsid w:val="0062395E"/>
    <w:rsid w:val="00624083"/>
    <w:rsid w:val="00624813"/>
    <w:rsid w:val="00624E03"/>
    <w:rsid w:val="00624F62"/>
    <w:rsid w:val="006255B4"/>
    <w:rsid w:val="006255B6"/>
    <w:rsid w:val="00625F55"/>
    <w:rsid w:val="00626325"/>
    <w:rsid w:val="00626A28"/>
    <w:rsid w:val="00626B41"/>
    <w:rsid w:val="00627362"/>
    <w:rsid w:val="00627C0F"/>
    <w:rsid w:val="00627C92"/>
    <w:rsid w:val="00630395"/>
    <w:rsid w:val="00630E6B"/>
    <w:rsid w:val="00631B7F"/>
    <w:rsid w:val="006320E3"/>
    <w:rsid w:val="00633300"/>
    <w:rsid w:val="006337D6"/>
    <w:rsid w:val="00634B18"/>
    <w:rsid w:val="00635079"/>
    <w:rsid w:val="00635A92"/>
    <w:rsid w:val="00635D4C"/>
    <w:rsid w:val="00635FFD"/>
    <w:rsid w:val="00636506"/>
    <w:rsid w:val="006369CD"/>
    <w:rsid w:val="00636ACA"/>
    <w:rsid w:val="00636DC5"/>
    <w:rsid w:val="006370A1"/>
    <w:rsid w:val="00637F59"/>
    <w:rsid w:val="006400FA"/>
    <w:rsid w:val="0064028F"/>
    <w:rsid w:val="00640FC9"/>
    <w:rsid w:val="00642A2F"/>
    <w:rsid w:val="00642B39"/>
    <w:rsid w:val="00642D95"/>
    <w:rsid w:val="00643E6B"/>
    <w:rsid w:val="00643EA3"/>
    <w:rsid w:val="00644B9D"/>
    <w:rsid w:val="00645437"/>
    <w:rsid w:val="0064564B"/>
    <w:rsid w:val="00645D31"/>
    <w:rsid w:val="00645F13"/>
    <w:rsid w:val="00646625"/>
    <w:rsid w:val="006466C5"/>
    <w:rsid w:val="00647012"/>
    <w:rsid w:val="00647983"/>
    <w:rsid w:val="006479D4"/>
    <w:rsid w:val="00647A53"/>
    <w:rsid w:val="006503D7"/>
    <w:rsid w:val="006508EE"/>
    <w:rsid w:val="00650926"/>
    <w:rsid w:val="006509EB"/>
    <w:rsid w:val="006512A6"/>
    <w:rsid w:val="006514D3"/>
    <w:rsid w:val="0065200F"/>
    <w:rsid w:val="00652F0C"/>
    <w:rsid w:val="00653E61"/>
    <w:rsid w:val="006540F1"/>
    <w:rsid w:val="00654876"/>
    <w:rsid w:val="006552B3"/>
    <w:rsid w:val="00655C7A"/>
    <w:rsid w:val="00655E42"/>
    <w:rsid w:val="00656070"/>
    <w:rsid w:val="0065619A"/>
    <w:rsid w:val="006565A9"/>
    <w:rsid w:val="00656627"/>
    <w:rsid w:val="0065697D"/>
    <w:rsid w:val="00656BE8"/>
    <w:rsid w:val="00656F85"/>
    <w:rsid w:val="00657B29"/>
    <w:rsid w:val="00660031"/>
    <w:rsid w:val="006619BE"/>
    <w:rsid w:val="00661F93"/>
    <w:rsid w:val="00662483"/>
    <w:rsid w:val="00662710"/>
    <w:rsid w:val="006630DE"/>
    <w:rsid w:val="00663356"/>
    <w:rsid w:val="006633DA"/>
    <w:rsid w:val="0066490D"/>
    <w:rsid w:val="00665CDA"/>
    <w:rsid w:val="00665FFC"/>
    <w:rsid w:val="00670724"/>
    <w:rsid w:val="0067082C"/>
    <w:rsid w:val="006714AF"/>
    <w:rsid w:val="00671DC8"/>
    <w:rsid w:val="006729F6"/>
    <w:rsid w:val="00674095"/>
    <w:rsid w:val="00674A2F"/>
    <w:rsid w:val="0067506A"/>
    <w:rsid w:val="006755AD"/>
    <w:rsid w:val="00675665"/>
    <w:rsid w:val="006756A5"/>
    <w:rsid w:val="00675F22"/>
    <w:rsid w:val="00676708"/>
    <w:rsid w:val="00676D6D"/>
    <w:rsid w:val="00676DBB"/>
    <w:rsid w:val="0067715F"/>
    <w:rsid w:val="006776AD"/>
    <w:rsid w:val="00677DDD"/>
    <w:rsid w:val="0068032F"/>
    <w:rsid w:val="006806E8"/>
    <w:rsid w:val="00681159"/>
    <w:rsid w:val="0068182C"/>
    <w:rsid w:val="00681B6C"/>
    <w:rsid w:val="00681D9C"/>
    <w:rsid w:val="00682B5F"/>
    <w:rsid w:val="00683105"/>
    <w:rsid w:val="0068440E"/>
    <w:rsid w:val="00685B16"/>
    <w:rsid w:val="00685EF9"/>
    <w:rsid w:val="0068668A"/>
    <w:rsid w:val="006872BE"/>
    <w:rsid w:val="006873E1"/>
    <w:rsid w:val="0068793D"/>
    <w:rsid w:val="00687B60"/>
    <w:rsid w:val="00691715"/>
    <w:rsid w:val="00691830"/>
    <w:rsid w:val="006925C2"/>
    <w:rsid w:val="00693A93"/>
    <w:rsid w:val="00694406"/>
    <w:rsid w:val="0069474D"/>
    <w:rsid w:val="006949DA"/>
    <w:rsid w:val="00694ACF"/>
    <w:rsid w:val="006953E1"/>
    <w:rsid w:val="00695769"/>
    <w:rsid w:val="00696813"/>
    <w:rsid w:val="00697052"/>
    <w:rsid w:val="006970DF"/>
    <w:rsid w:val="00697C2D"/>
    <w:rsid w:val="00697D2F"/>
    <w:rsid w:val="00697EC4"/>
    <w:rsid w:val="006A02E7"/>
    <w:rsid w:val="006A0DC5"/>
    <w:rsid w:val="006A1354"/>
    <w:rsid w:val="006A1A52"/>
    <w:rsid w:val="006A1AA5"/>
    <w:rsid w:val="006A2537"/>
    <w:rsid w:val="006A25E1"/>
    <w:rsid w:val="006A2B5E"/>
    <w:rsid w:val="006A33CE"/>
    <w:rsid w:val="006A3EAE"/>
    <w:rsid w:val="006A4353"/>
    <w:rsid w:val="006A49F8"/>
    <w:rsid w:val="006A5B38"/>
    <w:rsid w:val="006A6ECA"/>
    <w:rsid w:val="006A6FCD"/>
    <w:rsid w:val="006A7598"/>
    <w:rsid w:val="006A7B14"/>
    <w:rsid w:val="006A7C47"/>
    <w:rsid w:val="006B06C4"/>
    <w:rsid w:val="006B0B23"/>
    <w:rsid w:val="006B1360"/>
    <w:rsid w:val="006B1BC3"/>
    <w:rsid w:val="006B1E76"/>
    <w:rsid w:val="006B1ECA"/>
    <w:rsid w:val="006B28B5"/>
    <w:rsid w:val="006B3F33"/>
    <w:rsid w:val="006B4885"/>
    <w:rsid w:val="006B4D2F"/>
    <w:rsid w:val="006B4E75"/>
    <w:rsid w:val="006B4F49"/>
    <w:rsid w:val="006B522A"/>
    <w:rsid w:val="006B68FE"/>
    <w:rsid w:val="006B7783"/>
    <w:rsid w:val="006B7D81"/>
    <w:rsid w:val="006C0144"/>
    <w:rsid w:val="006C02EC"/>
    <w:rsid w:val="006C04FF"/>
    <w:rsid w:val="006C0C8B"/>
    <w:rsid w:val="006C1A93"/>
    <w:rsid w:val="006C3112"/>
    <w:rsid w:val="006C338B"/>
    <w:rsid w:val="006C42B2"/>
    <w:rsid w:val="006C4384"/>
    <w:rsid w:val="006C465F"/>
    <w:rsid w:val="006C4ACA"/>
    <w:rsid w:val="006C4AD5"/>
    <w:rsid w:val="006C5664"/>
    <w:rsid w:val="006C57B3"/>
    <w:rsid w:val="006C5841"/>
    <w:rsid w:val="006C5ED8"/>
    <w:rsid w:val="006C63D6"/>
    <w:rsid w:val="006C6F19"/>
    <w:rsid w:val="006C7B1E"/>
    <w:rsid w:val="006C7D45"/>
    <w:rsid w:val="006C7E26"/>
    <w:rsid w:val="006D077C"/>
    <w:rsid w:val="006D0972"/>
    <w:rsid w:val="006D141E"/>
    <w:rsid w:val="006D14F3"/>
    <w:rsid w:val="006D31FC"/>
    <w:rsid w:val="006D37B4"/>
    <w:rsid w:val="006D3BCE"/>
    <w:rsid w:val="006D3D15"/>
    <w:rsid w:val="006D479A"/>
    <w:rsid w:val="006D48E3"/>
    <w:rsid w:val="006D54B0"/>
    <w:rsid w:val="006D5612"/>
    <w:rsid w:val="006D5AB3"/>
    <w:rsid w:val="006D63A2"/>
    <w:rsid w:val="006D677D"/>
    <w:rsid w:val="006D762E"/>
    <w:rsid w:val="006D79A3"/>
    <w:rsid w:val="006D7C60"/>
    <w:rsid w:val="006E004E"/>
    <w:rsid w:val="006E0CDE"/>
    <w:rsid w:val="006E1248"/>
    <w:rsid w:val="006E18B5"/>
    <w:rsid w:val="006E2F9B"/>
    <w:rsid w:val="006E4109"/>
    <w:rsid w:val="006E44BF"/>
    <w:rsid w:val="006E59BA"/>
    <w:rsid w:val="006E5F08"/>
    <w:rsid w:val="006E647D"/>
    <w:rsid w:val="006E6568"/>
    <w:rsid w:val="006E673C"/>
    <w:rsid w:val="006E718E"/>
    <w:rsid w:val="006E7340"/>
    <w:rsid w:val="006E7C7D"/>
    <w:rsid w:val="006F0F11"/>
    <w:rsid w:val="006F2216"/>
    <w:rsid w:val="006F2B0C"/>
    <w:rsid w:val="006F2C48"/>
    <w:rsid w:val="006F2C87"/>
    <w:rsid w:val="006F2CB6"/>
    <w:rsid w:val="006F336D"/>
    <w:rsid w:val="006F3721"/>
    <w:rsid w:val="006F446D"/>
    <w:rsid w:val="006F48C3"/>
    <w:rsid w:val="006F497A"/>
    <w:rsid w:val="006F4F4D"/>
    <w:rsid w:val="006F533C"/>
    <w:rsid w:val="006F53EA"/>
    <w:rsid w:val="006F5550"/>
    <w:rsid w:val="006F57A4"/>
    <w:rsid w:val="007000BF"/>
    <w:rsid w:val="007000D5"/>
    <w:rsid w:val="0070170B"/>
    <w:rsid w:val="00702387"/>
    <w:rsid w:val="00703078"/>
    <w:rsid w:val="0070378E"/>
    <w:rsid w:val="007054C4"/>
    <w:rsid w:val="007056B6"/>
    <w:rsid w:val="00705B81"/>
    <w:rsid w:val="007065DD"/>
    <w:rsid w:val="00706D01"/>
    <w:rsid w:val="007071C0"/>
    <w:rsid w:val="007075DA"/>
    <w:rsid w:val="0071175B"/>
    <w:rsid w:val="00711CFF"/>
    <w:rsid w:val="00712062"/>
    <w:rsid w:val="007129E2"/>
    <w:rsid w:val="007139EF"/>
    <w:rsid w:val="00713CBF"/>
    <w:rsid w:val="00713DA2"/>
    <w:rsid w:val="007143C1"/>
    <w:rsid w:val="00714E33"/>
    <w:rsid w:val="00715209"/>
    <w:rsid w:val="0071546F"/>
    <w:rsid w:val="00715A48"/>
    <w:rsid w:val="0071727A"/>
    <w:rsid w:val="00717AB6"/>
    <w:rsid w:val="007204D1"/>
    <w:rsid w:val="00720C8D"/>
    <w:rsid w:val="00720D70"/>
    <w:rsid w:val="0072216A"/>
    <w:rsid w:val="00722253"/>
    <w:rsid w:val="00722E7E"/>
    <w:rsid w:val="00722F85"/>
    <w:rsid w:val="00723F73"/>
    <w:rsid w:val="00724092"/>
    <w:rsid w:val="00724D38"/>
    <w:rsid w:val="00724F6D"/>
    <w:rsid w:val="007259CD"/>
    <w:rsid w:val="00725CCF"/>
    <w:rsid w:val="007263D7"/>
    <w:rsid w:val="00726CEA"/>
    <w:rsid w:val="00730C39"/>
    <w:rsid w:val="007312DF"/>
    <w:rsid w:val="007321DC"/>
    <w:rsid w:val="007325F7"/>
    <w:rsid w:val="0073261B"/>
    <w:rsid w:val="00732A0E"/>
    <w:rsid w:val="00734D9E"/>
    <w:rsid w:val="00735206"/>
    <w:rsid w:val="00735653"/>
    <w:rsid w:val="0073660D"/>
    <w:rsid w:val="00737397"/>
    <w:rsid w:val="007404A6"/>
    <w:rsid w:val="0074096D"/>
    <w:rsid w:val="00741B01"/>
    <w:rsid w:val="00741C46"/>
    <w:rsid w:val="00742805"/>
    <w:rsid w:val="00743217"/>
    <w:rsid w:val="0074323C"/>
    <w:rsid w:val="00743C70"/>
    <w:rsid w:val="007445E5"/>
    <w:rsid w:val="007449B3"/>
    <w:rsid w:val="00744AFD"/>
    <w:rsid w:val="00744BEE"/>
    <w:rsid w:val="00744C47"/>
    <w:rsid w:val="00744D0D"/>
    <w:rsid w:val="00744E4A"/>
    <w:rsid w:val="00744ED8"/>
    <w:rsid w:val="00745030"/>
    <w:rsid w:val="00745541"/>
    <w:rsid w:val="00745D6A"/>
    <w:rsid w:val="007464C6"/>
    <w:rsid w:val="00746D7A"/>
    <w:rsid w:val="00746F3D"/>
    <w:rsid w:val="00747770"/>
    <w:rsid w:val="00747F38"/>
    <w:rsid w:val="00750519"/>
    <w:rsid w:val="0075085E"/>
    <w:rsid w:val="007515AB"/>
    <w:rsid w:val="00752302"/>
    <w:rsid w:val="007526CB"/>
    <w:rsid w:val="0075285C"/>
    <w:rsid w:val="00753286"/>
    <w:rsid w:val="007533E0"/>
    <w:rsid w:val="00753D58"/>
    <w:rsid w:val="007542E5"/>
    <w:rsid w:val="00754F0B"/>
    <w:rsid w:val="00754FCD"/>
    <w:rsid w:val="00755367"/>
    <w:rsid w:val="0075555E"/>
    <w:rsid w:val="00755A6B"/>
    <w:rsid w:val="00756027"/>
    <w:rsid w:val="00756314"/>
    <w:rsid w:val="00756391"/>
    <w:rsid w:val="0075685D"/>
    <w:rsid w:val="00757A50"/>
    <w:rsid w:val="00760AE9"/>
    <w:rsid w:val="00760B7C"/>
    <w:rsid w:val="00760FF4"/>
    <w:rsid w:val="00761134"/>
    <w:rsid w:val="00761BCC"/>
    <w:rsid w:val="00761EA8"/>
    <w:rsid w:val="00762214"/>
    <w:rsid w:val="00762867"/>
    <w:rsid w:val="00762C7C"/>
    <w:rsid w:val="0076343F"/>
    <w:rsid w:val="007635BF"/>
    <w:rsid w:val="00763C90"/>
    <w:rsid w:val="007646B4"/>
    <w:rsid w:val="00764CF6"/>
    <w:rsid w:val="007651EF"/>
    <w:rsid w:val="00765A7B"/>
    <w:rsid w:val="007660D5"/>
    <w:rsid w:val="00766DAC"/>
    <w:rsid w:val="00766F03"/>
    <w:rsid w:val="00767162"/>
    <w:rsid w:val="0076732F"/>
    <w:rsid w:val="0076759E"/>
    <w:rsid w:val="00767681"/>
    <w:rsid w:val="00770BE1"/>
    <w:rsid w:val="00770C6B"/>
    <w:rsid w:val="00771401"/>
    <w:rsid w:val="00772E15"/>
    <w:rsid w:val="007743C8"/>
    <w:rsid w:val="00774CC6"/>
    <w:rsid w:val="00775B43"/>
    <w:rsid w:val="00775C06"/>
    <w:rsid w:val="007768CD"/>
    <w:rsid w:val="00776C40"/>
    <w:rsid w:val="00777261"/>
    <w:rsid w:val="007802A6"/>
    <w:rsid w:val="00780D27"/>
    <w:rsid w:val="0078102F"/>
    <w:rsid w:val="00781334"/>
    <w:rsid w:val="00781899"/>
    <w:rsid w:val="00781989"/>
    <w:rsid w:val="0078278E"/>
    <w:rsid w:val="00782825"/>
    <w:rsid w:val="00782E91"/>
    <w:rsid w:val="0078422D"/>
    <w:rsid w:val="007844FD"/>
    <w:rsid w:val="00784A64"/>
    <w:rsid w:val="00784DA7"/>
    <w:rsid w:val="00786006"/>
    <w:rsid w:val="0078626D"/>
    <w:rsid w:val="0078643F"/>
    <w:rsid w:val="007868A8"/>
    <w:rsid w:val="0078748D"/>
    <w:rsid w:val="007874D3"/>
    <w:rsid w:val="007874F9"/>
    <w:rsid w:val="00787509"/>
    <w:rsid w:val="0078768C"/>
    <w:rsid w:val="00787B6A"/>
    <w:rsid w:val="00787C20"/>
    <w:rsid w:val="00790B3A"/>
    <w:rsid w:val="00791397"/>
    <w:rsid w:val="00791D3E"/>
    <w:rsid w:val="00791EEC"/>
    <w:rsid w:val="00792074"/>
    <w:rsid w:val="007921CE"/>
    <w:rsid w:val="007925D1"/>
    <w:rsid w:val="007926A8"/>
    <w:rsid w:val="0079278F"/>
    <w:rsid w:val="0079371C"/>
    <w:rsid w:val="00793DC5"/>
    <w:rsid w:val="00794924"/>
    <w:rsid w:val="00794C0B"/>
    <w:rsid w:val="00794E62"/>
    <w:rsid w:val="00795202"/>
    <w:rsid w:val="007952F7"/>
    <w:rsid w:val="00795370"/>
    <w:rsid w:val="00795E16"/>
    <w:rsid w:val="007964CF"/>
    <w:rsid w:val="00796A6A"/>
    <w:rsid w:val="00797230"/>
    <w:rsid w:val="007972E0"/>
    <w:rsid w:val="0079734D"/>
    <w:rsid w:val="007973C3"/>
    <w:rsid w:val="00797E12"/>
    <w:rsid w:val="00797FB3"/>
    <w:rsid w:val="007A0FAB"/>
    <w:rsid w:val="007A2977"/>
    <w:rsid w:val="007A30D0"/>
    <w:rsid w:val="007A36FA"/>
    <w:rsid w:val="007A378F"/>
    <w:rsid w:val="007A3878"/>
    <w:rsid w:val="007A39BC"/>
    <w:rsid w:val="007A4130"/>
    <w:rsid w:val="007A4442"/>
    <w:rsid w:val="007A49DB"/>
    <w:rsid w:val="007A5187"/>
    <w:rsid w:val="007A5A16"/>
    <w:rsid w:val="007A62AB"/>
    <w:rsid w:val="007A6E37"/>
    <w:rsid w:val="007B0B21"/>
    <w:rsid w:val="007B1D5B"/>
    <w:rsid w:val="007B33F4"/>
    <w:rsid w:val="007B3C0A"/>
    <w:rsid w:val="007B4444"/>
    <w:rsid w:val="007B46F0"/>
    <w:rsid w:val="007B4782"/>
    <w:rsid w:val="007B49E0"/>
    <w:rsid w:val="007B4FC4"/>
    <w:rsid w:val="007B525C"/>
    <w:rsid w:val="007B55A5"/>
    <w:rsid w:val="007B56E0"/>
    <w:rsid w:val="007B6551"/>
    <w:rsid w:val="007B6832"/>
    <w:rsid w:val="007B6915"/>
    <w:rsid w:val="007C051A"/>
    <w:rsid w:val="007C088E"/>
    <w:rsid w:val="007C0D7C"/>
    <w:rsid w:val="007C1C89"/>
    <w:rsid w:val="007C2636"/>
    <w:rsid w:val="007C26B9"/>
    <w:rsid w:val="007C278F"/>
    <w:rsid w:val="007C3391"/>
    <w:rsid w:val="007C3933"/>
    <w:rsid w:val="007C44F0"/>
    <w:rsid w:val="007C4C19"/>
    <w:rsid w:val="007C4FFF"/>
    <w:rsid w:val="007C5525"/>
    <w:rsid w:val="007C6011"/>
    <w:rsid w:val="007C65E3"/>
    <w:rsid w:val="007C68C2"/>
    <w:rsid w:val="007C6E17"/>
    <w:rsid w:val="007C700C"/>
    <w:rsid w:val="007C7199"/>
    <w:rsid w:val="007D0B22"/>
    <w:rsid w:val="007D0C08"/>
    <w:rsid w:val="007D0D36"/>
    <w:rsid w:val="007D1D06"/>
    <w:rsid w:val="007D223C"/>
    <w:rsid w:val="007D22D6"/>
    <w:rsid w:val="007D281C"/>
    <w:rsid w:val="007D2886"/>
    <w:rsid w:val="007D31EE"/>
    <w:rsid w:val="007D3236"/>
    <w:rsid w:val="007D32BF"/>
    <w:rsid w:val="007D364F"/>
    <w:rsid w:val="007D37FF"/>
    <w:rsid w:val="007D3C8C"/>
    <w:rsid w:val="007D3E76"/>
    <w:rsid w:val="007D45E9"/>
    <w:rsid w:val="007D4E3A"/>
    <w:rsid w:val="007D5103"/>
    <w:rsid w:val="007D52C3"/>
    <w:rsid w:val="007D6059"/>
    <w:rsid w:val="007D69A2"/>
    <w:rsid w:val="007D6E6D"/>
    <w:rsid w:val="007D72B4"/>
    <w:rsid w:val="007D7E01"/>
    <w:rsid w:val="007E0E9C"/>
    <w:rsid w:val="007E1CA6"/>
    <w:rsid w:val="007E1E02"/>
    <w:rsid w:val="007E1E05"/>
    <w:rsid w:val="007E1EFB"/>
    <w:rsid w:val="007E3643"/>
    <w:rsid w:val="007E3C03"/>
    <w:rsid w:val="007E3F7A"/>
    <w:rsid w:val="007E44C6"/>
    <w:rsid w:val="007E44EE"/>
    <w:rsid w:val="007E4D0C"/>
    <w:rsid w:val="007E5707"/>
    <w:rsid w:val="007E5F25"/>
    <w:rsid w:val="007E660D"/>
    <w:rsid w:val="007E6871"/>
    <w:rsid w:val="007E7311"/>
    <w:rsid w:val="007E75C9"/>
    <w:rsid w:val="007E7DDF"/>
    <w:rsid w:val="007F0346"/>
    <w:rsid w:val="007F0887"/>
    <w:rsid w:val="007F0E8F"/>
    <w:rsid w:val="007F1251"/>
    <w:rsid w:val="007F126D"/>
    <w:rsid w:val="007F151B"/>
    <w:rsid w:val="007F1B1A"/>
    <w:rsid w:val="007F1B54"/>
    <w:rsid w:val="007F1D5F"/>
    <w:rsid w:val="007F203C"/>
    <w:rsid w:val="007F27AE"/>
    <w:rsid w:val="007F28C8"/>
    <w:rsid w:val="007F2E0A"/>
    <w:rsid w:val="007F3F02"/>
    <w:rsid w:val="007F462D"/>
    <w:rsid w:val="007F5A96"/>
    <w:rsid w:val="007F66AF"/>
    <w:rsid w:val="008003E3"/>
    <w:rsid w:val="008006BF"/>
    <w:rsid w:val="0080083F"/>
    <w:rsid w:val="00800C9C"/>
    <w:rsid w:val="00801359"/>
    <w:rsid w:val="0080141F"/>
    <w:rsid w:val="00801A7B"/>
    <w:rsid w:val="00801DD5"/>
    <w:rsid w:val="00801F26"/>
    <w:rsid w:val="00802219"/>
    <w:rsid w:val="0080366E"/>
    <w:rsid w:val="00803924"/>
    <w:rsid w:val="00803951"/>
    <w:rsid w:val="00803AEF"/>
    <w:rsid w:val="0080400D"/>
    <w:rsid w:val="00804019"/>
    <w:rsid w:val="008043A3"/>
    <w:rsid w:val="00806947"/>
    <w:rsid w:val="00806A62"/>
    <w:rsid w:val="00806B61"/>
    <w:rsid w:val="008074A0"/>
    <w:rsid w:val="00807B3F"/>
    <w:rsid w:val="0081011E"/>
    <w:rsid w:val="0081020C"/>
    <w:rsid w:val="008110F3"/>
    <w:rsid w:val="00811A3C"/>
    <w:rsid w:val="008127AB"/>
    <w:rsid w:val="00812C8C"/>
    <w:rsid w:val="008132C6"/>
    <w:rsid w:val="0081495F"/>
    <w:rsid w:val="0081497F"/>
    <w:rsid w:val="008160A7"/>
    <w:rsid w:val="0081685C"/>
    <w:rsid w:val="008174DF"/>
    <w:rsid w:val="00817C72"/>
    <w:rsid w:val="00817F87"/>
    <w:rsid w:val="008201F1"/>
    <w:rsid w:val="00820B07"/>
    <w:rsid w:val="008210B0"/>
    <w:rsid w:val="00821E3D"/>
    <w:rsid w:val="0082274E"/>
    <w:rsid w:val="008227C2"/>
    <w:rsid w:val="00822B0B"/>
    <w:rsid w:val="00823715"/>
    <w:rsid w:val="008238A1"/>
    <w:rsid w:val="00823DB9"/>
    <w:rsid w:val="00824322"/>
    <w:rsid w:val="008243CC"/>
    <w:rsid w:val="00824683"/>
    <w:rsid w:val="00824A61"/>
    <w:rsid w:val="00824E33"/>
    <w:rsid w:val="00825B01"/>
    <w:rsid w:val="00826CC5"/>
    <w:rsid w:val="00826D69"/>
    <w:rsid w:val="00827922"/>
    <w:rsid w:val="008279C6"/>
    <w:rsid w:val="00827E89"/>
    <w:rsid w:val="00827F47"/>
    <w:rsid w:val="00830587"/>
    <w:rsid w:val="00830C52"/>
    <w:rsid w:val="00830EA5"/>
    <w:rsid w:val="00831732"/>
    <w:rsid w:val="0083259C"/>
    <w:rsid w:val="0083372A"/>
    <w:rsid w:val="00833E2D"/>
    <w:rsid w:val="00833FEB"/>
    <w:rsid w:val="00834647"/>
    <w:rsid w:val="00834C68"/>
    <w:rsid w:val="00834F5C"/>
    <w:rsid w:val="00834FCC"/>
    <w:rsid w:val="008353D3"/>
    <w:rsid w:val="00835541"/>
    <w:rsid w:val="0083575A"/>
    <w:rsid w:val="0083598E"/>
    <w:rsid w:val="00836002"/>
    <w:rsid w:val="008362A8"/>
    <w:rsid w:val="0083647F"/>
    <w:rsid w:val="00836E64"/>
    <w:rsid w:val="00837BEA"/>
    <w:rsid w:val="00837E2E"/>
    <w:rsid w:val="00837E52"/>
    <w:rsid w:val="008403AF"/>
    <w:rsid w:val="0084100C"/>
    <w:rsid w:val="00841197"/>
    <w:rsid w:val="008411C6"/>
    <w:rsid w:val="008416E7"/>
    <w:rsid w:val="00843DE9"/>
    <w:rsid w:val="00844032"/>
    <w:rsid w:val="00844590"/>
    <w:rsid w:val="0084738D"/>
    <w:rsid w:val="008474B9"/>
    <w:rsid w:val="00847A8A"/>
    <w:rsid w:val="008502AD"/>
    <w:rsid w:val="00850DA7"/>
    <w:rsid w:val="00850EAB"/>
    <w:rsid w:val="0085272E"/>
    <w:rsid w:val="00852EFB"/>
    <w:rsid w:val="008531DD"/>
    <w:rsid w:val="008536C5"/>
    <w:rsid w:val="00853ECF"/>
    <w:rsid w:val="00854E68"/>
    <w:rsid w:val="00854E6D"/>
    <w:rsid w:val="0085545D"/>
    <w:rsid w:val="00855770"/>
    <w:rsid w:val="00855B4C"/>
    <w:rsid w:val="00855C86"/>
    <w:rsid w:val="00855F23"/>
    <w:rsid w:val="0085625A"/>
    <w:rsid w:val="00856E6A"/>
    <w:rsid w:val="00856FD9"/>
    <w:rsid w:val="008577FD"/>
    <w:rsid w:val="00861419"/>
    <w:rsid w:val="00861421"/>
    <w:rsid w:val="0086181E"/>
    <w:rsid w:val="00861C32"/>
    <w:rsid w:val="008622DC"/>
    <w:rsid w:val="00863293"/>
    <w:rsid w:val="00863378"/>
    <w:rsid w:val="0086433A"/>
    <w:rsid w:val="0086448D"/>
    <w:rsid w:val="00864B5B"/>
    <w:rsid w:val="00864D1F"/>
    <w:rsid w:val="00864F8C"/>
    <w:rsid w:val="00865AF1"/>
    <w:rsid w:val="00866045"/>
    <w:rsid w:val="0086666C"/>
    <w:rsid w:val="00866710"/>
    <w:rsid w:val="008669D6"/>
    <w:rsid w:val="0086705D"/>
    <w:rsid w:val="0087008F"/>
    <w:rsid w:val="008702BF"/>
    <w:rsid w:val="008706B3"/>
    <w:rsid w:val="00870CD3"/>
    <w:rsid w:val="00870D4A"/>
    <w:rsid w:val="00870FB6"/>
    <w:rsid w:val="00871B3A"/>
    <w:rsid w:val="00871C7E"/>
    <w:rsid w:val="008728A8"/>
    <w:rsid w:val="00872AAA"/>
    <w:rsid w:val="00872EF3"/>
    <w:rsid w:val="0087308F"/>
    <w:rsid w:val="00873B06"/>
    <w:rsid w:val="00874267"/>
    <w:rsid w:val="00874D0E"/>
    <w:rsid w:val="00874EAC"/>
    <w:rsid w:val="00875136"/>
    <w:rsid w:val="0087595C"/>
    <w:rsid w:val="00875EA6"/>
    <w:rsid w:val="00876242"/>
    <w:rsid w:val="00876647"/>
    <w:rsid w:val="00876EEE"/>
    <w:rsid w:val="008770B2"/>
    <w:rsid w:val="00877212"/>
    <w:rsid w:val="00877964"/>
    <w:rsid w:val="00880502"/>
    <w:rsid w:val="008805DF"/>
    <w:rsid w:val="0088062A"/>
    <w:rsid w:val="0088161D"/>
    <w:rsid w:val="0088183E"/>
    <w:rsid w:val="00881BE9"/>
    <w:rsid w:val="00881ED8"/>
    <w:rsid w:val="008829E9"/>
    <w:rsid w:val="008832E8"/>
    <w:rsid w:val="00883656"/>
    <w:rsid w:val="008838A4"/>
    <w:rsid w:val="008843D9"/>
    <w:rsid w:val="00884C79"/>
    <w:rsid w:val="00885703"/>
    <w:rsid w:val="0088616E"/>
    <w:rsid w:val="0088696B"/>
    <w:rsid w:val="008870DC"/>
    <w:rsid w:val="008875A1"/>
    <w:rsid w:val="0088762B"/>
    <w:rsid w:val="00890334"/>
    <w:rsid w:val="008905E1"/>
    <w:rsid w:val="00890FDF"/>
    <w:rsid w:val="00891A43"/>
    <w:rsid w:val="00893832"/>
    <w:rsid w:val="008944C5"/>
    <w:rsid w:val="008946D2"/>
    <w:rsid w:val="008948DA"/>
    <w:rsid w:val="00894AE9"/>
    <w:rsid w:val="00894CF3"/>
    <w:rsid w:val="00894DB4"/>
    <w:rsid w:val="008961EB"/>
    <w:rsid w:val="00896373"/>
    <w:rsid w:val="0089659D"/>
    <w:rsid w:val="00896B41"/>
    <w:rsid w:val="00897ECF"/>
    <w:rsid w:val="008A19AC"/>
    <w:rsid w:val="008A1B5E"/>
    <w:rsid w:val="008A1F49"/>
    <w:rsid w:val="008A30F1"/>
    <w:rsid w:val="008A3323"/>
    <w:rsid w:val="008A36D3"/>
    <w:rsid w:val="008A37AF"/>
    <w:rsid w:val="008A3ADD"/>
    <w:rsid w:val="008A3AEC"/>
    <w:rsid w:val="008A4279"/>
    <w:rsid w:val="008A443A"/>
    <w:rsid w:val="008A4CD3"/>
    <w:rsid w:val="008A71D1"/>
    <w:rsid w:val="008A7AE9"/>
    <w:rsid w:val="008B10B9"/>
    <w:rsid w:val="008B114C"/>
    <w:rsid w:val="008B1744"/>
    <w:rsid w:val="008B1BCB"/>
    <w:rsid w:val="008B1BD7"/>
    <w:rsid w:val="008B1FEF"/>
    <w:rsid w:val="008B1FFF"/>
    <w:rsid w:val="008B21E9"/>
    <w:rsid w:val="008B2CAE"/>
    <w:rsid w:val="008B2F1B"/>
    <w:rsid w:val="008B3558"/>
    <w:rsid w:val="008B43FF"/>
    <w:rsid w:val="008B4FA2"/>
    <w:rsid w:val="008B515A"/>
    <w:rsid w:val="008B5E2C"/>
    <w:rsid w:val="008B6158"/>
    <w:rsid w:val="008B6442"/>
    <w:rsid w:val="008B710C"/>
    <w:rsid w:val="008B7D07"/>
    <w:rsid w:val="008C08B8"/>
    <w:rsid w:val="008C1521"/>
    <w:rsid w:val="008C16C4"/>
    <w:rsid w:val="008C1742"/>
    <w:rsid w:val="008C1CC1"/>
    <w:rsid w:val="008C1FC2"/>
    <w:rsid w:val="008C21F1"/>
    <w:rsid w:val="008C2925"/>
    <w:rsid w:val="008C358A"/>
    <w:rsid w:val="008C36DE"/>
    <w:rsid w:val="008C3C73"/>
    <w:rsid w:val="008C551F"/>
    <w:rsid w:val="008C56EB"/>
    <w:rsid w:val="008C634A"/>
    <w:rsid w:val="008C6A9B"/>
    <w:rsid w:val="008D05F6"/>
    <w:rsid w:val="008D093E"/>
    <w:rsid w:val="008D098F"/>
    <w:rsid w:val="008D1299"/>
    <w:rsid w:val="008D2FE1"/>
    <w:rsid w:val="008D3AF1"/>
    <w:rsid w:val="008D3DEF"/>
    <w:rsid w:val="008D3E49"/>
    <w:rsid w:val="008D42F8"/>
    <w:rsid w:val="008D4B19"/>
    <w:rsid w:val="008D62E5"/>
    <w:rsid w:val="008D6EDC"/>
    <w:rsid w:val="008E0D35"/>
    <w:rsid w:val="008E1189"/>
    <w:rsid w:val="008E12A3"/>
    <w:rsid w:val="008E1569"/>
    <w:rsid w:val="008E2054"/>
    <w:rsid w:val="008E2572"/>
    <w:rsid w:val="008E2D67"/>
    <w:rsid w:val="008E33F3"/>
    <w:rsid w:val="008E36B6"/>
    <w:rsid w:val="008E37F9"/>
    <w:rsid w:val="008E3B8C"/>
    <w:rsid w:val="008E3E45"/>
    <w:rsid w:val="008E42BE"/>
    <w:rsid w:val="008E4AA4"/>
    <w:rsid w:val="008E4DCD"/>
    <w:rsid w:val="008E5D18"/>
    <w:rsid w:val="008E5E5D"/>
    <w:rsid w:val="008E63D2"/>
    <w:rsid w:val="008E7850"/>
    <w:rsid w:val="008E78F5"/>
    <w:rsid w:val="008E7BF6"/>
    <w:rsid w:val="008F031F"/>
    <w:rsid w:val="008F1E13"/>
    <w:rsid w:val="008F1E98"/>
    <w:rsid w:val="008F1EC4"/>
    <w:rsid w:val="008F1F19"/>
    <w:rsid w:val="008F268C"/>
    <w:rsid w:val="008F282D"/>
    <w:rsid w:val="008F287F"/>
    <w:rsid w:val="008F2B52"/>
    <w:rsid w:val="008F3450"/>
    <w:rsid w:val="008F35E5"/>
    <w:rsid w:val="008F39CB"/>
    <w:rsid w:val="008F4790"/>
    <w:rsid w:val="008F55FC"/>
    <w:rsid w:val="008F59DC"/>
    <w:rsid w:val="008F7465"/>
    <w:rsid w:val="008F793E"/>
    <w:rsid w:val="00900146"/>
    <w:rsid w:val="00900285"/>
    <w:rsid w:val="009006D0"/>
    <w:rsid w:val="009010A8"/>
    <w:rsid w:val="00901BEE"/>
    <w:rsid w:val="00901FE0"/>
    <w:rsid w:val="0090211F"/>
    <w:rsid w:val="0090232D"/>
    <w:rsid w:val="00902BCB"/>
    <w:rsid w:val="00903480"/>
    <w:rsid w:val="00903593"/>
    <w:rsid w:val="009060FC"/>
    <w:rsid w:val="00906331"/>
    <w:rsid w:val="0090688B"/>
    <w:rsid w:val="00907B04"/>
    <w:rsid w:val="00907BDE"/>
    <w:rsid w:val="00910095"/>
    <w:rsid w:val="00910E28"/>
    <w:rsid w:val="0091124C"/>
    <w:rsid w:val="009114FE"/>
    <w:rsid w:val="00911F78"/>
    <w:rsid w:val="0091245D"/>
    <w:rsid w:val="00913652"/>
    <w:rsid w:val="00913FFE"/>
    <w:rsid w:val="00914832"/>
    <w:rsid w:val="00914F03"/>
    <w:rsid w:val="00915106"/>
    <w:rsid w:val="00915B62"/>
    <w:rsid w:val="0091624F"/>
    <w:rsid w:val="0091658D"/>
    <w:rsid w:val="00916EF1"/>
    <w:rsid w:val="00920127"/>
    <w:rsid w:val="00920829"/>
    <w:rsid w:val="00920941"/>
    <w:rsid w:val="00920CDB"/>
    <w:rsid w:val="00921315"/>
    <w:rsid w:val="00921486"/>
    <w:rsid w:val="0092167A"/>
    <w:rsid w:val="00921814"/>
    <w:rsid w:val="00921D10"/>
    <w:rsid w:val="00921EE5"/>
    <w:rsid w:val="009222B1"/>
    <w:rsid w:val="00922700"/>
    <w:rsid w:val="00923657"/>
    <w:rsid w:val="009238DB"/>
    <w:rsid w:val="00923CFD"/>
    <w:rsid w:val="009257CD"/>
    <w:rsid w:val="009259BB"/>
    <w:rsid w:val="009262F4"/>
    <w:rsid w:val="00926E63"/>
    <w:rsid w:val="0092744A"/>
    <w:rsid w:val="00927A9B"/>
    <w:rsid w:val="00930047"/>
    <w:rsid w:val="009303FB"/>
    <w:rsid w:val="00930F3F"/>
    <w:rsid w:val="00931917"/>
    <w:rsid w:val="00931969"/>
    <w:rsid w:val="00932ED4"/>
    <w:rsid w:val="00932FF6"/>
    <w:rsid w:val="00934396"/>
    <w:rsid w:val="00935010"/>
    <w:rsid w:val="009351F2"/>
    <w:rsid w:val="0093579E"/>
    <w:rsid w:val="00935E18"/>
    <w:rsid w:val="00935E60"/>
    <w:rsid w:val="00936835"/>
    <w:rsid w:val="009369B1"/>
    <w:rsid w:val="00936DC9"/>
    <w:rsid w:val="00936FD9"/>
    <w:rsid w:val="0093714B"/>
    <w:rsid w:val="00940727"/>
    <w:rsid w:val="00940B53"/>
    <w:rsid w:val="0094131C"/>
    <w:rsid w:val="00941560"/>
    <w:rsid w:val="0094220D"/>
    <w:rsid w:val="00942420"/>
    <w:rsid w:val="00942ED2"/>
    <w:rsid w:val="009437E6"/>
    <w:rsid w:val="00943F74"/>
    <w:rsid w:val="00944637"/>
    <w:rsid w:val="0094586F"/>
    <w:rsid w:val="00945902"/>
    <w:rsid w:val="00945D8A"/>
    <w:rsid w:val="009465BA"/>
    <w:rsid w:val="00947210"/>
    <w:rsid w:val="00947512"/>
    <w:rsid w:val="00950068"/>
    <w:rsid w:val="009512DB"/>
    <w:rsid w:val="0095205A"/>
    <w:rsid w:val="0095227B"/>
    <w:rsid w:val="0095277C"/>
    <w:rsid w:val="00952C71"/>
    <w:rsid w:val="00952E76"/>
    <w:rsid w:val="009534B8"/>
    <w:rsid w:val="00954FED"/>
    <w:rsid w:val="009552D7"/>
    <w:rsid w:val="009554C5"/>
    <w:rsid w:val="00955A59"/>
    <w:rsid w:val="00955AAA"/>
    <w:rsid w:val="00956440"/>
    <w:rsid w:val="00956F9B"/>
    <w:rsid w:val="00960AB1"/>
    <w:rsid w:val="00961380"/>
    <w:rsid w:val="00961741"/>
    <w:rsid w:val="009619B0"/>
    <w:rsid w:val="00961AEB"/>
    <w:rsid w:val="00962751"/>
    <w:rsid w:val="00964776"/>
    <w:rsid w:val="0096481E"/>
    <w:rsid w:val="009650DD"/>
    <w:rsid w:val="009655AF"/>
    <w:rsid w:val="00965605"/>
    <w:rsid w:val="00965982"/>
    <w:rsid w:val="00966967"/>
    <w:rsid w:val="00966D4C"/>
    <w:rsid w:val="00966DD5"/>
    <w:rsid w:val="00966DE8"/>
    <w:rsid w:val="0096756A"/>
    <w:rsid w:val="00967A2F"/>
    <w:rsid w:val="00967C11"/>
    <w:rsid w:val="00967C33"/>
    <w:rsid w:val="00970656"/>
    <w:rsid w:val="0097070C"/>
    <w:rsid w:val="00970BB4"/>
    <w:rsid w:val="009717D2"/>
    <w:rsid w:val="0097187B"/>
    <w:rsid w:val="00971EBC"/>
    <w:rsid w:val="00972CE1"/>
    <w:rsid w:val="009740F5"/>
    <w:rsid w:val="00974583"/>
    <w:rsid w:val="00975D27"/>
    <w:rsid w:val="00975D5E"/>
    <w:rsid w:val="00977125"/>
    <w:rsid w:val="0097742C"/>
    <w:rsid w:val="009775C2"/>
    <w:rsid w:val="009801AD"/>
    <w:rsid w:val="00980544"/>
    <w:rsid w:val="00980955"/>
    <w:rsid w:val="00980D56"/>
    <w:rsid w:val="00981B18"/>
    <w:rsid w:val="00982FD9"/>
    <w:rsid w:val="00984191"/>
    <w:rsid w:val="00984F96"/>
    <w:rsid w:val="00985050"/>
    <w:rsid w:val="009857CA"/>
    <w:rsid w:val="00985AF4"/>
    <w:rsid w:val="00986056"/>
    <w:rsid w:val="0098610C"/>
    <w:rsid w:val="009864E2"/>
    <w:rsid w:val="009866AB"/>
    <w:rsid w:val="00986EAC"/>
    <w:rsid w:val="00987E2F"/>
    <w:rsid w:val="0099033B"/>
    <w:rsid w:val="009909CD"/>
    <w:rsid w:val="00990E6D"/>
    <w:rsid w:val="0099108F"/>
    <w:rsid w:val="00991403"/>
    <w:rsid w:val="00991BF2"/>
    <w:rsid w:val="009923C2"/>
    <w:rsid w:val="00993425"/>
    <w:rsid w:val="00993447"/>
    <w:rsid w:val="00994903"/>
    <w:rsid w:val="00994D9C"/>
    <w:rsid w:val="00995752"/>
    <w:rsid w:val="00996868"/>
    <w:rsid w:val="00996D27"/>
    <w:rsid w:val="00997124"/>
    <w:rsid w:val="00997128"/>
    <w:rsid w:val="00997E21"/>
    <w:rsid w:val="009A0B23"/>
    <w:rsid w:val="009A0D3F"/>
    <w:rsid w:val="009A1BFB"/>
    <w:rsid w:val="009A1DE7"/>
    <w:rsid w:val="009A230B"/>
    <w:rsid w:val="009A2B39"/>
    <w:rsid w:val="009A2EE7"/>
    <w:rsid w:val="009A3B1C"/>
    <w:rsid w:val="009A5F9F"/>
    <w:rsid w:val="009A5FB4"/>
    <w:rsid w:val="009A62DE"/>
    <w:rsid w:val="009A6662"/>
    <w:rsid w:val="009A6B25"/>
    <w:rsid w:val="009A6D77"/>
    <w:rsid w:val="009A714A"/>
    <w:rsid w:val="009A719C"/>
    <w:rsid w:val="009A7595"/>
    <w:rsid w:val="009B014E"/>
    <w:rsid w:val="009B17D8"/>
    <w:rsid w:val="009B2483"/>
    <w:rsid w:val="009B3BCF"/>
    <w:rsid w:val="009B4FB3"/>
    <w:rsid w:val="009B57C0"/>
    <w:rsid w:val="009B5C94"/>
    <w:rsid w:val="009B5F03"/>
    <w:rsid w:val="009B5F14"/>
    <w:rsid w:val="009B63E6"/>
    <w:rsid w:val="009B6F77"/>
    <w:rsid w:val="009C06CC"/>
    <w:rsid w:val="009C0EF4"/>
    <w:rsid w:val="009C10F7"/>
    <w:rsid w:val="009C11D6"/>
    <w:rsid w:val="009C14F7"/>
    <w:rsid w:val="009C25FE"/>
    <w:rsid w:val="009C26D4"/>
    <w:rsid w:val="009C3674"/>
    <w:rsid w:val="009C431F"/>
    <w:rsid w:val="009C522E"/>
    <w:rsid w:val="009C576E"/>
    <w:rsid w:val="009C5B1E"/>
    <w:rsid w:val="009C69B2"/>
    <w:rsid w:val="009C6A1D"/>
    <w:rsid w:val="009C7908"/>
    <w:rsid w:val="009D06B7"/>
    <w:rsid w:val="009D1D33"/>
    <w:rsid w:val="009D1EA0"/>
    <w:rsid w:val="009D2049"/>
    <w:rsid w:val="009D245F"/>
    <w:rsid w:val="009D3377"/>
    <w:rsid w:val="009D370E"/>
    <w:rsid w:val="009D3E1F"/>
    <w:rsid w:val="009D434E"/>
    <w:rsid w:val="009D43FB"/>
    <w:rsid w:val="009D4E49"/>
    <w:rsid w:val="009D520D"/>
    <w:rsid w:val="009D5AB6"/>
    <w:rsid w:val="009D5BB2"/>
    <w:rsid w:val="009D5D0F"/>
    <w:rsid w:val="009D60DC"/>
    <w:rsid w:val="009D6212"/>
    <w:rsid w:val="009D63C1"/>
    <w:rsid w:val="009D7893"/>
    <w:rsid w:val="009E0248"/>
    <w:rsid w:val="009E0420"/>
    <w:rsid w:val="009E065A"/>
    <w:rsid w:val="009E14EB"/>
    <w:rsid w:val="009E1DCA"/>
    <w:rsid w:val="009E22C6"/>
    <w:rsid w:val="009E314F"/>
    <w:rsid w:val="009E3443"/>
    <w:rsid w:val="009E3C3E"/>
    <w:rsid w:val="009E43CD"/>
    <w:rsid w:val="009E44D5"/>
    <w:rsid w:val="009E5ADE"/>
    <w:rsid w:val="009E5EBC"/>
    <w:rsid w:val="009E5F4C"/>
    <w:rsid w:val="009E62DF"/>
    <w:rsid w:val="009E6356"/>
    <w:rsid w:val="009E63A2"/>
    <w:rsid w:val="009E6902"/>
    <w:rsid w:val="009E6E64"/>
    <w:rsid w:val="009E7048"/>
    <w:rsid w:val="009E7402"/>
    <w:rsid w:val="009E7769"/>
    <w:rsid w:val="009E7FEF"/>
    <w:rsid w:val="009F11D9"/>
    <w:rsid w:val="009F14E7"/>
    <w:rsid w:val="009F1932"/>
    <w:rsid w:val="009F2227"/>
    <w:rsid w:val="009F3393"/>
    <w:rsid w:val="009F3526"/>
    <w:rsid w:val="009F383B"/>
    <w:rsid w:val="009F5178"/>
    <w:rsid w:val="009F589D"/>
    <w:rsid w:val="009F5B68"/>
    <w:rsid w:val="009F5C4D"/>
    <w:rsid w:val="009F5C86"/>
    <w:rsid w:val="009F63F9"/>
    <w:rsid w:val="009F6E5C"/>
    <w:rsid w:val="009F7123"/>
    <w:rsid w:val="009F77FF"/>
    <w:rsid w:val="00A00B3A"/>
    <w:rsid w:val="00A00E33"/>
    <w:rsid w:val="00A0187A"/>
    <w:rsid w:val="00A01961"/>
    <w:rsid w:val="00A01B96"/>
    <w:rsid w:val="00A031F3"/>
    <w:rsid w:val="00A036A9"/>
    <w:rsid w:val="00A04541"/>
    <w:rsid w:val="00A04D93"/>
    <w:rsid w:val="00A04F86"/>
    <w:rsid w:val="00A051BE"/>
    <w:rsid w:val="00A05255"/>
    <w:rsid w:val="00A059D5"/>
    <w:rsid w:val="00A061CB"/>
    <w:rsid w:val="00A0744D"/>
    <w:rsid w:val="00A07CFD"/>
    <w:rsid w:val="00A106D5"/>
    <w:rsid w:val="00A108F3"/>
    <w:rsid w:val="00A10FF0"/>
    <w:rsid w:val="00A11810"/>
    <w:rsid w:val="00A11859"/>
    <w:rsid w:val="00A119F6"/>
    <w:rsid w:val="00A11B76"/>
    <w:rsid w:val="00A11FDF"/>
    <w:rsid w:val="00A1263D"/>
    <w:rsid w:val="00A14249"/>
    <w:rsid w:val="00A14760"/>
    <w:rsid w:val="00A14AB8"/>
    <w:rsid w:val="00A14E69"/>
    <w:rsid w:val="00A1515D"/>
    <w:rsid w:val="00A1520A"/>
    <w:rsid w:val="00A15301"/>
    <w:rsid w:val="00A15993"/>
    <w:rsid w:val="00A15CEE"/>
    <w:rsid w:val="00A167A0"/>
    <w:rsid w:val="00A17166"/>
    <w:rsid w:val="00A212F7"/>
    <w:rsid w:val="00A21C73"/>
    <w:rsid w:val="00A22326"/>
    <w:rsid w:val="00A23424"/>
    <w:rsid w:val="00A23FE0"/>
    <w:rsid w:val="00A24BAE"/>
    <w:rsid w:val="00A24DA0"/>
    <w:rsid w:val="00A25299"/>
    <w:rsid w:val="00A253E0"/>
    <w:rsid w:val="00A25897"/>
    <w:rsid w:val="00A26083"/>
    <w:rsid w:val="00A267C4"/>
    <w:rsid w:val="00A26F6D"/>
    <w:rsid w:val="00A2735B"/>
    <w:rsid w:val="00A276FE"/>
    <w:rsid w:val="00A30589"/>
    <w:rsid w:val="00A30C5D"/>
    <w:rsid w:val="00A3135A"/>
    <w:rsid w:val="00A31F09"/>
    <w:rsid w:val="00A326AA"/>
    <w:rsid w:val="00A32CC7"/>
    <w:rsid w:val="00A32E08"/>
    <w:rsid w:val="00A32F3F"/>
    <w:rsid w:val="00A33621"/>
    <w:rsid w:val="00A336CB"/>
    <w:rsid w:val="00A33ADA"/>
    <w:rsid w:val="00A33C87"/>
    <w:rsid w:val="00A346BA"/>
    <w:rsid w:val="00A34743"/>
    <w:rsid w:val="00A35D0C"/>
    <w:rsid w:val="00A36521"/>
    <w:rsid w:val="00A36562"/>
    <w:rsid w:val="00A36613"/>
    <w:rsid w:val="00A366D2"/>
    <w:rsid w:val="00A367D8"/>
    <w:rsid w:val="00A36FA0"/>
    <w:rsid w:val="00A37CB1"/>
    <w:rsid w:val="00A40316"/>
    <w:rsid w:val="00A40CC1"/>
    <w:rsid w:val="00A4162F"/>
    <w:rsid w:val="00A41F9D"/>
    <w:rsid w:val="00A42171"/>
    <w:rsid w:val="00A4282D"/>
    <w:rsid w:val="00A42BC7"/>
    <w:rsid w:val="00A42F6B"/>
    <w:rsid w:val="00A437BA"/>
    <w:rsid w:val="00A43C08"/>
    <w:rsid w:val="00A446A1"/>
    <w:rsid w:val="00A4534A"/>
    <w:rsid w:val="00A45621"/>
    <w:rsid w:val="00A4582F"/>
    <w:rsid w:val="00A458C6"/>
    <w:rsid w:val="00A45BCC"/>
    <w:rsid w:val="00A45D54"/>
    <w:rsid w:val="00A45D83"/>
    <w:rsid w:val="00A4612E"/>
    <w:rsid w:val="00A4624B"/>
    <w:rsid w:val="00A473FB"/>
    <w:rsid w:val="00A47AB9"/>
    <w:rsid w:val="00A508FF"/>
    <w:rsid w:val="00A5126D"/>
    <w:rsid w:val="00A5188E"/>
    <w:rsid w:val="00A51D94"/>
    <w:rsid w:val="00A5346C"/>
    <w:rsid w:val="00A53696"/>
    <w:rsid w:val="00A54B7F"/>
    <w:rsid w:val="00A5521D"/>
    <w:rsid w:val="00A5582A"/>
    <w:rsid w:val="00A55840"/>
    <w:rsid w:val="00A55E65"/>
    <w:rsid w:val="00A56A5B"/>
    <w:rsid w:val="00A56C03"/>
    <w:rsid w:val="00A57AB3"/>
    <w:rsid w:val="00A601CC"/>
    <w:rsid w:val="00A608CE"/>
    <w:rsid w:val="00A60C84"/>
    <w:rsid w:val="00A61F44"/>
    <w:rsid w:val="00A62594"/>
    <w:rsid w:val="00A62625"/>
    <w:rsid w:val="00A62A1F"/>
    <w:rsid w:val="00A62AF8"/>
    <w:rsid w:val="00A6469E"/>
    <w:rsid w:val="00A6525A"/>
    <w:rsid w:val="00A6551A"/>
    <w:rsid w:val="00A65B5F"/>
    <w:rsid w:val="00A6601E"/>
    <w:rsid w:val="00A660FA"/>
    <w:rsid w:val="00A66A6D"/>
    <w:rsid w:val="00A66B17"/>
    <w:rsid w:val="00A66E29"/>
    <w:rsid w:val="00A66F29"/>
    <w:rsid w:val="00A671E9"/>
    <w:rsid w:val="00A675B9"/>
    <w:rsid w:val="00A67D0E"/>
    <w:rsid w:val="00A70203"/>
    <w:rsid w:val="00A706FF"/>
    <w:rsid w:val="00A71775"/>
    <w:rsid w:val="00A71A7B"/>
    <w:rsid w:val="00A71D62"/>
    <w:rsid w:val="00A71DB7"/>
    <w:rsid w:val="00A7308B"/>
    <w:rsid w:val="00A73B4D"/>
    <w:rsid w:val="00A73CB4"/>
    <w:rsid w:val="00A73D49"/>
    <w:rsid w:val="00A7444A"/>
    <w:rsid w:val="00A7483F"/>
    <w:rsid w:val="00A74923"/>
    <w:rsid w:val="00A74A25"/>
    <w:rsid w:val="00A74A60"/>
    <w:rsid w:val="00A74B4B"/>
    <w:rsid w:val="00A74FC8"/>
    <w:rsid w:val="00A7506B"/>
    <w:rsid w:val="00A7506D"/>
    <w:rsid w:val="00A7588C"/>
    <w:rsid w:val="00A75927"/>
    <w:rsid w:val="00A75981"/>
    <w:rsid w:val="00A75A88"/>
    <w:rsid w:val="00A75D84"/>
    <w:rsid w:val="00A76F4A"/>
    <w:rsid w:val="00A7715D"/>
    <w:rsid w:val="00A7718C"/>
    <w:rsid w:val="00A77884"/>
    <w:rsid w:val="00A808E2"/>
    <w:rsid w:val="00A818A8"/>
    <w:rsid w:val="00A81A1E"/>
    <w:rsid w:val="00A826F6"/>
    <w:rsid w:val="00A82AA2"/>
    <w:rsid w:val="00A82DBF"/>
    <w:rsid w:val="00A832B0"/>
    <w:rsid w:val="00A83B4D"/>
    <w:rsid w:val="00A845F5"/>
    <w:rsid w:val="00A84877"/>
    <w:rsid w:val="00A84A12"/>
    <w:rsid w:val="00A85DF4"/>
    <w:rsid w:val="00A86287"/>
    <w:rsid w:val="00A8707B"/>
    <w:rsid w:val="00A872FC"/>
    <w:rsid w:val="00A91C63"/>
    <w:rsid w:val="00A925FC"/>
    <w:rsid w:val="00A92CB5"/>
    <w:rsid w:val="00A92D43"/>
    <w:rsid w:val="00A92EBD"/>
    <w:rsid w:val="00A940D8"/>
    <w:rsid w:val="00A94918"/>
    <w:rsid w:val="00A949A7"/>
    <w:rsid w:val="00A954F7"/>
    <w:rsid w:val="00A95D34"/>
    <w:rsid w:val="00A96286"/>
    <w:rsid w:val="00A96570"/>
    <w:rsid w:val="00A96C76"/>
    <w:rsid w:val="00A96F99"/>
    <w:rsid w:val="00AA02DB"/>
    <w:rsid w:val="00AA09B6"/>
    <w:rsid w:val="00AA0B2E"/>
    <w:rsid w:val="00AA1156"/>
    <w:rsid w:val="00AA1383"/>
    <w:rsid w:val="00AA24EB"/>
    <w:rsid w:val="00AA3ADB"/>
    <w:rsid w:val="00AA42AE"/>
    <w:rsid w:val="00AA5760"/>
    <w:rsid w:val="00AA5ED9"/>
    <w:rsid w:val="00AA61BD"/>
    <w:rsid w:val="00AA62CE"/>
    <w:rsid w:val="00AA63D7"/>
    <w:rsid w:val="00AA6892"/>
    <w:rsid w:val="00AA7C8B"/>
    <w:rsid w:val="00AA7D12"/>
    <w:rsid w:val="00AB1927"/>
    <w:rsid w:val="00AB1946"/>
    <w:rsid w:val="00AB1A80"/>
    <w:rsid w:val="00AB1D7C"/>
    <w:rsid w:val="00AB29A2"/>
    <w:rsid w:val="00AB29DD"/>
    <w:rsid w:val="00AB3365"/>
    <w:rsid w:val="00AB3A97"/>
    <w:rsid w:val="00AB3AF3"/>
    <w:rsid w:val="00AB47D5"/>
    <w:rsid w:val="00AB5770"/>
    <w:rsid w:val="00AB57FD"/>
    <w:rsid w:val="00AB596F"/>
    <w:rsid w:val="00AB5EDE"/>
    <w:rsid w:val="00AB632D"/>
    <w:rsid w:val="00AB66EA"/>
    <w:rsid w:val="00AB6E2A"/>
    <w:rsid w:val="00AB6EBD"/>
    <w:rsid w:val="00AB75A3"/>
    <w:rsid w:val="00AB79EB"/>
    <w:rsid w:val="00AB7DBA"/>
    <w:rsid w:val="00AB7E53"/>
    <w:rsid w:val="00AB7F87"/>
    <w:rsid w:val="00AC0D8C"/>
    <w:rsid w:val="00AC1101"/>
    <w:rsid w:val="00AC134E"/>
    <w:rsid w:val="00AC18F9"/>
    <w:rsid w:val="00AC1F6C"/>
    <w:rsid w:val="00AC228C"/>
    <w:rsid w:val="00AC2435"/>
    <w:rsid w:val="00AC2DE8"/>
    <w:rsid w:val="00AC3B49"/>
    <w:rsid w:val="00AC3DDC"/>
    <w:rsid w:val="00AC4910"/>
    <w:rsid w:val="00AC5477"/>
    <w:rsid w:val="00AC5671"/>
    <w:rsid w:val="00AC5B26"/>
    <w:rsid w:val="00AC5B77"/>
    <w:rsid w:val="00AC6073"/>
    <w:rsid w:val="00AC63BB"/>
    <w:rsid w:val="00AC6583"/>
    <w:rsid w:val="00AC780A"/>
    <w:rsid w:val="00AC7F9C"/>
    <w:rsid w:val="00AD03B3"/>
    <w:rsid w:val="00AD0480"/>
    <w:rsid w:val="00AD0963"/>
    <w:rsid w:val="00AD0E5E"/>
    <w:rsid w:val="00AD174E"/>
    <w:rsid w:val="00AD2318"/>
    <w:rsid w:val="00AD260F"/>
    <w:rsid w:val="00AD28F9"/>
    <w:rsid w:val="00AD2DDC"/>
    <w:rsid w:val="00AD30F0"/>
    <w:rsid w:val="00AD3B10"/>
    <w:rsid w:val="00AD3DB5"/>
    <w:rsid w:val="00AD41CC"/>
    <w:rsid w:val="00AD4216"/>
    <w:rsid w:val="00AD5258"/>
    <w:rsid w:val="00AD5292"/>
    <w:rsid w:val="00AD5CF5"/>
    <w:rsid w:val="00AD6251"/>
    <w:rsid w:val="00AD6280"/>
    <w:rsid w:val="00AD6720"/>
    <w:rsid w:val="00AD6C34"/>
    <w:rsid w:val="00AD6FB9"/>
    <w:rsid w:val="00AD71CC"/>
    <w:rsid w:val="00AD75E9"/>
    <w:rsid w:val="00AD770B"/>
    <w:rsid w:val="00AD7DE7"/>
    <w:rsid w:val="00AE0AF2"/>
    <w:rsid w:val="00AE0C05"/>
    <w:rsid w:val="00AE0CCE"/>
    <w:rsid w:val="00AE10F9"/>
    <w:rsid w:val="00AE1B38"/>
    <w:rsid w:val="00AE2A30"/>
    <w:rsid w:val="00AE2AB7"/>
    <w:rsid w:val="00AE3537"/>
    <w:rsid w:val="00AE38E2"/>
    <w:rsid w:val="00AE3BCD"/>
    <w:rsid w:val="00AE3C1E"/>
    <w:rsid w:val="00AE403F"/>
    <w:rsid w:val="00AE4374"/>
    <w:rsid w:val="00AE4A3E"/>
    <w:rsid w:val="00AE53E0"/>
    <w:rsid w:val="00AE5832"/>
    <w:rsid w:val="00AE61A9"/>
    <w:rsid w:val="00AE7E4E"/>
    <w:rsid w:val="00AF0B41"/>
    <w:rsid w:val="00AF0C17"/>
    <w:rsid w:val="00AF21BF"/>
    <w:rsid w:val="00AF2559"/>
    <w:rsid w:val="00AF2560"/>
    <w:rsid w:val="00AF320E"/>
    <w:rsid w:val="00AF3973"/>
    <w:rsid w:val="00AF4172"/>
    <w:rsid w:val="00AF4D93"/>
    <w:rsid w:val="00AF50CC"/>
    <w:rsid w:val="00AF537E"/>
    <w:rsid w:val="00AF5576"/>
    <w:rsid w:val="00AF5688"/>
    <w:rsid w:val="00AF5886"/>
    <w:rsid w:val="00AF65FB"/>
    <w:rsid w:val="00AF665A"/>
    <w:rsid w:val="00AF6AC5"/>
    <w:rsid w:val="00AF6DDD"/>
    <w:rsid w:val="00AF7041"/>
    <w:rsid w:val="00AF720F"/>
    <w:rsid w:val="00AF7462"/>
    <w:rsid w:val="00AF7B9B"/>
    <w:rsid w:val="00AF7ED8"/>
    <w:rsid w:val="00B00DA3"/>
    <w:rsid w:val="00B01047"/>
    <w:rsid w:val="00B02091"/>
    <w:rsid w:val="00B0223D"/>
    <w:rsid w:val="00B02DC4"/>
    <w:rsid w:val="00B04376"/>
    <w:rsid w:val="00B052DB"/>
    <w:rsid w:val="00B0532D"/>
    <w:rsid w:val="00B0599A"/>
    <w:rsid w:val="00B05B50"/>
    <w:rsid w:val="00B05B74"/>
    <w:rsid w:val="00B05F0A"/>
    <w:rsid w:val="00B06083"/>
    <w:rsid w:val="00B061BA"/>
    <w:rsid w:val="00B0687A"/>
    <w:rsid w:val="00B0768E"/>
    <w:rsid w:val="00B07D39"/>
    <w:rsid w:val="00B1064A"/>
    <w:rsid w:val="00B10809"/>
    <w:rsid w:val="00B113FE"/>
    <w:rsid w:val="00B11829"/>
    <w:rsid w:val="00B118F1"/>
    <w:rsid w:val="00B11C73"/>
    <w:rsid w:val="00B11CD7"/>
    <w:rsid w:val="00B12490"/>
    <w:rsid w:val="00B12932"/>
    <w:rsid w:val="00B142A8"/>
    <w:rsid w:val="00B146D8"/>
    <w:rsid w:val="00B14771"/>
    <w:rsid w:val="00B1522F"/>
    <w:rsid w:val="00B1541E"/>
    <w:rsid w:val="00B1663E"/>
    <w:rsid w:val="00B16E9D"/>
    <w:rsid w:val="00B17548"/>
    <w:rsid w:val="00B17559"/>
    <w:rsid w:val="00B176B9"/>
    <w:rsid w:val="00B17C0D"/>
    <w:rsid w:val="00B20F21"/>
    <w:rsid w:val="00B21633"/>
    <w:rsid w:val="00B2163D"/>
    <w:rsid w:val="00B219C3"/>
    <w:rsid w:val="00B21D37"/>
    <w:rsid w:val="00B23682"/>
    <w:rsid w:val="00B24926"/>
    <w:rsid w:val="00B24B45"/>
    <w:rsid w:val="00B24BCC"/>
    <w:rsid w:val="00B251EC"/>
    <w:rsid w:val="00B25D9D"/>
    <w:rsid w:val="00B262A2"/>
    <w:rsid w:val="00B2719A"/>
    <w:rsid w:val="00B308E7"/>
    <w:rsid w:val="00B30C4D"/>
    <w:rsid w:val="00B31436"/>
    <w:rsid w:val="00B32653"/>
    <w:rsid w:val="00B32C55"/>
    <w:rsid w:val="00B33A49"/>
    <w:rsid w:val="00B345C4"/>
    <w:rsid w:val="00B346F6"/>
    <w:rsid w:val="00B34EE7"/>
    <w:rsid w:val="00B35E18"/>
    <w:rsid w:val="00B365D8"/>
    <w:rsid w:val="00B36D6A"/>
    <w:rsid w:val="00B3709F"/>
    <w:rsid w:val="00B37AA2"/>
    <w:rsid w:val="00B40893"/>
    <w:rsid w:val="00B40BB9"/>
    <w:rsid w:val="00B413AA"/>
    <w:rsid w:val="00B416DF"/>
    <w:rsid w:val="00B41C6D"/>
    <w:rsid w:val="00B41C88"/>
    <w:rsid w:val="00B42B39"/>
    <w:rsid w:val="00B42BCB"/>
    <w:rsid w:val="00B44432"/>
    <w:rsid w:val="00B4461E"/>
    <w:rsid w:val="00B44978"/>
    <w:rsid w:val="00B44A00"/>
    <w:rsid w:val="00B44D5A"/>
    <w:rsid w:val="00B45032"/>
    <w:rsid w:val="00B474DA"/>
    <w:rsid w:val="00B47FB9"/>
    <w:rsid w:val="00B506D4"/>
    <w:rsid w:val="00B50C0A"/>
    <w:rsid w:val="00B517FF"/>
    <w:rsid w:val="00B53301"/>
    <w:rsid w:val="00B53423"/>
    <w:rsid w:val="00B5357A"/>
    <w:rsid w:val="00B5447C"/>
    <w:rsid w:val="00B546FF"/>
    <w:rsid w:val="00B5489E"/>
    <w:rsid w:val="00B548A4"/>
    <w:rsid w:val="00B548EA"/>
    <w:rsid w:val="00B5561A"/>
    <w:rsid w:val="00B55982"/>
    <w:rsid w:val="00B559CE"/>
    <w:rsid w:val="00B55A2E"/>
    <w:rsid w:val="00B55BBA"/>
    <w:rsid w:val="00B55BF8"/>
    <w:rsid w:val="00B564BA"/>
    <w:rsid w:val="00B6079E"/>
    <w:rsid w:val="00B61A5F"/>
    <w:rsid w:val="00B6200D"/>
    <w:rsid w:val="00B621E8"/>
    <w:rsid w:val="00B62426"/>
    <w:rsid w:val="00B62578"/>
    <w:rsid w:val="00B63002"/>
    <w:rsid w:val="00B6323E"/>
    <w:rsid w:val="00B63570"/>
    <w:rsid w:val="00B637A9"/>
    <w:rsid w:val="00B63FB9"/>
    <w:rsid w:val="00B640ED"/>
    <w:rsid w:val="00B64117"/>
    <w:rsid w:val="00B64630"/>
    <w:rsid w:val="00B655C0"/>
    <w:rsid w:val="00B65BB2"/>
    <w:rsid w:val="00B66183"/>
    <w:rsid w:val="00B664D7"/>
    <w:rsid w:val="00B6703D"/>
    <w:rsid w:val="00B70C5E"/>
    <w:rsid w:val="00B71776"/>
    <w:rsid w:val="00B71EA9"/>
    <w:rsid w:val="00B7276B"/>
    <w:rsid w:val="00B72DF6"/>
    <w:rsid w:val="00B7367B"/>
    <w:rsid w:val="00B74496"/>
    <w:rsid w:val="00B74C76"/>
    <w:rsid w:val="00B74D3F"/>
    <w:rsid w:val="00B7517D"/>
    <w:rsid w:val="00B75A06"/>
    <w:rsid w:val="00B75EFB"/>
    <w:rsid w:val="00B76114"/>
    <w:rsid w:val="00B7679D"/>
    <w:rsid w:val="00B7770C"/>
    <w:rsid w:val="00B779F7"/>
    <w:rsid w:val="00B819A6"/>
    <w:rsid w:val="00B81AA9"/>
    <w:rsid w:val="00B81B86"/>
    <w:rsid w:val="00B81F6C"/>
    <w:rsid w:val="00B82B6F"/>
    <w:rsid w:val="00B8346A"/>
    <w:rsid w:val="00B83B31"/>
    <w:rsid w:val="00B84C5A"/>
    <w:rsid w:val="00B854D3"/>
    <w:rsid w:val="00B86155"/>
    <w:rsid w:val="00B86411"/>
    <w:rsid w:val="00B87609"/>
    <w:rsid w:val="00B9015E"/>
    <w:rsid w:val="00B904E1"/>
    <w:rsid w:val="00B90924"/>
    <w:rsid w:val="00B90A71"/>
    <w:rsid w:val="00B90C65"/>
    <w:rsid w:val="00B91293"/>
    <w:rsid w:val="00B918BF"/>
    <w:rsid w:val="00B91F19"/>
    <w:rsid w:val="00B923FD"/>
    <w:rsid w:val="00B929DD"/>
    <w:rsid w:val="00B92C5C"/>
    <w:rsid w:val="00B93810"/>
    <w:rsid w:val="00B94C5D"/>
    <w:rsid w:val="00B95201"/>
    <w:rsid w:val="00B95312"/>
    <w:rsid w:val="00B95F7B"/>
    <w:rsid w:val="00B9662B"/>
    <w:rsid w:val="00B96C25"/>
    <w:rsid w:val="00B9738E"/>
    <w:rsid w:val="00B973B4"/>
    <w:rsid w:val="00B97847"/>
    <w:rsid w:val="00BA0648"/>
    <w:rsid w:val="00BA06B4"/>
    <w:rsid w:val="00BA2699"/>
    <w:rsid w:val="00BA286E"/>
    <w:rsid w:val="00BA3063"/>
    <w:rsid w:val="00BA340B"/>
    <w:rsid w:val="00BA3A67"/>
    <w:rsid w:val="00BA3BC0"/>
    <w:rsid w:val="00BA3BE8"/>
    <w:rsid w:val="00BA4744"/>
    <w:rsid w:val="00BA490C"/>
    <w:rsid w:val="00BA563C"/>
    <w:rsid w:val="00BA5A79"/>
    <w:rsid w:val="00BA60F1"/>
    <w:rsid w:val="00BA73AF"/>
    <w:rsid w:val="00BA741F"/>
    <w:rsid w:val="00BA7444"/>
    <w:rsid w:val="00BA7599"/>
    <w:rsid w:val="00BA769F"/>
    <w:rsid w:val="00BA77A1"/>
    <w:rsid w:val="00BB0845"/>
    <w:rsid w:val="00BB12C4"/>
    <w:rsid w:val="00BB1821"/>
    <w:rsid w:val="00BB18B8"/>
    <w:rsid w:val="00BB196F"/>
    <w:rsid w:val="00BB2714"/>
    <w:rsid w:val="00BB2790"/>
    <w:rsid w:val="00BB28BD"/>
    <w:rsid w:val="00BB2BFA"/>
    <w:rsid w:val="00BB2FD3"/>
    <w:rsid w:val="00BB3B52"/>
    <w:rsid w:val="00BB4DE4"/>
    <w:rsid w:val="00BB5A5B"/>
    <w:rsid w:val="00BB70A1"/>
    <w:rsid w:val="00BB752D"/>
    <w:rsid w:val="00BB75B1"/>
    <w:rsid w:val="00BC015D"/>
    <w:rsid w:val="00BC0B63"/>
    <w:rsid w:val="00BC123B"/>
    <w:rsid w:val="00BC1A2B"/>
    <w:rsid w:val="00BC2247"/>
    <w:rsid w:val="00BC3E42"/>
    <w:rsid w:val="00BC430A"/>
    <w:rsid w:val="00BC47A9"/>
    <w:rsid w:val="00BC5471"/>
    <w:rsid w:val="00BC5691"/>
    <w:rsid w:val="00BC72B6"/>
    <w:rsid w:val="00BD0F87"/>
    <w:rsid w:val="00BD2A71"/>
    <w:rsid w:val="00BD34AF"/>
    <w:rsid w:val="00BD4162"/>
    <w:rsid w:val="00BD5016"/>
    <w:rsid w:val="00BD525B"/>
    <w:rsid w:val="00BD559A"/>
    <w:rsid w:val="00BD55E1"/>
    <w:rsid w:val="00BD592A"/>
    <w:rsid w:val="00BD64D5"/>
    <w:rsid w:val="00BD6C3B"/>
    <w:rsid w:val="00BD6EE2"/>
    <w:rsid w:val="00BD704D"/>
    <w:rsid w:val="00BE008F"/>
    <w:rsid w:val="00BE0150"/>
    <w:rsid w:val="00BE0884"/>
    <w:rsid w:val="00BE0A91"/>
    <w:rsid w:val="00BE20CE"/>
    <w:rsid w:val="00BE2211"/>
    <w:rsid w:val="00BE2717"/>
    <w:rsid w:val="00BE2CB1"/>
    <w:rsid w:val="00BE382B"/>
    <w:rsid w:val="00BE3D81"/>
    <w:rsid w:val="00BE4876"/>
    <w:rsid w:val="00BE4C0E"/>
    <w:rsid w:val="00BE50B8"/>
    <w:rsid w:val="00BE51A7"/>
    <w:rsid w:val="00BE61DE"/>
    <w:rsid w:val="00BE6F2E"/>
    <w:rsid w:val="00BE73C3"/>
    <w:rsid w:val="00BE7FC4"/>
    <w:rsid w:val="00BF05BC"/>
    <w:rsid w:val="00BF09D2"/>
    <w:rsid w:val="00BF0C86"/>
    <w:rsid w:val="00BF117C"/>
    <w:rsid w:val="00BF17B9"/>
    <w:rsid w:val="00BF244B"/>
    <w:rsid w:val="00BF37AC"/>
    <w:rsid w:val="00BF4452"/>
    <w:rsid w:val="00BF48D2"/>
    <w:rsid w:val="00BF4E1B"/>
    <w:rsid w:val="00BF4EB7"/>
    <w:rsid w:val="00BF61A1"/>
    <w:rsid w:val="00C000CE"/>
    <w:rsid w:val="00C01B14"/>
    <w:rsid w:val="00C01C9D"/>
    <w:rsid w:val="00C033DB"/>
    <w:rsid w:val="00C04E12"/>
    <w:rsid w:val="00C06719"/>
    <w:rsid w:val="00C06B74"/>
    <w:rsid w:val="00C06F24"/>
    <w:rsid w:val="00C07AD0"/>
    <w:rsid w:val="00C07BF2"/>
    <w:rsid w:val="00C10B34"/>
    <w:rsid w:val="00C11063"/>
    <w:rsid w:val="00C11D3A"/>
    <w:rsid w:val="00C11FEB"/>
    <w:rsid w:val="00C120C1"/>
    <w:rsid w:val="00C126C0"/>
    <w:rsid w:val="00C12A62"/>
    <w:rsid w:val="00C1334F"/>
    <w:rsid w:val="00C13E9E"/>
    <w:rsid w:val="00C14393"/>
    <w:rsid w:val="00C14440"/>
    <w:rsid w:val="00C158D3"/>
    <w:rsid w:val="00C15F2E"/>
    <w:rsid w:val="00C15F6A"/>
    <w:rsid w:val="00C16321"/>
    <w:rsid w:val="00C165FF"/>
    <w:rsid w:val="00C1663C"/>
    <w:rsid w:val="00C16D73"/>
    <w:rsid w:val="00C170DC"/>
    <w:rsid w:val="00C17183"/>
    <w:rsid w:val="00C17BFD"/>
    <w:rsid w:val="00C2016D"/>
    <w:rsid w:val="00C204D6"/>
    <w:rsid w:val="00C20521"/>
    <w:rsid w:val="00C20EDC"/>
    <w:rsid w:val="00C211B9"/>
    <w:rsid w:val="00C23100"/>
    <w:rsid w:val="00C234DA"/>
    <w:rsid w:val="00C235C6"/>
    <w:rsid w:val="00C243CA"/>
    <w:rsid w:val="00C24704"/>
    <w:rsid w:val="00C268E0"/>
    <w:rsid w:val="00C26A0F"/>
    <w:rsid w:val="00C278B7"/>
    <w:rsid w:val="00C27B8C"/>
    <w:rsid w:val="00C27C2C"/>
    <w:rsid w:val="00C30F05"/>
    <w:rsid w:val="00C30F26"/>
    <w:rsid w:val="00C31EDB"/>
    <w:rsid w:val="00C323E7"/>
    <w:rsid w:val="00C32DD2"/>
    <w:rsid w:val="00C33441"/>
    <w:rsid w:val="00C34400"/>
    <w:rsid w:val="00C34DBA"/>
    <w:rsid w:val="00C34EBA"/>
    <w:rsid w:val="00C3530A"/>
    <w:rsid w:val="00C358FE"/>
    <w:rsid w:val="00C359BB"/>
    <w:rsid w:val="00C35E3C"/>
    <w:rsid w:val="00C36133"/>
    <w:rsid w:val="00C36771"/>
    <w:rsid w:val="00C3700D"/>
    <w:rsid w:val="00C37A54"/>
    <w:rsid w:val="00C405B8"/>
    <w:rsid w:val="00C41665"/>
    <w:rsid w:val="00C41916"/>
    <w:rsid w:val="00C420BA"/>
    <w:rsid w:val="00C42282"/>
    <w:rsid w:val="00C4264C"/>
    <w:rsid w:val="00C4396D"/>
    <w:rsid w:val="00C43CA4"/>
    <w:rsid w:val="00C43E5B"/>
    <w:rsid w:val="00C45110"/>
    <w:rsid w:val="00C451D0"/>
    <w:rsid w:val="00C45951"/>
    <w:rsid w:val="00C469DA"/>
    <w:rsid w:val="00C46A4C"/>
    <w:rsid w:val="00C46AD8"/>
    <w:rsid w:val="00C46C47"/>
    <w:rsid w:val="00C46D4D"/>
    <w:rsid w:val="00C47826"/>
    <w:rsid w:val="00C47C23"/>
    <w:rsid w:val="00C50D96"/>
    <w:rsid w:val="00C516F1"/>
    <w:rsid w:val="00C51961"/>
    <w:rsid w:val="00C51B23"/>
    <w:rsid w:val="00C529FB"/>
    <w:rsid w:val="00C52F76"/>
    <w:rsid w:val="00C531C2"/>
    <w:rsid w:val="00C5335E"/>
    <w:rsid w:val="00C53BC5"/>
    <w:rsid w:val="00C540F6"/>
    <w:rsid w:val="00C543D3"/>
    <w:rsid w:val="00C544DD"/>
    <w:rsid w:val="00C546F1"/>
    <w:rsid w:val="00C548A9"/>
    <w:rsid w:val="00C55587"/>
    <w:rsid w:val="00C5580B"/>
    <w:rsid w:val="00C5587E"/>
    <w:rsid w:val="00C56714"/>
    <w:rsid w:val="00C5690D"/>
    <w:rsid w:val="00C576E7"/>
    <w:rsid w:val="00C600F0"/>
    <w:rsid w:val="00C602BC"/>
    <w:rsid w:val="00C602BE"/>
    <w:rsid w:val="00C606A0"/>
    <w:rsid w:val="00C60A9C"/>
    <w:rsid w:val="00C60F4B"/>
    <w:rsid w:val="00C6106E"/>
    <w:rsid w:val="00C61185"/>
    <w:rsid w:val="00C62266"/>
    <w:rsid w:val="00C622D8"/>
    <w:rsid w:val="00C625AE"/>
    <w:rsid w:val="00C629DA"/>
    <w:rsid w:val="00C62D8E"/>
    <w:rsid w:val="00C6315A"/>
    <w:rsid w:val="00C63AA6"/>
    <w:rsid w:val="00C63B25"/>
    <w:rsid w:val="00C6461E"/>
    <w:rsid w:val="00C64812"/>
    <w:rsid w:val="00C650FF"/>
    <w:rsid w:val="00C651FD"/>
    <w:rsid w:val="00C655F6"/>
    <w:rsid w:val="00C65647"/>
    <w:rsid w:val="00C659E2"/>
    <w:rsid w:val="00C65ABA"/>
    <w:rsid w:val="00C65FE5"/>
    <w:rsid w:val="00C67B74"/>
    <w:rsid w:val="00C701E3"/>
    <w:rsid w:val="00C70318"/>
    <w:rsid w:val="00C70677"/>
    <w:rsid w:val="00C70CA1"/>
    <w:rsid w:val="00C716F1"/>
    <w:rsid w:val="00C7183A"/>
    <w:rsid w:val="00C71F5B"/>
    <w:rsid w:val="00C720D8"/>
    <w:rsid w:val="00C724D1"/>
    <w:rsid w:val="00C72A0F"/>
    <w:rsid w:val="00C72AA0"/>
    <w:rsid w:val="00C72B81"/>
    <w:rsid w:val="00C72E9D"/>
    <w:rsid w:val="00C73040"/>
    <w:rsid w:val="00C74171"/>
    <w:rsid w:val="00C7441B"/>
    <w:rsid w:val="00C74C7A"/>
    <w:rsid w:val="00C74F17"/>
    <w:rsid w:val="00C758D8"/>
    <w:rsid w:val="00C76A2C"/>
    <w:rsid w:val="00C76A4C"/>
    <w:rsid w:val="00C76AB1"/>
    <w:rsid w:val="00C76EE2"/>
    <w:rsid w:val="00C775C1"/>
    <w:rsid w:val="00C77F1D"/>
    <w:rsid w:val="00C801D8"/>
    <w:rsid w:val="00C8187C"/>
    <w:rsid w:val="00C81DFA"/>
    <w:rsid w:val="00C82247"/>
    <w:rsid w:val="00C82A9E"/>
    <w:rsid w:val="00C82FFA"/>
    <w:rsid w:val="00C831AB"/>
    <w:rsid w:val="00C83C90"/>
    <w:rsid w:val="00C841D1"/>
    <w:rsid w:val="00C849C2"/>
    <w:rsid w:val="00C84D16"/>
    <w:rsid w:val="00C8671D"/>
    <w:rsid w:val="00C8727D"/>
    <w:rsid w:val="00C877E4"/>
    <w:rsid w:val="00C9014E"/>
    <w:rsid w:val="00C90CCA"/>
    <w:rsid w:val="00C91307"/>
    <w:rsid w:val="00C91311"/>
    <w:rsid w:val="00C9196E"/>
    <w:rsid w:val="00C9237D"/>
    <w:rsid w:val="00C92BBB"/>
    <w:rsid w:val="00C92BF0"/>
    <w:rsid w:val="00C92CBE"/>
    <w:rsid w:val="00C9360E"/>
    <w:rsid w:val="00C94087"/>
    <w:rsid w:val="00C944FC"/>
    <w:rsid w:val="00C94D77"/>
    <w:rsid w:val="00C94F29"/>
    <w:rsid w:val="00C959E2"/>
    <w:rsid w:val="00C95D64"/>
    <w:rsid w:val="00C9652C"/>
    <w:rsid w:val="00C97324"/>
    <w:rsid w:val="00CA088C"/>
    <w:rsid w:val="00CA0A5D"/>
    <w:rsid w:val="00CA0A69"/>
    <w:rsid w:val="00CA1316"/>
    <w:rsid w:val="00CA1334"/>
    <w:rsid w:val="00CA13FF"/>
    <w:rsid w:val="00CA1976"/>
    <w:rsid w:val="00CA2375"/>
    <w:rsid w:val="00CA28BB"/>
    <w:rsid w:val="00CA2D3C"/>
    <w:rsid w:val="00CA30EE"/>
    <w:rsid w:val="00CA34AA"/>
    <w:rsid w:val="00CA36B8"/>
    <w:rsid w:val="00CA38D1"/>
    <w:rsid w:val="00CA3D82"/>
    <w:rsid w:val="00CA41F6"/>
    <w:rsid w:val="00CA4360"/>
    <w:rsid w:val="00CA4ECE"/>
    <w:rsid w:val="00CA524E"/>
    <w:rsid w:val="00CA5BC9"/>
    <w:rsid w:val="00CA6D49"/>
    <w:rsid w:val="00CA7AF9"/>
    <w:rsid w:val="00CB037E"/>
    <w:rsid w:val="00CB07D0"/>
    <w:rsid w:val="00CB0E8B"/>
    <w:rsid w:val="00CB11C4"/>
    <w:rsid w:val="00CB1CE5"/>
    <w:rsid w:val="00CB2606"/>
    <w:rsid w:val="00CB28A6"/>
    <w:rsid w:val="00CB374E"/>
    <w:rsid w:val="00CB3F51"/>
    <w:rsid w:val="00CB45FE"/>
    <w:rsid w:val="00CB48E5"/>
    <w:rsid w:val="00CB49DB"/>
    <w:rsid w:val="00CB4BE3"/>
    <w:rsid w:val="00CB5A05"/>
    <w:rsid w:val="00CB62A2"/>
    <w:rsid w:val="00CB6822"/>
    <w:rsid w:val="00CB7D59"/>
    <w:rsid w:val="00CC016A"/>
    <w:rsid w:val="00CC040D"/>
    <w:rsid w:val="00CC04C9"/>
    <w:rsid w:val="00CC0884"/>
    <w:rsid w:val="00CC16A9"/>
    <w:rsid w:val="00CC1721"/>
    <w:rsid w:val="00CC184E"/>
    <w:rsid w:val="00CC1FB4"/>
    <w:rsid w:val="00CC1FC7"/>
    <w:rsid w:val="00CC2642"/>
    <w:rsid w:val="00CC2C35"/>
    <w:rsid w:val="00CC2DEE"/>
    <w:rsid w:val="00CC34A3"/>
    <w:rsid w:val="00CC3685"/>
    <w:rsid w:val="00CC3C29"/>
    <w:rsid w:val="00CC3F3A"/>
    <w:rsid w:val="00CC4013"/>
    <w:rsid w:val="00CC4424"/>
    <w:rsid w:val="00CC4527"/>
    <w:rsid w:val="00CC4AAD"/>
    <w:rsid w:val="00CC4DA2"/>
    <w:rsid w:val="00CC4DC4"/>
    <w:rsid w:val="00CC60F5"/>
    <w:rsid w:val="00CC61F7"/>
    <w:rsid w:val="00CC6B94"/>
    <w:rsid w:val="00CC6CC8"/>
    <w:rsid w:val="00CC7405"/>
    <w:rsid w:val="00CC7BE8"/>
    <w:rsid w:val="00CC7F3F"/>
    <w:rsid w:val="00CD1804"/>
    <w:rsid w:val="00CD1AA7"/>
    <w:rsid w:val="00CD1B89"/>
    <w:rsid w:val="00CD1DE1"/>
    <w:rsid w:val="00CD1DEF"/>
    <w:rsid w:val="00CD2605"/>
    <w:rsid w:val="00CD2BB9"/>
    <w:rsid w:val="00CD3474"/>
    <w:rsid w:val="00CD44F7"/>
    <w:rsid w:val="00CD529C"/>
    <w:rsid w:val="00CD5315"/>
    <w:rsid w:val="00CD5642"/>
    <w:rsid w:val="00CD5CAE"/>
    <w:rsid w:val="00CD5FB1"/>
    <w:rsid w:val="00CD61CB"/>
    <w:rsid w:val="00CD631E"/>
    <w:rsid w:val="00CD65FC"/>
    <w:rsid w:val="00CD6985"/>
    <w:rsid w:val="00CE121D"/>
    <w:rsid w:val="00CE1C0B"/>
    <w:rsid w:val="00CE1D93"/>
    <w:rsid w:val="00CE21E6"/>
    <w:rsid w:val="00CE2679"/>
    <w:rsid w:val="00CE2844"/>
    <w:rsid w:val="00CE373A"/>
    <w:rsid w:val="00CE3D50"/>
    <w:rsid w:val="00CE41F0"/>
    <w:rsid w:val="00CE4D8D"/>
    <w:rsid w:val="00CE50B5"/>
    <w:rsid w:val="00CE5390"/>
    <w:rsid w:val="00CE56CB"/>
    <w:rsid w:val="00CE5800"/>
    <w:rsid w:val="00CE59C4"/>
    <w:rsid w:val="00CE5C80"/>
    <w:rsid w:val="00CE7BF0"/>
    <w:rsid w:val="00CE7D0E"/>
    <w:rsid w:val="00CE7D95"/>
    <w:rsid w:val="00CF0A97"/>
    <w:rsid w:val="00CF0C91"/>
    <w:rsid w:val="00CF1CA1"/>
    <w:rsid w:val="00CF20A2"/>
    <w:rsid w:val="00CF20E6"/>
    <w:rsid w:val="00CF2286"/>
    <w:rsid w:val="00CF2E10"/>
    <w:rsid w:val="00CF3253"/>
    <w:rsid w:val="00CF419A"/>
    <w:rsid w:val="00CF44F5"/>
    <w:rsid w:val="00CF4E25"/>
    <w:rsid w:val="00CF51A8"/>
    <w:rsid w:val="00CF5C4A"/>
    <w:rsid w:val="00CF618A"/>
    <w:rsid w:val="00CF6440"/>
    <w:rsid w:val="00CF6467"/>
    <w:rsid w:val="00CF646D"/>
    <w:rsid w:val="00CF6978"/>
    <w:rsid w:val="00CF6F23"/>
    <w:rsid w:val="00CF73C8"/>
    <w:rsid w:val="00D001AE"/>
    <w:rsid w:val="00D014B4"/>
    <w:rsid w:val="00D0150C"/>
    <w:rsid w:val="00D01B2F"/>
    <w:rsid w:val="00D01FD3"/>
    <w:rsid w:val="00D02403"/>
    <w:rsid w:val="00D02FB4"/>
    <w:rsid w:val="00D0423E"/>
    <w:rsid w:val="00D043BE"/>
    <w:rsid w:val="00D04690"/>
    <w:rsid w:val="00D059B0"/>
    <w:rsid w:val="00D0652C"/>
    <w:rsid w:val="00D069DE"/>
    <w:rsid w:val="00D078FA"/>
    <w:rsid w:val="00D07DAB"/>
    <w:rsid w:val="00D1014B"/>
    <w:rsid w:val="00D10A39"/>
    <w:rsid w:val="00D10B01"/>
    <w:rsid w:val="00D114B0"/>
    <w:rsid w:val="00D12B4C"/>
    <w:rsid w:val="00D131C3"/>
    <w:rsid w:val="00D1323C"/>
    <w:rsid w:val="00D13581"/>
    <w:rsid w:val="00D140FD"/>
    <w:rsid w:val="00D1433A"/>
    <w:rsid w:val="00D143DE"/>
    <w:rsid w:val="00D148FD"/>
    <w:rsid w:val="00D14E1B"/>
    <w:rsid w:val="00D14ED2"/>
    <w:rsid w:val="00D156B9"/>
    <w:rsid w:val="00D15904"/>
    <w:rsid w:val="00D16CC2"/>
    <w:rsid w:val="00D17636"/>
    <w:rsid w:val="00D2001F"/>
    <w:rsid w:val="00D20318"/>
    <w:rsid w:val="00D217FD"/>
    <w:rsid w:val="00D219BD"/>
    <w:rsid w:val="00D2216A"/>
    <w:rsid w:val="00D22540"/>
    <w:rsid w:val="00D22913"/>
    <w:rsid w:val="00D229EC"/>
    <w:rsid w:val="00D22BF5"/>
    <w:rsid w:val="00D2326F"/>
    <w:rsid w:val="00D23B06"/>
    <w:rsid w:val="00D23EC4"/>
    <w:rsid w:val="00D2403F"/>
    <w:rsid w:val="00D2462F"/>
    <w:rsid w:val="00D24B52"/>
    <w:rsid w:val="00D24B5D"/>
    <w:rsid w:val="00D251CD"/>
    <w:rsid w:val="00D25369"/>
    <w:rsid w:val="00D25BF2"/>
    <w:rsid w:val="00D25D39"/>
    <w:rsid w:val="00D25FA2"/>
    <w:rsid w:val="00D26091"/>
    <w:rsid w:val="00D265FE"/>
    <w:rsid w:val="00D2738B"/>
    <w:rsid w:val="00D27F55"/>
    <w:rsid w:val="00D306FD"/>
    <w:rsid w:val="00D30BA9"/>
    <w:rsid w:val="00D30C7E"/>
    <w:rsid w:val="00D32C1D"/>
    <w:rsid w:val="00D33557"/>
    <w:rsid w:val="00D337CD"/>
    <w:rsid w:val="00D33C6D"/>
    <w:rsid w:val="00D3433B"/>
    <w:rsid w:val="00D354C3"/>
    <w:rsid w:val="00D35FC2"/>
    <w:rsid w:val="00D373F2"/>
    <w:rsid w:val="00D4124A"/>
    <w:rsid w:val="00D41F39"/>
    <w:rsid w:val="00D42772"/>
    <w:rsid w:val="00D43604"/>
    <w:rsid w:val="00D44FCB"/>
    <w:rsid w:val="00D45F30"/>
    <w:rsid w:val="00D45FAB"/>
    <w:rsid w:val="00D46D2A"/>
    <w:rsid w:val="00D47233"/>
    <w:rsid w:val="00D476A5"/>
    <w:rsid w:val="00D4783D"/>
    <w:rsid w:val="00D47CC5"/>
    <w:rsid w:val="00D47E6C"/>
    <w:rsid w:val="00D500A7"/>
    <w:rsid w:val="00D52700"/>
    <w:rsid w:val="00D530F6"/>
    <w:rsid w:val="00D535D2"/>
    <w:rsid w:val="00D538FB"/>
    <w:rsid w:val="00D540D6"/>
    <w:rsid w:val="00D54222"/>
    <w:rsid w:val="00D5489A"/>
    <w:rsid w:val="00D54DB5"/>
    <w:rsid w:val="00D5501B"/>
    <w:rsid w:val="00D55132"/>
    <w:rsid w:val="00D55B06"/>
    <w:rsid w:val="00D55E09"/>
    <w:rsid w:val="00D5605E"/>
    <w:rsid w:val="00D569E7"/>
    <w:rsid w:val="00D5728D"/>
    <w:rsid w:val="00D57859"/>
    <w:rsid w:val="00D57871"/>
    <w:rsid w:val="00D57BBD"/>
    <w:rsid w:val="00D57E09"/>
    <w:rsid w:val="00D603E5"/>
    <w:rsid w:val="00D60428"/>
    <w:rsid w:val="00D6155C"/>
    <w:rsid w:val="00D61881"/>
    <w:rsid w:val="00D639F9"/>
    <w:rsid w:val="00D6420B"/>
    <w:rsid w:val="00D6542E"/>
    <w:rsid w:val="00D65DE8"/>
    <w:rsid w:val="00D66A78"/>
    <w:rsid w:val="00D67444"/>
    <w:rsid w:val="00D67B22"/>
    <w:rsid w:val="00D67EDA"/>
    <w:rsid w:val="00D70300"/>
    <w:rsid w:val="00D70A1D"/>
    <w:rsid w:val="00D711E5"/>
    <w:rsid w:val="00D7155D"/>
    <w:rsid w:val="00D71BBE"/>
    <w:rsid w:val="00D71CA1"/>
    <w:rsid w:val="00D726FA"/>
    <w:rsid w:val="00D72AA0"/>
    <w:rsid w:val="00D72B8E"/>
    <w:rsid w:val="00D73BF3"/>
    <w:rsid w:val="00D7448A"/>
    <w:rsid w:val="00D74986"/>
    <w:rsid w:val="00D74AA4"/>
    <w:rsid w:val="00D7506A"/>
    <w:rsid w:val="00D75908"/>
    <w:rsid w:val="00D7682F"/>
    <w:rsid w:val="00D76892"/>
    <w:rsid w:val="00D76A2A"/>
    <w:rsid w:val="00D77DB9"/>
    <w:rsid w:val="00D80466"/>
    <w:rsid w:val="00D8094C"/>
    <w:rsid w:val="00D80A85"/>
    <w:rsid w:val="00D81953"/>
    <w:rsid w:val="00D81CCE"/>
    <w:rsid w:val="00D820E4"/>
    <w:rsid w:val="00D82C64"/>
    <w:rsid w:val="00D82CC0"/>
    <w:rsid w:val="00D838B2"/>
    <w:rsid w:val="00D842C9"/>
    <w:rsid w:val="00D8432D"/>
    <w:rsid w:val="00D852E9"/>
    <w:rsid w:val="00D8566A"/>
    <w:rsid w:val="00D85947"/>
    <w:rsid w:val="00D863B0"/>
    <w:rsid w:val="00D86C19"/>
    <w:rsid w:val="00D87040"/>
    <w:rsid w:val="00D87267"/>
    <w:rsid w:val="00D87B1A"/>
    <w:rsid w:val="00D87D4F"/>
    <w:rsid w:val="00D9066B"/>
    <w:rsid w:val="00D90B17"/>
    <w:rsid w:val="00D91503"/>
    <w:rsid w:val="00D9238B"/>
    <w:rsid w:val="00D92FBC"/>
    <w:rsid w:val="00D932BF"/>
    <w:rsid w:val="00D9350C"/>
    <w:rsid w:val="00D938EE"/>
    <w:rsid w:val="00D93FD2"/>
    <w:rsid w:val="00D943CD"/>
    <w:rsid w:val="00D95335"/>
    <w:rsid w:val="00D95E2A"/>
    <w:rsid w:val="00D96020"/>
    <w:rsid w:val="00D9628E"/>
    <w:rsid w:val="00D97337"/>
    <w:rsid w:val="00D97891"/>
    <w:rsid w:val="00D97892"/>
    <w:rsid w:val="00DA1080"/>
    <w:rsid w:val="00DA1E99"/>
    <w:rsid w:val="00DA2678"/>
    <w:rsid w:val="00DA300B"/>
    <w:rsid w:val="00DA3ED0"/>
    <w:rsid w:val="00DA4185"/>
    <w:rsid w:val="00DA4257"/>
    <w:rsid w:val="00DA4406"/>
    <w:rsid w:val="00DA46C3"/>
    <w:rsid w:val="00DA4FA2"/>
    <w:rsid w:val="00DA6D12"/>
    <w:rsid w:val="00DA760A"/>
    <w:rsid w:val="00DB042F"/>
    <w:rsid w:val="00DB0EAA"/>
    <w:rsid w:val="00DB11E2"/>
    <w:rsid w:val="00DB18BB"/>
    <w:rsid w:val="00DB2569"/>
    <w:rsid w:val="00DB2732"/>
    <w:rsid w:val="00DB2D85"/>
    <w:rsid w:val="00DB2FFD"/>
    <w:rsid w:val="00DB32F5"/>
    <w:rsid w:val="00DB3440"/>
    <w:rsid w:val="00DB37A0"/>
    <w:rsid w:val="00DB462C"/>
    <w:rsid w:val="00DB4DEF"/>
    <w:rsid w:val="00DB55B2"/>
    <w:rsid w:val="00DB56B7"/>
    <w:rsid w:val="00DB6116"/>
    <w:rsid w:val="00DB6FD6"/>
    <w:rsid w:val="00DB72ED"/>
    <w:rsid w:val="00DB7D6B"/>
    <w:rsid w:val="00DB7DA0"/>
    <w:rsid w:val="00DB7FD6"/>
    <w:rsid w:val="00DC0CC8"/>
    <w:rsid w:val="00DC0D5D"/>
    <w:rsid w:val="00DC1AE9"/>
    <w:rsid w:val="00DC26EC"/>
    <w:rsid w:val="00DC272E"/>
    <w:rsid w:val="00DC2901"/>
    <w:rsid w:val="00DC2F04"/>
    <w:rsid w:val="00DC6356"/>
    <w:rsid w:val="00DC741B"/>
    <w:rsid w:val="00DC77D7"/>
    <w:rsid w:val="00DC7C85"/>
    <w:rsid w:val="00DC7F52"/>
    <w:rsid w:val="00DD0041"/>
    <w:rsid w:val="00DD01CC"/>
    <w:rsid w:val="00DD02B9"/>
    <w:rsid w:val="00DD0D50"/>
    <w:rsid w:val="00DD0D72"/>
    <w:rsid w:val="00DD1BB1"/>
    <w:rsid w:val="00DD20C7"/>
    <w:rsid w:val="00DD26D3"/>
    <w:rsid w:val="00DD2B2A"/>
    <w:rsid w:val="00DD3D2F"/>
    <w:rsid w:val="00DD4757"/>
    <w:rsid w:val="00DD51FC"/>
    <w:rsid w:val="00DD587C"/>
    <w:rsid w:val="00DD64C4"/>
    <w:rsid w:val="00DD6ADB"/>
    <w:rsid w:val="00DD70F7"/>
    <w:rsid w:val="00DD7289"/>
    <w:rsid w:val="00DD7317"/>
    <w:rsid w:val="00DD761A"/>
    <w:rsid w:val="00DD78CC"/>
    <w:rsid w:val="00DD7FF6"/>
    <w:rsid w:val="00DE01D2"/>
    <w:rsid w:val="00DE01FB"/>
    <w:rsid w:val="00DE0E33"/>
    <w:rsid w:val="00DE0FF6"/>
    <w:rsid w:val="00DE10C3"/>
    <w:rsid w:val="00DE141D"/>
    <w:rsid w:val="00DE15B4"/>
    <w:rsid w:val="00DE1C1E"/>
    <w:rsid w:val="00DE29E7"/>
    <w:rsid w:val="00DE392C"/>
    <w:rsid w:val="00DE4752"/>
    <w:rsid w:val="00DE4E6E"/>
    <w:rsid w:val="00DE62DE"/>
    <w:rsid w:val="00DE6856"/>
    <w:rsid w:val="00DE6965"/>
    <w:rsid w:val="00DE6EF9"/>
    <w:rsid w:val="00DE71D5"/>
    <w:rsid w:val="00DE743B"/>
    <w:rsid w:val="00DF0173"/>
    <w:rsid w:val="00DF0202"/>
    <w:rsid w:val="00DF0581"/>
    <w:rsid w:val="00DF0E13"/>
    <w:rsid w:val="00DF1031"/>
    <w:rsid w:val="00DF15CE"/>
    <w:rsid w:val="00DF2176"/>
    <w:rsid w:val="00DF3591"/>
    <w:rsid w:val="00DF4203"/>
    <w:rsid w:val="00DF4BA9"/>
    <w:rsid w:val="00DF5291"/>
    <w:rsid w:val="00DF552E"/>
    <w:rsid w:val="00DF576D"/>
    <w:rsid w:val="00DF5948"/>
    <w:rsid w:val="00DF60C4"/>
    <w:rsid w:val="00DF64FC"/>
    <w:rsid w:val="00DF658B"/>
    <w:rsid w:val="00DF78DB"/>
    <w:rsid w:val="00DF7A50"/>
    <w:rsid w:val="00DF7CAA"/>
    <w:rsid w:val="00DF7CC1"/>
    <w:rsid w:val="00DF7D0E"/>
    <w:rsid w:val="00DF7F4B"/>
    <w:rsid w:val="00E009E4"/>
    <w:rsid w:val="00E00B4B"/>
    <w:rsid w:val="00E00F44"/>
    <w:rsid w:val="00E01514"/>
    <w:rsid w:val="00E01797"/>
    <w:rsid w:val="00E02299"/>
    <w:rsid w:val="00E02E32"/>
    <w:rsid w:val="00E03564"/>
    <w:rsid w:val="00E038FF"/>
    <w:rsid w:val="00E04872"/>
    <w:rsid w:val="00E04BC3"/>
    <w:rsid w:val="00E05EB3"/>
    <w:rsid w:val="00E06426"/>
    <w:rsid w:val="00E0647D"/>
    <w:rsid w:val="00E0718B"/>
    <w:rsid w:val="00E07885"/>
    <w:rsid w:val="00E07AC0"/>
    <w:rsid w:val="00E07CE1"/>
    <w:rsid w:val="00E07E01"/>
    <w:rsid w:val="00E08491"/>
    <w:rsid w:val="00E103AF"/>
    <w:rsid w:val="00E10B0A"/>
    <w:rsid w:val="00E11139"/>
    <w:rsid w:val="00E1194A"/>
    <w:rsid w:val="00E11AD3"/>
    <w:rsid w:val="00E11BC1"/>
    <w:rsid w:val="00E124AF"/>
    <w:rsid w:val="00E124E7"/>
    <w:rsid w:val="00E1332D"/>
    <w:rsid w:val="00E144A1"/>
    <w:rsid w:val="00E145DF"/>
    <w:rsid w:val="00E15407"/>
    <w:rsid w:val="00E15BE5"/>
    <w:rsid w:val="00E16685"/>
    <w:rsid w:val="00E16FA9"/>
    <w:rsid w:val="00E173CE"/>
    <w:rsid w:val="00E20B89"/>
    <w:rsid w:val="00E20C06"/>
    <w:rsid w:val="00E21A5F"/>
    <w:rsid w:val="00E21C14"/>
    <w:rsid w:val="00E21FAC"/>
    <w:rsid w:val="00E222D5"/>
    <w:rsid w:val="00E22973"/>
    <w:rsid w:val="00E236ED"/>
    <w:rsid w:val="00E23C50"/>
    <w:rsid w:val="00E23D7F"/>
    <w:rsid w:val="00E242E3"/>
    <w:rsid w:val="00E24378"/>
    <w:rsid w:val="00E246F8"/>
    <w:rsid w:val="00E2533B"/>
    <w:rsid w:val="00E25626"/>
    <w:rsid w:val="00E26BEB"/>
    <w:rsid w:val="00E26CDD"/>
    <w:rsid w:val="00E27603"/>
    <w:rsid w:val="00E306D8"/>
    <w:rsid w:val="00E311C8"/>
    <w:rsid w:val="00E318EB"/>
    <w:rsid w:val="00E32C48"/>
    <w:rsid w:val="00E32C70"/>
    <w:rsid w:val="00E337E2"/>
    <w:rsid w:val="00E339B9"/>
    <w:rsid w:val="00E339BF"/>
    <w:rsid w:val="00E3443B"/>
    <w:rsid w:val="00E34858"/>
    <w:rsid w:val="00E35907"/>
    <w:rsid w:val="00E35E0E"/>
    <w:rsid w:val="00E367CE"/>
    <w:rsid w:val="00E401BB"/>
    <w:rsid w:val="00E42B30"/>
    <w:rsid w:val="00E44A55"/>
    <w:rsid w:val="00E44B5B"/>
    <w:rsid w:val="00E44D7D"/>
    <w:rsid w:val="00E45D14"/>
    <w:rsid w:val="00E471F3"/>
    <w:rsid w:val="00E479ED"/>
    <w:rsid w:val="00E50276"/>
    <w:rsid w:val="00E50601"/>
    <w:rsid w:val="00E51020"/>
    <w:rsid w:val="00E51B5F"/>
    <w:rsid w:val="00E51E24"/>
    <w:rsid w:val="00E522FF"/>
    <w:rsid w:val="00E52834"/>
    <w:rsid w:val="00E5336F"/>
    <w:rsid w:val="00E54B7A"/>
    <w:rsid w:val="00E553ED"/>
    <w:rsid w:val="00E5606E"/>
    <w:rsid w:val="00E562E2"/>
    <w:rsid w:val="00E56C08"/>
    <w:rsid w:val="00E56D93"/>
    <w:rsid w:val="00E5715D"/>
    <w:rsid w:val="00E57B11"/>
    <w:rsid w:val="00E60950"/>
    <w:rsid w:val="00E60A6C"/>
    <w:rsid w:val="00E60AF3"/>
    <w:rsid w:val="00E61301"/>
    <w:rsid w:val="00E61589"/>
    <w:rsid w:val="00E635B0"/>
    <w:rsid w:val="00E637D0"/>
    <w:rsid w:val="00E64629"/>
    <w:rsid w:val="00E64B0B"/>
    <w:rsid w:val="00E64DB7"/>
    <w:rsid w:val="00E64E7A"/>
    <w:rsid w:val="00E650F1"/>
    <w:rsid w:val="00E65CCF"/>
    <w:rsid w:val="00E65DC2"/>
    <w:rsid w:val="00E66FCE"/>
    <w:rsid w:val="00E678CF"/>
    <w:rsid w:val="00E67A6E"/>
    <w:rsid w:val="00E67E5D"/>
    <w:rsid w:val="00E70687"/>
    <w:rsid w:val="00E717F0"/>
    <w:rsid w:val="00E71C62"/>
    <w:rsid w:val="00E721F7"/>
    <w:rsid w:val="00E723B7"/>
    <w:rsid w:val="00E72637"/>
    <w:rsid w:val="00E72FB7"/>
    <w:rsid w:val="00E73075"/>
    <w:rsid w:val="00E73E87"/>
    <w:rsid w:val="00E75476"/>
    <w:rsid w:val="00E75789"/>
    <w:rsid w:val="00E75DEA"/>
    <w:rsid w:val="00E76F87"/>
    <w:rsid w:val="00E775BF"/>
    <w:rsid w:val="00E77A77"/>
    <w:rsid w:val="00E77E77"/>
    <w:rsid w:val="00E802F8"/>
    <w:rsid w:val="00E805A8"/>
    <w:rsid w:val="00E80B18"/>
    <w:rsid w:val="00E8204C"/>
    <w:rsid w:val="00E8231A"/>
    <w:rsid w:val="00E82974"/>
    <w:rsid w:val="00E8423A"/>
    <w:rsid w:val="00E845D7"/>
    <w:rsid w:val="00E8462A"/>
    <w:rsid w:val="00E84710"/>
    <w:rsid w:val="00E849C1"/>
    <w:rsid w:val="00E85807"/>
    <w:rsid w:val="00E86D0A"/>
    <w:rsid w:val="00E87144"/>
    <w:rsid w:val="00E90A5C"/>
    <w:rsid w:val="00E90B45"/>
    <w:rsid w:val="00E925B2"/>
    <w:rsid w:val="00E9356C"/>
    <w:rsid w:val="00E93AED"/>
    <w:rsid w:val="00E942D6"/>
    <w:rsid w:val="00E943E8"/>
    <w:rsid w:val="00E95731"/>
    <w:rsid w:val="00E9627A"/>
    <w:rsid w:val="00E9638A"/>
    <w:rsid w:val="00E969B9"/>
    <w:rsid w:val="00E97073"/>
    <w:rsid w:val="00E979CD"/>
    <w:rsid w:val="00E97CA4"/>
    <w:rsid w:val="00EA0A08"/>
    <w:rsid w:val="00EA0D66"/>
    <w:rsid w:val="00EA109B"/>
    <w:rsid w:val="00EA1438"/>
    <w:rsid w:val="00EA17FE"/>
    <w:rsid w:val="00EA2087"/>
    <w:rsid w:val="00EA25D3"/>
    <w:rsid w:val="00EA27C5"/>
    <w:rsid w:val="00EA2E47"/>
    <w:rsid w:val="00EA4151"/>
    <w:rsid w:val="00EA6012"/>
    <w:rsid w:val="00EA67D8"/>
    <w:rsid w:val="00EA7017"/>
    <w:rsid w:val="00EA70A2"/>
    <w:rsid w:val="00EA7ABB"/>
    <w:rsid w:val="00EA7D81"/>
    <w:rsid w:val="00EA7FA2"/>
    <w:rsid w:val="00EB0518"/>
    <w:rsid w:val="00EB0852"/>
    <w:rsid w:val="00EB0CBD"/>
    <w:rsid w:val="00EB0E86"/>
    <w:rsid w:val="00EB10BD"/>
    <w:rsid w:val="00EB1BC8"/>
    <w:rsid w:val="00EB2594"/>
    <w:rsid w:val="00EB2FF2"/>
    <w:rsid w:val="00EB3D21"/>
    <w:rsid w:val="00EB4531"/>
    <w:rsid w:val="00EB4687"/>
    <w:rsid w:val="00EB484E"/>
    <w:rsid w:val="00EB4B76"/>
    <w:rsid w:val="00EB5117"/>
    <w:rsid w:val="00EB56A9"/>
    <w:rsid w:val="00EB6E10"/>
    <w:rsid w:val="00EB6E50"/>
    <w:rsid w:val="00EB7383"/>
    <w:rsid w:val="00EC0412"/>
    <w:rsid w:val="00EC0455"/>
    <w:rsid w:val="00EC0E9A"/>
    <w:rsid w:val="00EC100B"/>
    <w:rsid w:val="00EC1C8A"/>
    <w:rsid w:val="00EC23D7"/>
    <w:rsid w:val="00EC2750"/>
    <w:rsid w:val="00EC2AA4"/>
    <w:rsid w:val="00EC3475"/>
    <w:rsid w:val="00EC3CEA"/>
    <w:rsid w:val="00EC4817"/>
    <w:rsid w:val="00EC4848"/>
    <w:rsid w:val="00EC5D5B"/>
    <w:rsid w:val="00EC5EAE"/>
    <w:rsid w:val="00EC6586"/>
    <w:rsid w:val="00EC6688"/>
    <w:rsid w:val="00EC66BF"/>
    <w:rsid w:val="00EC66DE"/>
    <w:rsid w:val="00EC687C"/>
    <w:rsid w:val="00EC6EB5"/>
    <w:rsid w:val="00EC744E"/>
    <w:rsid w:val="00EC766B"/>
    <w:rsid w:val="00EC7830"/>
    <w:rsid w:val="00EC7922"/>
    <w:rsid w:val="00EC79D9"/>
    <w:rsid w:val="00ED0034"/>
    <w:rsid w:val="00ED01B1"/>
    <w:rsid w:val="00ED0323"/>
    <w:rsid w:val="00ED11E2"/>
    <w:rsid w:val="00ED1FCC"/>
    <w:rsid w:val="00ED2266"/>
    <w:rsid w:val="00ED34C2"/>
    <w:rsid w:val="00ED37EC"/>
    <w:rsid w:val="00ED3A15"/>
    <w:rsid w:val="00ED3A8B"/>
    <w:rsid w:val="00ED45B5"/>
    <w:rsid w:val="00ED4D5E"/>
    <w:rsid w:val="00ED4F7F"/>
    <w:rsid w:val="00ED7A74"/>
    <w:rsid w:val="00ED7F06"/>
    <w:rsid w:val="00EE08CA"/>
    <w:rsid w:val="00EE10FD"/>
    <w:rsid w:val="00EE1354"/>
    <w:rsid w:val="00EE1756"/>
    <w:rsid w:val="00EE17E2"/>
    <w:rsid w:val="00EE1A51"/>
    <w:rsid w:val="00EE1BD5"/>
    <w:rsid w:val="00EE3B60"/>
    <w:rsid w:val="00EE3C13"/>
    <w:rsid w:val="00EE5682"/>
    <w:rsid w:val="00EE5A4F"/>
    <w:rsid w:val="00EE5C49"/>
    <w:rsid w:val="00EE5FEB"/>
    <w:rsid w:val="00EE62BE"/>
    <w:rsid w:val="00EE6729"/>
    <w:rsid w:val="00EE68BC"/>
    <w:rsid w:val="00EE6E26"/>
    <w:rsid w:val="00EE78E4"/>
    <w:rsid w:val="00EE7BAA"/>
    <w:rsid w:val="00EF037F"/>
    <w:rsid w:val="00EF04C5"/>
    <w:rsid w:val="00EF0A88"/>
    <w:rsid w:val="00EF0BC3"/>
    <w:rsid w:val="00EF1E60"/>
    <w:rsid w:val="00EF2BB6"/>
    <w:rsid w:val="00EF47A6"/>
    <w:rsid w:val="00EF48C5"/>
    <w:rsid w:val="00EF4F92"/>
    <w:rsid w:val="00EF5029"/>
    <w:rsid w:val="00EF50CE"/>
    <w:rsid w:val="00EF58E0"/>
    <w:rsid w:val="00EF651A"/>
    <w:rsid w:val="00EF6A43"/>
    <w:rsid w:val="00EF6C45"/>
    <w:rsid w:val="00F007FC"/>
    <w:rsid w:val="00F009AD"/>
    <w:rsid w:val="00F00BAE"/>
    <w:rsid w:val="00F01868"/>
    <w:rsid w:val="00F02804"/>
    <w:rsid w:val="00F03D4C"/>
    <w:rsid w:val="00F03DF6"/>
    <w:rsid w:val="00F04EC3"/>
    <w:rsid w:val="00F04F44"/>
    <w:rsid w:val="00F054B5"/>
    <w:rsid w:val="00F06262"/>
    <w:rsid w:val="00F06268"/>
    <w:rsid w:val="00F06BF6"/>
    <w:rsid w:val="00F06CC7"/>
    <w:rsid w:val="00F06E97"/>
    <w:rsid w:val="00F070E6"/>
    <w:rsid w:val="00F100B8"/>
    <w:rsid w:val="00F10BCB"/>
    <w:rsid w:val="00F10DB5"/>
    <w:rsid w:val="00F11069"/>
    <w:rsid w:val="00F12AC4"/>
    <w:rsid w:val="00F12E2A"/>
    <w:rsid w:val="00F135E3"/>
    <w:rsid w:val="00F1364A"/>
    <w:rsid w:val="00F14169"/>
    <w:rsid w:val="00F14250"/>
    <w:rsid w:val="00F14CAF"/>
    <w:rsid w:val="00F1640C"/>
    <w:rsid w:val="00F17397"/>
    <w:rsid w:val="00F1747C"/>
    <w:rsid w:val="00F1765C"/>
    <w:rsid w:val="00F176AA"/>
    <w:rsid w:val="00F201D5"/>
    <w:rsid w:val="00F201E1"/>
    <w:rsid w:val="00F203DA"/>
    <w:rsid w:val="00F23314"/>
    <w:rsid w:val="00F23320"/>
    <w:rsid w:val="00F23EE6"/>
    <w:rsid w:val="00F245BF"/>
    <w:rsid w:val="00F24E57"/>
    <w:rsid w:val="00F24E6C"/>
    <w:rsid w:val="00F2535F"/>
    <w:rsid w:val="00F25669"/>
    <w:rsid w:val="00F25796"/>
    <w:rsid w:val="00F26362"/>
    <w:rsid w:val="00F267EB"/>
    <w:rsid w:val="00F26DA0"/>
    <w:rsid w:val="00F26E54"/>
    <w:rsid w:val="00F273DA"/>
    <w:rsid w:val="00F27DC6"/>
    <w:rsid w:val="00F30207"/>
    <w:rsid w:val="00F30C32"/>
    <w:rsid w:val="00F3182A"/>
    <w:rsid w:val="00F31D5A"/>
    <w:rsid w:val="00F3338B"/>
    <w:rsid w:val="00F344D2"/>
    <w:rsid w:val="00F347C0"/>
    <w:rsid w:val="00F3555E"/>
    <w:rsid w:val="00F3596A"/>
    <w:rsid w:val="00F3623D"/>
    <w:rsid w:val="00F3668B"/>
    <w:rsid w:val="00F42503"/>
    <w:rsid w:val="00F442CC"/>
    <w:rsid w:val="00F44CF8"/>
    <w:rsid w:val="00F4505C"/>
    <w:rsid w:val="00F451AB"/>
    <w:rsid w:val="00F4557E"/>
    <w:rsid w:val="00F45734"/>
    <w:rsid w:val="00F45D7A"/>
    <w:rsid w:val="00F465D6"/>
    <w:rsid w:val="00F46CA5"/>
    <w:rsid w:val="00F4779C"/>
    <w:rsid w:val="00F50656"/>
    <w:rsid w:val="00F512E2"/>
    <w:rsid w:val="00F514C0"/>
    <w:rsid w:val="00F51B25"/>
    <w:rsid w:val="00F52705"/>
    <w:rsid w:val="00F527BD"/>
    <w:rsid w:val="00F53261"/>
    <w:rsid w:val="00F534D2"/>
    <w:rsid w:val="00F53987"/>
    <w:rsid w:val="00F545AC"/>
    <w:rsid w:val="00F551CA"/>
    <w:rsid w:val="00F55A7A"/>
    <w:rsid w:val="00F55F9D"/>
    <w:rsid w:val="00F56051"/>
    <w:rsid w:val="00F5612E"/>
    <w:rsid w:val="00F56248"/>
    <w:rsid w:val="00F56478"/>
    <w:rsid w:val="00F564F8"/>
    <w:rsid w:val="00F56905"/>
    <w:rsid w:val="00F57898"/>
    <w:rsid w:val="00F60243"/>
    <w:rsid w:val="00F60F46"/>
    <w:rsid w:val="00F61AF3"/>
    <w:rsid w:val="00F6216D"/>
    <w:rsid w:val="00F6238D"/>
    <w:rsid w:val="00F62D2F"/>
    <w:rsid w:val="00F62DE1"/>
    <w:rsid w:val="00F62F45"/>
    <w:rsid w:val="00F62F8D"/>
    <w:rsid w:val="00F66DBA"/>
    <w:rsid w:val="00F70266"/>
    <w:rsid w:val="00F70F93"/>
    <w:rsid w:val="00F7103A"/>
    <w:rsid w:val="00F7122F"/>
    <w:rsid w:val="00F714E2"/>
    <w:rsid w:val="00F72712"/>
    <w:rsid w:val="00F72BC9"/>
    <w:rsid w:val="00F72C13"/>
    <w:rsid w:val="00F72C3B"/>
    <w:rsid w:val="00F72EF7"/>
    <w:rsid w:val="00F73E20"/>
    <w:rsid w:val="00F74260"/>
    <w:rsid w:val="00F748DA"/>
    <w:rsid w:val="00F76CB8"/>
    <w:rsid w:val="00F76D8E"/>
    <w:rsid w:val="00F76EF0"/>
    <w:rsid w:val="00F77AE8"/>
    <w:rsid w:val="00F83A6B"/>
    <w:rsid w:val="00F83C7A"/>
    <w:rsid w:val="00F83F1C"/>
    <w:rsid w:val="00F84EDD"/>
    <w:rsid w:val="00F856A0"/>
    <w:rsid w:val="00F85C75"/>
    <w:rsid w:val="00F8674A"/>
    <w:rsid w:val="00F868AB"/>
    <w:rsid w:val="00F901BC"/>
    <w:rsid w:val="00F90210"/>
    <w:rsid w:val="00F902FE"/>
    <w:rsid w:val="00F90529"/>
    <w:rsid w:val="00F9063B"/>
    <w:rsid w:val="00F90F86"/>
    <w:rsid w:val="00F91326"/>
    <w:rsid w:val="00F9195A"/>
    <w:rsid w:val="00F91BAA"/>
    <w:rsid w:val="00F9259E"/>
    <w:rsid w:val="00F92613"/>
    <w:rsid w:val="00F929C3"/>
    <w:rsid w:val="00F92CCE"/>
    <w:rsid w:val="00F933F9"/>
    <w:rsid w:val="00F93607"/>
    <w:rsid w:val="00F9397C"/>
    <w:rsid w:val="00F93FFF"/>
    <w:rsid w:val="00F941C2"/>
    <w:rsid w:val="00F94D15"/>
    <w:rsid w:val="00F95884"/>
    <w:rsid w:val="00F97724"/>
    <w:rsid w:val="00F97BE5"/>
    <w:rsid w:val="00FA03E6"/>
    <w:rsid w:val="00FA0553"/>
    <w:rsid w:val="00FA1360"/>
    <w:rsid w:val="00FA19B2"/>
    <w:rsid w:val="00FA1C7F"/>
    <w:rsid w:val="00FA298C"/>
    <w:rsid w:val="00FA404C"/>
    <w:rsid w:val="00FA40D3"/>
    <w:rsid w:val="00FA4EE7"/>
    <w:rsid w:val="00FA55F3"/>
    <w:rsid w:val="00FA71A9"/>
    <w:rsid w:val="00FA75F1"/>
    <w:rsid w:val="00FA7AD3"/>
    <w:rsid w:val="00FB063B"/>
    <w:rsid w:val="00FB0D65"/>
    <w:rsid w:val="00FB0F39"/>
    <w:rsid w:val="00FB1903"/>
    <w:rsid w:val="00FB1A83"/>
    <w:rsid w:val="00FB214B"/>
    <w:rsid w:val="00FB2858"/>
    <w:rsid w:val="00FB2D48"/>
    <w:rsid w:val="00FB3628"/>
    <w:rsid w:val="00FB3A6F"/>
    <w:rsid w:val="00FB3F14"/>
    <w:rsid w:val="00FB41CB"/>
    <w:rsid w:val="00FB46BA"/>
    <w:rsid w:val="00FB4F07"/>
    <w:rsid w:val="00FB50BF"/>
    <w:rsid w:val="00FB5354"/>
    <w:rsid w:val="00FB53D3"/>
    <w:rsid w:val="00FB562F"/>
    <w:rsid w:val="00FB56E4"/>
    <w:rsid w:val="00FB5770"/>
    <w:rsid w:val="00FB63C7"/>
    <w:rsid w:val="00FB64D2"/>
    <w:rsid w:val="00FB65A2"/>
    <w:rsid w:val="00FB7BD2"/>
    <w:rsid w:val="00FB7FE5"/>
    <w:rsid w:val="00FC0C70"/>
    <w:rsid w:val="00FC0C8B"/>
    <w:rsid w:val="00FC1C22"/>
    <w:rsid w:val="00FC2996"/>
    <w:rsid w:val="00FC2C25"/>
    <w:rsid w:val="00FC3007"/>
    <w:rsid w:val="00FC3569"/>
    <w:rsid w:val="00FC37EF"/>
    <w:rsid w:val="00FC394F"/>
    <w:rsid w:val="00FC3E1C"/>
    <w:rsid w:val="00FC3EF2"/>
    <w:rsid w:val="00FC479A"/>
    <w:rsid w:val="00FC4CAA"/>
    <w:rsid w:val="00FC5161"/>
    <w:rsid w:val="00FC52DD"/>
    <w:rsid w:val="00FC5AFE"/>
    <w:rsid w:val="00FC7A10"/>
    <w:rsid w:val="00FC7A54"/>
    <w:rsid w:val="00FD11BF"/>
    <w:rsid w:val="00FD1AA2"/>
    <w:rsid w:val="00FD27D2"/>
    <w:rsid w:val="00FD3203"/>
    <w:rsid w:val="00FD3A4F"/>
    <w:rsid w:val="00FD4116"/>
    <w:rsid w:val="00FD45FE"/>
    <w:rsid w:val="00FD466C"/>
    <w:rsid w:val="00FD5B75"/>
    <w:rsid w:val="00FD5DBA"/>
    <w:rsid w:val="00FD6525"/>
    <w:rsid w:val="00FD65A5"/>
    <w:rsid w:val="00FD667A"/>
    <w:rsid w:val="00FD7317"/>
    <w:rsid w:val="00FD738F"/>
    <w:rsid w:val="00FD76BD"/>
    <w:rsid w:val="00FD7A5A"/>
    <w:rsid w:val="00FE19EF"/>
    <w:rsid w:val="00FE2367"/>
    <w:rsid w:val="00FE27C1"/>
    <w:rsid w:val="00FE3F34"/>
    <w:rsid w:val="00FE4264"/>
    <w:rsid w:val="00FE4C5E"/>
    <w:rsid w:val="00FE6EBF"/>
    <w:rsid w:val="00FE6F32"/>
    <w:rsid w:val="00FE7966"/>
    <w:rsid w:val="00FE7DB8"/>
    <w:rsid w:val="00FF05EB"/>
    <w:rsid w:val="00FF0C5C"/>
    <w:rsid w:val="00FF0ED7"/>
    <w:rsid w:val="00FF2A55"/>
    <w:rsid w:val="00FF2A90"/>
    <w:rsid w:val="00FF3024"/>
    <w:rsid w:val="00FF338A"/>
    <w:rsid w:val="00FF38AE"/>
    <w:rsid w:val="00FF3C11"/>
    <w:rsid w:val="00FF4983"/>
    <w:rsid w:val="00FF4A6C"/>
    <w:rsid w:val="00FF52E4"/>
    <w:rsid w:val="00FF52EA"/>
    <w:rsid w:val="00FF546E"/>
    <w:rsid w:val="00FF5717"/>
    <w:rsid w:val="00FF59D2"/>
    <w:rsid w:val="00FF7BA3"/>
    <w:rsid w:val="00FF7EB7"/>
    <w:rsid w:val="01192CFC"/>
    <w:rsid w:val="01457825"/>
    <w:rsid w:val="01743DBA"/>
    <w:rsid w:val="017C808A"/>
    <w:rsid w:val="01F37790"/>
    <w:rsid w:val="031001BF"/>
    <w:rsid w:val="03A55023"/>
    <w:rsid w:val="04616679"/>
    <w:rsid w:val="04B215FC"/>
    <w:rsid w:val="05208022"/>
    <w:rsid w:val="05A47E24"/>
    <w:rsid w:val="0609079A"/>
    <w:rsid w:val="0638FCF0"/>
    <w:rsid w:val="06CF570F"/>
    <w:rsid w:val="06D6B494"/>
    <w:rsid w:val="0703FC79"/>
    <w:rsid w:val="07B227EF"/>
    <w:rsid w:val="08F7AE10"/>
    <w:rsid w:val="094FEBC0"/>
    <w:rsid w:val="09830B51"/>
    <w:rsid w:val="09ACD97B"/>
    <w:rsid w:val="0A036748"/>
    <w:rsid w:val="0C3E6EE1"/>
    <w:rsid w:val="0D2AF9FF"/>
    <w:rsid w:val="0D45D30E"/>
    <w:rsid w:val="0D5E8500"/>
    <w:rsid w:val="0D94D8B4"/>
    <w:rsid w:val="0F6E6197"/>
    <w:rsid w:val="107A73D0"/>
    <w:rsid w:val="108061DA"/>
    <w:rsid w:val="108CB9A4"/>
    <w:rsid w:val="10A9A714"/>
    <w:rsid w:val="1129BE9A"/>
    <w:rsid w:val="11601D92"/>
    <w:rsid w:val="118C89FE"/>
    <w:rsid w:val="11D369C7"/>
    <w:rsid w:val="12286EB8"/>
    <w:rsid w:val="123FB2F0"/>
    <w:rsid w:val="12631C81"/>
    <w:rsid w:val="128FFB26"/>
    <w:rsid w:val="12969455"/>
    <w:rsid w:val="13B371FD"/>
    <w:rsid w:val="13C16DDC"/>
    <w:rsid w:val="14AFD538"/>
    <w:rsid w:val="14C493A6"/>
    <w:rsid w:val="14D3961D"/>
    <w:rsid w:val="155C65E6"/>
    <w:rsid w:val="171125EF"/>
    <w:rsid w:val="17EAF4F7"/>
    <w:rsid w:val="17EBA888"/>
    <w:rsid w:val="18BA2E87"/>
    <w:rsid w:val="19467801"/>
    <w:rsid w:val="1959B241"/>
    <w:rsid w:val="1AC86818"/>
    <w:rsid w:val="1AEB325F"/>
    <w:rsid w:val="1B1B13ED"/>
    <w:rsid w:val="1B66BA41"/>
    <w:rsid w:val="1B7C5868"/>
    <w:rsid w:val="1BC17C9A"/>
    <w:rsid w:val="1C17436D"/>
    <w:rsid w:val="1CE08D49"/>
    <w:rsid w:val="1D0555B4"/>
    <w:rsid w:val="1D3A7D54"/>
    <w:rsid w:val="1EA34ECC"/>
    <w:rsid w:val="1EF32DEE"/>
    <w:rsid w:val="217228BB"/>
    <w:rsid w:val="21E81CD5"/>
    <w:rsid w:val="22526B9E"/>
    <w:rsid w:val="22750BDF"/>
    <w:rsid w:val="22FFA1AC"/>
    <w:rsid w:val="23DE47A3"/>
    <w:rsid w:val="248D5487"/>
    <w:rsid w:val="24927260"/>
    <w:rsid w:val="24A8D327"/>
    <w:rsid w:val="258EAB3A"/>
    <w:rsid w:val="26868055"/>
    <w:rsid w:val="26FB1B80"/>
    <w:rsid w:val="27770782"/>
    <w:rsid w:val="27FE0165"/>
    <w:rsid w:val="283D797F"/>
    <w:rsid w:val="28C21394"/>
    <w:rsid w:val="299E1EE4"/>
    <w:rsid w:val="2A190E66"/>
    <w:rsid w:val="2A39CA3E"/>
    <w:rsid w:val="2A679834"/>
    <w:rsid w:val="2AB8BFF9"/>
    <w:rsid w:val="2AC736EF"/>
    <w:rsid w:val="2B3A51F2"/>
    <w:rsid w:val="2B5A2197"/>
    <w:rsid w:val="2C6D6A14"/>
    <w:rsid w:val="2C7728FD"/>
    <w:rsid w:val="2CE32611"/>
    <w:rsid w:val="2DA42763"/>
    <w:rsid w:val="2EFE9F5D"/>
    <w:rsid w:val="2F0BEC95"/>
    <w:rsid w:val="2F25B9ED"/>
    <w:rsid w:val="2F927DCF"/>
    <w:rsid w:val="302B7F2D"/>
    <w:rsid w:val="30CC241A"/>
    <w:rsid w:val="313535F9"/>
    <w:rsid w:val="31448614"/>
    <w:rsid w:val="3147B297"/>
    <w:rsid w:val="3350FA17"/>
    <w:rsid w:val="33B52EEC"/>
    <w:rsid w:val="33D7BE25"/>
    <w:rsid w:val="340A69C0"/>
    <w:rsid w:val="34867D53"/>
    <w:rsid w:val="34C4689E"/>
    <w:rsid w:val="35382FAC"/>
    <w:rsid w:val="3540C7CB"/>
    <w:rsid w:val="35895F34"/>
    <w:rsid w:val="35D5194F"/>
    <w:rsid w:val="35EE20E4"/>
    <w:rsid w:val="374589AD"/>
    <w:rsid w:val="39D07D72"/>
    <w:rsid w:val="3A68C456"/>
    <w:rsid w:val="3A725C0B"/>
    <w:rsid w:val="3A9B1637"/>
    <w:rsid w:val="3B5BFDDF"/>
    <w:rsid w:val="3BCE7177"/>
    <w:rsid w:val="3C5F8A24"/>
    <w:rsid w:val="3CB8C586"/>
    <w:rsid w:val="3CCAF1FE"/>
    <w:rsid w:val="3CD63648"/>
    <w:rsid w:val="3CE0E06E"/>
    <w:rsid w:val="3D009CE8"/>
    <w:rsid w:val="3DA79D98"/>
    <w:rsid w:val="3DCA4A63"/>
    <w:rsid w:val="3E44B958"/>
    <w:rsid w:val="3E93E422"/>
    <w:rsid w:val="4049482E"/>
    <w:rsid w:val="40D5DAE0"/>
    <w:rsid w:val="40D7E2FD"/>
    <w:rsid w:val="40EC9103"/>
    <w:rsid w:val="41856CA1"/>
    <w:rsid w:val="42FCF05C"/>
    <w:rsid w:val="43F950BB"/>
    <w:rsid w:val="444DF10C"/>
    <w:rsid w:val="44A23E57"/>
    <w:rsid w:val="44AAE61B"/>
    <w:rsid w:val="44DE1116"/>
    <w:rsid w:val="45A34632"/>
    <w:rsid w:val="45CC6025"/>
    <w:rsid w:val="45F84989"/>
    <w:rsid w:val="46623F0F"/>
    <w:rsid w:val="466CA69A"/>
    <w:rsid w:val="470F7F55"/>
    <w:rsid w:val="47A2A62F"/>
    <w:rsid w:val="47CF376F"/>
    <w:rsid w:val="4800D095"/>
    <w:rsid w:val="4844000D"/>
    <w:rsid w:val="487F58D8"/>
    <w:rsid w:val="488660B5"/>
    <w:rsid w:val="48C83054"/>
    <w:rsid w:val="48E7DAFF"/>
    <w:rsid w:val="4A94AB75"/>
    <w:rsid w:val="4AE0D5DC"/>
    <w:rsid w:val="4B3B2257"/>
    <w:rsid w:val="4CC44ACD"/>
    <w:rsid w:val="4D6CC066"/>
    <w:rsid w:val="4DC82E68"/>
    <w:rsid w:val="4E0FA268"/>
    <w:rsid w:val="4EAA3670"/>
    <w:rsid w:val="4ECE8C20"/>
    <w:rsid w:val="50752470"/>
    <w:rsid w:val="509E7D00"/>
    <w:rsid w:val="50FA7A31"/>
    <w:rsid w:val="51938678"/>
    <w:rsid w:val="51AEC671"/>
    <w:rsid w:val="522A696A"/>
    <w:rsid w:val="52FBF16B"/>
    <w:rsid w:val="53F0A1AC"/>
    <w:rsid w:val="54897280"/>
    <w:rsid w:val="549C4BF6"/>
    <w:rsid w:val="54D4B976"/>
    <w:rsid w:val="553D64F9"/>
    <w:rsid w:val="562E2D35"/>
    <w:rsid w:val="568457B4"/>
    <w:rsid w:val="56D0A65D"/>
    <w:rsid w:val="5715B0F6"/>
    <w:rsid w:val="577A3395"/>
    <w:rsid w:val="580219A7"/>
    <w:rsid w:val="5853E2C2"/>
    <w:rsid w:val="58E681F5"/>
    <w:rsid w:val="5986C539"/>
    <w:rsid w:val="59A338CB"/>
    <w:rsid w:val="5A9B2286"/>
    <w:rsid w:val="5ADA6D07"/>
    <w:rsid w:val="5BF71F33"/>
    <w:rsid w:val="5CB020FC"/>
    <w:rsid w:val="5D1FC92D"/>
    <w:rsid w:val="5DD78A18"/>
    <w:rsid w:val="5E0DC361"/>
    <w:rsid w:val="5EB102FB"/>
    <w:rsid w:val="5F3FD8FF"/>
    <w:rsid w:val="5F9E36C7"/>
    <w:rsid w:val="6024C23F"/>
    <w:rsid w:val="605D5136"/>
    <w:rsid w:val="60F8B69B"/>
    <w:rsid w:val="624BA648"/>
    <w:rsid w:val="62555242"/>
    <w:rsid w:val="6273C748"/>
    <w:rsid w:val="645694C9"/>
    <w:rsid w:val="64807AF2"/>
    <w:rsid w:val="64B1EAEA"/>
    <w:rsid w:val="6552AE53"/>
    <w:rsid w:val="65A47CCA"/>
    <w:rsid w:val="65F7D112"/>
    <w:rsid w:val="65F8DE05"/>
    <w:rsid w:val="6656CFEE"/>
    <w:rsid w:val="6759313F"/>
    <w:rsid w:val="676DC84E"/>
    <w:rsid w:val="67BDB339"/>
    <w:rsid w:val="68198912"/>
    <w:rsid w:val="68348EF5"/>
    <w:rsid w:val="684741C9"/>
    <w:rsid w:val="6848E971"/>
    <w:rsid w:val="6867D788"/>
    <w:rsid w:val="68AADD91"/>
    <w:rsid w:val="6957B4F5"/>
    <w:rsid w:val="6A114C32"/>
    <w:rsid w:val="6B2CB69C"/>
    <w:rsid w:val="6B4F3019"/>
    <w:rsid w:val="6B68898B"/>
    <w:rsid w:val="6B7F9B63"/>
    <w:rsid w:val="6C309595"/>
    <w:rsid w:val="6C8BF40B"/>
    <w:rsid w:val="6D6E2141"/>
    <w:rsid w:val="6D815F2F"/>
    <w:rsid w:val="6DBF0184"/>
    <w:rsid w:val="6DE74477"/>
    <w:rsid w:val="6E87F805"/>
    <w:rsid w:val="6EFE6BF0"/>
    <w:rsid w:val="6FBE3B55"/>
    <w:rsid w:val="70A6BCDA"/>
    <w:rsid w:val="718AAC84"/>
    <w:rsid w:val="7192E6B1"/>
    <w:rsid w:val="71F5C08F"/>
    <w:rsid w:val="72DAD46F"/>
    <w:rsid w:val="72E5BED7"/>
    <w:rsid w:val="73066FF1"/>
    <w:rsid w:val="73C1F149"/>
    <w:rsid w:val="73C7607F"/>
    <w:rsid w:val="73F9E65E"/>
    <w:rsid w:val="75D34249"/>
    <w:rsid w:val="76FD389A"/>
    <w:rsid w:val="78574B66"/>
    <w:rsid w:val="78608571"/>
    <w:rsid w:val="793A24C9"/>
    <w:rsid w:val="7A74D672"/>
    <w:rsid w:val="7AA8E289"/>
    <w:rsid w:val="7ABE22D3"/>
    <w:rsid w:val="7B60F59C"/>
    <w:rsid w:val="7C1AB900"/>
    <w:rsid w:val="7CC0D86E"/>
    <w:rsid w:val="7D22211C"/>
    <w:rsid w:val="7D4EFFE1"/>
    <w:rsid w:val="7E97AD4B"/>
    <w:rsid w:val="7F6F62B7"/>
    <w:rsid w:val="7FBB4CC9"/>
    <w:rsid w:val="7FBCCF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3998F"/>
  <w15:docId w15:val="{7363C481-9C3D-4742-9E89-AC363F1E7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44CC"/>
    <w:rPr>
      <w:lang w:eastAsia="es-ES_tradnl"/>
    </w:rPr>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outlineLvl w:val="5"/>
    </w:pPr>
    <w:rPr>
      <w:rFonts w:ascii="Calibri" w:eastAsia="Calibri" w:hAnsi="Calibri" w:cs="Calibri"/>
      <w:i/>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264BF1"/>
    <w:pPr>
      <w:spacing w:before="100" w:beforeAutospacing="1" w:after="100" w:afterAutospacing="1"/>
    </w:p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anormal"/>
    <w:tblPr>
      <w:tblStyleRowBandSize w:val="1"/>
      <w:tblStyleColBandSize w:val="1"/>
      <w:tblInd w:w="0" w:type="nil"/>
    </w:tblPr>
  </w:style>
  <w:style w:type="table" w:customStyle="1" w:styleId="2">
    <w:name w:val="2"/>
    <w:basedOn w:val="Tablanormal"/>
    <w:tblPr>
      <w:tblStyleRowBandSize w:val="1"/>
      <w:tblStyleColBandSize w:val="1"/>
      <w:tblInd w:w="0" w:type="nil"/>
    </w:tblPr>
  </w:style>
  <w:style w:type="table" w:customStyle="1" w:styleId="1">
    <w:name w:val="1"/>
    <w:basedOn w:val="Tablanormal"/>
    <w:tblPr>
      <w:tblStyleRowBandSize w:val="1"/>
      <w:tblStyleColBandSize w:val="1"/>
      <w:tblInd w:w="0" w:type="nil"/>
    </w:tbl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D157F"/>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5D157F"/>
    <w:rPr>
      <w:sz w:val="20"/>
      <w:szCs w:val="20"/>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5D157F"/>
    <w:rPr>
      <w:vertAlign w:val="superscript"/>
    </w:rPr>
  </w:style>
  <w:style w:type="paragraph" w:customStyle="1" w:styleId="Piedepagina">
    <w:name w:val="Pie de pagina"/>
    <w:aliases w:val="Ref. de nota al pie2,Nota de pie"/>
    <w:basedOn w:val="Normal"/>
    <w:link w:val="Refdenotaalpie"/>
    <w:uiPriority w:val="99"/>
    <w:qFormat/>
    <w:rsid w:val="005D157F"/>
    <w:pPr>
      <w:spacing w:line="240" w:lineRule="exact"/>
    </w:pPr>
    <w:rPr>
      <w:vertAlign w:val="superscript"/>
    </w:rPr>
  </w:style>
  <w:style w:type="paragraph" w:styleId="NormalWeb">
    <w:name w:val="Normal (Web)"/>
    <w:basedOn w:val="Normal"/>
    <w:uiPriority w:val="99"/>
    <w:unhideWhenUsed/>
    <w:rsid w:val="005D157F"/>
    <w:pPr>
      <w:spacing w:before="100" w:beforeAutospacing="1" w:after="100" w:afterAutospacing="1"/>
    </w:pPr>
  </w:style>
  <w:style w:type="paragraph" w:styleId="Prrafodelista">
    <w:name w:val="List Paragraph"/>
    <w:aliases w:val="Colorful List - Accent 11,Ha,List Paragraph1,lp1,List Paragraph2,Normal1,List1,titulo 3,Párrafo de lista1,Bullets,Párrafo de lista2,Cuadrícula clara - Énfasis 31,Dot pt,F5 List Paragraph,No Spacing1,Fotografía,Bullet List,FooterText,Foo"/>
    <w:basedOn w:val="Normal"/>
    <w:link w:val="PrrafodelistaCar"/>
    <w:uiPriority w:val="34"/>
    <w:qFormat/>
    <w:rsid w:val="005D157F"/>
    <w:pPr>
      <w:ind w:left="720"/>
      <w:contextualSpacing/>
    </w:pPr>
  </w:style>
  <w:style w:type="character" w:styleId="Textoennegrita">
    <w:name w:val="Strong"/>
    <w:basedOn w:val="Fuentedeprrafopredeter"/>
    <w:uiPriority w:val="22"/>
    <w:qFormat/>
    <w:rsid w:val="00A6601E"/>
    <w:rPr>
      <w:b/>
      <w:bCs/>
    </w:rPr>
  </w:style>
  <w:style w:type="character" w:customStyle="1" w:styleId="apple-converted-space">
    <w:name w:val="apple-converted-space"/>
    <w:basedOn w:val="Fuentedeprrafopredeter"/>
    <w:rsid w:val="00A6601E"/>
  </w:style>
  <w:style w:type="character" w:styleId="nfasis">
    <w:name w:val="Emphasis"/>
    <w:basedOn w:val="Fuentedeprrafopredeter"/>
    <w:uiPriority w:val="20"/>
    <w:qFormat/>
    <w:rsid w:val="00A6601E"/>
    <w:rPr>
      <w:i/>
      <w:iCs/>
    </w:rPr>
  </w:style>
  <w:style w:type="character" w:customStyle="1" w:styleId="toctoggle">
    <w:name w:val="toctoggle"/>
    <w:basedOn w:val="Fuentedeprrafopredeter"/>
    <w:rsid w:val="00A6601E"/>
  </w:style>
  <w:style w:type="character" w:styleId="Hipervnculo">
    <w:name w:val="Hyperlink"/>
    <w:basedOn w:val="Fuentedeprrafopredeter"/>
    <w:uiPriority w:val="99"/>
    <w:unhideWhenUsed/>
    <w:rsid w:val="00A6601E"/>
    <w:rPr>
      <w:color w:val="0000FF"/>
      <w:u w:val="single"/>
    </w:rPr>
  </w:style>
  <w:style w:type="character" w:styleId="Refdecomentario">
    <w:name w:val="annotation reference"/>
    <w:basedOn w:val="Fuentedeprrafopredeter"/>
    <w:uiPriority w:val="99"/>
    <w:semiHidden/>
    <w:unhideWhenUsed/>
    <w:rsid w:val="00A6601E"/>
    <w:rPr>
      <w:sz w:val="16"/>
      <w:szCs w:val="16"/>
    </w:rPr>
  </w:style>
  <w:style w:type="paragraph" w:styleId="Textocomentario">
    <w:name w:val="annotation text"/>
    <w:basedOn w:val="Normal"/>
    <w:link w:val="TextocomentarioCar"/>
    <w:uiPriority w:val="99"/>
    <w:unhideWhenUsed/>
    <w:rsid w:val="00A6601E"/>
    <w:rPr>
      <w:sz w:val="20"/>
      <w:szCs w:val="20"/>
    </w:rPr>
  </w:style>
  <w:style w:type="character" w:customStyle="1" w:styleId="TextocomentarioCar">
    <w:name w:val="Texto comentario Car"/>
    <w:basedOn w:val="Fuentedeprrafopredeter"/>
    <w:link w:val="Textocomentario"/>
    <w:uiPriority w:val="99"/>
    <w:rsid w:val="00A6601E"/>
    <w:rPr>
      <w:sz w:val="20"/>
      <w:szCs w:val="20"/>
    </w:rPr>
  </w:style>
  <w:style w:type="paragraph" w:styleId="Asuntodelcomentario">
    <w:name w:val="annotation subject"/>
    <w:basedOn w:val="Textocomentario"/>
    <w:next w:val="Textocomentario"/>
    <w:link w:val="AsuntodelcomentarioCar"/>
    <w:uiPriority w:val="99"/>
    <w:semiHidden/>
    <w:unhideWhenUsed/>
    <w:rsid w:val="00A6601E"/>
    <w:rPr>
      <w:b/>
      <w:bCs/>
    </w:rPr>
  </w:style>
  <w:style w:type="character" w:customStyle="1" w:styleId="AsuntodelcomentarioCar">
    <w:name w:val="Asunto del comentario Car"/>
    <w:basedOn w:val="TextocomentarioCar"/>
    <w:link w:val="Asuntodelcomentario"/>
    <w:uiPriority w:val="99"/>
    <w:semiHidden/>
    <w:rsid w:val="00A6601E"/>
    <w:rPr>
      <w:b/>
      <w:bCs/>
      <w:sz w:val="20"/>
      <w:szCs w:val="20"/>
    </w:rPr>
  </w:style>
  <w:style w:type="paragraph" w:styleId="Textodeglobo">
    <w:name w:val="Balloon Text"/>
    <w:basedOn w:val="Normal"/>
    <w:link w:val="TextodegloboCar"/>
    <w:uiPriority w:val="99"/>
    <w:semiHidden/>
    <w:unhideWhenUsed/>
    <w:rsid w:val="00A6601E"/>
    <w:rPr>
      <w:sz w:val="18"/>
      <w:szCs w:val="18"/>
    </w:rPr>
  </w:style>
  <w:style w:type="character" w:customStyle="1" w:styleId="TextodegloboCar">
    <w:name w:val="Texto de globo Car"/>
    <w:basedOn w:val="Fuentedeprrafopredeter"/>
    <w:link w:val="Textodeglobo"/>
    <w:uiPriority w:val="99"/>
    <w:semiHidden/>
    <w:rsid w:val="00A6601E"/>
    <w:rPr>
      <w:sz w:val="18"/>
      <w:szCs w:val="18"/>
    </w:rPr>
  </w:style>
  <w:style w:type="paragraph" w:styleId="Encabezado">
    <w:name w:val="header"/>
    <w:basedOn w:val="Normal"/>
    <w:link w:val="EncabezadoCar"/>
    <w:uiPriority w:val="99"/>
    <w:unhideWhenUsed/>
    <w:rsid w:val="008174DF"/>
    <w:pPr>
      <w:tabs>
        <w:tab w:val="center" w:pos="4419"/>
        <w:tab w:val="right" w:pos="8838"/>
      </w:tabs>
    </w:pPr>
  </w:style>
  <w:style w:type="character" w:customStyle="1" w:styleId="EncabezadoCar">
    <w:name w:val="Encabezado Car"/>
    <w:basedOn w:val="Fuentedeprrafopredeter"/>
    <w:link w:val="Encabezado"/>
    <w:uiPriority w:val="99"/>
    <w:rsid w:val="008174DF"/>
  </w:style>
  <w:style w:type="paragraph" w:styleId="Piedepgina">
    <w:name w:val="footer"/>
    <w:basedOn w:val="Normal"/>
    <w:link w:val="PiedepginaCar"/>
    <w:uiPriority w:val="99"/>
    <w:unhideWhenUsed/>
    <w:rsid w:val="008174DF"/>
    <w:pPr>
      <w:tabs>
        <w:tab w:val="center" w:pos="4419"/>
        <w:tab w:val="right" w:pos="8838"/>
      </w:tabs>
    </w:pPr>
  </w:style>
  <w:style w:type="character" w:customStyle="1" w:styleId="PiedepginaCar">
    <w:name w:val="Pie de página Car"/>
    <w:basedOn w:val="Fuentedeprrafopredeter"/>
    <w:link w:val="Piedepgina"/>
    <w:uiPriority w:val="99"/>
    <w:rsid w:val="008174DF"/>
  </w:style>
  <w:style w:type="table" w:customStyle="1" w:styleId="TableNormal1">
    <w:name w:val="Table Normal1"/>
    <w:rsid w:val="008174DF"/>
    <w:tblPr>
      <w:tblCellMar>
        <w:top w:w="0" w:type="dxa"/>
        <w:left w:w="0" w:type="dxa"/>
        <w:bottom w:w="0" w:type="dxa"/>
        <w:right w:w="0" w:type="dxa"/>
      </w:tblCellMar>
    </w:tblPr>
  </w:style>
  <w:style w:type="character" w:customStyle="1" w:styleId="normaltextrun">
    <w:name w:val="normaltextrun"/>
    <w:basedOn w:val="Fuentedeprrafopredeter"/>
    <w:rsid w:val="00264BF1"/>
  </w:style>
  <w:style w:type="character" w:customStyle="1" w:styleId="eop">
    <w:name w:val="eop"/>
    <w:basedOn w:val="Fuentedeprrafopredeter"/>
    <w:rsid w:val="00264BF1"/>
  </w:style>
  <w:style w:type="character" w:customStyle="1" w:styleId="PrrafodelistaCar">
    <w:name w:val="Párrafo de lista Car"/>
    <w:aliases w:val="Colorful List - Accent 11 Car,Ha Car,List Paragraph1 Car,lp1 Car,List Paragraph2 Car,Normal1 Car,List1 Car,titulo 3 Car,Párrafo de lista1 Car,Bullets Car,Párrafo de lista2 Car,Cuadrícula clara - Énfasis 31 Car,Dot pt Car,Foo Car"/>
    <w:link w:val="Prrafodelista"/>
    <w:uiPriority w:val="34"/>
    <w:qFormat/>
    <w:locked/>
    <w:rsid w:val="00264BF1"/>
  </w:style>
  <w:style w:type="table" w:styleId="Tablaconcuadrcula">
    <w:name w:val="Table Grid"/>
    <w:basedOn w:val="Tablanormal"/>
    <w:uiPriority w:val="39"/>
    <w:qFormat/>
    <w:rsid w:val="007B1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7B1D5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5626F1"/>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473ADF"/>
    <w:pPr>
      <w:spacing w:after="160" w:line="259" w:lineRule="auto"/>
      <w:jc w:val="both"/>
    </w:pPr>
    <w:rPr>
      <w:rFonts w:asciiTheme="minorHAnsi" w:eastAsiaTheme="minorHAnsi" w:hAnsiTheme="minorHAnsi"/>
      <w:vertAlign w:val="superscript"/>
      <w:lang w:eastAsia="en-US"/>
    </w:rPr>
  </w:style>
  <w:style w:type="character" w:styleId="Hipervnculovisitado">
    <w:name w:val="FollowedHyperlink"/>
    <w:basedOn w:val="Fuentedeprrafopredeter"/>
    <w:uiPriority w:val="99"/>
    <w:semiHidden/>
    <w:unhideWhenUsed/>
    <w:rsid w:val="00755367"/>
    <w:rPr>
      <w:color w:val="800080" w:themeColor="followedHyperlink"/>
      <w:u w:val="single"/>
    </w:rPr>
  </w:style>
  <w:style w:type="paragraph" w:styleId="Revisin">
    <w:name w:val="Revision"/>
    <w:hidden/>
    <w:uiPriority w:val="99"/>
    <w:semiHidden/>
    <w:rsid w:val="00BF0C86"/>
    <w:rPr>
      <w:lang w:eastAsia="es-ES_tradnl"/>
    </w:rPr>
  </w:style>
  <w:style w:type="character" w:styleId="Nmerodepgina">
    <w:name w:val="page number"/>
    <w:basedOn w:val="Fuentedeprrafopredeter"/>
    <w:uiPriority w:val="99"/>
    <w:semiHidden/>
    <w:unhideWhenUsed/>
    <w:rsid w:val="00276ADD"/>
  </w:style>
  <w:style w:type="character" w:customStyle="1" w:styleId="SubttuloCar">
    <w:name w:val="Subtítulo Car"/>
    <w:basedOn w:val="Fuentedeprrafopredeter"/>
    <w:link w:val="Subttulo"/>
    <w:uiPriority w:val="11"/>
    <w:rsid w:val="003112E5"/>
    <w:rPr>
      <w:rFonts w:ascii="Georgia" w:eastAsia="Georgia" w:hAnsi="Georgia" w:cs="Georgia"/>
      <w:i/>
      <w:color w:val="666666"/>
      <w:sz w:val="48"/>
      <w:szCs w:val="48"/>
      <w:lang w:eastAsia="es-ES_tradnl"/>
    </w:rPr>
  </w:style>
  <w:style w:type="paragraph" w:customStyle="1" w:styleId="s3">
    <w:name w:val="s3"/>
    <w:basedOn w:val="Normal"/>
    <w:rsid w:val="00557E8B"/>
    <w:pPr>
      <w:spacing w:before="100" w:beforeAutospacing="1" w:after="100" w:afterAutospacing="1"/>
    </w:pPr>
  </w:style>
  <w:style w:type="paragraph" w:styleId="Textoindependiente">
    <w:name w:val="Body Text"/>
    <w:basedOn w:val="Normal"/>
    <w:link w:val="TextoindependienteCar"/>
    <w:uiPriority w:val="99"/>
    <w:unhideWhenUsed/>
    <w:rsid w:val="00195A9E"/>
    <w:pPr>
      <w:spacing w:before="100" w:beforeAutospacing="1" w:after="100" w:afterAutospacing="1"/>
    </w:pPr>
  </w:style>
  <w:style w:type="character" w:customStyle="1" w:styleId="TextoindependienteCar">
    <w:name w:val="Texto independiente Car"/>
    <w:basedOn w:val="Fuentedeprrafopredeter"/>
    <w:link w:val="Textoindependiente"/>
    <w:uiPriority w:val="99"/>
    <w:rsid w:val="00195A9E"/>
    <w:rPr>
      <w:lang w:eastAsia="es-ES_tradnl"/>
    </w:rPr>
  </w:style>
  <w:style w:type="paragraph" w:styleId="Listaconvietas">
    <w:name w:val="List Bullet"/>
    <w:basedOn w:val="Normal"/>
    <w:uiPriority w:val="99"/>
    <w:unhideWhenUsed/>
    <w:rsid w:val="00195A9E"/>
    <w:pPr>
      <w:spacing w:before="100" w:beforeAutospacing="1" w:after="100" w:afterAutospacing="1"/>
    </w:pPr>
  </w:style>
  <w:style w:type="paragraph" w:styleId="Textoindependiente2">
    <w:name w:val="Body Text 2"/>
    <w:basedOn w:val="Normal"/>
    <w:link w:val="Textoindependiente2Car"/>
    <w:uiPriority w:val="99"/>
    <w:semiHidden/>
    <w:unhideWhenUsed/>
    <w:rsid w:val="002450CE"/>
    <w:pPr>
      <w:spacing w:after="120" w:line="480" w:lineRule="auto"/>
    </w:pPr>
  </w:style>
  <w:style w:type="character" w:customStyle="1" w:styleId="Textoindependiente2Car">
    <w:name w:val="Texto independiente 2 Car"/>
    <w:basedOn w:val="Fuentedeprrafopredeter"/>
    <w:link w:val="Textoindependiente2"/>
    <w:uiPriority w:val="99"/>
    <w:semiHidden/>
    <w:rsid w:val="002450CE"/>
    <w:rPr>
      <w:lang w:eastAsia="es-ES_tradnl"/>
    </w:rPr>
  </w:style>
  <w:style w:type="paragraph" w:styleId="Sinespaciado">
    <w:name w:val="No Spacing"/>
    <w:link w:val="SinespaciadoCar"/>
    <w:uiPriority w:val="1"/>
    <w:qFormat/>
    <w:rsid w:val="00984191"/>
    <w:rPr>
      <w:rFonts w:asciiTheme="minorHAnsi" w:hAnsiTheme="minorHAnsi"/>
      <w:sz w:val="22"/>
      <w:szCs w:val="22"/>
      <w:lang w:eastAsia="en-US"/>
    </w:rPr>
  </w:style>
  <w:style w:type="character" w:customStyle="1" w:styleId="baj">
    <w:name w:val="b_aj"/>
    <w:basedOn w:val="Fuentedeprrafopredeter"/>
    <w:rsid w:val="00D22540"/>
  </w:style>
  <w:style w:type="paragraph" w:styleId="Lista">
    <w:name w:val="List"/>
    <w:basedOn w:val="Normal"/>
    <w:unhideWhenUsed/>
    <w:rsid w:val="00722F85"/>
    <w:pPr>
      <w:spacing w:after="200" w:line="276" w:lineRule="auto"/>
      <w:ind w:left="283" w:hanging="283"/>
      <w:contextualSpacing/>
    </w:pPr>
    <w:rPr>
      <w:rFonts w:eastAsia="Calibri"/>
      <w:sz w:val="28"/>
      <w:szCs w:val="22"/>
      <w:lang w:eastAsia="en-US"/>
    </w:rPr>
  </w:style>
  <w:style w:type="character" w:customStyle="1" w:styleId="SinespaciadoCar">
    <w:name w:val="Sin espaciado Car"/>
    <w:link w:val="Sinespaciado"/>
    <w:uiPriority w:val="1"/>
    <w:locked/>
    <w:rsid w:val="00C46C47"/>
    <w:rPr>
      <w:rFonts w:asciiTheme="minorHAnsi" w:hAnsiTheme="minorHAnsi"/>
      <w:sz w:val="22"/>
      <w:szCs w:val="22"/>
      <w:lang w:eastAsia="en-US"/>
    </w:rPr>
  </w:style>
  <w:style w:type="character" w:customStyle="1" w:styleId="fui-buttonicon">
    <w:name w:val="fui-button__icon"/>
    <w:basedOn w:val="Fuentedeprrafopredeter"/>
    <w:rsid w:val="00A31F09"/>
  </w:style>
  <w:style w:type="paragraph" w:styleId="TtuloTDC">
    <w:name w:val="TOC Heading"/>
    <w:basedOn w:val="Ttulo1"/>
    <w:next w:val="Normal"/>
    <w:uiPriority w:val="39"/>
    <w:unhideWhenUsed/>
    <w:qFormat/>
    <w:rsid w:val="00C45110"/>
    <w:pPr>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DC1">
    <w:name w:val="toc 1"/>
    <w:basedOn w:val="Normal"/>
    <w:next w:val="Normal"/>
    <w:autoRedefine/>
    <w:uiPriority w:val="39"/>
    <w:unhideWhenUsed/>
    <w:rsid w:val="00C45110"/>
    <w:pPr>
      <w:spacing w:before="120"/>
    </w:pPr>
    <w:rPr>
      <w:rFonts w:asciiTheme="minorHAnsi" w:hAnsiTheme="minorHAnsi"/>
      <w:b/>
      <w:bCs/>
      <w:i/>
      <w:iCs/>
    </w:rPr>
  </w:style>
  <w:style w:type="paragraph" w:styleId="TDC2">
    <w:name w:val="toc 2"/>
    <w:basedOn w:val="Normal"/>
    <w:next w:val="Normal"/>
    <w:autoRedefine/>
    <w:uiPriority w:val="39"/>
    <w:unhideWhenUsed/>
    <w:rsid w:val="00C45110"/>
    <w:pPr>
      <w:spacing w:before="120"/>
      <w:ind w:left="240"/>
    </w:pPr>
    <w:rPr>
      <w:rFonts w:asciiTheme="minorHAnsi" w:hAnsiTheme="minorHAnsi"/>
      <w:b/>
      <w:bCs/>
      <w:sz w:val="22"/>
      <w:szCs w:val="22"/>
    </w:rPr>
  </w:style>
  <w:style w:type="paragraph" w:styleId="TDC3">
    <w:name w:val="toc 3"/>
    <w:basedOn w:val="Normal"/>
    <w:next w:val="Normal"/>
    <w:autoRedefine/>
    <w:uiPriority w:val="39"/>
    <w:unhideWhenUsed/>
    <w:rsid w:val="00C45110"/>
    <w:pPr>
      <w:ind w:left="480"/>
    </w:pPr>
    <w:rPr>
      <w:rFonts w:asciiTheme="minorHAnsi" w:hAnsiTheme="minorHAnsi"/>
      <w:sz w:val="20"/>
      <w:szCs w:val="20"/>
    </w:rPr>
  </w:style>
  <w:style w:type="paragraph" w:styleId="TDC4">
    <w:name w:val="toc 4"/>
    <w:basedOn w:val="Normal"/>
    <w:next w:val="Normal"/>
    <w:autoRedefine/>
    <w:uiPriority w:val="39"/>
    <w:semiHidden/>
    <w:unhideWhenUsed/>
    <w:rsid w:val="00C45110"/>
    <w:pPr>
      <w:ind w:left="720"/>
    </w:pPr>
    <w:rPr>
      <w:rFonts w:asciiTheme="minorHAnsi" w:hAnsiTheme="minorHAnsi"/>
      <w:sz w:val="20"/>
      <w:szCs w:val="20"/>
    </w:rPr>
  </w:style>
  <w:style w:type="paragraph" w:styleId="TDC5">
    <w:name w:val="toc 5"/>
    <w:basedOn w:val="Normal"/>
    <w:next w:val="Normal"/>
    <w:autoRedefine/>
    <w:uiPriority w:val="39"/>
    <w:semiHidden/>
    <w:unhideWhenUsed/>
    <w:rsid w:val="00C45110"/>
    <w:pPr>
      <w:ind w:left="960"/>
    </w:pPr>
    <w:rPr>
      <w:rFonts w:asciiTheme="minorHAnsi" w:hAnsiTheme="minorHAnsi"/>
      <w:sz w:val="20"/>
      <w:szCs w:val="20"/>
    </w:rPr>
  </w:style>
  <w:style w:type="paragraph" w:styleId="TDC6">
    <w:name w:val="toc 6"/>
    <w:basedOn w:val="Normal"/>
    <w:next w:val="Normal"/>
    <w:autoRedefine/>
    <w:uiPriority w:val="39"/>
    <w:semiHidden/>
    <w:unhideWhenUsed/>
    <w:rsid w:val="00C45110"/>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C45110"/>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C45110"/>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C45110"/>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118">
      <w:bodyDiv w:val="1"/>
      <w:marLeft w:val="0"/>
      <w:marRight w:val="0"/>
      <w:marTop w:val="0"/>
      <w:marBottom w:val="0"/>
      <w:divBdr>
        <w:top w:val="none" w:sz="0" w:space="0" w:color="auto"/>
        <w:left w:val="none" w:sz="0" w:space="0" w:color="auto"/>
        <w:bottom w:val="none" w:sz="0" w:space="0" w:color="auto"/>
        <w:right w:val="none" w:sz="0" w:space="0" w:color="auto"/>
      </w:divBdr>
    </w:div>
    <w:div w:id="6905117">
      <w:bodyDiv w:val="1"/>
      <w:marLeft w:val="0"/>
      <w:marRight w:val="0"/>
      <w:marTop w:val="0"/>
      <w:marBottom w:val="0"/>
      <w:divBdr>
        <w:top w:val="none" w:sz="0" w:space="0" w:color="auto"/>
        <w:left w:val="none" w:sz="0" w:space="0" w:color="auto"/>
        <w:bottom w:val="none" w:sz="0" w:space="0" w:color="auto"/>
        <w:right w:val="none" w:sz="0" w:space="0" w:color="auto"/>
      </w:divBdr>
    </w:div>
    <w:div w:id="19403106">
      <w:bodyDiv w:val="1"/>
      <w:marLeft w:val="0"/>
      <w:marRight w:val="0"/>
      <w:marTop w:val="0"/>
      <w:marBottom w:val="0"/>
      <w:divBdr>
        <w:top w:val="none" w:sz="0" w:space="0" w:color="auto"/>
        <w:left w:val="none" w:sz="0" w:space="0" w:color="auto"/>
        <w:bottom w:val="none" w:sz="0" w:space="0" w:color="auto"/>
        <w:right w:val="none" w:sz="0" w:space="0" w:color="auto"/>
      </w:divBdr>
    </w:div>
    <w:div w:id="26218153">
      <w:bodyDiv w:val="1"/>
      <w:marLeft w:val="0"/>
      <w:marRight w:val="0"/>
      <w:marTop w:val="0"/>
      <w:marBottom w:val="0"/>
      <w:divBdr>
        <w:top w:val="none" w:sz="0" w:space="0" w:color="auto"/>
        <w:left w:val="none" w:sz="0" w:space="0" w:color="auto"/>
        <w:bottom w:val="none" w:sz="0" w:space="0" w:color="auto"/>
        <w:right w:val="none" w:sz="0" w:space="0" w:color="auto"/>
      </w:divBdr>
    </w:div>
    <w:div w:id="35014202">
      <w:bodyDiv w:val="1"/>
      <w:marLeft w:val="0"/>
      <w:marRight w:val="0"/>
      <w:marTop w:val="0"/>
      <w:marBottom w:val="0"/>
      <w:divBdr>
        <w:top w:val="none" w:sz="0" w:space="0" w:color="auto"/>
        <w:left w:val="none" w:sz="0" w:space="0" w:color="auto"/>
        <w:bottom w:val="none" w:sz="0" w:space="0" w:color="auto"/>
        <w:right w:val="none" w:sz="0" w:space="0" w:color="auto"/>
      </w:divBdr>
    </w:div>
    <w:div w:id="44718219">
      <w:bodyDiv w:val="1"/>
      <w:marLeft w:val="0"/>
      <w:marRight w:val="0"/>
      <w:marTop w:val="0"/>
      <w:marBottom w:val="0"/>
      <w:divBdr>
        <w:top w:val="none" w:sz="0" w:space="0" w:color="auto"/>
        <w:left w:val="none" w:sz="0" w:space="0" w:color="auto"/>
        <w:bottom w:val="none" w:sz="0" w:space="0" w:color="auto"/>
        <w:right w:val="none" w:sz="0" w:space="0" w:color="auto"/>
      </w:divBdr>
    </w:div>
    <w:div w:id="76827112">
      <w:bodyDiv w:val="1"/>
      <w:marLeft w:val="0"/>
      <w:marRight w:val="0"/>
      <w:marTop w:val="0"/>
      <w:marBottom w:val="0"/>
      <w:divBdr>
        <w:top w:val="none" w:sz="0" w:space="0" w:color="auto"/>
        <w:left w:val="none" w:sz="0" w:space="0" w:color="auto"/>
        <w:bottom w:val="none" w:sz="0" w:space="0" w:color="auto"/>
        <w:right w:val="none" w:sz="0" w:space="0" w:color="auto"/>
      </w:divBdr>
    </w:div>
    <w:div w:id="79064330">
      <w:bodyDiv w:val="1"/>
      <w:marLeft w:val="0"/>
      <w:marRight w:val="0"/>
      <w:marTop w:val="0"/>
      <w:marBottom w:val="0"/>
      <w:divBdr>
        <w:top w:val="none" w:sz="0" w:space="0" w:color="auto"/>
        <w:left w:val="none" w:sz="0" w:space="0" w:color="auto"/>
        <w:bottom w:val="none" w:sz="0" w:space="0" w:color="auto"/>
        <w:right w:val="none" w:sz="0" w:space="0" w:color="auto"/>
      </w:divBdr>
    </w:div>
    <w:div w:id="88549389">
      <w:bodyDiv w:val="1"/>
      <w:marLeft w:val="0"/>
      <w:marRight w:val="0"/>
      <w:marTop w:val="0"/>
      <w:marBottom w:val="0"/>
      <w:divBdr>
        <w:top w:val="none" w:sz="0" w:space="0" w:color="auto"/>
        <w:left w:val="none" w:sz="0" w:space="0" w:color="auto"/>
        <w:bottom w:val="none" w:sz="0" w:space="0" w:color="auto"/>
        <w:right w:val="none" w:sz="0" w:space="0" w:color="auto"/>
      </w:divBdr>
    </w:div>
    <w:div w:id="102112962">
      <w:bodyDiv w:val="1"/>
      <w:marLeft w:val="0"/>
      <w:marRight w:val="0"/>
      <w:marTop w:val="0"/>
      <w:marBottom w:val="0"/>
      <w:divBdr>
        <w:top w:val="none" w:sz="0" w:space="0" w:color="auto"/>
        <w:left w:val="none" w:sz="0" w:space="0" w:color="auto"/>
        <w:bottom w:val="none" w:sz="0" w:space="0" w:color="auto"/>
        <w:right w:val="none" w:sz="0" w:space="0" w:color="auto"/>
      </w:divBdr>
    </w:div>
    <w:div w:id="103120001">
      <w:bodyDiv w:val="1"/>
      <w:marLeft w:val="0"/>
      <w:marRight w:val="0"/>
      <w:marTop w:val="0"/>
      <w:marBottom w:val="0"/>
      <w:divBdr>
        <w:top w:val="none" w:sz="0" w:space="0" w:color="auto"/>
        <w:left w:val="none" w:sz="0" w:space="0" w:color="auto"/>
        <w:bottom w:val="none" w:sz="0" w:space="0" w:color="auto"/>
        <w:right w:val="none" w:sz="0" w:space="0" w:color="auto"/>
      </w:divBdr>
    </w:div>
    <w:div w:id="104270357">
      <w:bodyDiv w:val="1"/>
      <w:marLeft w:val="0"/>
      <w:marRight w:val="0"/>
      <w:marTop w:val="0"/>
      <w:marBottom w:val="0"/>
      <w:divBdr>
        <w:top w:val="none" w:sz="0" w:space="0" w:color="auto"/>
        <w:left w:val="none" w:sz="0" w:space="0" w:color="auto"/>
        <w:bottom w:val="none" w:sz="0" w:space="0" w:color="auto"/>
        <w:right w:val="none" w:sz="0" w:space="0" w:color="auto"/>
      </w:divBdr>
      <w:divsChild>
        <w:div w:id="1498693173">
          <w:marLeft w:val="0"/>
          <w:marRight w:val="0"/>
          <w:marTop w:val="0"/>
          <w:marBottom w:val="0"/>
          <w:divBdr>
            <w:top w:val="none" w:sz="0" w:space="0" w:color="auto"/>
            <w:left w:val="none" w:sz="0" w:space="0" w:color="auto"/>
            <w:bottom w:val="none" w:sz="0" w:space="0" w:color="auto"/>
            <w:right w:val="none" w:sz="0" w:space="0" w:color="auto"/>
          </w:divBdr>
          <w:divsChild>
            <w:div w:id="1641153929">
              <w:marLeft w:val="0"/>
              <w:marRight w:val="0"/>
              <w:marTop w:val="0"/>
              <w:marBottom w:val="0"/>
              <w:divBdr>
                <w:top w:val="none" w:sz="0" w:space="0" w:color="auto"/>
                <w:left w:val="none" w:sz="0" w:space="0" w:color="auto"/>
                <w:bottom w:val="none" w:sz="0" w:space="0" w:color="auto"/>
                <w:right w:val="none" w:sz="0" w:space="0" w:color="auto"/>
              </w:divBdr>
              <w:divsChild>
                <w:div w:id="5841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6913">
      <w:bodyDiv w:val="1"/>
      <w:marLeft w:val="0"/>
      <w:marRight w:val="0"/>
      <w:marTop w:val="0"/>
      <w:marBottom w:val="0"/>
      <w:divBdr>
        <w:top w:val="none" w:sz="0" w:space="0" w:color="auto"/>
        <w:left w:val="none" w:sz="0" w:space="0" w:color="auto"/>
        <w:bottom w:val="none" w:sz="0" w:space="0" w:color="auto"/>
        <w:right w:val="none" w:sz="0" w:space="0" w:color="auto"/>
      </w:divBdr>
    </w:div>
    <w:div w:id="127092803">
      <w:bodyDiv w:val="1"/>
      <w:marLeft w:val="0"/>
      <w:marRight w:val="0"/>
      <w:marTop w:val="0"/>
      <w:marBottom w:val="0"/>
      <w:divBdr>
        <w:top w:val="none" w:sz="0" w:space="0" w:color="auto"/>
        <w:left w:val="none" w:sz="0" w:space="0" w:color="auto"/>
        <w:bottom w:val="none" w:sz="0" w:space="0" w:color="auto"/>
        <w:right w:val="none" w:sz="0" w:space="0" w:color="auto"/>
      </w:divBdr>
    </w:div>
    <w:div w:id="149368574">
      <w:bodyDiv w:val="1"/>
      <w:marLeft w:val="0"/>
      <w:marRight w:val="0"/>
      <w:marTop w:val="0"/>
      <w:marBottom w:val="0"/>
      <w:divBdr>
        <w:top w:val="none" w:sz="0" w:space="0" w:color="auto"/>
        <w:left w:val="none" w:sz="0" w:space="0" w:color="auto"/>
        <w:bottom w:val="none" w:sz="0" w:space="0" w:color="auto"/>
        <w:right w:val="none" w:sz="0" w:space="0" w:color="auto"/>
      </w:divBdr>
    </w:div>
    <w:div w:id="176848278">
      <w:bodyDiv w:val="1"/>
      <w:marLeft w:val="0"/>
      <w:marRight w:val="0"/>
      <w:marTop w:val="0"/>
      <w:marBottom w:val="0"/>
      <w:divBdr>
        <w:top w:val="none" w:sz="0" w:space="0" w:color="auto"/>
        <w:left w:val="none" w:sz="0" w:space="0" w:color="auto"/>
        <w:bottom w:val="none" w:sz="0" w:space="0" w:color="auto"/>
        <w:right w:val="none" w:sz="0" w:space="0" w:color="auto"/>
      </w:divBdr>
    </w:div>
    <w:div w:id="180776365">
      <w:bodyDiv w:val="1"/>
      <w:marLeft w:val="0"/>
      <w:marRight w:val="0"/>
      <w:marTop w:val="0"/>
      <w:marBottom w:val="0"/>
      <w:divBdr>
        <w:top w:val="none" w:sz="0" w:space="0" w:color="auto"/>
        <w:left w:val="none" w:sz="0" w:space="0" w:color="auto"/>
        <w:bottom w:val="none" w:sz="0" w:space="0" w:color="auto"/>
        <w:right w:val="none" w:sz="0" w:space="0" w:color="auto"/>
      </w:divBdr>
    </w:div>
    <w:div w:id="181287922">
      <w:bodyDiv w:val="1"/>
      <w:marLeft w:val="0"/>
      <w:marRight w:val="0"/>
      <w:marTop w:val="0"/>
      <w:marBottom w:val="0"/>
      <w:divBdr>
        <w:top w:val="none" w:sz="0" w:space="0" w:color="auto"/>
        <w:left w:val="none" w:sz="0" w:space="0" w:color="auto"/>
        <w:bottom w:val="none" w:sz="0" w:space="0" w:color="auto"/>
        <w:right w:val="none" w:sz="0" w:space="0" w:color="auto"/>
      </w:divBdr>
    </w:div>
    <w:div w:id="182987495">
      <w:bodyDiv w:val="1"/>
      <w:marLeft w:val="0"/>
      <w:marRight w:val="0"/>
      <w:marTop w:val="0"/>
      <w:marBottom w:val="0"/>
      <w:divBdr>
        <w:top w:val="none" w:sz="0" w:space="0" w:color="auto"/>
        <w:left w:val="none" w:sz="0" w:space="0" w:color="auto"/>
        <w:bottom w:val="none" w:sz="0" w:space="0" w:color="auto"/>
        <w:right w:val="none" w:sz="0" w:space="0" w:color="auto"/>
      </w:divBdr>
    </w:div>
    <w:div w:id="184221719">
      <w:bodyDiv w:val="1"/>
      <w:marLeft w:val="0"/>
      <w:marRight w:val="0"/>
      <w:marTop w:val="0"/>
      <w:marBottom w:val="0"/>
      <w:divBdr>
        <w:top w:val="none" w:sz="0" w:space="0" w:color="auto"/>
        <w:left w:val="none" w:sz="0" w:space="0" w:color="auto"/>
        <w:bottom w:val="none" w:sz="0" w:space="0" w:color="auto"/>
        <w:right w:val="none" w:sz="0" w:space="0" w:color="auto"/>
      </w:divBdr>
    </w:div>
    <w:div w:id="187447257">
      <w:bodyDiv w:val="1"/>
      <w:marLeft w:val="0"/>
      <w:marRight w:val="0"/>
      <w:marTop w:val="0"/>
      <w:marBottom w:val="0"/>
      <w:divBdr>
        <w:top w:val="none" w:sz="0" w:space="0" w:color="auto"/>
        <w:left w:val="none" w:sz="0" w:space="0" w:color="auto"/>
        <w:bottom w:val="none" w:sz="0" w:space="0" w:color="auto"/>
        <w:right w:val="none" w:sz="0" w:space="0" w:color="auto"/>
      </w:divBdr>
    </w:div>
    <w:div w:id="207573792">
      <w:bodyDiv w:val="1"/>
      <w:marLeft w:val="0"/>
      <w:marRight w:val="0"/>
      <w:marTop w:val="0"/>
      <w:marBottom w:val="0"/>
      <w:divBdr>
        <w:top w:val="none" w:sz="0" w:space="0" w:color="auto"/>
        <w:left w:val="none" w:sz="0" w:space="0" w:color="auto"/>
        <w:bottom w:val="none" w:sz="0" w:space="0" w:color="auto"/>
        <w:right w:val="none" w:sz="0" w:space="0" w:color="auto"/>
      </w:divBdr>
    </w:div>
    <w:div w:id="211382031">
      <w:bodyDiv w:val="1"/>
      <w:marLeft w:val="0"/>
      <w:marRight w:val="0"/>
      <w:marTop w:val="0"/>
      <w:marBottom w:val="0"/>
      <w:divBdr>
        <w:top w:val="none" w:sz="0" w:space="0" w:color="auto"/>
        <w:left w:val="none" w:sz="0" w:space="0" w:color="auto"/>
        <w:bottom w:val="none" w:sz="0" w:space="0" w:color="auto"/>
        <w:right w:val="none" w:sz="0" w:space="0" w:color="auto"/>
      </w:divBdr>
    </w:div>
    <w:div w:id="211423384">
      <w:bodyDiv w:val="1"/>
      <w:marLeft w:val="0"/>
      <w:marRight w:val="0"/>
      <w:marTop w:val="0"/>
      <w:marBottom w:val="0"/>
      <w:divBdr>
        <w:top w:val="none" w:sz="0" w:space="0" w:color="auto"/>
        <w:left w:val="none" w:sz="0" w:space="0" w:color="auto"/>
        <w:bottom w:val="none" w:sz="0" w:space="0" w:color="auto"/>
        <w:right w:val="none" w:sz="0" w:space="0" w:color="auto"/>
      </w:divBdr>
    </w:div>
    <w:div w:id="219052399">
      <w:bodyDiv w:val="1"/>
      <w:marLeft w:val="0"/>
      <w:marRight w:val="0"/>
      <w:marTop w:val="0"/>
      <w:marBottom w:val="0"/>
      <w:divBdr>
        <w:top w:val="none" w:sz="0" w:space="0" w:color="auto"/>
        <w:left w:val="none" w:sz="0" w:space="0" w:color="auto"/>
        <w:bottom w:val="none" w:sz="0" w:space="0" w:color="auto"/>
        <w:right w:val="none" w:sz="0" w:space="0" w:color="auto"/>
      </w:divBdr>
    </w:div>
    <w:div w:id="219557291">
      <w:bodyDiv w:val="1"/>
      <w:marLeft w:val="0"/>
      <w:marRight w:val="0"/>
      <w:marTop w:val="0"/>
      <w:marBottom w:val="0"/>
      <w:divBdr>
        <w:top w:val="none" w:sz="0" w:space="0" w:color="auto"/>
        <w:left w:val="none" w:sz="0" w:space="0" w:color="auto"/>
        <w:bottom w:val="none" w:sz="0" w:space="0" w:color="auto"/>
        <w:right w:val="none" w:sz="0" w:space="0" w:color="auto"/>
      </w:divBdr>
    </w:div>
    <w:div w:id="230042466">
      <w:bodyDiv w:val="1"/>
      <w:marLeft w:val="0"/>
      <w:marRight w:val="0"/>
      <w:marTop w:val="0"/>
      <w:marBottom w:val="0"/>
      <w:divBdr>
        <w:top w:val="none" w:sz="0" w:space="0" w:color="auto"/>
        <w:left w:val="none" w:sz="0" w:space="0" w:color="auto"/>
        <w:bottom w:val="none" w:sz="0" w:space="0" w:color="auto"/>
        <w:right w:val="none" w:sz="0" w:space="0" w:color="auto"/>
      </w:divBdr>
    </w:div>
    <w:div w:id="232089099">
      <w:bodyDiv w:val="1"/>
      <w:marLeft w:val="0"/>
      <w:marRight w:val="0"/>
      <w:marTop w:val="0"/>
      <w:marBottom w:val="0"/>
      <w:divBdr>
        <w:top w:val="none" w:sz="0" w:space="0" w:color="auto"/>
        <w:left w:val="none" w:sz="0" w:space="0" w:color="auto"/>
        <w:bottom w:val="none" w:sz="0" w:space="0" w:color="auto"/>
        <w:right w:val="none" w:sz="0" w:space="0" w:color="auto"/>
      </w:divBdr>
      <w:divsChild>
        <w:div w:id="1362628172">
          <w:marLeft w:val="0"/>
          <w:marRight w:val="0"/>
          <w:marTop w:val="0"/>
          <w:marBottom w:val="0"/>
          <w:divBdr>
            <w:top w:val="none" w:sz="0" w:space="0" w:color="auto"/>
            <w:left w:val="none" w:sz="0" w:space="0" w:color="auto"/>
            <w:bottom w:val="none" w:sz="0" w:space="0" w:color="auto"/>
            <w:right w:val="none" w:sz="0" w:space="0" w:color="auto"/>
          </w:divBdr>
          <w:divsChild>
            <w:div w:id="586502108">
              <w:marLeft w:val="0"/>
              <w:marRight w:val="0"/>
              <w:marTop w:val="0"/>
              <w:marBottom w:val="0"/>
              <w:divBdr>
                <w:top w:val="none" w:sz="0" w:space="0" w:color="auto"/>
                <w:left w:val="none" w:sz="0" w:space="0" w:color="auto"/>
                <w:bottom w:val="none" w:sz="0" w:space="0" w:color="auto"/>
                <w:right w:val="none" w:sz="0" w:space="0" w:color="auto"/>
              </w:divBdr>
              <w:divsChild>
                <w:div w:id="16910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96729">
      <w:bodyDiv w:val="1"/>
      <w:marLeft w:val="0"/>
      <w:marRight w:val="0"/>
      <w:marTop w:val="0"/>
      <w:marBottom w:val="0"/>
      <w:divBdr>
        <w:top w:val="none" w:sz="0" w:space="0" w:color="auto"/>
        <w:left w:val="none" w:sz="0" w:space="0" w:color="auto"/>
        <w:bottom w:val="none" w:sz="0" w:space="0" w:color="auto"/>
        <w:right w:val="none" w:sz="0" w:space="0" w:color="auto"/>
      </w:divBdr>
    </w:div>
    <w:div w:id="240994017">
      <w:bodyDiv w:val="1"/>
      <w:marLeft w:val="0"/>
      <w:marRight w:val="0"/>
      <w:marTop w:val="0"/>
      <w:marBottom w:val="0"/>
      <w:divBdr>
        <w:top w:val="none" w:sz="0" w:space="0" w:color="auto"/>
        <w:left w:val="none" w:sz="0" w:space="0" w:color="auto"/>
        <w:bottom w:val="none" w:sz="0" w:space="0" w:color="auto"/>
        <w:right w:val="none" w:sz="0" w:space="0" w:color="auto"/>
      </w:divBdr>
    </w:div>
    <w:div w:id="246809786">
      <w:bodyDiv w:val="1"/>
      <w:marLeft w:val="0"/>
      <w:marRight w:val="0"/>
      <w:marTop w:val="0"/>
      <w:marBottom w:val="0"/>
      <w:divBdr>
        <w:top w:val="none" w:sz="0" w:space="0" w:color="auto"/>
        <w:left w:val="none" w:sz="0" w:space="0" w:color="auto"/>
        <w:bottom w:val="none" w:sz="0" w:space="0" w:color="auto"/>
        <w:right w:val="none" w:sz="0" w:space="0" w:color="auto"/>
      </w:divBdr>
    </w:div>
    <w:div w:id="261914598">
      <w:bodyDiv w:val="1"/>
      <w:marLeft w:val="0"/>
      <w:marRight w:val="0"/>
      <w:marTop w:val="0"/>
      <w:marBottom w:val="0"/>
      <w:divBdr>
        <w:top w:val="none" w:sz="0" w:space="0" w:color="auto"/>
        <w:left w:val="none" w:sz="0" w:space="0" w:color="auto"/>
        <w:bottom w:val="none" w:sz="0" w:space="0" w:color="auto"/>
        <w:right w:val="none" w:sz="0" w:space="0" w:color="auto"/>
      </w:divBdr>
    </w:div>
    <w:div w:id="275674488">
      <w:bodyDiv w:val="1"/>
      <w:marLeft w:val="0"/>
      <w:marRight w:val="0"/>
      <w:marTop w:val="0"/>
      <w:marBottom w:val="0"/>
      <w:divBdr>
        <w:top w:val="none" w:sz="0" w:space="0" w:color="auto"/>
        <w:left w:val="none" w:sz="0" w:space="0" w:color="auto"/>
        <w:bottom w:val="none" w:sz="0" w:space="0" w:color="auto"/>
        <w:right w:val="none" w:sz="0" w:space="0" w:color="auto"/>
      </w:divBdr>
    </w:div>
    <w:div w:id="308902079">
      <w:bodyDiv w:val="1"/>
      <w:marLeft w:val="0"/>
      <w:marRight w:val="0"/>
      <w:marTop w:val="0"/>
      <w:marBottom w:val="0"/>
      <w:divBdr>
        <w:top w:val="none" w:sz="0" w:space="0" w:color="auto"/>
        <w:left w:val="none" w:sz="0" w:space="0" w:color="auto"/>
        <w:bottom w:val="none" w:sz="0" w:space="0" w:color="auto"/>
        <w:right w:val="none" w:sz="0" w:space="0" w:color="auto"/>
      </w:divBdr>
    </w:div>
    <w:div w:id="323826661">
      <w:bodyDiv w:val="1"/>
      <w:marLeft w:val="0"/>
      <w:marRight w:val="0"/>
      <w:marTop w:val="0"/>
      <w:marBottom w:val="0"/>
      <w:divBdr>
        <w:top w:val="none" w:sz="0" w:space="0" w:color="auto"/>
        <w:left w:val="none" w:sz="0" w:space="0" w:color="auto"/>
        <w:bottom w:val="none" w:sz="0" w:space="0" w:color="auto"/>
        <w:right w:val="none" w:sz="0" w:space="0" w:color="auto"/>
      </w:divBdr>
    </w:div>
    <w:div w:id="325743798">
      <w:bodyDiv w:val="1"/>
      <w:marLeft w:val="0"/>
      <w:marRight w:val="0"/>
      <w:marTop w:val="0"/>
      <w:marBottom w:val="0"/>
      <w:divBdr>
        <w:top w:val="none" w:sz="0" w:space="0" w:color="auto"/>
        <w:left w:val="none" w:sz="0" w:space="0" w:color="auto"/>
        <w:bottom w:val="none" w:sz="0" w:space="0" w:color="auto"/>
        <w:right w:val="none" w:sz="0" w:space="0" w:color="auto"/>
      </w:divBdr>
    </w:div>
    <w:div w:id="337663719">
      <w:bodyDiv w:val="1"/>
      <w:marLeft w:val="0"/>
      <w:marRight w:val="0"/>
      <w:marTop w:val="0"/>
      <w:marBottom w:val="0"/>
      <w:divBdr>
        <w:top w:val="none" w:sz="0" w:space="0" w:color="auto"/>
        <w:left w:val="none" w:sz="0" w:space="0" w:color="auto"/>
        <w:bottom w:val="none" w:sz="0" w:space="0" w:color="auto"/>
        <w:right w:val="none" w:sz="0" w:space="0" w:color="auto"/>
      </w:divBdr>
    </w:div>
    <w:div w:id="346566847">
      <w:bodyDiv w:val="1"/>
      <w:marLeft w:val="0"/>
      <w:marRight w:val="0"/>
      <w:marTop w:val="0"/>
      <w:marBottom w:val="0"/>
      <w:divBdr>
        <w:top w:val="none" w:sz="0" w:space="0" w:color="auto"/>
        <w:left w:val="none" w:sz="0" w:space="0" w:color="auto"/>
        <w:bottom w:val="none" w:sz="0" w:space="0" w:color="auto"/>
        <w:right w:val="none" w:sz="0" w:space="0" w:color="auto"/>
      </w:divBdr>
    </w:div>
    <w:div w:id="346834576">
      <w:bodyDiv w:val="1"/>
      <w:marLeft w:val="0"/>
      <w:marRight w:val="0"/>
      <w:marTop w:val="0"/>
      <w:marBottom w:val="0"/>
      <w:divBdr>
        <w:top w:val="none" w:sz="0" w:space="0" w:color="auto"/>
        <w:left w:val="none" w:sz="0" w:space="0" w:color="auto"/>
        <w:bottom w:val="none" w:sz="0" w:space="0" w:color="auto"/>
        <w:right w:val="none" w:sz="0" w:space="0" w:color="auto"/>
      </w:divBdr>
    </w:div>
    <w:div w:id="360710391">
      <w:bodyDiv w:val="1"/>
      <w:marLeft w:val="0"/>
      <w:marRight w:val="0"/>
      <w:marTop w:val="0"/>
      <w:marBottom w:val="0"/>
      <w:divBdr>
        <w:top w:val="none" w:sz="0" w:space="0" w:color="auto"/>
        <w:left w:val="none" w:sz="0" w:space="0" w:color="auto"/>
        <w:bottom w:val="none" w:sz="0" w:space="0" w:color="auto"/>
        <w:right w:val="none" w:sz="0" w:space="0" w:color="auto"/>
      </w:divBdr>
    </w:div>
    <w:div w:id="367225405">
      <w:bodyDiv w:val="1"/>
      <w:marLeft w:val="0"/>
      <w:marRight w:val="0"/>
      <w:marTop w:val="0"/>
      <w:marBottom w:val="0"/>
      <w:divBdr>
        <w:top w:val="none" w:sz="0" w:space="0" w:color="auto"/>
        <w:left w:val="none" w:sz="0" w:space="0" w:color="auto"/>
        <w:bottom w:val="none" w:sz="0" w:space="0" w:color="auto"/>
        <w:right w:val="none" w:sz="0" w:space="0" w:color="auto"/>
      </w:divBdr>
    </w:div>
    <w:div w:id="369379022">
      <w:bodyDiv w:val="1"/>
      <w:marLeft w:val="0"/>
      <w:marRight w:val="0"/>
      <w:marTop w:val="0"/>
      <w:marBottom w:val="0"/>
      <w:divBdr>
        <w:top w:val="none" w:sz="0" w:space="0" w:color="auto"/>
        <w:left w:val="none" w:sz="0" w:space="0" w:color="auto"/>
        <w:bottom w:val="none" w:sz="0" w:space="0" w:color="auto"/>
        <w:right w:val="none" w:sz="0" w:space="0" w:color="auto"/>
      </w:divBdr>
    </w:div>
    <w:div w:id="371157189">
      <w:bodyDiv w:val="1"/>
      <w:marLeft w:val="0"/>
      <w:marRight w:val="0"/>
      <w:marTop w:val="0"/>
      <w:marBottom w:val="0"/>
      <w:divBdr>
        <w:top w:val="none" w:sz="0" w:space="0" w:color="auto"/>
        <w:left w:val="none" w:sz="0" w:space="0" w:color="auto"/>
        <w:bottom w:val="none" w:sz="0" w:space="0" w:color="auto"/>
        <w:right w:val="none" w:sz="0" w:space="0" w:color="auto"/>
      </w:divBdr>
    </w:div>
    <w:div w:id="380715422">
      <w:bodyDiv w:val="1"/>
      <w:marLeft w:val="0"/>
      <w:marRight w:val="0"/>
      <w:marTop w:val="0"/>
      <w:marBottom w:val="0"/>
      <w:divBdr>
        <w:top w:val="none" w:sz="0" w:space="0" w:color="auto"/>
        <w:left w:val="none" w:sz="0" w:space="0" w:color="auto"/>
        <w:bottom w:val="none" w:sz="0" w:space="0" w:color="auto"/>
        <w:right w:val="none" w:sz="0" w:space="0" w:color="auto"/>
      </w:divBdr>
    </w:div>
    <w:div w:id="382947889">
      <w:bodyDiv w:val="1"/>
      <w:marLeft w:val="0"/>
      <w:marRight w:val="0"/>
      <w:marTop w:val="0"/>
      <w:marBottom w:val="0"/>
      <w:divBdr>
        <w:top w:val="none" w:sz="0" w:space="0" w:color="auto"/>
        <w:left w:val="none" w:sz="0" w:space="0" w:color="auto"/>
        <w:bottom w:val="none" w:sz="0" w:space="0" w:color="auto"/>
        <w:right w:val="none" w:sz="0" w:space="0" w:color="auto"/>
      </w:divBdr>
    </w:div>
    <w:div w:id="383256377">
      <w:bodyDiv w:val="1"/>
      <w:marLeft w:val="0"/>
      <w:marRight w:val="0"/>
      <w:marTop w:val="0"/>
      <w:marBottom w:val="0"/>
      <w:divBdr>
        <w:top w:val="none" w:sz="0" w:space="0" w:color="auto"/>
        <w:left w:val="none" w:sz="0" w:space="0" w:color="auto"/>
        <w:bottom w:val="none" w:sz="0" w:space="0" w:color="auto"/>
        <w:right w:val="none" w:sz="0" w:space="0" w:color="auto"/>
      </w:divBdr>
    </w:div>
    <w:div w:id="408888551">
      <w:bodyDiv w:val="1"/>
      <w:marLeft w:val="0"/>
      <w:marRight w:val="0"/>
      <w:marTop w:val="0"/>
      <w:marBottom w:val="0"/>
      <w:divBdr>
        <w:top w:val="none" w:sz="0" w:space="0" w:color="auto"/>
        <w:left w:val="none" w:sz="0" w:space="0" w:color="auto"/>
        <w:bottom w:val="none" w:sz="0" w:space="0" w:color="auto"/>
        <w:right w:val="none" w:sz="0" w:space="0" w:color="auto"/>
      </w:divBdr>
    </w:div>
    <w:div w:id="411508782">
      <w:bodyDiv w:val="1"/>
      <w:marLeft w:val="0"/>
      <w:marRight w:val="0"/>
      <w:marTop w:val="0"/>
      <w:marBottom w:val="0"/>
      <w:divBdr>
        <w:top w:val="none" w:sz="0" w:space="0" w:color="auto"/>
        <w:left w:val="none" w:sz="0" w:space="0" w:color="auto"/>
        <w:bottom w:val="none" w:sz="0" w:space="0" w:color="auto"/>
        <w:right w:val="none" w:sz="0" w:space="0" w:color="auto"/>
      </w:divBdr>
    </w:div>
    <w:div w:id="417749597">
      <w:bodyDiv w:val="1"/>
      <w:marLeft w:val="0"/>
      <w:marRight w:val="0"/>
      <w:marTop w:val="0"/>
      <w:marBottom w:val="0"/>
      <w:divBdr>
        <w:top w:val="none" w:sz="0" w:space="0" w:color="auto"/>
        <w:left w:val="none" w:sz="0" w:space="0" w:color="auto"/>
        <w:bottom w:val="none" w:sz="0" w:space="0" w:color="auto"/>
        <w:right w:val="none" w:sz="0" w:space="0" w:color="auto"/>
      </w:divBdr>
    </w:div>
    <w:div w:id="423494985">
      <w:bodyDiv w:val="1"/>
      <w:marLeft w:val="0"/>
      <w:marRight w:val="0"/>
      <w:marTop w:val="0"/>
      <w:marBottom w:val="0"/>
      <w:divBdr>
        <w:top w:val="none" w:sz="0" w:space="0" w:color="auto"/>
        <w:left w:val="none" w:sz="0" w:space="0" w:color="auto"/>
        <w:bottom w:val="none" w:sz="0" w:space="0" w:color="auto"/>
        <w:right w:val="none" w:sz="0" w:space="0" w:color="auto"/>
      </w:divBdr>
    </w:div>
    <w:div w:id="423577554">
      <w:bodyDiv w:val="1"/>
      <w:marLeft w:val="0"/>
      <w:marRight w:val="0"/>
      <w:marTop w:val="0"/>
      <w:marBottom w:val="0"/>
      <w:divBdr>
        <w:top w:val="none" w:sz="0" w:space="0" w:color="auto"/>
        <w:left w:val="none" w:sz="0" w:space="0" w:color="auto"/>
        <w:bottom w:val="none" w:sz="0" w:space="0" w:color="auto"/>
        <w:right w:val="none" w:sz="0" w:space="0" w:color="auto"/>
      </w:divBdr>
    </w:div>
    <w:div w:id="434130256">
      <w:bodyDiv w:val="1"/>
      <w:marLeft w:val="0"/>
      <w:marRight w:val="0"/>
      <w:marTop w:val="0"/>
      <w:marBottom w:val="0"/>
      <w:divBdr>
        <w:top w:val="none" w:sz="0" w:space="0" w:color="auto"/>
        <w:left w:val="none" w:sz="0" w:space="0" w:color="auto"/>
        <w:bottom w:val="none" w:sz="0" w:space="0" w:color="auto"/>
        <w:right w:val="none" w:sz="0" w:space="0" w:color="auto"/>
      </w:divBdr>
      <w:divsChild>
        <w:div w:id="1617519163">
          <w:marLeft w:val="0"/>
          <w:marRight w:val="0"/>
          <w:marTop w:val="0"/>
          <w:marBottom w:val="0"/>
          <w:divBdr>
            <w:top w:val="none" w:sz="0" w:space="0" w:color="auto"/>
            <w:left w:val="none" w:sz="0" w:space="0" w:color="auto"/>
            <w:bottom w:val="none" w:sz="0" w:space="0" w:color="auto"/>
            <w:right w:val="none" w:sz="0" w:space="0" w:color="auto"/>
          </w:divBdr>
          <w:divsChild>
            <w:div w:id="1300693622">
              <w:marLeft w:val="0"/>
              <w:marRight w:val="0"/>
              <w:marTop w:val="0"/>
              <w:marBottom w:val="0"/>
              <w:divBdr>
                <w:top w:val="none" w:sz="0" w:space="0" w:color="auto"/>
                <w:left w:val="none" w:sz="0" w:space="0" w:color="auto"/>
                <w:bottom w:val="none" w:sz="0" w:space="0" w:color="auto"/>
                <w:right w:val="none" w:sz="0" w:space="0" w:color="auto"/>
              </w:divBdr>
              <w:divsChild>
                <w:div w:id="101943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520990">
      <w:bodyDiv w:val="1"/>
      <w:marLeft w:val="0"/>
      <w:marRight w:val="0"/>
      <w:marTop w:val="0"/>
      <w:marBottom w:val="0"/>
      <w:divBdr>
        <w:top w:val="none" w:sz="0" w:space="0" w:color="auto"/>
        <w:left w:val="none" w:sz="0" w:space="0" w:color="auto"/>
        <w:bottom w:val="none" w:sz="0" w:space="0" w:color="auto"/>
        <w:right w:val="none" w:sz="0" w:space="0" w:color="auto"/>
      </w:divBdr>
    </w:div>
    <w:div w:id="442268991">
      <w:bodyDiv w:val="1"/>
      <w:marLeft w:val="0"/>
      <w:marRight w:val="0"/>
      <w:marTop w:val="0"/>
      <w:marBottom w:val="0"/>
      <w:divBdr>
        <w:top w:val="none" w:sz="0" w:space="0" w:color="auto"/>
        <w:left w:val="none" w:sz="0" w:space="0" w:color="auto"/>
        <w:bottom w:val="none" w:sz="0" w:space="0" w:color="auto"/>
        <w:right w:val="none" w:sz="0" w:space="0" w:color="auto"/>
      </w:divBdr>
    </w:div>
    <w:div w:id="442575159">
      <w:bodyDiv w:val="1"/>
      <w:marLeft w:val="0"/>
      <w:marRight w:val="0"/>
      <w:marTop w:val="0"/>
      <w:marBottom w:val="0"/>
      <w:divBdr>
        <w:top w:val="none" w:sz="0" w:space="0" w:color="auto"/>
        <w:left w:val="none" w:sz="0" w:space="0" w:color="auto"/>
        <w:bottom w:val="none" w:sz="0" w:space="0" w:color="auto"/>
        <w:right w:val="none" w:sz="0" w:space="0" w:color="auto"/>
      </w:divBdr>
    </w:div>
    <w:div w:id="454643639">
      <w:bodyDiv w:val="1"/>
      <w:marLeft w:val="0"/>
      <w:marRight w:val="0"/>
      <w:marTop w:val="0"/>
      <w:marBottom w:val="0"/>
      <w:divBdr>
        <w:top w:val="none" w:sz="0" w:space="0" w:color="auto"/>
        <w:left w:val="none" w:sz="0" w:space="0" w:color="auto"/>
        <w:bottom w:val="none" w:sz="0" w:space="0" w:color="auto"/>
        <w:right w:val="none" w:sz="0" w:space="0" w:color="auto"/>
      </w:divBdr>
      <w:divsChild>
        <w:div w:id="393050341">
          <w:marLeft w:val="0"/>
          <w:marRight w:val="0"/>
          <w:marTop w:val="0"/>
          <w:marBottom w:val="0"/>
          <w:divBdr>
            <w:top w:val="none" w:sz="0" w:space="0" w:color="auto"/>
            <w:left w:val="none" w:sz="0" w:space="0" w:color="auto"/>
            <w:bottom w:val="none" w:sz="0" w:space="0" w:color="auto"/>
            <w:right w:val="none" w:sz="0" w:space="0" w:color="auto"/>
          </w:divBdr>
          <w:divsChild>
            <w:div w:id="1900095291">
              <w:marLeft w:val="0"/>
              <w:marRight w:val="0"/>
              <w:marTop w:val="0"/>
              <w:marBottom w:val="0"/>
              <w:divBdr>
                <w:top w:val="none" w:sz="0" w:space="0" w:color="auto"/>
                <w:left w:val="none" w:sz="0" w:space="0" w:color="auto"/>
                <w:bottom w:val="none" w:sz="0" w:space="0" w:color="auto"/>
                <w:right w:val="none" w:sz="0" w:space="0" w:color="auto"/>
              </w:divBdr>
              <w:divsChild>
                <w:div w:id="18072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91224">
      <w:bodyDiv w:val="1"/>
      <w:marLeft w:val="0"/>
      <w:marRight w:val="0"/>
      <w:marTop w:val="0"/>
      <w:marBottom w:val="0"/>
      <w:divBdr>
        <w:top w:val="none" w:sz="0" w:space="0" w:color="auto"/>
        <w:left w:val="none" w:sz="0" w:space="0" w:color="auto"/>
        <w:bottom w:val="none" w:sz="0" w:space="0" w:color="auto"/>
        <w:right w:val="none" w:sz="0" w:space="0" w:color="auto"/>
      </w:divBdr>
    </w:div>
    <w:div w:id="462579662">
      <w:bodyDiv w:val="1"/>
      <w:marLeft w:val="0"/>
      <w:marRight w:val="0"/>
      <w:marTop w:val="0"/>
      <w:marBottom w:val="0"/>
      <w:divBdr>
        <w:top w:val="none" w:sz="0" w:space="0" w:color="auto"/>
        <w:left w:val="none" w:sz="0" w:space="0" w:color="auto"/>
        <w:bottom w:val="none" w:sz="0" w:space="0" w:color="auto"/>
        <w:right w:val="none" w:sz="0" w:space="0" w:color="auto"/>
      </w:divBdr>
    </w:div>
    <w:div w:id="462650760">
      <w:bodyDiv w:val="1"/>
      <w:marLeft w:val="0"/>
      <w:marRight w:val="0"/>
      <w:marTop w:val="0"/>
      <w:marBottom w:val="0"/>
      <w:divBdr>
        <w:top w:val="none" w:sz="0" w:space="0" w:color="auto"/>
        <w:left w:val="none" w:sz="0" w:space="0" w:color="auto"/>
        <w:bottom w:val="none" w:sz="0" w:space="0" w:color="auto"/>
        <w:right w:val="none" w:sz="0" w:space="0" w:color="auto"/>
      </w:divBdr>
    </w:div>
    <w:div w:id="465317739">
      <w:bodyDiv w:val="1"/>
      <w:marLeft w:val="0"/>
      <w:marRight w:val="0"/>
      <w:marTop w:val="0"/>
      <w:marBottom w:val="0"/>
      <w:divBdr>
        <w:top w:val="none" w:sz="0" w:space="0" w:color="auto"/>
        <w:left w:val="none" w:sz="0" w:space="0" w:color="auto"/>
        <w:bottom w:val="none" w:sz="0" w:space="0" w:color="auto"/>
        <w:right w:val="none" w:sz="0" w:space="0" w:color="auto"/>
      </w:divBdr>
    </w:div>
    <w:div w:id="465975119">
      <w:bodyDiv w:val="1"/>
      <w:marLeft w:val="0"/>
      <w:marRight w:val="0"/>
      <w:marTop w:val="0"/>
      <w:marBottom w:val="0"/>
      <w:divBdr>
        <w:top w:val="none" w:sz="0" w:space="0" w:color="auto"/>
        <w:left w:val="none" w:sz="0" w:space="0" w:color="auto"/>
        <w:bottom w:val="none" w:sz="0" w:space="0" w:color="auto"/>
        <w:right w:val="none" w:sz="0" w:space="0" w:color="auto"/>
      </w:divBdr>
      <w:divsChild>
        <w:div w:id="532232096">
          <w:marLeft w:val="0"/>
          <w:marRight w:val="0"/>
          <w:marTop w:val="0"/>
          <w:marBottom w:val="0"/>
          <w:divBdr>
            <w:top w:val="none" w:sz="0" w:space="0" w:color="auto"/>
            <w:left w:val="none" w:sz="0" w:space="0" w:color="auto"/>
            <w:bottom w:val="none" w:sz="0" w:space="0" w:color="auto"/>
            <w:right w:val="none" w:sz="0" w:space="0" w:color="auto"/>
          </w:divBdr>
          <w:divsChild>
            <w:div w:id="325012126">
              <w:marLeft w:val="0"/>
              <w:marRight w:val="0"/>
              <w:marTop w:val="0"/>
              <w:marBottom w:val="0"/>
              <w:divBdr>
                <w:top w:val="none" w:sz="0" w:space="0" w:color="auto"/>
                <w:left w:val="none" w:sz="0" w:space="0" w:color="auto"/>
                <w:bottom w:val="none" w:sz="0" w:space="0" w:color="auto"/>
                <w:right w:val="none" w:sz="0" w:space="0" w:color="auto"/>
              </w:divBdr>
              <w:divsChild>
                <w:div w:id="44446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53595">
      <w:bodyDiv w:val="1"/>
      <w:marLeft w:val="0"/>
      <w:marRight w:val="0"/>
      <w:marTop w:val="0"/>
      <w:marBottom w:val="0"/>
      <w:divBdr>
        <w:top w:val="none" w:sz="0" w:space="0" w:color="auto"/>
        <w:left w:val="none" w:sz="0" w:space="0" w:color="auto"/>
        <w:bottom w:val="none" w:sz="0" w:space="0" w:color="auto"/>
        <w:right w:val="none" w:sz="0" w:space="0" w:color="auto"/>
      </w:divBdr>
    </w:div>
    <w:div w:id="470027110">
      <w:bodyDiv w:val="1"/>
      <w:marLeft w:val="0"/>
      <w:marRight w:val="0"/>
      <w:marTop w:val="0"/>
      <w:marBottom w:val="0"/>
      <w:divBdr>
        <w:top w:val="none" w:sz="0" w:space="0" w:color="auto"/>
        <w:left w:val="none" w:sz="0" w:space="0" w:color="auto"/>
        <w:bottom w:val="none" w:sz="0" w:space="0" w:color="auto"/>
        <w:right w:val="none" w:sz="0" w:space="0" w:color="auto"/>
      </w:divBdr>
    </w:div>
    <w:div w:id="479349716">
      <w:bodyDiv w:val="1"/>
      <w:marLeft w:val="0"/>
      <w:marRight w:val="0"/>
      <w:marTop w:val="0"/>
      <w:marBottom w:val="0"/>
      <w:divBdr>
        <w:top w:val="none" w:sz="0" w:space="0" w:color="auto"/>
        <w:left w:val="none" w:sz="0" w:space="0" w:color="auto"/>
        <w:bottom w:val="none" w:sz="0" w:space="0" w:color="auto"/>
        <w:right w:val="none" w:sz="0" w:space="0" w:color="auto"/>
      </w:divBdr>
    </w:div>
    <w:div w:id="498815187">
      <w:bodyDiv w:val="1"/>
      <w:marLeft w:val="0"/>
      <w:marRight w:val="0"/>
      <w:marTop w:val="0"/>
      <w:marBottom w:val="0"/>
      <w:divBdr>
        <w:top w:val="none" w:sz="0" w:space="0" w:color="auto"/>
        <w:left w:val="none" w:sz="0" w:space="0" w:color="auto"/>
        <w:bottom w:val="none" w:sz="0" w:space="0" w:color="auto"/>
        <w:right w:val="none" w:sz="0" w:space="0" w:color="auto"/>
      </w:divBdr>
    </w:div>
    <w:div w:id="502166446">
      <w:bodyDiv w:val="1"/>
      <w:marLeft w:val="0"/>
      <w:marRight w:val="0"/>
      <w:marTop w:val="0"/>
      <w:marBottom w:val="0"/>
      <w:divBdr>
        <w:top w:val="none" w:sz="0" w:space="0" w:color="auto"/>
        <w:left w:val="none" w:sz="0" w:space="0" w:color="auto"/>
        <w:bottom w:val="none" w:sz="0" w:space="0" w:color="auto"/>
        <w:right w:val="none" w:sz="0" w:space="0" w:color="auto"/>
      </w:divBdr>
      <w:divsChild>
        <w:div w:id="153377141">
          <w:marLeft w:val="0"/>
          <w:marRight w:val="0"/>
          <w:marTop w:val="0"/>
          <w:marBottom w:val="0"/>
          <w:divBdr>
            <w:top w:val="none" w:sz="0" w:space="0" w:color="auto"/>
            <w:left w:val="none" w:sz="0" w:space="0" w:color="auto"/>
            <w:bottom w:val="none" w:sz="0" w:space="0" w:color="auto"/>
            <w:right w:val="none" w:sz="0" w:space="0" w:color="auto"/>
          </w:divBdr>
          <w:divsChild>
            <w:div w:id="1307933348">
              <w:marLeft w:val="0"/>
              <w:marRight w:val="0"/>
              <w:marTop w:val="0"/>
              <w:marBottom w:val="0"/>
              <w:divBdr>
                <w:top w:val="none" w:sz="0" w:space="0" w:color="auto"/>
                <w:left w:val="none" w:sz="0" w:space="0" w:color="auto"/>
                <w:bottom w:val="none" w:sz="0" w:space="0" w:color="auto"/>
                <w:right w:val="none" w:sz="0" w:space="0" w:color="auto"/>
              </w:divBdr>
            </w:div>
            <w:div w:id="1801150116">
              <w:marLeft w:val="0"/>
              <w:marRight w:val="0"/>
              <w:marTop w:val="0"/>
              <w:marBottom w:val="0"/>
              <w:divBdr>
                <w:top w:val="none" w:sz="0" w:space="0" w:color="auto"/>
                <w:left w:val="none" w:sz="0" w:space="0" w:color="auto"/>
                <w:bottom w:val="none" w:sz="0" w:space="0" w:color="auto"/>
                <w:right w:val="none" w:sz="0" w:space="0" w:color="auto"/>
              </w:divBdr>
            </w:div>
          </w:divsChild>
        </w:div>
        <w:div w:id="458569346">
          <w:marLeft w:val="0"/>
          <w:marRight w:val="0"/>
          <w:marTop w:val="0"/>
          <w:marBottom w:val="0"/>
          <w:divBdr>
            <w:top w:val="none" w:sz="0" w:space="0" w:color="auto"/>
            <w:left w:val="none" w:sz="0" w:space="0" w:color="auto"/>
            <w:bottom w:val="none" w:sz="0" w:space="0" w:color="auto"/>
            <w:right w:val="none" w:sz="0" w:space="0" w:color="auto"/>
          </w:divBdr>
          <w:divsChild>
            <w:div w:id="1440832332">
              <w:marLeft w:val="0"/>
              <w:marRight w:val="0"/>
              <w:marTop w:val="0"/>
              <w:marBottom w:val="0"/>
              <w:divBdr>
                <w:top w:val="none" w:sz="0" w:space="0" w:color="auto"/>
                <w:left w:val="none" w:sz="0" w:space="0" w:color="auto"/>
                <w:bottom w:val="none" w:sz="0" w:space="0" w:color="auto"/>
                <w:right w:val="none" w:sz="0" w:space="0" w:color="auto"/>
              </w:divBdr>
            </w:div>
          </w:divsChild>
        </w:div>
        <w:div w:id="883373232">
          <w:marLeft w:val="0"/>
          <w:marRight w:val="0"/>
          <w:marTop w:val="0"/>
          <w:marBottom w:val="0"/>
          <w:divBdr>
            <w:top w:val="none" w:sz="0" w:space="0" w:color="auto"/>
            <w:left w:val="none" w:sz="0" w:space="0" w:color="auto"/>
            <w:bottom w:val="none" w:sz="0" w:space="0" w:color="auto"/>
            <w:right w:val="none" w:sz="0" w:space="0" w:color="auto"/>
          </w:divBdr>
          <w:divsChild>
            <w:div w:id="644966228">
              <w:marLeft w:val="0"/>
              <w:marRight w:val="0"/>
              <w:marTop w:val="0"/>
              <w:marBottom w:val="0"/>
              <w:divBdr>
                <w:top w:val="none" w:sz="0" w:space="0" w:color="auto"/>
                <w:left w:val="none" w:sz="0" w:space="0" w:color="auto"/>
                <w:bottom w:val="none" w:sz="0" w:space="0" w:color="auto"/>
                <w:right w:val="none" w:sz="0" w:space="0" w:color="auto"/>
              </w:divBdr>
            </w:div>
            <w:div w:id="1859463475">
              <w:marLeft w:val="0"/>
              <w:marRight w:val="0"/>
              <w:marTop w:val="0"/>
              <w:marBottom w:val="0"/>
              <w:divBdr>
                <w:top w:val="none" w:sz="0" w:space="0" w:color="auto"/>
                <w:left w:val="none" w:sz="0" w:space="0" w:color="auto"/>
                <w:bottom w:val="none" w:sz="0" w:space="0" w:color="auto"/>
                <w:right w:val="none" w:sz="0" w:space="0" w:color="auto"/>
              </w:divBdr>
            </w:div>
          </w:divsChild>
        </w:div>
        <w:div w:id="930627807">
          <w:marLeft w:val="0"/>
          <w:marRight w:val="0"/>
          <w:marTop w:val="0"/>
          <w:marBottom w:val="0"/>
          <w:divBdr>
            <w:top w:val="none" w:sz="0" w:space="0" w:color="auto"/>
            <w:left w:val="none" w:sz="0" w:space="0" w:color="auto"/>
            <w:bottom w:val="none" w:sz="0" w:space="0" w:color="auto"/>
            <w:right w:val="none" w:sz="0" w:space="0" w:color="auto"/>
          </w:divBdr>
          <w:divsChild>
            <w:div w:id="743649031">
              <w:marLeft w:val="0"/>
              <w:marRight w:val="0"/>
              <w:marTop w:val="0"/>
              <w:marBottom w:val="0"/>
              <w:divBdr>
                <w:top w:val="none" w:sz="0" w:space="0" w:color="auto"/>
                <w:left w:val="none" w:sz="0" w:space="0" w:color="auto"/>
                <w:bottom w:val="none" w:sz="0" w:space="0" w:color="auto"/>
                <w:right w:val="none" w:sz="0" w:space="0" w:color="auto"/>
              </w:divBdr>
            </w:div>
          </w:divsChild>
        </w:div>
        <w:div w:id="935021462">
          <w:marLeft w:val="0"/>
          <w:marRight w:val="0"/>
          <w:marTop w:val="0"/>
          <w:marBottom w:val="0"/>
          <w:divBdr>
            <w:top w:val="none" w:sz="0" w:space="0" w:color="auto"/>
            <w:left w:val="none" w:sz="0" w:space="0" w:color="auto"/>
            <w:bottom w:val="none" w:sz="0" w:space="0" w:color="auto"/>
            <w:right w:val="none" w:sz="0" w:space="0" w:color="auto"/>
          </w:divBdr>
          <w:divsChild>
            <w:div w:id="991833059">
              <w:marLeft w:val="0"/>
              <w:marRight w:val="0"/>
              <w:marTop w:val="0"/>
              <w:marBottom w:val="0"/>
              <w:divBdr>
                <w:top w:val="none" w:sz="0" w:space="0" w:color="auto"/>
                <w:left w:val="none" w:sz="0" w:space="0" w:color="auto"/>
                <w:bottom w:val="none" w:sz="0" w:space="0" w:color="auto"/>
                <w:right w:val="none" w:sz="0" w:space="0" w:color="auto"/>
              </w:divBdr>
            </w:div>
          </w:divsChild>
        </w:div>
        <w:div w:id="985935071">
          <w:marLeft w:val="0"/>
          <w:marRight w:val="0"/>
          <w:marTop w:val="0"/>
          <w:marBottom w:val="0"/>
          <w:divBdr>
            <w:top w:val="none" w:sz="0" w:space="0" w:color="auto"/>
            <w:left w:val="none" w:sz="0" w:space="0" w:color="auto"/>
            <w:bottom w:val="none" w:sz="0" w:space="0" w:color="auto"/>
            <w:right w:val="none" w:sz="0" w:space="0" w:color="auto"/>
          </w:divBdr>
          <w:divsChild>
            <w:div w:id="379671032">
              <w:marLeft w:val="0"/>
              <w:marRight w:val="0"/>
              <w:marTop w:val="0"/>
              <w:marBottom w:val="0"/>
              <w:divBdr>
                <w:top w:val="none" w:sz="0" w:space="0" w:color="auto"/>
                <w:left w:val="none" w:sz="0" w:space="0" w:color="auto"/>
                <w:bottom w:val="none" w:sz="0" w:space="0" w:color="auto"/>
                <w:right w:val="none" w:sz="0" w:space="0" w:color="auto"/>
              </w:divBdr>
            </w:div>
          </w:divsChild>
        </w:div>
        <w:div w:id="1587491724">
          <w:marLeft w:val="0"/>
          <w:marRight w:val="0"/>
          <w:marTop w:val="0"/>
          <w:marBottom w:val="0"/>
          <w:divBdr>
            <w:top w:val="none" w:sz="0" w:space="0" w:color="auto"/>
            <w:left w:val="none" w:sz="0" w:space="0" w:color="auto"/>
            <w:bottom w:val="none" w:sz="0" w:space="0" w:color="auto"/>
            <w:right w:val="none" w:sz="0" w:space="0" w:color="auto"/>
          </w:divBdr>
          <w:divsChild>
            <w:div w:id="39087911">
              <w:marLeft w:val="0"/>
              <w:marRight w:val="0"/>
              <w:marTop w:val="0"/>
              <w:marBottom w:val="0"/>
              <w:divBdr>
                <w:top w:val="none" w:sz="0" w:space="0" w:color="auto"/>
                <w:left w:val="none" w:sz="0" w:space="0" w:color="auto"/>
                <w:bottom w:val="none" w:sz="0" w:space="0" w:color="auto"/>
                <w:right w:val="none" w:sz="0" w:space="0" w:color="auto"/>
              </w:divBdr>
            </w:div>
          </w:divsChild>
        </w:div>
        <w:div w:id="1862820273">
          <w:marLeft w:val="0"/>
          <w:marRight w:val="0"/>
          <w:marTop w:val="0"/>
          <w:marBottom w:val="0"/>
          <w:divBdr>
            <w:top w:val="none" w:sz="0" w:space="0" w:color="auto"/>
            <w:left w:val="none" w:sz="0" w:space="0" w:color="auto"/>
            <w:bottom w:val="none" w:sz="0" w:space="0" w:color="auto"/>
            <w:right w:val="none" w:sz="0" w:space="0" w:color="auto"/>
          </w:divBdr>
          <w:divsChild>
            <w:div w:id="15953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09287">
      <w:bodyDiv w:val="1"/>
      <w:marLeft w:val="0"/>
      <w:marRight w:val="0"/>
      <w:marTop w:val="0"/>
      <w:marBottom w:val="0"/>
      <w:divBdr>
        <w:top w:val="none" w:sz="0" w:space="0" w:color="auto"/>
        <w:left w:val="none" w:sz="0" w:space="0" w:color="auto"/>
        <w:bottom w:val="none" w:sz="0" w:space="0" w:color="auto"/>
        <w:right w:val="none" w:sz="0" w:space="0" w:color="auto"/>
      </w:divBdr>
    </w:div>
    <w:div w:id="514541970">
      <w:bodyDiv w:val="1"/>
      <w:marLeft w:val="0"/>
      <w:marRight w:val="0"/>
      <w:marTop w:val="0"/>
      <w:marBottom w:val="0"/>
      <w:divBdr>
        <w:top w:val="none" w:sz="0" w:space="0" w:color="auto"/>
        <w:left w:val="none" w:sz="0" w:space="0" w:color="auto"/>
        <w:bottom w:val="none" w:sz="0" w:space="0" w:color="auto"/>
        <w:right w:val="none" w:sz="0" w:space="0" w:color="auto"/>
      </w:divBdr>
      <w:divsChild>
        <w:div w:id="556015285">
          <w:marLeft w:val="0"/>
          <w:marRight w:val="0"/>
          <w:marTop w:val="0"/>
          <w:marBottom w:val="0"/>
          <w:divBdr>
            <w:top w:val="none" w:sz="0" w:space="0" w:color="auto"/>
            <w:left w:val="none" w:sz="0" w:space="0" w:color="auto"/>
            <w:bottom w:val="none" w:sz="0" w:space="0" w:color="auto"/>
            <w:right w:val="none" w:sz="0" w:space="0" w:color="auto"/>
          </w:divBdr>
          <w:divsChild>
            <w:div w:id="386075106">
              <w:marLeft w:val="0"/>
              <w:marRight w:val="0"/>
              <w:marTop w:val="0"/>
              <w:marBottom w:val="0"/>
              <w:divBdr>
                <w:top w:val="none" w:sz="0" w:space="0" w:color="auto"/>
                <w:left w:val="none" w:sz="0" w:space="0" w:color="auto"/>
                <w:bottom w:val="none" w:sz="0" w:space="0" w:color="auto"/>
                <w:right w:val="none" w:sz="0" w:space="0" w:color="auto"/>
              </w:divBdr>
              <w:divsChild>
                <w:div w:id="6381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8718">
      <w:bodyDiv w:val="1"/>
      <w:marLeft w:val="0"/>
      <w:marRight w:val="0"/>
      <w:marTop w:val="0"/>
      <w:marBottom w:val="0"/>
      <w:divBdr>
        <w:top w:val="none" w:sz="0" w:space="0" w:color="auto"/>
        <w:left w:val="none" w:sz="0" w:space="0" w:color="auto"/>
        <w:bottom w:val="none" w:sz="0" w:space="0" w:color="auto"/>
        <w:right w:val="none" w:sz="0" w:space="0" w:color="auto"/>
      </w:divBdr>
    </w:div>
    <w:div w:id="522742872">
      <w:bodyDiv w:val="1"/>
      <w:marLeft w:val="0"/>
      <w:marRight w:val="0"/>
      <w:marTop w:val="0"/>
      <w:marBottom w:val="0"/>
      <w:divBdr>
        <w:top w:val="none" w:sz="0" w:space="0" w:color="auto"/>
        <w:left w:val="none" w:sz="0" w:space="0" w:color="auto"/>
        <w:bottom w:val="none" w:sz="0" w:space="0" w:color="auto"/>
        <w:right w:val="none" w:sz="0" w:space="0" w:color="auto"/>
      </w:divBdr>
    </w:div>
    <w:div w:id="522984010">
      <w:bodyDiv w:val="1"/>
      <w:marLeft w:val="0"/>
      <w:marRight w:val="0"/>
      <w:marTop w:val="0"/>
      <w:marBottom w:val="0"/>
      <w:divBdr>
        <w:top w:val="none" w:sz="0" w:space="0" w:color="auto"/>
        <w:left w:val="none" w:sz="0" w:space="0" w:color="auto"/>
        <w:bottom w:val="none" w:sz="0" w:space="0" w:color="auto"/>
        <w:right w:val="none" w:sz="0" w:space="0" w:color="auto"/>
      </w:divBdr>
      <w:divsChild>
        <w:div w:id="523593245">
          <w:marLeft w:val="0"/>
          <w:marRight w:val="0"/>
          <w:marTop w:val="0"/>
          <w:marBottom w:val="0"/>
          <w:divBdr>
            <w:top w:val="none" w:sz="0" w:space="0" w:color="auto"/>
            <w:left w:val="none" w:sz="0" w:space="0" w:color="auto"/>
            <w:bottom w:val="none" w:sz="0" w:space="0" w:color="auto"/>
            <w:right w:val="none" w:sz="0" w:space="0" w:color="auto"/>
          </w:divBdr>
          <w:divsChild>
            <w:div w:id="1140341194">
              <w:marLeft w:val="0"/>
              <w:marRight w:val="0"/>
              <w:marTop w:val="0"/>
              <w:marBottom w:val="0"/>
              <w:divBdr>
                <w:top w:val="none" w:sz="0" w:space="0" w:color="auto"/>
                <w:left w:val="none" w:sz="0" w:space="0" w:color="auto"/>
                <w:bottom w:val="none" w:sz="0" w:space="0" w:color="auto"/>
                <w:right w:val="none" w:sz="0" w:space="0" w:color="auto"/>
              </w:divBdr>
              <w:divsChild>
                <w:div w:id="1189485501">
                  <w:marLeft w:val="0"/>
                  <w:marRight w:val="0"/>
                  <w:marTop w:val="0"/>
                  <w:marBottom w:val="0"/>
                  <w:divBdr>
                    <w:top w:val="none" w:sz="0" w:space="0" w:color="auto"/>
                    <w:left w:val="none" w:sz="0" w:space="0" w:color="auto"/>
                    <w:bottom w:val="none" w:sz="0" w:space="0" w:color="auto"/>
                    <w:right w:val="none" w:sz="0" w:space="0" w:color="auto"/>
                  </w:divBdr>
                  <w:divsChild>
                    <w:div w:id="53793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296888">
      <w:bodyDiv w:val="1"/>
      <w:marLeft w:val="0"/>
      <w:marRight w:val="0"/>
      <w:marTop w:val="0"/>
      <w:marBottom w:val="0"/>
      <w:divBdr>
        <w:top w:val="none" w:sz="0" w:space="0" w:color="auto"/>
        <w:left w:val="none" w:sz="0" w:space="0" w:color="auto"/>
        <w:bottom w:val="none" w:sz="0" w:space="0" w:color="auto"/>
        <w:right w:val="none" w:sz="0" w:space="0" w:color="auto"/>
      </w:divBdr>
    </w:div>
    <w:div w:id="532153120">
      <w:bodyDiv w:val="1"/>
      <w:marLeft w:val="0"/>
      <w:marRight w:val="0"/>
      <w:marTop w:val="0"/>
      <w:marBottom w:val="0"/>
      <w:divBdr>
        <w:top w:val="none" w:sz="0" w:space="0" w:color="auto"/>
        <w:left w:val="none" w:sz="0" w:space="0" w:color="auto"/>
        <w:bottom w:val="none" w:sz="0" w:space="0" w:color="auto"/>
        <w:right w:val="none" w:sz="0" w:space="0" w:color="auto"/>
      </w:divBdr>
    </w:div>
    <w:div w:id="539901903">
      <w:bodyDiv w:val="1"/>
      <w:marLeft w:val="0"/>
      <w:marRight w:val="0"/>
      <w:marTop w:val="0"/>
      <w:marBottom w:val="0"/>
      <w:divBdr>
        <w:top w:val="none" w:sz="0" w:space="0" w:color="auto"/>
        <w:left w:val="none" w:sz="0" w:space="0" w:color="auto"/>
        <w:bottom w:val="none" w:sz="0" w:space="0" w:color="auto"/>
        <w:right w:val="none" w:sz="0" w:space="0" w:color="auto"/>
      </w:divBdr>
    </w:div>
    <w:div w:id="562713352">
      <w:bodyDiv w:val="1"/>
      <w:marLeft w:val="0"/>
      <w:marRight w:val="0"/>
      <w:marTop w:val="0"/>
      <w:marBottom w:val="0"/>
      <w:divBdr>
        <w:top w:val="none" w:sz="0" w:space="0" w:color="auto"/>
        <w:left w:val="none" w:sz="0" w:space="0" w:color="auto"/>
        <w:bottom w:val="none" w:sz="0" w:space="0" w:color="auto"/>
        <w:right w:val="none" w:sz="0" w:space="0" w:color="auto"/>
      </w:divBdr>
    </w:div>
    <w:div w:id="565183149">
      <w:bodyDiv w:val="1"/>
      <w:marLeft w:val="0"/>
      <w:marRight w:val="0"/>
      <w:marTop w:val="0"/>
      <w:marBottom w:val="0"/>
      <w:divBdr>
        <w:top w:val="none" w:sz="0" w:space="0" w:color="auto"/>
        <w:left w:val="none" w:sz="0" w:space="0" w:color="auto"/>
        <w:bottom w:val="none" w:sz="0" w:space="0" w:color="auto"/>
        <w:right w:val="none" w:sz="0" w:space="0" w:color="auto"/>
      </w:divBdr>
    </w:div>
    <w:div w:id="569846254">
      <w:bodyDiv w:val="1"/>
      <w:marLeft w:val="0"/>
      <w:marRight w:val="0"/>
      <w:marTop w:val="0"/>
      <w:marBottom w:val="0"/>
      <w:divBdr>
        <w:top w:val="none" w:sz="0" w:space="0" w:color="auto"/>
        <w:left w:val="none" w:sz="0" w:space="0" w:color="auto"/>
        <w:bottom w:val="none" w:sz="0" w:space="0" w:color="auto"/>
        <w:right w:val="none" w:sz="0" w:space="0" w:color="auto"/>
      </w:divBdr>
    </w:div>
    <w:div w:id="571156362">
      <w:bodyDiv w:val="1"/>
      <w:marLeft w:val="0"/>
      <w:marRight w:val="0"/>
      <w:marTop w:val="0"/>
      <w:marBottom w:val="0"/>
      <w:divBdr>
        <w:top w:val="none" w:sz="0" w:space="0" w:color="auto"/>
        <w:left w:val="none" w:sz="0" w:space="0" w:color="auto"/>
        <w:bottom w:val="none" w:sz="0" w:space="0" w:color="auto"/>
        <w:right w:val="none" w:sz="0" w:space="0" w:color="auto"/>
      </w:divBdr>
    </w:div>
    <w:div w:id="578489697">
      <w:bodyDiv w:val="1"/>
      <w:marLeft w:val="0"/>
      <w:marRight w:val="0"/>
      <w:marTop w:val="0"/>
      <w:marBottom w:val="0"/>
      <w:divBdr>
        <w:top w:val="none" w:sz="0" w:space="0" w:color="auto"/>
        <w:left w:val="none" w:sz="0" w:space="0" w:color="auto"/>
        <w:bottom w:val="none" w:sz="0" w:space="0" w:color="auto"/>
        <w:right w:val="none" w:sz="0" w:space="0" w:color="auto"/>
      </w:divBdr>
    </w:div>
    <w:div w:id="588655705">
      <w:bodyDiv w:val="1"/>
      <w:marLeft w:val="0"/>
      <w:marRight w:val="0"/>
      <w:marTop w:val="0"/>
      <w:marBottom w:val="0"/>
      <w:divBdr>
        <w:top w:val="none" w:sz="0" w:space="0" w:color="auto"/>
        <w:left w:val="none" w:sz="0" w:space="0" w:color="auto"/>
        <w:bottom w:val="none" w:sz="0" w:space="0" w:color="auto"/>
        <w:right w:val="none" w:sz="0" w:space="0" w:color="auto"/>
      </w:divBdr>
    </w:div>
    <w:div w:id="589121086">
      <w:bodyDiv w:val="1"/>
      <w:marLeft w:val="0"/>
      <w:marRight w:val="0"/>
      <w:marTop w:val="0"/>
      <w:marBottom w:val="0"/>
      <w:divBdr>
        <w:top w:val="none" w:sz="0" w:space="0" w:color="auto"/>
        <w:left w:val="none" w:sz="0" w:space="0" w:color="auto"/>
        <w:bottom w:val="none" w:sz="0" w:space="0" w:color="auto"/>
        <w:right w:val="none" w:sz="0" w:space="0" w:color="auto"/>
      </w:divBdr>
      <w:divsChild>
        <w:div w:id="1689216538">
          <w:marLeft w:val="0"/>
          <w:marRight w:val="0"/>
          <w:marTop w:val="0"/>
          <w:marBottom w:val="0"/>
          <w:divBdr>
            <w:top w:val="none" w:sz="0" w:space="0" w:color="auto"/>
            <w:left w:val="none" w:sz="0" w:space="0" w:color="auto"/>
            <w:bottom w:val="none" w:sz="0" w:space="0" w:color="auto"/>
            <w:right w:val="none" w:sz="0" w:space="0" w:color="auto"/>
          </w:divBdr>
          <w:divsChild>
            <w:div w:id="440340780">
              <w:marLeft w:val="0"/>
              <w:marRight w:val="0"/>
              <w:marTop w:val="0"/>
              <w:marBottom w:val="0"/>
              <w:divBdr>
                <w:top w:val="none" w:sz="0" w:space="0" w:color="auto"/>
                <w:left w:val="none" w:sz="0" w:space="0" w:color="auto"/>
                <w:bottom w:val="none" w:sz="0" w:space="0" w:color="auto"/>
                <w:right w:val="none" w:sz="0" w:space="0" w:color="auto"/>
              </w:divBdr>
              <w:divsChild>
                <w:div w:id="12637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665495">
      <w:bodyDiv w:val="1"/>
      <w:marLeft w:val="0"/>
      <w:marRight w:val="0"/>
      <w:marTop w:val="0"/>
      <w:marBottom w:val="0"/>
      <w:divBdr>
        <w:top w:val="none" w:sz="0" w:space="0" w:color="auto"/>
        <w:left w:val="none" w:sz="0" w:space="0" w:color="auto"/>
        <w:bottom w:val="none" w:sz="0" w:space="0" w:color="auto"/>
        <w:right w:val="none" w:sz="0" w:space="0" w:color="auto"/>
      </w:divBdr>
    </w:div>
    <w:div w:id="598368394">
      <w:bodyDiv w:val="1"/>
      <w:marLeft w:val="0"/>
      <w:marRight w:val="0"/>
      <w:marTop w:val="0"/>
      <w:marBottom w:val="0"/>
      <w:divBdr>
        <w:top w:val="none" w:sz="0" w:space="0" w:color="auto"/>
        <w:left w:val="none" w:sz="0" w:space="0" w:color="auto"/>
        <w:bottom w:val="none" w:sz="0" w:space="0" w:color="auto"/>
        <w:right w:val="none" w:sz="0" w:space="0" w:color="auto"/>
      </w:divBdr>
    </w:div>
    <w:div w:id="599677374">
      <w:bodyDiv w:val="1"/>
      <w:marLeft w:val="0"/>
      <w:marRight w:val="0"/>
      <w:marTop w:val="0"/>
      <w:marBottom w:val="0"/>
      <w:divBdr>
        <w:top w:val="none" w:sz="0" w:space="0" w:color="auto"/>
        <w:left w:val="none" w:sz="0" w:space="0" w:color="auto"/>
        <w:bottom w:val="none" w:sz="0" w:space="0" w:color="auto"/>
        <w:right w:val="none" w:sz="0" w:space="0" w:color="auto"/>
      </w:divBdr>
    </w:div>
    <w:div w:id="603152547">
      <w:bodyDiv w:val="1"/>
      <w:marLeft w:val="0"/>
      <w:marRight w:val="0"/>
      <w:marTop w:val="0"/>
      <w:marBottom w:val="0"/>
      <w:divBdr>
        <w:top w:val="none" w:sz="0" w:space="0" w:color="auto"/>
        <w:left w:val="none" w:sz="0" w:space="0" w:color="auto"/>
        <w:bottom w:val="none" w:sz="0" w:space="0" w:color="auto"/>
        <w:right w:val="none" w:sz="0" w:space="0" w:color="auto"/>
      </w:divBdr>
    </w:div>
    <w:div w:id="627397966">
      <w:bodyDiv w:val="1"/>
      <w:marLeft w:val="0"/>
      <w:marRight w:val="0"/>
      <w:marTop w:val="0"/>
      <w:marBottom w:val="0"/>
      <w:divBdr>
        <w:top w:val="none" w:sz="0" w:space="0" w:color="auto"/>
        <w:left w:val="none" w:sz="0" w:space="0" w:color="auto"/>
        <w:bottom w:val="none" w:sz="0" w:space="0" w:color="auto"/>
        <w:right w:val="none" w:sz="0" w:space="0" w:color="auto"/>
      </w:divBdr>
    </w:div>
    <w:div w:id="634795923">
      <w:bodyDiv w:val="1"/>
      <w:marLeft w:val="0"/>
      <w:marRight w:val="0"/>
      <w:marTop w:val="0"/>
      <w:marBottom w:val="0"/>
      <w:divBdr>
        <w:top w:val="none" w:sz="0" w:space="0" w:color="auto"/>
        <w:left w:val="none" w:sz="0" w:space="0" w:color="auto"/>
        <w:bottom w:val="none" w:sz="0" w:space="0" w:color="auto"/>
        <w:right w:val="none" w:sz="0" w:space="0" w:color="auto"/>
      </w:divBdr>
    </w:div>
    <w:div w:id="635069355">
      <w:bodyDiv w:val="1"/>
      <w:marLeft w:val="0"/>
      <w:marRight w:val="0"/>
      <w:marTop w:val="0"/>
      <w:marBottom w:val="0"/>
      <w:divBdr>
        <w:top w:val="none" w:sz="0" w:space="0" w:color="auto"/>
        <w:left w:val="none" w:sz="0" w:space="0" w:color="auto"/>
        <w:bottom w:val="none" w:sz="0" w:space="0" w:color="auto"/>
        <w:right w:val="none" w:sz="0" w:space="0" w:color="auto"/>
      </w:divBdr>
    </w:div>
    <w:div w:id="653997757">
      <w:bodyDiv w:val="1"/>
      <w:marLeft w:val="0"/>
      <w:marRight w:val="0"/>
      <w:marTop w:val="0"/>
      <w:marBottom w:val="0"/>
      <w:divBdr>
        <w:top w:val="none" w:sz="0" w:space="0" w:color="auto"/>
        <w:left w:val="none" w:sz="0" w:space="0" w:color="auto"/>
        <w:bottom w:val="none" w:sz="0" w:space="0" w:color="auto"/>
        <w:right w:val="none" w:sz="0" w:space="0" w:color="auto"/>
      </w:divBdr>
    </w:div>
    <w:div w:id="665131612">
      <w:bodyDiv w:val="1"/>
      <w:marLeft w:val="0"/>
      <w:marRight w:val="0"/>
      <w:marTop w:val="0"/>
      <w:marBottom w:val="0"/>
      <w:divBdr>
        <w:top w:val="none" w:sz="0" w:space="0" w:color="auto"/>
        <w:left w:val="none" w:sz="0" w:space="0" w:color="auto"/>
        <w:bottom w:val="none" w:sz="0" w:space="0" w:color="auto"/>
        <w:right w:val="none" w:sz="0" w:space="0" w:color="auto"/>
      </w:divBdr>
    </w:div>
    <w:div w:id="668411333">
      <w:bodyDiv w:val="1"/>
      <w:marLeft w:val="0"/>
      <w:marRight w:val="0"/>
      <w:marTop w:val="0"/>
      <w:marBottom w:val="0"/>
      <w:divBdr>
        <w:top w:val="none" w:sz="0" w:space="0" w:color="auto"/>
        <w:left w:val="none" w:sz="0" w:space="0" w:color="auto"/>
        <w:bottom w:val="none" w:sz="0" w:space="0" w:color="auto"/>
        <w:right w:val="none" w:sz="0" w:space="0" w:color="auto"/>
      </w:divBdr>
    </w:div>
    <w:div w:id="671106990">
      <w:bodyDiv w:val="1"/>
      <w:marLeft w:val="0"/>
      <w:marRight w:val="0"/>
      <w:marTop w:val="0"/>
      <w:marBottom w:val="0"/>
      <w:divBdr>
        <w:top w:val="none" w:sz="0" w:space="0" w:color="auto"/>
        <w:left w:val="none" w:sz="0" w:space="0" w:color="auto"/>
        <w:bottom w:val="none" w:sz="0" w:space="0" w:color="auto"/>
        <w:right w:val="none" w:sz="0" w:space="0" w:color="auto"/>
      </w:divBdr>
      <w:divsChild>
        <w:div w:id="2559825">
          <w:marLeft w:val="0"/>
          <w:marRight w:val="0"/>
          <w:marTop w:val="0"/>
          <w:marBottom w:val="0"/>
          <w:divBdr>
            <w:top w:val="none" w:sz="0" w:space="0" w:color="auto"/>
            <w:left w:val="none" w:sz="0" w:space="0" w:color="auto"/>
            <w:bottom w:val="none" w:sz="0" w:space="0" w:color="auto"/>
            <w:right w:val="none" w:sz="0" w:space="0" w:color="auto"/>
          </w:divBdr>
          <w:divsChild>
            <w:div w:id="2049601150">
              <w:marLeft w:val="0"/>
              <w:marRight w:val="0"/>
              <w:marTop w:val="0"/>
              <w:marBottom w:val="0"/>
              <w:divBdr>
                <w:top w:val="none" w:sz="0" w:space="0" w:color="auto"/>
                <w:left w:val="none" w:sz="0" w:space="0" w:color="auto"/>
                <w:bottom w:val="none" w:sz="0" w:space="0" w:color="auto"/>
                <w:right w:val="none" w:sz="0" w:space="0" w:color="auto"/>
              </w:divBdr>
              <w:divsChild>
                <w:div w:id="109532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554432">
      <w:bodyDiv w:val="1"/>
      <w:marLeft w:val="0"/>
      <w:marRight w:val="0"/>
      <w:marTop w:val="0"/>
      <w:marBottom w:val="0"/>
      <w:divBdr>
        <w:top w:val="none" w:sz="0" w:space="0" w:color="auto"/>
        <w:left w:val="none" w:sz="0" w:space="0" w:color="auto"/>
        <w:bottom w:val="none" w:sz="0" w:space="0" w:color="auto"/>
        <w:right w:val="none" w:sz="0" w:space="0" w:color="auto"/>
      </w:divBdr>
    </w:div>
    <w:div w:id="683626631">
      <w:bodyDiv w:val="1"/>
      <w:marLeft w:val="0"/>
      <w:marRight w:val="0"/>
      <w:marTop w:val="0"/>
      <w:marBottom w:val="0"/>
      <w:divBdr>
        <w:top w:val="none" w:sz="0" w:space="0" w:color="auto"/>
        <w:left w:val="none" w:sz="0" w:space="0" w:color="auto"/>
        <w:bottom w:val="none" w:sz="0" w:space="0" w:color="auto"/>
        <w:right w:val="none" w:sz="0" w:space="0" w:color="auto"/>
      </w:divBdr>
    </w:div>
    <w:div w:id="699166352">
      <w:bodyDiv w:val="1"/>
      <w:marLeft w:val="0"/>
      <w:marRight w:val="0"/>
      <w:marTop w:val="0"/>
      <w:marBottom w:val="0"/>
      <w:divBdr>
        <w:top w:val="none" w:sz="0" w:space="0" w:color="auto"/>
        <w:left w:val="none" w:sz="0" w:space="0" w:color="auto"/>
        <w:bottom w:val="none" w:sz="0" w:space="0" w:color="auto"/>
        <w:right w:val="none" w:sz="0" w:space="0" w:color="auto"/>
      </w:divBdr>
    </w:div>
    <w:div w:id="708066264">
      <w:bodyDiv w:val="1"/>
      <w:marLeft w:val="0"/>
      <w:marRight w:val="0"/>
      <w:marTop w:val="0"/>
      <w:marBottom w:val="0"/>
      <w:divBdr>
        <w:top w:val="none" w:sz="0" w:space="0" w:color="auto"/>
        <w:left w:val="none" w:sz="0" w:space="0" w:color="auto"/>
        <w:bottom w:val="none" w:sz="0" w:space="0" w:color="auto"/>
        <w:right w:val="none" w:sz="0" w:space="0" w:color="auto"/>
      </w:divBdr>
    </w:div>
    <w:div w:id="712314473">
      <w:bodyDiv w:val="1"/>
      <w:marLeft w:val="0"/>
      <w:marRight w:val="0"/>
      <w:marTop w:val="0"/>
      <w:marBottom w:val="0"/>
      <w:divBdr>
        <w:top w:val="none" w:sz="0" w:space="0" w:color="auto"/>
        <w:left w:val="none" w:sz="0" w:space="0" w:color="auto"/>
        <w:bottom w:val="none" w:sz="0" w:space="0" w:color="auto"/>
        <w:right w:val="none" w:sz="0" w:space="0" w:color="auto"/>
      </w:divBdr>
    </w:div>
    <w:div w:id="733702216">
      <w:bodyDiv w:val="1"/>
      <w:marLeft w:val="0"/>
      <w:marRight w:val="0"/>
      <w:marTop w:val="0"/>
      <w:marBottom w:val="0"/>
      <w:divBdr>
        <w:top w:val="none" w:sz="0" w:space="0" w:color="auto"/>
        <w:left w:val="none" w:sz="0" w:space="0" w:color="auto"/>
        <w:bottom w:val="none" w:sz="0" w:space="0" w:color="auto"/>
        <w:right w:val="none" w:sz="0" w:space="0" w:color="auto"/>
      </w:divBdr>
    </w:div>
    <w:div w:id="746534789">
      <w:bodyDiv w:val="1"/>
      <w:marLeft w:val="0"/>
      <w:marRight w:val="0"/>
      <w:marTop w:val="0"/>
      <w:marBottom w:val="0"/>
      <w:divBdr>
        <w:top w:val="none" w:sz="0" w:space="0" w:color="auto"/>
        <w:left w:val="none" w:sz="0" w:space="0" w:color="auto"/>
        <w:bottom w:val="none" w:sz="0" w:space="0" w:color="auto"/>
        <w:right w:val="none" w:sz="0" w:space="0" w:color="auto"/>
      </w:divBdr>
      <w:divsChild>
        <w:div w:id="1754274509">
          <w:marLeft w:val="0"/>
          <w:marRight w:val="0"/>
          <w:marTop w:val="0"/>
          <w:marBottom w:val="0"/>
          <w:divBdr>
            <w:top w:val="none" w:sz="0" w:space="0" w:color="auto"/>
            <w:left w:val="none" w:sz="0" w:space="0" w:color="auto"/>
            <w:bottom w:val="none" w:sz="0" w:space="0" w:color="auto"/>
            <w:right w:val="none" w:sz="0" w:space="0" w:color="auto"/>
          </w:divBdr>
          <w:divsChild>
            <w:div w:id="1745637498">
              <w:marLeft w:val="0"/>
              <w:marRight w:val="0"/>
              <w:marTop w:val="0"/>
              <w:marBottom w:val="0"/>
              <w:divBdr>
                <w:top w:val="none" w:sz="0" w:space="0" w:color="auto"/>
                <w:left w:val="none" w:sz="0" w:space="0" w:color="auto"/>
                <w:bottom w:val="none" w:sz="0" w:space="0" w:color="auto"/>
                <w:right w:val="none" w:sz="0" w:space="0" w:color="auto"/>
              </w:divBdr>
              <w:divsChild>
                <w:div w:id="165598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230012">
      <w:bodyDiv w:val="1"/>
      <w:marLeft w:val="0"/>
      <w:marRight w:val="0"/>
      <w:marTop w:val="0"/>
      <w:marBottom w:val="0"/>
      <w:divBdr>
        <w:top w:val="none" w:sz="0" w:space="0" w:color="auto"/>
        <w:left w:val="none" w:sz="0" w:space="0" w:color="auto"/>
        <w:bottom w:val="none" w:sz="0" w:space="0" w:color="auto"/>
        <w:right w:val="none" w:sz="0" w:space="0" w:color="auto"/>
      </w:divBdr>
    </w:div>
    <w:div w:id="764156877">
      <w:bodyDiv w:val="1"/>
      <w:marLeft w:val="0"/>
      <w:marRight w:val="0"/>
      <w:marTop w:val="0"/>
      <w:marBottom w:val="0"/>
      <w:divBdr>
        <w:top w:val="none" w:sz="0" w:space="0" w:color="auto"/>
        <w:left w:val="none" w:sz="0" w:space="0" w:color="auto"/>
        <w:bottom w:val="none" w:sz="0" w:space="0" w:color="auto"/>
        <w:right w:val="none" w:sz="0" w:space="0" w:color="auto"/>
      </w:divBdr>
    </w:div>
    <w:div w:id="771127567">
      <w:bodyDiv w:val="1"/>
      <w:marLeft w:val="0"/>
      <w:marRight w:val="0"/>
      <w:marTop w:val="0"/>
      <w:marBottom w:val="0"/>
      <w:divBdr>
        <w:top w:val="none" w:sz="0" w:space="0" w:color="auto"/>
        <w:left w:val="none" w:sz="0" w:space="0" w:color="auto"/>
        <w:bottom w:val="none" w:sz="0" w:space="0" w:color="auto"/>
        <w:right w:val="none" w:sz="0" w:space="0" w:color="auto"/>
      </w:divBdr>
    </w:div>
    <w:div w:id="783617158">
      <w:bodyDiv w:val="1"/>
      <w:marLeft w:val="0"/>
      <w:marRight w:val="0"/>
      <w:marTop w:val="0"/>
      <w:marBottom w:val="0"/>
      <w:divBdr>
        <w:top w:val="none" w:sz="0" w:space="0" w:color="auto"/>
        <w:left w:val="none" w:sz="0" w:space="0" w:color="auto"/>
        <w:bottom w:val="none" w:sz="0" w:space="0" w:color="auto"/>
        <w:right w:val="none" w:sz="0" w:space="0" w:color="auto"/>
      </w:divBdr>
    </w:div>
    <w:div w:id="789324588">
      <w:bodyDiv w:val="1"/>
      <w:marLeft w:val="0"/>
      <w:marRight w:val="0"/>
      <w:marTop w:val="0"/>
      <w:marBottom w:val="0"/>
      <w:divBdr>
        <w:top w:val="none" w:sz="0" w:space="0" w:color="auto"/>
        <w:left w:val="none" w:sz="0" w:space="0" w:color="auto"/>
        <w:bottom w:val="none" w:sz="0" w:space="0" w:color="auto"/>
        <w:right w:val="none" w:sz="0" w:space="0" w:color="auto"/>
      </w:divBdr>
    </w:div>
    <w:div w:id="791747596">
      <w:bodyDiv w:val="1"/>
      <w:marLeft w:val="0"/>
      <w:marRight w:val="0"/>
      <w:marTop w:val="0"/>
      <w:marBottom w:val="0"/>
      <w:divBdr>
        <w:top w:val="none" w:sz="0" w:space="0" w:color="auto"/>
        <w:left w:val="none" w:sz="0" w:space="0" w:color="auto"/>
        <w:bottom w:val="none" w:sz="0" w:space="0" w:color="auto"/>
        <w:right w:val="none" w:sz="0" w:space="0" w:color="auto"/>
      </w:divBdr>
    </w:div>
    <w:div w:id="796335467">
      <w:bodyDiv w:val="1"/>
      <w:marLeft w:val="0"/>
      <w:marRight w:val="0"/>
      <w:marTop w:val="0"/>
      <w:marBottom w:val="0"/>
      <w:divBdr>
        <w:top w:val="none" w:sz="0" w:space="0" w:color="auto"/>
        <w:left w:val="none" w:sz="0" w:space="0" w:color="auto"/>
        <w:bottom w:val="none" w:sz="0" w:space="0" w:color="auto"/>
        <w:right w:val="none" w:sz="0" w:space="0" w:color="auto"/>
      </w:divBdr>
    </w:div>
    <w:div w:id="809131947">
      <w:bodyDiv w:val="1"/>
      <w:marLeft w:val="0"/>
      <w:marRight w:val="0"/>
      <w:marTop w:val="0"/>
      <w:marBottom w:val="0"/>
      <w:divBdr>
        <w:top w:val="none" w:sz="0" w:space="0" w:color="auto"/>
        <w:left w:val="none" w:sz="0" w:space="0" w:color="auto"/>
        <w:bottom w:val="none" w:sz="0" w:space="0" w:color="auto"/>
        <w:right w:val="none" w:sz="0" w:space="0" w:color="auto"/>
      </w:divBdr>
    </w:div>
    <w:div w:id="812722415">
      <w:bodyDiv w:val="1"/>
      <w:marLeft w:val="0"/>
      <w:marRight w:val="0"/>
      <w:marTop w:val="0"/>
      <w:marBottom w:val="0"/>
      <w:divBdr>
        <w:top w:val="none" w:sz="0" w:space="0" w:color="auto"/>
        <w:left w:val="none" w:sz="0" w:space="0" w:color="auto"/>
        <w:bottom w:val="none" w:sz="0" w:space="0" w:color="auto"/>
        <w:right w:val="none" w:sz="0" w:space="0" w:color="auto"/>
      </w:divBdr>
    </w:div>
    <w:div w:id="822428016">
      <w:bodyDiv w:val="1"/>
      <w:marLeft w:val="0"/>
      <w:marRight w:val="0"/>
      <w:marTop w:val="0"/>
      <w:marBottom w:val="0"/>
      <w:divBdr>
        <w:top w:val="none" w:sz="0" w:space="0" w:color="auto"/>
        <w:left w:val="none" w:sz="0" w:space="0" w:color="auto"/>
        <w:bottom w:val="none" w:sz="0" w:space="0" w:color="auto"/>
        <w:right w:val="none" w:sz="0" w:space="0" w:color="auto"/>
      </w:divBdr>
    </w:div>
    <w:div w:id="826364980">
      <w:bodyDiv w:val="1"/>
      <w:marLeft w:val="0"/>
      <w:marRight w:val="0"/>
      <w:marTop w:val="0"/>
      <w:marBottom w:val="0"/>
      <w:divBdr>
        <w:top w:val="none" w:sz="0" w:space="0" w:color="auto"/>
        <w:left w:val="none" w:sz="0" w:space="0" w:color="auto"/>
        <w:bottom w:val="none" w:sz="0" w:space="0" w:color="auto"/>
        <w:right w:val="none" w:sz="0" w:space="0" w:color="auto"/>
      </w:divBdr>
    </w:div>
    <w:div w:id="827937355">
      <w:bodyDiv w:val="1"/>
      <w:marLeft w:val="0"/>
      <w:marRight w:val="0"/>
      <w:marTop w:val="0"/>
      <w:marBottom w:val="0"/>
      <w:divBdr>
        <w:top w:val="none" w:sz="0" w:space="0" w:color="auto"/>
        <w:left w:val="none" w:sz="0" w:space="0" w:color="auto"/>
        <w:bottom w:val="none" w:sz="0" w:space="0" w:color="auto"/>
        <w:right w:val="none" w:sz="0" w:space="0" w:color="auto"/>
      </w:divBdr>
    </w:div>
    <w:div w:id="836960533">
      <w:bodyDiv w:val="1"/>
      <w:marLeft w:val="0"/>
      <w:marRight w:val="0"/>
      <w:marTop w:val="0"/>
      <w:marBottom w:val="0"/>
      <w:divBdr>
        <w:top w:val="none" w:sz="0" w:space="0" w:color="auto"/>
        <w:left w:val="none" w:sz="0" w:space="0" w:color="auto"/>
        <w:bottom w:val="none" w:sz="0" w:space="0" w:color="auto"/>
        <w:right w:val="none" w:sz="0" w:space="0" w:color="auto"/>
      </w:divBdr>
    </w:div>
    <w:div w:id="858736821">
      <w:bodyDiv w:val="1"/>
      <w:marLeft w:val="0"/>
      <w:marRight w:val="0"/>
      <w:marTop w:val="0"/>
      <w:marBottom w:val="0"/>
      <w:divBdr>
        <w:top w:val="none" w:sz="0" w:space="0" w:color="auto"/>
        <w:left w:val="none" w:sz="0" w:space="0" w:color="auto"/>
        <w:bottom w:val="none" w:sz="0" w:space="0" w:color="auto"/>
        <w:right w:val="none" w:sz="0" w:space="0" w:color="auto"/>
      </w:divBdr>
    </w:div>
    <w:div w:id="871381257">
      <w:bodyDiv w:val="1"/>
      <w:marLeft w:val="0"/>
      <w:marRight w:val="0"/>
      <w:marTop w:val="0"/>
      <w:marBottom w:val="0"/>
      <w:divBdr>
        <w:top w:val="none" w:sz="0" w:space="0" w:color="auto"/>
        <w:left w:val="none" w:sz="0" w:space="0" w:color="auto"/>
        <w:bottom w:val="none" w:sz="0" w:space="0" w:color="auto"/>
        <w:right w:val="none" w:sz="0" w:space="0" w:color="auto"/>
      </w:divBdr>
    </w:div>
    <w:div w:id="887691827">
      <w:bodyDiv w:val="1"/>
      <w:marLeft w:val="0"/>
      <w:marRight w:val="0"/>
      <w:marTop w:val="0"/>
      <w:marBottom w:val="0"/>
      <w:divBdr>
        <w:top w:val="none" w:sz="0" w:space="0" w:color="auto"/>
        <w:left w:val="none" w:sz="0" w:space="0" w:color="auto"/>
        <w:bottom w:val="none" w:sz="0" w:space="0" w:color="auto"/>
        <w:right w:val="none" w:sz="0" w:space="0" w:color="auto"/>
      </w:divBdr>
    </w:div>
    <w:div w:id="891159163">
      <w:bodyDiv w:val="1"/>
      <w:marLeft w:val="0"/>
      <w:marRight w:val="0"/>
      <w:marTop w:val="0"/>
      <w:marBottom w:val="0"/>
      <w:divBdr>
        <w:top w:val="none" w:sz="0" w:space="0" w:color="auto"/>
        <w:left w:val="none" w:sz="0" w:space="0" w:color="auto"/>
        <w:bottom w:val="none" w:sz="0" w:space="0" w:color="auto"/>
        <w:right w:val="none" w:sz="0" w:space="0" w:color="auto"/>
      </w:divBdr>
    </w:div>
    <w:div w:id="893080349">
      <w:bodyDiv w:val="1"/>
      <w:marLeft w:val="0"/>
      <w:marRight w:val="0"/>
      <w:marTop w:val="0"/>
      <w:marBottom w:val="0"/>
      <w:divBdr>
        <w:top w:val="none" w:sz="0" w:space="0" w:color="auto"/>
        <w:left w:val="none" w:sz="0" w:space="0" w:color="auto"/>
        <w:bottom w:val="none" w:sz="0" w:space="0" w:color="auto"/>
        <w:right w:val="none" w:sz="0" w:space="0" w:color="auto"/>
      </w:divBdr>
    </w:div>
    <w:div w:id="898323399">
      <w:bodyDiv w:val="1"/>
      <w:marLeft w:val="0"/>
      <w:marRight w:val="0"/>
      <w:marTop w:val="0"/>
      <w:marBottom w:val="0"/>
      <w:divBdr>
        <w:top w:val="none" w:sz="0" w:space="0" w:color="auto"/>
        <w:left w:val="none" w:sz="0" w:space="0" w:color="auto"/>
        <w:bottom w:val="none" w:sz="0" w:space="0" w:color="auto"/>
        <w:right w:val="none" w:sz="0" w:space="0" w:color="auto"/>
      </w:divBdr>
    </w:div>
    <w:div w:id="907611996">
      <w:bodyDiv w:val="1"/>
      <w:marLeft w:val="0"/>
      <w:marRight w:val="0"/>
      <w:marTop w:val="0"/>
      <w:marBottom w:val="0"/>
      <w:divBdr>
        <w:top w:val="none" w:sz="0" w:space="0" w:color="auto"/>
        <w:left w:val="none" w:sz="0" w:space="0" w:color="auto"/>
        <w:bottom w:val="none" w:sz="0" w:space="0" w:color="auto"/>
        <w:right w:val="none" w:sz="0" w:space="0" w:color="auto"/>
      </w:divBdr>
    </w:div>
    <w:div w:id="910652772">
      <w:bodyDiv w:val="1"/>
      <w:marLeft w:val="0"/>
      <w:marRight w:val="0"/>
      <w:marTop w:val="0"/>
      <w:marBottom w:val="0"/>
      <w:divBdr>
        <w:top w:val="none" w:sz="0" w:space="0" w:color="auto"/>
        <w:left w:val="none" w:sz="0" w:space="0" w:color="auto"/>
        <w:bottom w:val="none" w:sz="0" w:space="0" w:color="auto"/>
        <w:right w:val="none" w:sz="0" w:space="0" w:color="auto"/>
      </w:divBdr>
    </w:div>
    <w:div w:id="916357097">
      <w:bodyDiv w:val="1"/>
      <w:marLeft w:val="0"/>
      <w:marRight w:val="0"/>
      <w:marTop w:val="0"/>
      <w:marBottom w:val="0"/>
      <w:divBdr>
        <w:top w:val="none" w:sz="0" w:space="0" w:color="auto"/>
        <w:left w:val="none" w:sz="0" w:space="0" w:color="auto"/>
        <w:bottom w:val="none" w:sz="0" w:space="0" w:color="auto"/>
        <w:right w:val="none" w:sz="0" w:space="0" w:color="auto"/>
      </w:divBdr>
    </w:div>
    <w:div w:id="931939932">
      <w:bodyDiv w:val="1"/>
      <w:marLeft w:val="0"/>
      <w:marRight w:val="0"/>
      <w:marTop w:val="0"/>
      <w:marBottom w:val="0"/>
      <w:divBdr>
        <w:top w:val="none" w:sz="0" w:space="0" w:color="auto"/>
        <w:left w:val="none" w:sz="0" w:space="0" w:color="auto"/>
        <w:bottom w:val="none" w:sz="0" w:space="0" w:color="auto"/>
        <w:right w:val="none" w:sz="0" w:space="0" w:color="auto"/>
      </w:divBdr>
      <w:divsChild>
        <w:div w:id="1268153561">
          <w:marLeft w:val="0"/>
          <w:marRight w:val="0"/>
          <w:marTop w:val="0"/>
          <w:marBottom w:val="0"/>
          <w:divBdr>
            <w:top w:val="none" w:sz="0" w:space="0" w:color="auto"/>
            <w:left w:val="none" w:sz="0" w:space="0" w:color="auto"/>
            <w:bottom w:val="none" w:sz="0" w:space="0" w:color="auto"/>
            <w:right w:val="none" w:sz="0" w:space="0" w:color="auto"/>
          </w:divBdr>
          <w:divsChild>
            <w:div w:id="1879196615">
              <w:marLeft w:val="0"/>
              <w:marRight w:val="0"/>
              <w:marTop w:val="0"/>
              <w:marBottom w:val="0"/>
              <w:divBdr>
                <w:top w:val="none" w:sz="0" w:space="0" w:color="auto"/>
                <w:left w:val="none" w:sz="0" w:space="0" w:color="auto"/>
                <w:bottom w:val="none" w:sz="0" w:space="0" w:color="auto"/>
                <w:right w:val="none" w:sz="0" w:space="0" w:color="auto"/>
              </w:divBdr>
              <w:divsChild>
                <w:div w:id="6991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015469">
      <w:bodyDiv w:val="1"/>
      <w:marLeft w:val="0"/>
      <w:marRight w:val="0"/>
      <w:marTop w:val="0"/>
      <w:marBottom w:val="0"/>
      <w:divBdr>
        <w:top w:val="none" w:sz="0" w:space="0" w:color="auto"/>
        <w:left w:val="none" w:sz="0" w:space="0" w:color="auto"/>
        <w:bottom w:val="none" w:sz="0" w:space="0" w:color="auto"/>
        <w:right w:val="none" w:sz="0" w:space="0" w:color="auto"/>
      </w:divBdr>
    </w:div>
    <w:div w:id="944075248">
      <w:bodyDiv w:val="1"/>
      <w:marLeft w:val="0"/>
      <w:marRight w:val="0"/>
      <w:marTop w:val="0"/>
      <w:marBottom w:val="0"/>
      <w:divBdr>
        <w:top w:val="none" w:sz="0" w:space="0" w:color="auto"/>
        <w:left w:val="none" w:sz="0" w:space="0" w:color="auto"/>
        <w:bottom w:val="none" w:sz="0" w:space="0" w:color="auto"/>
        <w:right w:val="none" w:sz="0" w:space="0" w:color="auto"/>
      </w:divBdr>
    </w:div>
    <w:div w:id="964313843">
      <w:bodyDiv w:val="1"/>
      <w:marLeft w:val="0"/>
      <w:marRight w:val="0"/>
      <w:marTop w:val="0"/>
      <w:marBottom w:val="0"/>
      <w:divBdr>
        <w:top w:val="none" w:sz="0" w:space="0" w:color="auto"/>
        <w:left w:val="none" w:sz="0" w:space="0" w:color="auto"/>
        <w:bottom w:val="none" w:sz="0" w:space="0" w:color="auto"/>
        <w:right w:val="none" w:sz="0" w:space="0" w:color="auto"/>
      </w:divBdr>
    </w:div>
    <w:div w:id="977077812">
      <w:bodyDiv w:val="1"/>
      <w:marLeft w:val="0"/>
      <w:marRight w:val="0"/>
      <w:marTop w:val="0"/>
      <w:marBottom w:val="0"/>
      <w:divBdr>
        <w:top w:val="none" w:sz="0" w:space="0" w:color="auto"/>
        <w:left w:val="none" w:sz="0" w:space="0" w:color="auto"/>
        <w:bottom w:val="none" w:sz="0" w:space="0" w:color="auto"/>
        <w:right w:val="none" w:sz="0" w:space="0" w:color="auto"/>
      </w:divBdr>
    </w:div>
    <w:div w:id="978219118">
      <w:bodyDiv w:val="1"/>
      <w:marLeft w:val="0"/>
      <w:marRight w:val="0"/>
      <w:marTop w:val="0"/>
      <w:marBottom w:val="0"/>
      <w:divBdr>
        <w:top w:val="none" w:sz="0" w:space="0" w:color="auto"/>
        <w:left w:val="none" w:sz="0" w:space="0" w:color="auto"/>
        <w:bottom w:val="none" w:sz="0" w:space="0" w:color="auto"/>
        <w:right w:val="none" w:sz="0" w:space="0" w:color="auto"/>
      </w:divBdr>
    </w:div>
    <w:div w:id="979379919">
      <w:bodyDiv w:val="1"/>
      <w:marLeft w:val="0"/>
      <w:marRight w:val="0"/>
      <w:marTop w:val="0"/>
      <w:marBottom w:val="0"/>
      <w:divBdr>
        <w:top w:val="none" w:sz="0" w:space="0" w:color="auto"/>
        <w:left w:val="none" w:sz="0" w:space="0" w:color="auto"/>
        <w:bottom w:val="none" w:sz="0" w:space="0" w:color="auto"/>
        <w:right w:val="none" w:sz="0" w:space="0" w:color="auto"/>
      </w:divBdr>
    </w:div>
    <w:div w:id="986202548">
      <w:bodyDiv w:val="1"/>
      <w:marLeft w:val="0"/>
      <w:marRight w:val="0"/>
      <w:marTop w:val="0"/>
      <w:marBottom w:val="0"/>
      <w:divBdr>
        <w:top w:val="none" w:sz="0" w:space="0" w:color="auto"/>
        <w:left w:val="none" w:sz="0" w:space="0" w:color="auto"/>
        <w:bottom w:val="none" w:sz="0" w:space="0" w:color="auto"/>
        <w:right w:val="none" w:sz="0" w:space="0" w:color="auto"/>
      </w:divBdr>
    </w:div>
    <w:div w:id="994577457">
      <w:bodyDiv w:val="1"/>
      <w:marLeft w:val="0"/>
      <w:marRight w:val="0"/>
      <w:marTop w:val="0"/>
      <w:marBottom w:val="0"/>
      <w:divBdr>
        <w:top w:val="none" w:sz="0" w:space="0" w:color="auto"/>
        <w:left w:val="none" w:sz="0" w:space="0" w:color="auto"/>
        <w:bottom w:val="none" w:sz="0" w:space="0" w:color="auto"/>
        <w:right w:val="none" w:sz="0" w:space="0" w:color="auto"/>
      </w:divBdr>
    </w:div>
    <w:div w:id="1005979599">
      <w:bodyDiv w:val="1"/>
      <w:marLeft w:val="0"/>
      <w:marRight w:val="0"/>
      <w:marTop w:val="0"/>
      <w:marBottom w:val="0"/>
      <w:divBdr>
        <w:top w:val="none" w:sz="0" w:space="0" w:color="auto"/>
        <w:left w:val="none" w:sz="0" w:space="0" w:color="auto"/>
        <w:bottom w:val="none" w:sz="0" w:space="0" w:color="auto"/>
        <w:right w:val="none" w:sz="0" w:space="0" w:color="auto"/>
      </w:divBdr>
    </w:div>
    <w:div w:id="1006323924">
      <w:bodyDiv w:val="1"/>
      <w:marLeft w:val="0"/>
      <w:marRight w:val="0"/>
      <w:marTop w:val="0"/>
      <w:marBottom w:val="0"/>
      <w:divBdr>
        <w:top w:val="none" w:sz="0" w:space="0" w:color="auto"/>
        <w:left w:val="none" w:sz="0" w:space="0" w:color="auto"/>
        <w:bottom w:val="none" w:sz="0" w:space="0" w:color="auto"/>
        <w:right w:val="none" w:sz="0" w:space="0" w:color="auto"/>
      </w:divBdr>
    </w:div>
    <w:div w:id="1011493630">
      <w:bodyDiv w:val="1"/>
      <w:marLeft w:val="0"/>
      <w:marRight w:val="0"/>
      <w:marTop w:val="0"/>
      <w:marBottom w:val="0"/>
      <w:divBdr>
        <w:top w:val="none" w:sz="0" w:space="0" w:color="auto"/>
        <w:left w:val="none" w:sz="0" w:space="0" w:color="auto"/>
        <w:bottom w:val="none" w:sz="0" w:space="0" w:color="auto"/>
        <w:right w:val="none" w:sz="0" w:space="0" w:color="auto"/>
      </w:divBdr>
    </w:div>
    <w:div w:id="1019165530">
      <w:bodyDiv w:val="1"/>
      <w:marLeft w:val="0"/>
      <w:marRight w:val="0"/>
      <w:marTop w:val="0"/>
      <w:marBottom w:val="0"/>
      <w:divBdr>
        <w:top w:val="none" w:sz="0" w:space="0" w:color="auto"/>
        <w:left w:val="none" w:sz="0" w:space="0" w:color="auto"/>
        <w:bottom w:val="none" w:sz="0" w:space="0" w:color="auto"/>
        <w:right w:val="none" w:sz="0" w:space="0" w:color="auto"/>
      </w:divBdr>
    </w:div>
    <w:div w:id="1029649705">
      <w:bodyDiv w:val="1"/>
      <w:marLeft w:val="0"/>
      <w:marRight w:val="0"/>
      <w:marTop w:val="0"/>
      <w:marBottom w:val="0"/>
      <w:divBdr>
        <w:top w:val="none" w:sz="0" w:space="0" w:color="auto"/>
        <w:left w:val="none" w:sz="0" w:space="0" w:color="auto"/>
        <w:bottom w:val="none" w:sz="0" w:space="0" w:color="auto"/>
        <w:right w:val="none" w:sz="0" w:space="0" w:color="auto"/>
      </w:divBdr>
    </w:div>
    <w:div w:id="1036126607">
      <w:bodyDiv w:val="1"/>
      <w:marLeft w:val="0"/>
      <w:marRight w:val="0"/>
      <w:marTop w:val="0"/>
      <w:marBottom w:val="0"/>
      <w:divBdr>
        <w:top w:val="none" w:sz="0" w:space="0" w:color="auto"/>
        <w:left w:val="none" w:sz="0" w:space="0" w:color="auto"/>
        <w:bottom w:val="none" w:sz="0" w:space="0" w:color="auto"/>
        <w:right w:val="none" w:sz="0" w:space="0" w:color="auto"/>
      </w:divBdr>
    </w:div>
    <w:div w:id="1037270196">
      <w:bodyDiv w:val="1"/>
      <w:marLeft w:val="0"/>
      <w:marRight w:val="0"/>
      <w:marTop w:val="0"/>
      <w:marBottom w:val="0"/>
      <w:divBdr>
        <w:top w:val="none" w:sz="0" w:space="0" w:color="auto"/>
        <w:left w:val="none" w:sz="0" w:space="0" w:color="auto"/>
        <w:bottom w:val="none" w:sz="0" w:space="0" w:color="auto"/>
        <w:right w:val="none" w:sz="0" w:space="0" w:color="auto"/>
      </w:divBdr>
    </w:div>
    <w:div w:id="1040741678">
      <w:bodyDiv w:val="1"/>
      <w:marLeft w:val="0"/>
      <w:marRight w:val="0"/>
      <w:marTop w:val="0"/>
      <w:marBottom w:val="0"/>
      <w:divBdr>
        <w:top w:val="none" w:sz="0" w:space="0" w:color="auto"/>
        <w:left w:val="none" w:sz="0" w:space="0" w:color="auto"/>
        <w:bottom w:val="none" w:sz="0" w:space="0" w:color="auto"/>
        <w:right w:val="none" w:sz="0" w:space="0" w:color="auto"/>
      </w:divBdr>
    </w:div>
    <w:div w:id="1044257375">
      <w:bodyDiv w:val="1"/>
      <w:marLeft w:val="0"/>
      <w:marRight w:val="0"/>
      <w:marTop w:val="0"/>
      <w:marBottom w:val="0"/>
      <w:divBdr>
        <w:top w:val="none" w:sz="0" w:space="0" w:color="auto"/>
        <w:left w:val="none" w:sz="0" w:space="0" w:color="auto"/>
        <w:bottom w:val="none" w:sz="0" w:space="0" w:color="auto"/>
        <w:right w:val="none" w:sz="0" w:space="0" w:color="auto"/>
      </w:divBdr>
    </w:div>
    <w:div w:id="1047146276">
      <w:bodyDiv w:val="1"/>
      <w:marLeft w:val="0"/>
      <w:marRight w:val="0"/>
      <w:marTop w:val="0"/>
      <w:marBottom w:val="0"/>
      <w:divBdr>
        <w:top w:val="none" w:sz="0" w:space="0" w:color="auto"/>
        <w:left w:val="none" w:sz="0" w:space="0" w:color="auto"/>
        <w:bottom w:val="none" w:sz="0" w:space="0" w:color="auto"/>
        <w:right w:val="none" w:sz="0" w:space="0" w:color="auto"/>
      </w:divBdr>
    </w:div>
    <w:div w:id="1053625038">
      <w:bodyDiv w:val="1"/>
      <w:marLeft w:val="0"/>
      <w:marRight w:val="0"/>
      <w:marTop w:val="0"/>
      <w:marBottom w:val="0"/>
      <w:divBdr>
        <w:top w:val="none" w:sz="0" w:space="0" w:color="auto"/>
        <w:left w:val="none" w:sz="0" w:space="0" w:color="auto"/>
        <w:bottom w:val="none" w:sz="0" w:space="0" w:color="auto"/>
        <w:right w:val="none" w:sz="0" w:space="0" w:color="auto"/>
      </w:divBdr>
    </w:div>
    <w:div w:id="1058431778">
      <w:bodyDiv w:val="1"/>
      <w:marLeft w:val="0"/>
      <w:marRight w:val="0"/>
      <w:marTop w:val="0"/>
      <w:marBottom w:val="0"/>
      <w:divBdr>
        <w:top w:val="none" w:sz="0" w:space="0" w:color="auto"/>
        <w:left w:val="none" w:sz="0" w:space="0" w:color="auto"/>
        <w:bottom w:val="none" w:sz="0" w:space="0" w:color="auto"/>
        <w:right w:val="none" w:sz="0" w:space="0" w:color="auto"/>
      </w:divBdr>
    </w:div>
    <w:div w:id="1073968376">
      <w:bodyDiv w:val="1"/>
      <w:marLeft w:val="0"/>
      <w:marRight w:val="0"/>
      <w:marTop w:val="0"/>
      <w:marBottom w:val="0"/>
      <w:divBdr>
        <w:top w:val="none" w:sz="0" w:space="0" w:color="auto"/>
        <w:left w:val="none" w:sz="0" w:space="0" w:color="auto"/>
        <w:bottom w:val="none" w:sz="0" w:space="0" w:color="auto"/>
        <w:right w:val="none" w:sz="0" w:space="0" w:color="auto"/>
      </w:divBdr>
    </w:div>
    <w:div w:id="1096097072">
      <w:bodyDiv w:val="1"/>
      <w:marLeft w:val="0"/>
      <w:marRight w:val="0"/>
      <w:marTop w:val="0"/>
      <w:marBottom w:val="0"/>
      <w:divBdr>
        <w:top w:val="none" w:sz="0" w:space="0" w:color="auto"/>
        <w:left w:val="none" w:sz="0" w:space="0" w:color="auto"/>
        <w:bottom w:val="none" w:sz="0" w:space="0" w:color="auto"/>
        <w:right w:val="none" w:sz="0" w:space="0" w:color="auto"/>
      </w:divBdr>
    </w:div>
    <w:div w:id="1096436189">
      <w:bodyDiv w:val="1"/>
      <w:marLeft w:val="0"/>
      <w:marRight w:val="0"/>
      <w:marTop w:val="0"/>
      <w:marBottom w:val="0"/>
      <w:divBdr>
        <w:top w:val="none" w:sz="0" w:space="0" w:color="auto"/>
        <w:left w:val="none" w:sz="0" w:space="0" w:color="auto"/>
        <w:bottom w:val="none" w:sz="0" w:space="0" w:color="auto"/>
        <w:right w:val="none" w:sz="0" w:space="0" w:color="auto"/>
      </w:divBdr>
    </w:div>
    <w:div w:id="1096904514">
      <w:bodyDiv w:val="1"/>
      <w:marLeft w:val="0"/>
      <w:marRight w:val="0"/>
      <w:marTop w:val="0"/>
      <w:marBottom w:val="0"/>
      <w:divBdr>
        <w:top w:val="none" w:sz="0" w:space="0" w:color="auto"/>
        <w:left w:val="none" w:sz="0" w:space="0" w:color="auto"/>
        <w:bottom w:val="none" w:sz="0" w:space="0" w:color="auto"/>
        <w:right w:val="none" w:sz="0" w:space="0" w:color="auto"/>
      </w:divBdr>
    </w:div>
    <w:div w:id="1100374446">
      <w:bodyDiv w:val="1"/>
      <w:marLeft w:val="0"/>
      <w:marRight w:val="0"/>
      <w:marTop w:val="0"/>
      <w:marBottom w:val="0"/>
      <w:divBdr>
        <w:top w:val="none" w:sz="0" w:space="0" w:color="auto"/>
        <w:left w:val="none" w:sz="0" w:space="0" w:color="auto"/>
        <w:bottom w:val="none" w:sz="0" w:space="0" w:color="auto"/>
        <w:right w:val="none" w:sz="0" w:space="0" w:color="auto"/>
      </w:divBdr>
    </w:div>
    <w:div w:id="1112818886">
      <w:bodyDiv w:val="1"/>
      <w:marLeft w:val="0"/>
      <w:marRight w:val="0"/>
      <w:marTop w:val="0"/>
      <w:marBottom w:val="0"/>
      <w:divBdr>
        <w:top w:val="none" w:sz="0" w:space="0" w:color="auto"/>
        <w:left w:val="none" w:sz="0" w:space="0" w:color="auto"/>
        <w:bottom w:val="none" w:sz="0" w:space="0" w:color="auto"/>
        <w:right w:val="none" w:sz="0" w:space="0" w:color="auto"/>
      </w:divBdr>
    </w:div>
    <w:div w:id="1125998945">
      <w:bodyDiv w:val="1"/>
      <w:marLeft w:val="0"/>
      <w:marRight w:val="0"/>
      <w:marTop w:val="0"/>
      <w:marBottom w:val="0"/>
      <w:divBdr>
        <w:top w:val="none" w:sz="0" w:space="0" w:color="auto"/>
        <w:left w:val="none" w:sz="0" w:space="0" w:color="auto"/>
        <w:bottom w:val="none" w:sz="0" w:space="0" w:color="auto"/>
        <w:right w:val="none" w:sz="0" w:space="0" w:color="auto"/>
      </w:divBdr>
      <w:divsChild>
        <w:div w:id="80420874">
          <w:marLeft w:val="0"/>
          <w:marRight w:val="0"/>
          <w:marTop w:val="0"/>
          <w:marBottom w:val="0"/>
          <w:divBdr>
            <w:top w:val="none" w:sz="0" w:space="0" w:color="auto"/>
            <w:left w:val="none" w:sz="0" w:space="0" w:color="auto"/>
            <w:bottom w:val="none" w:sz="0" w:space="0" w:color="auto"/>
            <w:right w:val="none" w:sz="0" w:space="0" w:color="auto"/>
          </w:divBdr>
          <w:divsChild>
            <w:div w:id="824471727">
              <w:marLeft w:val="0"/>
              <w:marRight w:val="0"/>
              <w:marTop w:val="0"/>
              <w:marBottom w:val="0"/>
              <w:divBdr>
                <w:top w:val="none" w:sz="0" w:space="0" w:color="auto"/>
                <w:left w:val="none" w:sz="0" w:space="0" w:color="auto"/>
                <w:bottom w:val="none" w:sz="0" w:space="0" w:color="auto"/>
                <w:right w:val="none" w:sz="0" w:space="0" w:color="auto"/>
              </w:divBdr>
              <w:divsChild>
                <w:div w:id="137214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0042">
      <w:bodyDiv w:val="1"/>
      <w:marLeft w:val="0"/>
      <w:marRight w:val="0"/>
      <w:marTop w:val="0"/>
      <w:marBottom w:val="0"/>
      <w:divBdr>
        <w:top w:val="none" w:sz="0" w:space="0" w:color="auto"/>
        <w:left w:val="none" w:sz="0" w:space="0" w:color="auto"/>
        <w:bottom w:val="none" w:sz="0" w:space="0" w:color="auto"/>
        <w:right w:val="none" w:sz="0" w:space="0" w:color="auto"/>
      </w:divBdr>
    </w:div>
    <w:div w:id="1130636649">
      <w:bodyDiv w:val="1"/>
      <w:marLeft w:val="0"/>
      <w:marRight w:val="0"/>
      <w:marTop w:val="0"/>
      <w:marBottom w:val="0"/>
      <w:divBdr>
        <w:top w:val="none" w:sz="0" w:space="0" w:color="auto"/>
        <w:left w:val="none" w:sz="0" w:space="0" w:color="auto"/>
        <w:bottom w:val="none" w:sz="0" w:space="0" w:color="auto"/>
        <w:right w:val="none" w:sz="0" w:space="0" w:color="auto"/>
      </w:divBdr>
    </w:div>
    <w:div w:id="1141727230">
      <w:bodyDiv w:val="1"/>
      <w:marLeft w:val="0"/>
      <w:marRight w:val="0"/>
      <w:marTop w:val="0"/>
      <w:marBottom w:val="0"/>
      <w:divBdr>
        <w:top w:val="none" w:sz="0" w:space="0" w:color="auto"/>
        <w:left w:val="none" w:sz="0" w:space="0" w:color="auto"/>
        <w:bottom w:val="none" w:sz="0" w:space="0" w:color="auto"/>
        <w:right w:val="none" w:sz="0" w:space="0" w:color="auto"/>
      </w:divBdr>
    </w:div>
    <w:div w:id="1145009856">
      <w:bodyDiv w:val="1"/>
      <w:marLeft w:val="0"/>
      <w:marRight w:val="0"/>
      <w:marTop w:val="0"/>
      <w:marBottom w:val="0"/>
      <w:divBdr>
        <w:top w:val="none" w:sz="0" w:space="0" w:color="auto"/>
        <w:left w:val="none" w:sz="0" w:space="0" w:color="auto"/>
        <w:bottom w:val="none" w:sz="0" w:space="0" w:color="auto"/>
        <w:right w:val="none" w:sz="0" w:space="0" w:color="auto"/>
      </w:divBdr>
    </w:div>
    <w:div w:id="1147286445">
      <w:bodyDiv w:val="1"/>
      <w:marLeft w:val="0"/>
      <w:marRight w:val="0"/>
      <w:marTop w:val="0"/>
      <w:marBottom w:val="0"/>
      <w:divBdr>
        <w:top w:val="none" w:sz="0" w:space="0" w:color="auto"/>
        <w:left w:val="none" w:sz="0" w:space="0" w:color="auto"/>
        <w:bottom w:val="none" w:sz="0" w:space="0" w:color="auto"/>
        <w:right w:val="none" w:sz="0" w:space="0" w:color="auto"/>
      </w:divBdr>
    </w:div>
    <w:div w:id="1154101747">
      <w:bodyDiv w:val="1"/>
      <w:marLeft w:val="0"/>
      <w:marRight w:val="0"/>
      <w:marTop w:val="0"/>
      <w:marBottom w:val="0"/>
      <w:divBdr>
        <w:top w:val="none" w:sz="0" w:space="0" w:color="auto"/>
        <w:left w:val="none" w:sz="0" w:space="0" w:color="auto"/>
        <w:bottom w:val="none" w:sz="0" w:space="0" w:color="auto"/>
        <w:right w:val="none" w:sz="0" w:space="0" w:color="auto"/>
      </w:divBdr>
    </w:div>
    <w:div w:id="1161889274">
      <w:bodyDiv w:val="1"/>
      <w:marLeft w:val="0"/>
      <w:marRight w:val="0"/>
      <w:marTop w:val="0"/>
      <w:marBottom w:val="0"/>
      <w:divBdr>
        <w:top w:val="none" w:sz="0" w:space="0" w:color="auto"/>
        <w:left w:val="none" w:sz="0" w:space="0" w:color="auto"/>
        <w:bottom w:val="none" w:sz="0" w:space="0" w:color="auto"/>
        <w:right w:val="none" w:sz="0" w:space="0" w:color="auto"/>
      </w:divBdr>
    </w:div>
    <w:div w:id="1173255898">
      <w:bodyDiv w:val="1"/>
      <w:marLeft w:val="0"/>
      <w:marRight w:val="0"/>
      <w:marTop w:val="0"/>
      <w:marBottom w:val="0"/>
      <w:divBdr>
        <w:top w:val="none" w:sz="0" w:space="0" w:color="auto"/>
        <w:left w:val="none" w:sz="0" w:space="0" w:color="auto"/>
        <w:bottom w:val="none" w:sz="0" w:space="0" w:color="auto"/>
        <w:right w:val="none" w:sz="0" w:space="0" w:color="auto"/>
      </w:divBdr>
    </w:div>
    <w:div w:id="1185899124">
      <w:bodyDiv w:val="1"/>
      <w:marLeft w:val="0"/>
      <w:marRight w:val="0"/>
      <w:marTop w:val="0"/>
      <w:marBottom w:val="0"/>
      <w:divBdr>
        <w:top w:val="none" w:sz="0" w:space="0" w:color="auto"/>
        <w:left w:val="none" w:sz="0" w:space="0" w:color="auto"/>
        <w:bottom w:val="none" w:sz="0" w:space="0" w:color="auto"/>
        <w:right w:val="none" w:sz="0" w:space="0" w:color="auto"/>
      </w:divBdr>
    </w:div>
    <w:div w:id="1190340482">
      <w:bodyDiv w:val="1"/>
      <w:marLeft w:val="0"/>
      <w:marRight w:val="0"/>
      <w:marTop w:val="0"/>
      <w:marBottom w:val="0"/>
      <w:divBdr>
        <w:top w:val="none" w:sz="0" w:space="0" w:color="auto"/>
        <w:left w:val="none" w:sz="0" w:space="0" w:color="auto"/>
        <w:bottom w:val="none" w:sz="0" w:space="0" w:color="auto"/>
        <w:right w:val="none" w:sz="0" w:space="0" w:color="auto"/>
      </w:divBdr>
    </w:div>
    <w:div w:id="1206676834">
      <w:bodyDiv w:val="1"/>
      <w:marLeft w:val="0"/>
      <w:marRight w:val="0"/>
      <w:marTop w:val="0"/>
      <w:marBottom w:val="0"/>
      <w:divBdr>
        <w:top w:val="none" w:sz="0" w:space="0" w:color="auto"/>
        <w:left w:val="none" w:sz="0" w:space="0" w:color="auto"/>
        <w:bottom w:val="none" w:sz="0" w:space="0" w:color="auto"/>
        <w:right w:val="none" w:sz="0" w:space="0" w:color="auto"/>
      </w:divBdr>
    </w:div>
    <w:div w:id="1232735508">
      <w:bodyDiv w:val="1"/>
      <w:marLeft w:val="0"/>
      <w:marRight w:val="0"/>
      <w:marTop w:val="0"/>
      <w:marBottom w:val="0"/>
      <w:divBdr>
        <w:top w:val="none" w:sz="0" w:space="0" w:color="auto"/>
        <w:left w:val="none" w:sz="0" w:space="0" w:color="auto"/>
        <w:bottom w:val="none" w:sz="0" w:space="0" w:color="auto"/>
        <w:right w:val="none" w:sz="0" w:space="0" w:color="auto"/>
      </w:divBdr>
    </w:div>
    <w:div w:id="1237862522">
      <w:bodyDiv w:val="1"/>
      <w:marLeft w:val="0"/>
      <w:marRight w:val="0"/>
      <w:marTop w:val="0"/>
      <w:marBottom w:val="0"/>
      <w:divBdr>
        <w:top w:val="none" w:sz="0" w:space="0" w:color="auto"/>
        <w:left w:val="none" w:sz="0" w:space="0" w:color="auto"/>
        <w:bottom w:val="none" w:sz="0" w:space="0" w:color="auto"/>
        <w:right w:val="none" w:sz="0" w:space="0" w:color="auto"/>
      </w:divBdr>
    </w:div>
    <w:div w:id="1240335109">
      <w:bodyDiv w:val="1"/>
      <w:marLeft w:val="0"/>
      <w:marRight w:val="0"/>
      <w:marTop w:val="0"/>
      <w:marBottom w:val="0"/>
      <w:divBdr>
        <w:top w:val="none" w:sz="0" w:space="0" w:color="auto"/>
        <w:left w:val="none" w:sz="0" w:space="0" w:color="auto"/>
        <w:bottom w:val="none" w:sz="0" w:space="0" w:color="auto"/>
        <w:right w:val="none" w:sz="0" w:space="0" w:color="auto"/>
      </w:divBdr>
    </w:div>
    <w:div w:id="1240864753">
      <w:bodyDiv w:val="1"/>
      <w:marLeft w:val="0"/>
      <w:marRight w:val="0"/>
      <w:marTop w:val="0"/>
      <w:marBottom w:val="0"/>
      <w:divBdr>
        <w:top w:val="none" w:sz="0" w:space="0" w:color="auto"/>
        <w:left w:val="none" w:sz="0" w:space="0" w:color="auto"/>
        <w:bottom w:val="none" w:sz="0" w:space="0" w:color="auto"/>
        <w:right w:val="none" w:sz="0" w:space="0" w:color="auto"/>
      </w:divBdr>
    </w:div>
    <w:div w:id="1242830629">
      <w:bodyDiv w:val="1"/>
      <w:marLeft w:val="0"/>
      <w:marRight w:val="0"/>
      <w:marTop w:val="0"/>
      <w:marBottom w:val="0"/>
      <w:divBdr>
        <w:top w:val="none" w:sz="0" w:space="0" w:color="auto"/>
        <w:left w:val="none" w:sz="0" w:space="0" w:color="auto"/>
        <w:bottom w:val="none" w:sz="0" w:space="0" w:color="auto"/>
        <w:right w:val="none" w:sz="0" w:space="0" w:color="auto"/>
      </w:divBdr>
    </w:div>
    <w:div w:id="1253393795">
      <w:bodyDiv w:val="1"/>
      <w:marLeft w:val="0"/>
      <w:marRight w:val="0"/>
      <w:marTop w:val="0"/>
      <w:marBottom w:val="0"/>
      <w:divBdr>
        <w:top w:val="none" w:sz="0" w:space="0" w:color="auto"/>
        <w:left w:val="none" w:sz="0" w:space="0" w:color="auto"/>
        <w:bottom w:val="none" w:sz="0" w:space="0" w:color="auto"/>
        <w:right w:val="none" w:sz="0" w:space="0" w:color="auto"/>
      </w:divBdr>
    </w:div>
    <w:div w:id="1253707675">
      <w:bodyDiv w:val="1"/>
      <w:marLeft w:val="0"/>
      <w:marRight w:val="0"/>
      <w:marTop w:val="0"/>
      <w:marBottom w:val="0"/>
      <w:divBdr>
        <w:top w:val="none" w:sz="0" w:space="0" w:color="auto"/>
        <w:left w:val="none" w:sz="0" w:space="0" w:color="auto"/>
        <w:bottom w:val="none" w:sz="0" w:space="0" w:color="auto"/>
        <w:right w:val="none" w:sz="0" w:space="0" w:color="auto"/>
      </w:divBdr>
    </w:div>
    <w:div w:id="1257591622">
      <w:bodyDiv w:val="1"/>
      <w:marLeft w:val="0"/>
      <w:marRight w:val="0"/>
      <w:marTop w:val="0"/>
      <w:marBottom w:val="0"/>
      <w:divBdr>
        <w:top w:val="none" w:sz="0" w:space="0" w:color="auto"/>
        <w:left w:val="none" w:sz="0" w:space="0" w:color="auto"/>
        <w:bottom w:val="none" w:sz="0" w:space="0" w:color="auto"/>
        <w:right w:val="none" w:sz="0" w:space="0" w:color="auto"/>
      </w:divBdr>
    </w:div>
    <w:div w:id="1263687453">
      <w:bodyDiv w:val="1"/>
      <w:marLeft w:val="0"/>
      <w:marRight w:val="0"/>
      <w:marTop w:val="0"/>
      <w:marBottom w:val="0"/>
      <w:divBdr>
        <w:top w:val="none" w:sz="0" w:space="0" w:color="auto"/>
        <w:left w:val="none" w:sz="0" w:space="0" w:color="auto"/>
        <w:bottom w:val="none" w:sz="0" w:space="0" w:color="auto"/>
        <w:right w:val="none" w:sz="0" w:space="0" w:color="auto"/>
      </w:divBdr>
    </w:div>
    <w:div w:id="1264723219">
      <w:bodyDiv w:val="1"/>
      <w:marLeft w:val="0"/>
      <w:marRight w:val="0"/>
      <w:marTop w:val="0"/>
      <w:marBottom w:val="0"/>
      <w:divBdr>
        <w:top w:val="none" w:sz="0" w:space="0" w:color="auto"/>
        <w:left w:val="none" w:sz="0" w:space="0" w:color="auto"/>
        <w:bottom w:val="none" w:sz="0" w:space="0" w:color="auto"/>
        <w:right w:val="none" w:sz="0" w:space="0" w:color="auto"/>
      </w:divBdr>
    </w:div>
    <w:div w:id="1285186218">
      <w:bodyDiv w:val="1"/>
      <w:marLeft w:val="0"/>
      <w:marRight w:val="0"/>
      <w:marTop w:val="0"/>
      <w:marBottom w:val="0"/>
      <w:divBdr>
        <w:top w:val="none" w:sz="0" w:space="0" w:color="auto"/>
        <w:left w:val="none" w:sz="0" w:space="0" w:color="auto"/>
        <w:bottom w:val="none" w:sz="0" w:space="0" w:color="auto"/>
        <w:right w:val="none" w:sz="0" w:space="0" w:color="auto"/>
      </w:divBdr>
    </w:div>
    <w:div w:id="1288467683">
      <w:bodyDiv w:val="1"/>
      <w:marLeft w:val="0"/>
      <w:marRight w:val="0"/>
      <w:marTop w:val="0"/>
      <w:marBottom w:val="0"/>
      <w:divBdr>
        <w:top w:val="none" w:sz="0" w:space="0" w:color="auto"/>
        <w:left w:val="none" w:sz="0" w:space="0" w:color="auto"/>
        <w:bottom w:val="none" w:sz="0" w:space="0" w:color="auto"/>
        <w:right w:val="none" w:sz="0" w:space="0" w:color="auto"/>
      </w:divBdr>
    </w:div>
    <w:div w:id="1293097780">
      <w:bodyDiv w:val="1"/>
      <w:marLeft w:val="0"/>
      <w:marRight w:val="0"/>
      <w:marTop w:val="0"/>
      <w:marBottom w:val="0"/>
      <w:divBdr>
        <w:top w:val="none" w:sz="0" w:space="0" w:color="auto"/>
        <w:left w:val="none" w:sz="0" w:space="0" w:color="auto"/>
        <w:bottom w:val="none" w:sz="0" w:space="0" w:color="auto"/>
        <w:right w:val="none" w:sz="0" w:space="0" w:color="auto"/>
      </w:divBdr>
    </w:div>
    <w:div w:id="1302921774">
      <w:bodyDiv w:val="1"/>
      <w:marLeft w:val="0"/>
      <w:marRight w:val="0"/>
      <w:marTop w:val="0"/>
      <w:marBottom w:val="0"/>
      <w:divBdr>
        <w:top w:val="none" w:sz="0" w:space="0" w:color="auto"/>
        <w:left w:val="none" w:sz="0" w:space="0" w:color="auto"/>
        <w:bottom w:val="none" w:sz="0" w:space="0" w:color="auto"/>
        <w:right w:val="none" w:sz="0" w:space="0" w:color="auto"/>
      </w:divBdr>
    </w:div>
    <w:div w:id="1306927924">
      <w:bodyDiv w:val="1"/>
      <w:marLeft w:val="0"/>
      <w:marRight w:val="0"/>
      <w:marTop w:val="0"/>
      <w:marBottom w:val="0"/>
      <w:divBdr>
        <w:top w:val="none" w:sz="0" w:space="0" w:color="auto"/>
        <w:left w:val="none" w:sz="0" w:space="0" w:color="auto"/>
        <w:bottom w:val="none" w:sz="0" w:space="0" w:color="auto"/>
        <w:right w:val="none" w:sz="0" w:space="0" w:color="auto"/>
      </w:divBdr>
    </w:div>
    <w:div w:id="1308196356">
      <w:bodyDiv w:val="1"/>
      <w:marLeft w:val="0"/>
      <w:marRight w:val="0"/>
      <w:marTop w:val="0"/>
      <w:marBottom w:val="0"/>
      <w:divBdr>
        <w:top w:val="none" w:sz="0" w:space="0" w:color="auto"/>
        <w:left w:val="none" w:sz="0" w:space="0" w:color="auto"/>
        <w:bottom w:val="none" w:sz="0" w:space="0" w:color="auto"/>
        <w:right w:val="none" w:sz="0" w:space="0" w:color="auto"/>
      </w:divBdr>
    </w:div>
    <w:div w:id="1313603674">
      <w:bodyDiv w:val="1"/>
      <w:marLeft w:val="0"/>
      <w:marRight w:val="0"/>
      <w:marTop w:val="0"/>
      <w:marBottom w:val="0"/>
      <w:divBdr>
        <w:top w:val="none" w:sz="0" w:space="0" w:color="auto"/>
        <w:left w:val="none" w:sz="0" w:space="0" w:color="auto"/>
        <w:bottom w:val="none" w:sz="0" w:space="0" w:color="auto"/>
        <w:right w:val="none" w:sz="0" w:space="0" w:color="auto"/>
      </w:divBdr>
    </w:div>
    <w:div w:id="1320307040">
      <w:bodyDiv w:val="1"/>
      <w:marLeft w:val="0"/>
      <w:marRight w:val="0"/>
      <w:marTop w:val="0"/>
      <w:marBottom w:val="0"/>
      <w:divBdr>
        <w:top w:val="none" w:sz="0" w:space="0" w:color="auto"/>
        <w:left w:val="none" w:sz="0" w:space="0" w:color="auto"/>
        <w:bottom w:val="none" w:sz="0" w:space="0" w:color="auto"/>
        <w:right w:val="none" w:sz="0" w:space="0" w:color="auto"/>
      </w:divBdr>
    </w:div>
    <w:div w:id="1325011665">
      <w:bodyDiv w:val="1"/>
      <w:marLeft w:val="0"/>
      <w:marRight w:val="0"/>
      <w:marTop w:val="0"/>
      <w:marBottom w:val="0"/>
      <w:divBdr>
        <w:top w:val="none" w:sz="0" w:space="0" w:color="auto"/>
        <w:left w:val="none" w:sz="0" w:space="0" w:color="auto"/>
        <w:bottom w:val="none" w:sz="0" w:space="0" w:color="auto"/>
        <w:right w:val="none" w:sz="0" w:space="0" w:color="auto"/>
      </w:divBdr>
    </w:div>
    <w:div w:id="1331635199">
      <w:bodyDiv w:val="1"/>
      <w:marLeft w:val="0"/>
      <w:marRight w:val="0"/>
      <w:marTop w:val="0"/>
      <w:marBottom w:val="0"/>
      <w:divBdr>
        <w:top w:val="none" w:sz="0" w:space="0" w:color="auto"/>
        <w:left w:val="none" w:sz="0" w:space="0" w:color="auto"/>
        <w:bottom w:val="none" w:sz="0" w:space="0" w:color="auto"/>
        <w:right w:val="none" w:sz="0" w:space="0" w:color="auto"/>
      </w:divBdr>
    </w:div>
    <w:div w:id="1337226026">
      <w:bodyDiv w:val="1"/>
      <w:marLeft w:val="0"/>
      <w:marRight w:val="0"/>
      <w:marTop w:val="0"/>
      <w:marBottom w:val="0"/>
      <w:divBdr>
        <w:top w:val="none" w:sz="0" w:space="0" w:color="auto"/>
        <w:left w:val="none" w:sz="0" w:space="0" w:color="auto"/>
        <w:bottom w:val="none" w:sz="0" w:space="0" w:color="auto"/>
        <w:right w:val="none" w:sz="0" w:space="0" w:color="auto"/>
      </w:divBdr>
    </w:div>
    <w:div w:id="1341657667">
      <w:bodyDiv w:val="1"/>
      <w:marLeft w:val="0"/>
      <w:marRight w:val="0"/>
      <w:marTop w:val="0"/>
      <w:marBottom w:val="0"/>
      <w:divBdr>
        <w:top w:val="none" w:sz="0" w:space="0" w:color="auto"/>
        <w:left w:val="none" w:sz="0" w:space="0" w:color="auto"/>
        <w:bottom w:val="none" w:sz="0" w:space="0" w:color="auto"/>
        <w:right w:val="none" w:sz="0" w:space="0" w:color="auto"/>
      </w:divBdr>
    </w:div>
    <w:div w:id="1345087411">
      <w:bodyDiv w:val="1"/>
      <w:marLeft w:val="0"/>
      <w:marRight w:val="0"/>
      <w:marTop w:val="0"/>
      <w:marBottom w:val="0"/>
      <w:divBdr>
        <w:top w:val="none" w:sz="0" w:space="0" w:color="auto"/>
        <w:left w:val="none" w:sz="0" w:space="0" w:color="auto"/>
        <w:bottom w:val="none" w:sz="0" w:space="0" w:color="auto"/>
        <w:right w:val="none" w:sz="0" w:space="0" w:color="auto"/>
      </w:divBdr>
    </w:div>
    <w:div w:id="1358653860">
      <w:bodyDiv w:val="1"/>
      <w:marLeft w:val="0"/>
      <w:marRight w:val="0"/>
      <w:marTop w:val="0"/>
      <w:marBottom w:val="0"/>
      <w:divBdr>
        <w:top w:val="none" w:sz="0" w:space="0" w:color="auto"/>
        <w:left w:val="none" w:sz="0" w:space="0" w:color="auto"/>
        <w:bottom w:val="none" w:sz="0" w:space="0" w:color="auto"/>
        <w:right w:val="none" w:sz="0" w:space="0" w:color="auto"/>
      </w:divBdr>
    </w:div>
    <w:div w:id="1368677201">
      <w:bodyDiv w:val="1"/>
      <w:marLeft w:val="0"/>
      <w:marRight w:val="0"/>
      <w:marTop w:val="0"/>
      <w:marBottom w:val="0"/>
      <w:divBdr>
        <w:top w:val="none" w:sz="0" w:space="0" w:color="auto"/>
        <w:left w:val="none" w:sz="0" w:space="0" w:color="auto"/>
        <w:bottom w:val="none" w:sz="0" w:space="0" w:color="auto"/>
        <w:right w:val="none" w:sz="0" w:space="0" w:color="auto"/>
      </w:divBdr>
    </w:div>
    <w:div w:id="1369602192">
      <w:bodyDiv w:val="1"/>
      <w:marLeft w:val="0"/>
      <w:marRight w:val="0"/>
      <w:marTop w:val="0"/>
      <w:marBottom w:val="0"/>
      <w:divBdr>
        <w:top w:val="none" w:sz="0" w:space="0" w:color="auto"/>
        <w:left w:val="none" w:sz="0" w:space="0" w:color="auto"/>
        <w:bottom w:val="none" w:sz="0" w:space="0" w:color="auto"/>
        <w:right w:val="none" w:sz="0" w:space="0" w:color="auto"/>
      </w:divBdr>
    </w:div>
    <w:div w:id="1372152934">
      <w:bodyDiv w:val="1"/>
      <w:marLeft w:val="0"/>
      <w:marRight w:val="0"/>
      <w:marTop w:val="0"/>
      <w:marBottom w:val="0"/>
      <w:divBdr>
        <w:top w:val="none" w:sz="0" w:space="0" w:color="auto"/>
        <w:left w:val="none" w:sz="0" w:space="0" w:color="auto"/>
        <w:bottom w:val="none" w:sz="0" w:space="0" w:color="auto"/>
        <w:right w:val="none" w:sz="0" w:space="0" w:color="auto"/>
      </w:divBdr>
    </w:div>
    <w:div w:id="1382361220">
      <w:bodyDiv w:val="1"/>
      <w:marLeft w:val="0"/>
      <w:marRight w:val="0"/>
      <w:marTop w:val="0"/>
      <w:marBottom w:val="0"/>
      <w:divBdr>
        <w:top w:val="none" w:sz="0" w:space="0" w:color="auto"/>
        <w:left w:val="none" w:sz="0" w:space="0" w:color="auto"/>
        <w:bottom w:val="none" w:sz="0" w:space="0" w:color="auto"/>
        <w:right w:val="none" w:sz="0" w:space="0" w:color="auto"/>
      </w:divBdr>
      <w:divsChild>
        <w:div w:id="1502771657">
          <w:marLeft w:val="0"/>
          <w:marRight w:val="0"/>
          <w:marTop w:val="0"/>
          <w:marBottom w:val="0"/>
          <w:divBdr>
            <w:top w:val="none" w:sz="0" w:space="0" w:color="auto"/>
            <w:left w:val="none" w:sz="0" w:space="0" w:color="auto"/>
            <w:bottom w:val="none" w:sz="0" w:space="0" w:color="auto"/>
            <w:right w:val="none" w:sz="0" w:space="0" w:color="auto"/>
          </w:divBdr>
          <w:divsChild>
            <w:div w:id="927733554">
              <w:marLeft w:val="0"/>
              <w:marRight w:val="0"/>
              <w:marTop w:val="0"/>
              <w:marBottom w:val="0"/>
              <w:divBdr>
                <w:top w:val="none" w:sz="0" w:space="0" w:color="auto"/>
                <w:left w:val="none" w:sz="0" w:space="0" w:color="auto"/>
                <w:bottom w:val="none" w:sz="0" w:space="0" w:color="auto"/>
                <w:right w:val="none" w:sz="0" w:space="0" w:color="auto"/>
              </w:divBdr>
              <w:divsChild>
                <w:div w:id="110962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100192">
      <w:bodyDiv w:val="1"/>
      <w:marLeft w:val="0"/>
      <w:marRight w:val="0"/>
      <w:marTop w:val="0"/>
      <w:marBottom w:val="0"/>
      <w:divBdr>
        <w:top w:val="none" w:sz="0" w:space="0" w:color="auto"/>
        <w:left w:val="none" w:sz="0" w:space="0" w:color="auto"/>
        <w:bottom w:val="none" w:sz="0" w:space="0" w:color="auto"/>
        <w:right w:val="none" w:sz="0" w:space="0" w:color="auto"/>
      </w:divBdr>
    </w:div>
    <w:div w:id="1400248469">
      <w:bodyDiv w:val="1"/>
      <w:marLeft w:val="0"/>
      <w:marRight w:val="0"/>
      <w:marTop w:val="0"/>
      <w:marBottom w:val="0"/>
      <w:divBdr>
        <w:top w:val="none" w:sz="0" w:space="0" w:color="auto"/>
        <w:left w:val="none" w:sz="0" w:space="0" w:color="auto"/>
        <w:bottom w:val="none" w:sz="0" w:space="0" w:color="auto"/>
        <w:right w:val="none" w:sz="0" w:space="0" w:color="auto"/>
      </w:divBdr>
    </w:div>
    <w:div w:id="1401557497">
      <w:bodyDiv w:val="1"/>
      <w:marLeft w:val="0"/>
      <w:marRight w:val="0"/>
      <w:marTop w:val="0"/>
      <w:marBottom w:val="0"/>
      <w:divBdr>
        <w:top w:val="none" w:sz="0" w:space="0" w:color="auto"/>
        <w:left w:val="none" w:sz="0" w:space="0" w:color="auto"/>
        <w:bottom w:val="none" w:sz="0" w:space="0" w:color="auto"/>
        <w:right w:val="none" w:sz="0" w:space="0" w:color="auto"/>
      </w:divBdr>
      <w:divsChild>
        <w:div w:id="150561344">
          <w:marLeft w:val="0"/>
          <w:marRight w:val="0"/>
          <w:marTop w:val="0"/>
          <w:marBottom w:val="0"/>
          <w:divBdr>
            <w:top w:val="none" w:sz="0" w:space="0" w:color="auto"/>
            <w:left w:val="none" w:sz="0" w:space="0" w:color="auto"/>
            <w:bottom w:val="none" w:sz="0" w:space="0" w:color="auto"/>
            <w:right w:val="none" w:sz="0" w:space="0" w:color="auto"/>
          </w:divBdr>
          <w:divsChild>
            <w:div w:id="1832283721">
              <w:marLeft w:val="0"/>
              <w:marRight w:val="0"/>
              <w:marTop w:val="0"/>
              <w:marBottom w:val="0"/>
              <w:divBdr>
                <w:top w:val="none" w:sz="0" w:space="0" w:color="auto"/>
                <w:left w:val="none" w:sz="0" w:space="0" w:color="auto"/>
                <w:bottom w:val="none" w:sz="0" w:space="0" w:color="auto"/>
                <w:right w:val="none" w:sz="0" w:space="0" w:color="auto"/>
              </w:divBdr>
              <w:divsChild>
                <w:div w:id="1818840292">
                  <w:marLeft w:val="0"/>
                  <w:marRight w:val="0"/>
                  <w:marTop w:val="0"/>
                  <w:marBottom w:val="0"/>
                  <w:divBdr>
                    <w:top w:val="none" w:sz="0" w:space="0" w:color="auto"/>
                    <w:left w:val="none" w:sz="0" w:space="0" w:color="auto"/>
                    <w:bottom w:val="none" w:sz="0" w:space="0" w:color="auto"/>
                    <w:right w:val="none" w:sz="0" w:space="0" w:color="auto"/>
                  </w:divBdr>
                  <w:divsChild>
                    <w:div w:id="23089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770266">
      <w:bodyDiv w:val="1"/>
      <w:marLeft w:val="0"/>
      <w:marRight w:val="0"/>
      <w:marTop w:val="0"/>
      <w:marBottom w:val="0"/>
      <w:divBdr>
        <w:top w:val="none" w:sz="0" w:space="0" w:color="auto"/>
        <w:left w:val="none" w:sz="0" w:space="0" w:color="auto"/>
        <w:bottom w:val="none" w:sz="0" w:space="0" w:color="auto"/>
        <w:right w:val="none" w:sz="0" w:space="0" w:color="auto"/>
      </w:divBdr>
    </w:div>
    <w:div w:id="1409961094">
      <w:bodyDiv w:val="1"/>
      <w:marLeft w:val="0"/>
      <w:marRight w:val="0"/>
      <w:marTop w:val="0"/>
      <w:marBottom w:val="0"/>
      <w:divBdr>
        <w:top w:val="none" w:sz="0" w:space="0" w:color="auto"/>
        <w:left w:val="none" w:sz="0" w:space="0" w:color="auto"/>
        <w:bottom w:val="none" w:sz="0" w:space="0" w:color="auto"/>
        <w:right w:val="none" w:sz="0" w:space="0" w:color="auto"/>
      </w:divBdr>
    </w:div>
    <w:div w:id="1421029357">
      <w:bodyDiv w:val="1"/>
      <w:marLeft w:val="0"/>
      <w:marRight w:val="0"/>
      <w:marTop w:val="0"/>
      <w:marBottom w:val="0"/>
      <w:divBdr>
        <w:top w:val="none" w:sz="0" w:space="0" w:color="auto"/>
        <w:left w:val="none" w:sz="0" w:space="0" w:color="auto"/>
        <w:bottom w:val="none" w:sz="0" w:space="0" w:color="auto"/>
        <w:right w:val="none" w:sz="0" w:space="0" w:color="auto"/>
      </w:divBdr>
    </w:div>
    <w:div w:id="1429426305">
      <w:bodyDiv w:val="1"/>
      <w:marLeft w:val="0"/>
      <w:marRight w:val="0"/>
      <w:marTop w:val="0"/>
      <w:marBottom w:val="0"/>
      <w:divBdr>
        <w:top w:val="none" w:sz="0" w:space="0" w:color="auto"/>
        <w:left w:val="none" w:sz="0" w:space="0" w:color="auto"/>
        <w:bottom w:val="none" w:sz="0" w:space="0" w:color="auto"/>
        <w:right w:val="none" w:sz="0" w:space="0" w:color="auto"/>
      </w:divBdr>
    </w:div>
    <w:div w:id="1431003930">
      <w:bodyDiv w:val="1"/>
      <w:marLeft w:val="0"/>
      <w:marRight w:val="0"/>
      <w:marTop w:val="0"/>
      <w:marBottom w:val="0"/>
      <w:divBdr>
        <w:top w:val="none" w:sz="0" w:space="0" w:color="auto"/>
        <w:left w:val="none" w:sz="0" w:space="0" w:color="auto"/>
        <w:bottom w:val="none" w:sz="0" w:space="0" w:color="auto"/>
        <w:right w:val="none" w:sz="0" w:space="0" w:color="auto"/>
      </w:divBdr>
    </w:div>
    <w:div w:id="1433088636">
      <w:bodyDiv w:val="1"/>
      <w:marLeft w:val="0"/>
      <w:marRight w:val="0"/>
      <w:marTop w:val="0"/>
      <w:marBottom w:val="0"/>
      <w:divBdr>
        <w:top w:val="none" w:sz="0" w:space="0" w:color="auto"/>
        <w:left w:val="none" w:sz="0" w:space="0" w:color="auto"/>
        <w:bottom w:val="none" w:sz="0" w:space="0" w:color="auto"/>
        <w:right w:val="none" w:sz="0" w:space="0" w:color="auto"/>
      </w:divBdr>
    </w:div>
    <w:div w:id="1449470007">
      <w:bodyDiv w:val="1"/>
      <w:marLeft w:val="0"/>
      <w:marRight w:val="0"/>
      <w:marTop w:val="0"/>
      <w:marBottom w:val="0"/>
      <w:divBdr>
        <w:top w:val="none" w:sz="0" w:space="0" w:color="auto"/>
        <w:left w:val="none" w:sz="0" w:space="0" w:color="auto"/>
        <w:bottom w:val="none" w:sz="0" w:space="0" w:color="auto"/>
        <w:right w:val="none" w:sz="0" w:space="0" w:color="auto"/>
      </w:divBdr>
    </w:div>
    <w:div w:id="1464420495">
      <w:bodyDiv w:val="1"/>
      <w:marLeft w:val="0"/>
      <w:marRight w:val="0"/>
      <w:marTop w:val="0"/>
      <w:marBottom w:val="0"/>
      <w:divBdr>
        <w:top w:val="none" w:sz="0" w:space="0" w:color="auto"/>
        <w:left w:val="none" w:sz="0" w:space="0" w:color="auto"/>
        <w:bottom w:val="none" w:sz="0" w:space="0" w:color="auto"/>
        <w:right w:val="none" w:sz="0" w:space="0" w:color="auto"/>
      </w:divBdr>
    </w:div>
    <w:div w:id="1468738440">
      <w:bodyDiv w:val="1"/>
      <w:marLeft w:val="0"/>
      <w:marRight w:val="0"/>
      <w:marTop w:val="0"/>
      <w:marBottom w:val="0"/>
      <w:divBdr>
        <w:top w:val="none" w:sz="0" w:space="0" w:color="auto"/>
        <w:left w:val="none" w:sz="0" w:space="0" w:color="auto"/>
        <w:bottom w:val="none" w:sz="0" w:space="0" w:color="auto"/>
        <w:right w:val="none" w:sz="0" w:space="0" w:color="auto"/>
      </w:divBdr>
    </w:div>
    <w:div w:id="1468861522">
      <w:bodyDiv w:val="1"/>
      <w:marLeft w:val="0"/>
      <w:marRight w:val="0"/>
      <w:marTop w:val="0"/>
      <w:marBottom w:val="0"/>
      <w:divBdr>
        <w:top w:val="none" w:sz="0" w:space="0" w:color="auto"/>
        <w:left w:val="none" w:sz="0" w:space="0" w:color="auto"/>
        <w:bottom w:val="none" w:sz="0" w:space="0" w:color="auto"/>
        <w:right w:val="none" w:sz="0" w:space="0" w:color="auto"/>
      </w:divBdr>
    </w:div>
    <w:div w:id="1473134880">
      <w:bodyDiv w:val="1"/>
      <w:marLeft w:val="0"/>
      <w:marRight w:val="0"/>
      <w:marTop w:val="0"/>
      <w:marBottom w:val="0"/>
      <w:divBdr>
        <w:top w:val="none" w:sz="0" w:space="0" w:color="auto"/>
        <w:left w:val="none" w:sz="0" w:space="0" w:color="auto"/>
        <w:bottom w:val="none" w:sz="0" w:space="0" w:color="auto"/>
        <w:right w:val="none" w:sz="0" w:space="0" w:color="auto"/>
      </w:divBdr>
      <w:divsChild>
        <w:div w:id="133721505">
          <w:marLeft w:val="0"/>
          <w:marRight w:val="0"/>
          <w:marTop w:val="0"/>
          <w:marBottom w:val="0"/>
          <w:divBdr>
            <w:top w:val="none" w:sz="0" w:space="0" w:color="auto"/>
            <w:left w:val="none" w:sz="0" w:space="0" w:color="auto"/>
            <w:bottom w:val="none" w:sz="0" w:space="0" w:color="auto"/>
            <w:right w:val="none" w:sz="0" w:space="0" w:color="auto"/>
          </w:divBdr>
          <w:divsChild>
            <w:div w:id="1600868107">
              <w:marLeft w:val="0"/>
              <w:marRight w:val="0"/>
              <w:marTop w:val="0"/>
              <w:marBottom w:val="0"/>
              <w:divBdr>
                <w:top w:val="none" w:sz="0" w:space="0" w:color="auto"/>
                <w:left w:val="none" w:sz="0" w:space="0" w:color="auto"/>
                <w:bottom w:val="none" w:sz="0" w:space="0" w:color="auto"/>
                <w:right w:val="none" w:sz="0" w:space="0" w:color="auto"/>
              </w:divBdr>
              <w:divsChild>
                <w:div w:id="167090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334222">
      <w:bodyDiv w:val="1"/>
      <w:marLeft w:val="0"/>
      <w:marRight w:val="0"/>
      <w:marTop w:val="0"/>
      <w:marBottom w:val="0"/>
      <w:divBdr>
        <w:top w:val="none" w:sz="0" w:space="0" w:color="auto"/>
        <w:left w:val="none" w:sz="0" w:space="0" w:color="auto"/>
        <w:bottom w:val="none" w:sz="0" w:space="0" w:color="auto"/>
        <w:right w:val="none" w:sz="0" w:space="0" w:color="auto"/>
      </w:divBdr>
    </w:div>
    <w:div w:id="1481269011">
      <w:bodyDiv w:val="1"/>
      <w:marLeft w:val="0"/>
      <w:marRight w:val="0"/>
      <w:marTop w:val="0"/>
      <w:marBottom w:val="0"/>
      <w:divBdr>
        <w:top w:val="none" w:sz="0" w:space="0" w:color="auto"/>
        <w:left w:val="none" w:sz="0" w:space="0" w:color="auto"/>
        <w:bottom w:val="none" w:sz="0" w:space="0" w:color="auto"/>
        <w:right w:val="none" w:sz="0" w:space="0" w:color="auto"/>
      </w:divBdr>
    </w:div>
    <w:div w:id="1481574058">
      <w:bodyDiv w:val="1"/>
      <w:marLeft w:val="0"/>
      <w:marRight w:val="0"/>
      <w:marTop w:val="0"/>
      <w:marBottom w:val="0"/>
      <w:divBdr>
        <w:top w:val="none" w:sz="0" w:space="0" w:color="auto"/>
        <w:left w:val="none" w:sz="0" w:space="0" w:color="auto"/>
        <w:bottom w:val="none" w:sz="0" w:space="0" w:color="auto"/>
        <w:right w:val="none" w:sz="0" w:space="0" w:color="auto"/>
      </w:divBdr>
    </w:div>
    <w:div w:id="1491022425">
      <w:bodyDiv w:val="1"/>
      <w:marLeft w:val="0"/>
      <w:marRight w:val="0"/>
      <w:marTop w:val="0"/>
      <w:marBottom w:val="0"/>
      <w:divBdr>
        <w:top w:val="none" w:sz="0" w:space="0" w:color="auto"/>
        <w:left w:val="none" w:sz="0" w:space="0" w:color="auto"/>
        <w:bottom w:val="none" w:sz="0" w:space="0" w:color="auto"/>
        <w:right w:val="none" w:sz="0" w:space="0" w:color="auto"/>
      </w:divBdr>
    </w:div>
    <w:div w:id="1492328463">
      <w:bodyDiv w:val="1"/>
      <w:marLeft w:val="0"/>
      <w:marRight w:val="0"/>
      <w:marTop w:val="0"/>
      <w:marBottom w:val="0"/>
      <w:divBdr>
        <w:top w:val="none" w:sz="0" w:space="0" w:color="auto"/>
        <w:left w:val="none" w:sz="0" w:space="0" w:color="auto"/>
        <w:bottom w:val="none" w:sz="0" w:space="0" w:color="auto"/>
        <w:right w:val="none" w:sz="0" w:space="0" w:color="auto"/>
      </w:divBdr>
      <w:divsChild>
        <w:div w:id="1014569914">
          <w:marLeft w:val="0"/>
          <w:marRight w:val="0"/>
          <w:marTop w:val="0"/>
          <w:marBottom w:val="0"/>
          <w:divBdr>
            <w:top w:val="none" w:sz="0" w:space="0" w:color="auto"/>
            <w:left w:val="none" w:sz="0" w:space="0" w:color="auto"/>
            <w:bottom w:val="none" w:sz="0" w:space="0" w:color="auto"/>
            <w:right w:val="none" w:sz="0" w:space="0" w:color="auto"/>
          </w:divBdr>
          <w:divsChild>
            <w:div w:id="132212681">
              <w:marLeft w:val="0"/>
              <w:marRight w:val="0"/>
              <w:marTop w:val="0"/>
              <w:marBottom w:val="0"/>
              <w:divBdr>
                <w:top w:val="none" w:sz="0" w:space="0" w:color="auto"/>
                <w:left w:val="none" w:sz="0" w:space="0" w:color="auto"/>
                <w:bottom w:val="none" w:sz="0" w:space="0" w:color="auto"/>
                <w:right w:val="none" w:sz="0" w:space="0" w:color="auto"/>
              </w:divBdr>
              <w:divsChild>
                <w:div w:id="1596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58856">
          <w:marLeft w:val="0"/>
          <w:marRight w:val="0"/>
          <w:marTop w:val="0"/>
          <w:marBottom w:val="0"/>
          <w:divBdr>
            <w:top w:val="none" w:sz="0" w:space="0" w:color="auto"/>
            <w:left w:val="none" w:sz="0" w:space="0" w:color="auto"/>
            <w:bottom w:val="none" w:sz="0" w:space="0" w:color="auto"/>
            <w:right w:val="none" w:sz="0" w:space="0" w:color="auto"/>
          </w:divBdr>
          <w:divsChild>
            <w:div w:id="23135928">
              <w:marLeft w:val="0"/>
              <w:marRight w:val="0"/>
              <w:marTop w:val="0"/>
              <w:marBottom w:val="0"/>
              <w:divBdr>
                <w:top w:val="none" w:sz="0" w:space="0" w:color="auto"/>
                <w:left w:val="none" w:sz="0" w:space="0" w:color="auto"/>
                <w:bottom w:val="none" w:sz="0" w:space="0" w:color="auto"/>
                <w:right w:val="none" w:sz="0" w:space="0" w:color="auto"/>
              </w:divBdr>
              <w:divsChild>
                <w:div w:id="10470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12913">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26407833">
      <w:bodyDiv w:val="1"/>
      <w:marLeft w:val="0"/>
      <w:marRight w:val="0"/>
      <w:marTop w:val="0"/>
      <w:marBottom w:val="0"/>
      <w:divBdr>
        <w:top w:val="none" w:sz="0" w:space="0" w:color="auto"/>
        <w:left w:val="none" w:sz="0" w:space="0" w:color="auto"/>
        <w:bottom w:val="none" w:sz="0" w:space="0" w:color="auto"/>
        <w:right w:val="none" w:sz="0" w:space="0" w:color="auto"/>
      </w:divBdr>
    </w:div>
    <w:div w:id="1531146016">
      <w:bodyDiv w:val="1"/>
      <w:marLeft w:val="0"/>
      <w:marRight w:val="0"/>
      <w:marTop w:val="0"/>
      <w:marBottom w:val="0"/>
      <w:divBdr>
        <w:top w:val="none" w:sz="0" w:space="0" w:color="auto"/>
        <w:left w:val="none" w:sz="0" w:space="0" w:color="auto"/>
        <w:bottom w:val="none" w:sz="0" w:space="0" w:color="auto"/>
        <w:right w:val="none" w:sz="0" w:space="0" w:color="auto"/>
      </w:divBdr>
    </w:div>
    <w:div w:id="1537159366">
      <w:bodyDiv w:val="1"/>
      <w:marLeft w:val="0"/>
      <w:marRight w:val="0"/>
      <w:marTop w:val="0"/>
      <w:marBottom w:val="0"/>
      <w:divBdr>
        <w:top w:val="none" w:sz="0" w:space="0" w:color="auto"/>
        <w:left w:val="none" w:sz="0" w:space="0" w:color="auto"/>
        <w:bottom w:val="none" w:sz="0" w:space="0" w:color="auto"/>
        <w:right w:val="none" w:sz="0" w:space="0" w:color="auto"/>
      </w:divBdr>
    </w:div>
    <w:div w:id="1541085094">
      <w:bodyDiv w:val="1"/>
      <w:marLeft w:val="0"/>
      <w:marRight w:val="0"/>
      <w:marTop w:val="0"/>
      <w:marBottom w:val="0"/>
      <w:divBdr>
        <w:top w:val="none" w:sz="0" w:space="0" w:color="auto"/>
        <w:left w:val="none" w:sz="0" w:space="0" w:color="auto"/>
        <w:bottom w:val="none" w:sz="0" w:space="0" w:color="auto"/>
        <w:right w:val="none" w:sz="0" w:space="0" w:color="auto"/>
      </w:divBdr>
    </w:div>
    <w:div w:id="1547526359">
      <w:bodyDiv w:val="1"/>
      <w:marLeft w:val="0"/>
      <w:marRight w:val="0"/>
      <w:marTop w:val="0"/>
      <w:marBottom w:val="0"/>
      <w:divBdr>
        <w:top w:val="none" w:sz="0" w:space="0" w:color="auto"/>
        <w:left w:val="none" w:sz="0" w:space="0" w:color="auto"/>
        <w:bottom w:val="none" w:sz="0" w:space="0" w:color="auto"/>
        <w:right w:val="none" w:sz="0" w:space="0" w:color="auto"/>
      </w:divBdr>
    </w:div>
    <w:div w:id="1547598328">
      <w:bodyDiv w:val="1"/>
      <w:marLeft w:val="0"/>
      <w:marRight w:val="0"/>
      <w:marTop w:val="0"/>
      <w:marBottom w:val="0"/>
      <w:divBdr>
        <w:top w:val="none" w:sz="0" w:space="0" w:color="auto"/>
        <w:left w:val="none" w:sz="0" w:space="0" w:color="auto"/>
        <w:bottom w:val="none" w:sz="0" w:space="0" w:color="auto"/>
        <w:right w:val="none" w:sz="0" w:space="0" w:color="auto"/>
      </w:divBdr>
      <w:divsChild>
        <w:div w:id="1680162162">
          <w:marLeft w:val="0"/>
          <w:marRight w:val="0"/>
          <w:marTop w:val="0"/>
          <w:marBottom w:val="0"/>
          <w:divBdr>
            <w:top w:val="none" w:sz="0" w:space="0" w:color="auto"/>
            <w:left w:val="none" w:sz="0" w:space="0" w:color="auto"/>
            <w:bottom w:val="none" w:sz="0" w:space="0" w:color="auto"/>
            <w:right w:val="none" w:sz="0" w:space="0" w:color="auto"/>
          </w:divBdr>
          <w:divsChild>
            <w:div w:id="236132369">
              <w:marLeft w:val="0"/>
              <w:marRight w:val="0"/>
              <w:marTop w:val="0"/>
              <w:marBottom w:val="0"/>
              <w:divBdr>
                <w:top w:val="none" w:sz="0" w:space="0" w:color="auto"/>
                <w:left w:val="none" w:sz="0" w:space="0" w:color="auto"/>
                <w:bottom w:val="none" w:sz="0" w:space="0" w:color="auto"/>
                <w:right w:val="none" w:sz="0" w:space="0" w:color="auto"/>
              </w:divBdr>
              <w:divsChild>
                <w:div w:id="1474447025">
                  <w:marLeft w:val="0"/>
                  <w:marRight w:val="0"/>
                  <w:marTop w:val="0"/>
                  <w:marBottom w:val="0"/>
                  <w:divBdr>
                    <w:top w:val="none" w:sz="0" w:space="0" w:color="auto"/>
                    <w:left w:val="none" w:sz="0" w:space="0" w:color="auto"/>
                    <w:bottom w:val="none" w:sz="0" w:space="0" w:color="auto"/>
                    <w:right w:val="none" w:sz="0" w:space="0" w:color="auto"/>
                  </w:divBdr>
                  <w:divsChild>
                    <w:div w:id="9372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968362">
      <w:bodyDiv w:val="1"/>
      <w:marLeft w:val="0"/>
      <w:marRight w:val="0"/>
      <w:marTop w:val="0"/>
      <w:marBottom w:val="0"/>
      <w:divBdr>
        <w:top w:val="none" w:sz="0" w:space="0" w:color="auto"/>
        <w:left w:val="none" w:sz="0" w:space="0" w:color="auto"/>
        <w:bottom w:val="none" w:sz="0" w:space="0" w:color="auto"/>
        <w:right w:val="none" w:sz="0" w:space="0" w:color="auto"/>
      </w:divBdr>
    </w:div>
    <w:div w:id="1556088194">
      <w:bodyDiv w:val="1"/>
      <w:marLeft w:val="0"/>
      <w:marRight w:val="0"/>
      <w:marTop w:val="0"/>
      <w:marBottom w:val="0"/>
      <w:divBdr>
        <w:top w:val="none" w:sz="0" w:space="0" w:color="auto"/>
        <w:left w:val="none" w:sz="0" w:space="0" w:color="auto"/>
        <w:bottom w:val="none" w:sz="0" w:space="0" w:color="auto"/>
        <w:right w:val="none" w:sz="0" w:space="0" w:color="auto"/>
      </w:divBdr>
    </w:div>
    <w:div w:id="1572495807">
      <w:bodyDiv w:val="1"/>
      <w:marLeft w:val="0"/>
      <w:marRight w:val="0"/>
      <w:marTop w:val="0"/>
      <w:marBottom w:val="0"/>
      <w:divBdr>
        <w:top w:val="none" w:sz="0" w:space="0" w:color="auto"/>
        <w:left w:val="none" w:sz="0" w:space="0" w:color="auto"/>
        <w:bottom w:val="none" w:sz="0" w:space="0" w:color="auto"/>
        <w:right w:val="none" w:sz="0" w:space="0" w:color="auto"/>
      </w:divBdr>
    </w:div>
    <w:div w:id="1572812646">
      <w:bodyDiv w:val="1"/>
      <w:marLeft w:val="0"/>
      <w:marRight w:val="0"/>
      <w:marTop w:val="0"/>
      <w:marBottom w:val="0"/>
      <w:divBdr>
        <w:top w:val="none" w:sz="0" w:space="0" w:color="auto"/>
        <w:left w:val="none" w:sz="0" w:space="0" w:color="auto"/>
        <w:bottom w:val="none" w:sz="0" w:space="0" w:color="auto"/>
        <w:right w:val="none" w:sz="0" w:space="0" w:color="auto"/>
      </w:divBdr>
      <w:divsChild>
        <w:div w:id="128476136">
          <w:marLeft w:val="0"/>
          <w:marRight w:val="0"/>
          <w:marTop w:val="0"/>
          <w:marBottom w:val="0"/>
          <w:divBdr>
            <w:top w:val="none" w:sz="0" w:space="0" w:color="auto"/>
            <w:left w:val="none" w:sz="0" w:space="0" w:color="auto"/>
            <w:bottom w:val="none" w:sz="0" w:space="0" w:color="auto"/>
            <w:right w:val="none" w:sz="0" w:space="0" w:color="auto"/>
          </w:divBdr>
          <w:divsChild>
            <w:div w:id="542641710">
              <w:marLeft w:val="0"/>
              <w:marRight w:val="0"/>
              <w:marTop w:val="0"/>
              <w:marBottom w:val="0"/>
              <w:divBdr>
                <w:top w:val="none" w:sz="0" w:space="0" w:color="auto"/>
                <w:left w:val="none" w:sz="0" w:space="0" w:color="auto"/>
                <w:bottom w:val="none" w:sz="0" w:space="0" w:color="auto"/>
                <w:right w:val="none" w:sz="0" w:space="0" w:color="auto"/>
              </w:divBdr>
            </w:div>
          </w:divsChild>
        </w:div>
        <w:div w:id="565141195">
          <w:marLeft w:val="0"/>
          <w:marRight w:val="0"/>
          <w:marTop w:val="0"/>
          <w:marBottom w:val="0"/>
          <w:divBdr>
            <w:top w:val="none" w:sz="0" w:space="0" w:color="auto"/>
            <w:left w:val="none" w:sz="0" w:space="0" w:color="auto"/>
            <w:bottom w:val="none" w:sz="0" w:space="0" w:color="auto"/>
            <w:right w:val="none" w:sz="0" w:space="0" w:color="auto"/>
          </w:divBdr>
          <w:divsChild>
            <w:div w:id="1806314770">
              <w:marLeft w:val="0"/>
              <w:marRight w:val="0"/>
              <w:marTop w:val="0"/>
              <w:marBottom w:val="0"/>
              <w:divBdr>
                <w:top w:val="none" w:sz="0" w:space="0" w:color="auto"/>
                <w:left w:val="none" w:sz="0" w:space="0" w:color="auto"/>
                <w:bottom w:val="none" w:sz="0" w:space="0" w:color="auto"/>
                <w:right w:val="none" w:sz="0" w:space="0" w:color="auto"/>
              </w:divBdr>
            </w:div>
          </w:divsChild>
        </w:div>
        <w:div w:id="634065450">
          <w:marLeft w:val="0"/>
          <w:marRight w:val="0"/>
          <w:marTop w:val="0"/>
          <w:marBottom w:val="0"/>
          <w:divBdr>
            <w:top w:val="none" w:sz="0" w:space="0" w:color="auto"/>
            <w:left w:val="none" w:sz="0" w:space="0" w:color="auto"/>
            <w:bottom w:val="none" w:sz="0" w:space="0" w:color="auto"/>
            <w:right w:val="none" w:sz="0" w:space="0" w:color="auto"/>
          </w:divBdr>
        </w:div>
        <w:div w:id="1020470811">
          <w:marLeft w:val="0"/>
          <w:marRight w:val="0"/>
          <w:marTop w:val="0"/>
          <w:marBottom w:val="0"/>
          <w:divBdr>
            <w:top w:val="none" w:sz="0" w:space="0" w:color="auto"/>
            <w:left w:val="none" w:sz="0" w:space="0" w:color="auto"/>
            <w:bottom w:val="none" w:sz="0" w:space="0" w:color="auto"/>
            <w:right w:val="none" w:sz="0" w:space="0" w:color="auto"/>
          </w:divBdr>
          <w:divsChild>
            <w:div w:id="668218997">
              <w:marLeft w:val="0"/>
              <w:marRight w:val="0"/>
              <w:marTop w:val="0"/>
              <w:marBottom w:val="0"/>
              <w:divBdr>
                <w:top w:val="none" w:sz="0" w:space="0" w:color="auto"/>
                <w:left w:val="none" w:sz="0" w:space="0" w:color="auto"/>
                <w:bottom w:val="none" w:sz="0" w:space="0" w:color="auto"/>
                <w:right w:val="none" w:sz="0" w:space="0" w:color="auto"/>
              </w:divBdr>
            </w:div>
          </w:divsChild>
        </w:div>
        <w:div w:id="1043211299">
          <w:marLeft w:val="0"/>
          <w:marRight w:val="0"/>
          <w:marTop w:val="0"/>
          <w:marBottom w:val="0"/>
          <w:divBdr>
            <w:top w:val="none" w:sz="0" w:space="0" w:color="auto"/>
            <w:left w:val="none" w:sz="0" w:space="0" w:color="auto"/>
            <w:bottom w:val="none" w:sz="0" w:space="0" w:color="auto"/>
            <w:right w:val="none" w:sz="0" w:space="0" w:color="auto"/>
          </w:divBdr>
          <w:divsChild>
            <w:div w:id="1721829518">
              <w:marLeft w:val="0"/>
              <w:marRight w:val="0"/>
              <w:marTop w:val="0"/>
              <w:marBottom w:val="0"/>
              <w:divBdr>
                <w:top w:val="none" w:sz="0" w:space="0" w:color="auto"/>
                <w:left w:val="none" w:sz="0" w:space="0" w:color="auto"/>
                <w:bottom w:val="none" w:sz="0" w:space="0" w:color="auto"/>
                <w:right w:val="none" w:sz="0" w:space="0" w:color="auto"/>
              </w:divBdr>
            </w:div>
          </w:divsChild>
        </w:div>
        <w:div w:id="1121727636">
          <w:marLeft w:val="0"/>
          <w:marRight w:val="0"/>
          <w:marTop w:val="0"/>
          <w:marBottom w:val="0"/>
          <w:divBdr>
            <w:top w:val="none" w:sz="0" w:space="0" w:color="auto"/>
            <w:left w:val="none" w:sz="0" w:space="0" w:color="auto"/>
            <w:bottom w:val="none" w:sz="0" w:space="0" w:color="auto"/>
            <w:right w:val="none" w:sz="0" w:space="0" w:color="auto"/>
          </w:divBdr>
          <w:divsChild>
            <w:div w:id="18546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82347">
      <w:bodyDiv w:val="1"/>
      <w:marLeft w:val="0"/>
      <w:marRight w:val="0"/>
      <w:marTop w:val="0"/>
      <w:marBottom w:val="0"/>
      <w:divBdr>
        <w:top w:val="none" w:sz="0" w:space="0" w:color="auto"/>
        <w:left w:val="none" w:sz="0" w:space="0" w:color="auto"/>
        <w:bottom w:val="none" w:sz="0" w:space="0" w:color="auto"/>
        <w:right w:val="none" w:sz="0" w:space="0" w:color="auto"/>
      </w:divBdr>
      <w:divsChild>
        <w:div w:id="1944723147">
          <w:marLeft w:val="0"/>
          <w:marRight w:val="0"/>
          <w:marTop w:val="0"/>
          <w:marBottom w:val="0"/>
          <w:divBdr>
            <w:top w:val="none" w:sz="0" w:space="0" w:color="auto"/>
            <w:left w:val="none" w:sz="0" w:space="0" w:color="auto"/>
            <w:bottom w:val="none" w:sz="0" w:space="0" w:color="auto"/>
            <w:right w:val="none" w:sz="0" w:space="0" w:color="auto"/>
          </w:divBdr>
          <w:divsChild>
            <w:div w:id="1379865841">
              <w:marLeft w:val="0"/>
              <w:marRight w:val="0"/>
              <w:marTop w:val="0"/>
              <w:marBottom w:val="0"/>
              <w:divBdr>
                <w:top w:val="none" w:sz="0" w:space="0" w:color="auto"/>
                <w:left w:val="none" w:sz="0" w:space="0" w:color="auto"/>
                <w:bottom w:val="none" w:sz="0" w:space="0" w:color="auto"/>
                <w:right w:val="none" w:sz="0" w:space="0" w:color="auto"/>
              </w:divBdr>
              <w:divsChild>
                <w:div w:id="23494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79562">
      <w:bodyDiv w:val="1"/>
      <w:marLeft w:val="0"/>
      <w:marRight w:val="0"/>
      <w:marTop w:val="0"/>
      <w:marBottom w:val="0"/>
      <w:divBdr>
        <w:top w:val="none" w:sz="0" w:space="0" w:color="auto"/>
        <w:left w:val="none" w:sz="0" w:space="0" w:color="auto"/>
        <w:bottom w:val="none" w:sz="0" w:space="0" w:color="auto"/>
        <w:right w:val="none" w:sz="0" w:space="0" w:color="auto"/>
      </w:divBdr>
    </w:div>
    <w:div w:id="1622227386">
      <w:bodyDiv w:val="1"/>
      <w:marLeft w:val="0"/>
      <w:marRight w:val="0"/>
      <w:marTop w:val="0"/>
      <w:marBottom w:val="0"/>
      <w:divBdr>
        <w:top w:val="none" w:sz="0" w:space="0" w:color="auto"/>
        <w:left w:val="none" w:sz="0" w:space="0" w:color="auto"/>
        <w:bottom w:val="none" w:sz="0" w:space="0" w:color="auto"/>
        <w:right w:val="none" w:sz="0" w:space="0" w:color="auto"/>
      </w:divBdr>
    </w:div>
    <w:div w:id="1623344435">
      <w:bodyDiv w:val="1"/>
      <w:marLeft w:val="0"/>
      <w:marRight w:val="0"/>
      <w:marTop w:val="0"/>
      <w:marBottom w:val="0"/>
      <w:divBdr>
        <w:top w:val="none" w:sz="0" w:space="0" w:color="auto"/>
        <w:left w:val="none" w:sz="0" w:space="0" w:color="auto"/>
        <w:bottom w:val="none" w:sz="0" w:space="0" w:color="auto"/>
        <w:right w:val="none" w:sz="0" w:space="0" w:color="auto"/>
      </w:divBdr>
    </w:div>
    <w:div w:id="1628582345">
      <w:bodyDiv w:val="1"/>
      <w:marLeft w:val="0"/>
      <w:marRight w:val="0"/>
      <w:marTop w:val="0"/>
      <w:marBottom w:val="0"/>
      <w:divBdr>
        <w:top w:val="none" w:sz="0" w:space="0" w:color="auto"/>
        <w:left w:val="none" w:sz="0" w:space="0" w:color="auto"/>
        <w:bottom w:val="none" w:sz="0" w:space="0" w:color="auto"/>
        <w:right w:val="none" w:sz="0" w:space="0" w:color="auto"/>
      </w:divBdr>
    </w:div>
    <w:div w:id="1631747248">
      <w:bodyDiv w:val="1"/>
      <w:marLeft w:val="0"/>
      <w:marRight w:val="0"/>
      <w:marTop w:val="0"/>
      <w:marBottom w:val="0"/>
      <w:divBdr>
        <w:top w:val="none" w:sz="0" w:space="0" w:color="auto"/>
        <w:left w:val="none" w:sz="0" w:space="0" w:color="auto"/>
        <w:bottom w:val="none" w:sz="0" w:space="0" w:color="auto"/>
        <w:right w:val="none" w:sz="0" w:space="0" w:color="auto"/>
      </w:divBdr>
    </w:div>
    <w:div w:id="1647588649">
      <w:bodyDiv w:val="1"/>
      <w:marLeft w:val="0"/>
      <w:marRight w:val="0"/>
      <w:marTop w:val="0"/>
      <w:marBottom w:val="0"/>
      <w:divBdr>
        <w:top w:val="none" w:sz="0" w:space="0" w:color="auto"/>
        <w:left w:val="none" w:sz="0" w:space="0" w:color="auto"/>
        <w:bottom w:val="none" w:sz="0" w:space="0" w:color="auto"/>
        <w:right w:val="none" w:sz="0" w:space="0" w:color="auto"/>
      </w:divBdr>
    </w:div>
    <w:div w:id="1654018368">
      <w:bodyDiv w:val="1"/>
      <w:marLeft w:val="0"/>
      <w:marRight w:val="0"/>
      <w:marTop w:val="0"/>
      <w:marBottom w:val="0"/>
      <w:divBdr>
        <w:top w:val="none" w:sz="0" w:space="0" w:color="auto"/>
        <w:left w:val="none" w:sz="0" w:space="0" w:color="auto"/>
        <w:bottom w:val="none" w:sz="0" w:space="0" w:color="auto"/>
        <w:right w:val="none" w:sz="0" w:space="0" w:color="auto"/>
      </w:divBdr>
    </w:div>
    <w:div w:id="1664122844">
      <w:bodyDiv w:val="1"/>
      <w:marLeft w:val="0"/>
      <w:marRight w:val="0"/>
      <w:marTop w:val="0"/>
      <w:marBottom w:val="0"/>
      <w:divBdr>
        <w:top w:val="none" w:sz="0" w:space="0" w:color="auto"/>
        <w:left w:val="none" w:sz="0" w:space="0" w:color="auto"/>
        <w:bottom w:val="none" w:sz="0" w:space="0" w:color="auto"/>
        <w:right w:val="none" w:sz="0" w:space="0" w:color="auto"/>
      </w:divBdr>
    </w:div>
    <w:div w:id="1665082271">
      <w:bodyDiv w:val="1"/>
      <w:marLeft w:val="0"/>
      <w:marRight w:val="0"/>
      <w:marTop w:val="0"/>
      <w:marBottom w:val="0"/>
      <w:divBdr>
        <w:top w:val="none" w:sz="0" w:space="0" w:color="auto"/>
        <w:left w:val="none" w:sz="0" w:space="0" w:color="auto"/>
        <w:bottom w:val="none" w:sz="0" w:space="0" w:color="auto"/>
        <w:right w:val="none" w:sz="0" w:space="0" w:color="auto"/>
      </w:divBdr>
    </w:div>
    <w:div w:id="1693805077">
      <w:bodyDiv w:val="1"/>
      <w:marLeft w:val="0"/>
      <w:marRight w:val="0"/>
      <w:marTop w:val="0"/>
      <w:marBottom w:val="0"/>
      <w:divBdr>
        <w:top w:val="none" w:sz="0" w:space="0" w:color="auto"/>
        <w:left w:val="none" w:sz="0" w:space="0" w:color="auto"/>
        <w:bottom w:val="none" w:sz="0" w:space="0" w:color="auto"/>
        <w:right w:val="none" w:sz="0" w:space="0" w:color="auto"/>
      </w:divBdr>
    </w:div>
    <w:div w:id="1695034481">
      <w:bodyDiv w:val="1"/>
      <w:marLeft w:val="0"/>
      <w:marRight w:val="0"/>
      <w:marTop w:val="0"/>
      <w:marBottom w:val="0"/>
      <w:divBdr>
        <w:top w:val="none" w:sz="0" w:space="0" w:color="auto"/>
        <w:left w:val="none" w:sz="0" w:space="0" w:color="auto"/>
        <w:bottom w:val="none" w:sz="0" w:space="0" w:color="auto"/>
        <w:right w:val="none" w:sz="0" w:space="0" w:color="auto"/>
      </w:divBdr>
    </w:div>
    <w:div w:id="1696998555">
      <w:bodyDiv w:val="1"/>
      <w:marLeft w:val="0"/>
      <w:marRight w:val="0"/>
      <w:marTop w:val="0"/>
      <w:marBottom w:val="0"/>
      <w:divBdr>
        <w:top w:val="none" w:sz="0" w:space="0" w:color="auto"/>
        <w:left w:val="none" w:sz="0" w:space="0" w:color="auto"/>
        <w:bottom w:val="none" w:sz="0" w:space="0" w:color="auto"/>
        <w:right w:val="none" w:sz="0" w:space="0" w:color="auto"/>
      </w:divBdr>
    </w:div>
    <w:div w:id="1701739700">
      <w:bodyDiv w:val="1"/>
      <w:marLeft w:val="0"/>
      <w:marRight w:val="0"/>
      <w:marTop w:val="0"/>
      <w:marBottom w:val="0"/>
      <w:divBdr>
        <w:top w:val="none" w:sz="0" w:space="0" w:color="auto"/>
        <w:left w:val="none" w:sz="0" w:space="0" w:color="auto"/>
        <w:bottom w:val="none" w:sz="0" w:space="0" w:color="auto"/>
        <w:right w:val="none" w:sz="0" w:space="0" w:color="auto"/>
      </w:divBdr>
    </w:div>
    <w:div w:id="1706130614">
      <w:bodyDiv w:val="1"/>
      <w:marLeft w:val="0"/>
      <w:marRight w:val="0"/>
      <w:marTop w:val="0"/>
      <w:marBottom w:val="0"/>
      <w:divBdr>
        <w:top w:val="none" w:sz="0" w:space="0" w:color="auto"/>
        <w:left w:val="none" w:sz="0" w:space="0" w:color="auto"/>
        <w:bottom w:val="none" w:sz="0" w:space="0" w:color="auto"/>
        <w:right w:val="none" w:sz="0" w:space="0" w:color="auto"/>
      </w:divBdr>
    </w:div>
    <w:div w:id="1715155941">
      <w:bodyDiv w:val="1"/>
      <w:marLeft w:val="0"/>
      <w:marRight w:val="0"/>
      <w:marTop w:val="0"/>
      <w:marBottom w:val="0"/>
      <w:divBdr>
        <w:top w:val="none" w:sz="0" w:space="0" w:color="auto"/>
        <w:left w:val="none" w:sz="0" w:space="0" w:color="auto"/>
        <w:bottom w:val="none" w:sz="0" w:space="0" w:color="auto"/>
        <w:right w:val="none" w:sz="0" w:space="0" w:color="auto"/>
      </w:divBdr>
      <w:divsChild>
        <w:div w:id="134880330">
          <w:marLeft w:val="0"/>
          <w:marRight w:val="0"/>
          <w:marTop w:val="0"/>
          <w:marBottom w:val="0"/>
          <w:divBdr>
            <w:top w:val="none" w:sz="0" w:space="0" w:color="auto"/>
            <w:left w:val="none" w:sz="0" w:space="0" w:color="auto"/>
            <w:bottom w:val="none" w:sz="0" w:space="0" w:color="auto"/>
            <w:right w:val="none" w:sz="0" w:space="0" w:color="auto"/>
          </w:divBdr>
          <w:divsChild>
            <w:div w:id="957953898">
              <w:marLeft w:val="0"/>
              <w:marRight w:val="0"/>
              <w:marTop w:val="0"/>
              <w:marBottom w:val="0"/>
              <w:divBdr>
                <w:top w:val="none" w:sz="0" w:space="0" w:color="auto"/>
                <w:left w:val="none" w:sz="0" w:space="0" w:color="auto"/>
                <w:bottom w:val="none" w:sz="0" w:space="0" w:color="auto"/>
                <w:right w:val="none" w:sz="0" w:space="0" w:color="auto"/>
              </w:divBdr>
              <w:divsChild>
                <w:div w:id="146230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864808">
      <w:bodyDiv w:val="1"/>
      <w:marLeft w:val="0"/>
      <w:marRight w:val="0"/>
      <w:marTop w:val="0"/>
      <w:marBottom w:val="0"/>
      <w:divBdr>
        <w:top w:val="none" w:sz="0" w:space="0" w:color="auto"/>
        <w:left w:val="none" w:sz="0" w:space="0" w:color="auto"/>
        <w:bottom w:val="none" w:sz="0" w:space="0" w:color="auto"/>
        <w:right w:val="none" w:sz="0" w:space="0" w:color="auto"/>
      </w:divBdr>
    </w:div>
    <w:div w:id="1740594243">
      <w:bodyDiv w:val="1"/>
      <w:marLeft w:val="0"/>
      <w:marRight w:val="0"/>
      <w:marTop w:val="0"/>
      <w:marBottom w:val="0"/>
      <w:divBdr>
        <w:top w:val="none" w:sz="0" w:space="0" w:color="auto"/>
        <w:left w:val="none" w:sz="0" w:space="0" w:color="auto"/>
        <w:bottom w:val="none" w:sz="0" w:space="0" w:color="auto"/>
        <w:right w:val="none" w:sz="0" w:space="0" w:color="auto"/>
      </w:divBdr>
    </w:div>
    <w:div w:id="1751655830">
      <w:bodyDiv w:val="1"/>
      <w:marLeft w:val="0"/>
      <w:marRight w:val="0"/>
      <w:marTop w:val="0"/>
      <w:marBottom w:val="0"/>
      <w:divBdr>
        <w:top w:val="none" w:sz="0" w:space="0" w:color="auto"/>
        <w:left w:val="none" w:sz="0" w:space="0" w:color="auto"/>
        <w:bottom w:val="none" w:sz="0" w:space="0" w:color="auto"/>
        <w:right w:val="none" w:sz="0" w:space="0" w:color="auto"/>
      </w:divBdr>
    </w:div>
    <w:div w:id="1754544521">
      <w:bodyDiv w:val="1"/>
      <w:marLeft w:val="0"/>
      <w:marRight w:val="0"/>
      <w:marTop w:val="0"/>
      <w:marBottom w:val="0"/>
      <w:divBdr>
        <w:top w:val="none" w:sz="0" w:space="0" w:color="auto"/>
        <w:left w:val="none" w:sz="0" w:space="0" w:color="auto"/>
        <w:bottom w:val="none" w:sz="0" w:space="0" w:color="auto"/>
        <w:right w:val="none" w:sz="0" w:space="0" w:color="auto"/>
      </w:divBdr>
    </w:div>
    <w:div w:id="1756899202">
      <w:bodyDiv w:val="1"/>
      <w:marLeft w:val="0"/>
      <w:marRight w:val="0"/>
      <w:marTop w:val="0"/>
      <w:marBottom w:val="0"/>
      <w:divBdr>
        <w:top w:val="none" w:sz="0" w:space="0" w:color="auto"/>
        <w:left w:val="none" w:sz="0" w:space="0" w:color="auto"/>
        <w:bottom w:val="none" w:sz="0" w:space="0" w:color="auto"/>
        <w:right w:val="none" w:sz="0" w:space="0" w:color="auto"/>
      </w:divBdr>
    </w:div>
    <w:div w:id="1757433411">
      <w:bodyDiv w:val="1"/>
      <w:marLeft w:val="0"/>
      <w:marRight w:val="0"/>
      <w:marTop w:val="0"/>
      <w:marBottom w:val="0"/>
      <w:divBdr>
        <w:top w:val="none" w:sz="0" w:space="0" w:color="auto"/>
        <w:left w:val="none" w:sz="0" w:space="0" w:color="auto"/>
        <w:bottom w:val="none" w:sz="0" w:space="0" w:color="auto"/>
        <w:right w:val="none" w:sz="0" w:space="0" w:color="auto"/>
      </w:divBdr>
    </w:div>
    <w:div w:id="1768766974">
      <w:bodyDiv w:val="1"/>
      <w:marLeft w:val="0"/>
      <w:marRight w:val="0"/>
      <w:marTop w:val="0"/>
      <w:marBottom w:val="0"/>
      <w:divBdr>
        <w:top w:val="none" w:sz="0" w:space="0" w:color="auto"/>
        <w:left w:val="none" w:sz="0" w:space="0" w:color="auto"/>
        <w:bottom w:val="none" w:sz="0" w:space="0" w:color="auto"/>
        <w:right w:val="none" w:sz="0" w:space="0" w:color="auto"/>
      </w:divBdr>
      <w:divsChild>
        <w:div w:id="163479413">
          <w:marLeft w:val="0"/>
          <w:marRight w:val="48"/>
          <w:marTop w:val="0"/>
          <w:marBottom w:val="0"/>
          <w:divBdr>
            <w:top w:val="none" w:sz="0" w:space="0" w:color="auto"/>
            <w:left w:val="none" w:sz="0" w:space="0" w:color="auto"/>
            <w:bottom w:val="none" w:sz="0" w:space="0" w:color="auto"/>
            <w:right w:val="none" w:sz="0" w:space="0" w:color="auto"/>
          </w:divBdr>
        </w:div>
        <w:div w:id="410933787">
          <w:marLeft w:val="0"/>
          <w:marRight w:val="0"/>
          <w:marTop w:val="0"/>
          <w:marBottom w:val="0"/>
          <w:divBdr>
            <w:top w:val="none" w:sz="0" w:space="0" w:color="auto"/>
            <w:left w:val="none" w:sz="0" w:space="0" w:color="auto"/>
            <w:bottom w:val="none" w:sz="0" w:space="0" w:color="auto"/>
            <w:right w:val="none" w:sz="0" w:space="0" w:color="auto"/>
          </w:divBdr>
          <w:divsChild>
            <w:div w:id="1241058181">
              <w:marLeft w:val="0"/>
              <w:marRight w:val="0"/>
              <w:marTop w:val="0"/>
              <w:marBottom w:val="0"/>
              <w:divBdr>
                <w:top w:val="none" w:sz="0" w:space="0" w:color="auto"/>
                <w:left w:val="none" w:sz="0" w:space="0" w:color="auto"/>
                <w:bottom w:val="none" w:sz="0" w:space="0" w:color="auto"/>
                <w:right w:val="none" w:sz="0" w:space="0" w:color="auto"/>
              </w:divBdr>
            </w:div>
            <w:div w:id="1742096993">
              <w:marLeft w:val="0"/>
              <w:marRight w:val="0"/>
              <w:marTop w:val="0"/>
              <w:marBottom w:val="0"/>
              <w:divBdr>
                <w:top w:val="none" w:sz="0" w:space="0" w:color="auto"/>
                <w:left w:val="none" w:sz="0" w:space="0" w:color="auto"/>
                <w:bottom w:val="none" w:sz="0" w:space="0" w:color="auto"/>
                <w:right w:val="none" w:sz="0" w:space="0" w:color="auto"/>
              </w:divBdr>
            </w:div>
            <w:div w:id="460071872">
              <w:marLeft w:val="0"/>
              <w:marRight w:val="0"/>
              <w:marTop w:val="0"/>
              <w:marBottom w:val="0"/>
              <w:divBdr>
                <w:top w:val="none" w:sz="0" w:space="0" w:color="auto"/>
                <w:left w:val="none" w:sz="0" w:space="0" w:color="auto"/>
                <w:bottom w:val="none" w:sz="0" w:space="0" w:color="auto"/>
                <w:right w:val="none" w:sz="0" w:space="0" w:color="auto"/>
              </w:divBdr>
            </w:div>
            <w:div w:id="1862017">
              <w:marLeft w:val="0"/>
              <w:marRight w:val="0"/>
              <w:marTop w:val="0"/>
              <w:marBottom w:val="0"/>
              <w:divBdr>
                <w:top w:val="none" w:sz="0" w:space="0" w:color="auto"/>
                <w:left w:val="none" w:sz="0" w:space="0" w:color="auto"/>
                <w:bottom w:val="none" w:sz="0" w:space="0" w:color="auto"/>
                <w:right w:val="none" w:sz="0" w:space="0" w:color="auto"/>
              </w:divBdr>
            </w:div>
            <w:div w:id="432632585">
              <w:marLeft w:val="0"/>
              <w:marRight w:val="0"/>
              <w:marTop w:val="0"/>
              <w:marBottom w:val="0"/>
              <w:divBdr>
                <w:top w:val="none" w:sz="0" w:space="0" w:color="auto"/>
                <w:left w:val="none" w:sz="0" w:space="0" w:color="auto"/>
                <w:bottom w:val="none" w:sz="0" w:space="0" w:color="auto"/>
                <w:right w:val="none" w:sz="0" w:space="0" w:color="auto"/>
              </w:divBdr>
            </w:div>
          </w:divsChild>
        </w:div>
        <w:div w:id="1649551015">
          <w:marLeft w:val="0"/>
          <w:marRight w:val="48"/>
          <w:marTop w:val="0"/>
          <w:marBottom w:val="0"/>
          <w:divBdr>
            <w:top w:val="none" w:sz="0" w:space="0" w:color="auto"/>
            <w:left w:val="none" w:sz="0" w:space="0" w:color="auto"/>
            <w:bottom w:val="none" w:sz="0" w:space="0" w:color="auto"/>
            <w:right w:val="none" w:sz="0" w:space="0" w:color="auto"/>
          </w:divBdr>
        </w:div>
      </w:divsChild>
    </w:div>
    <w:div w:id="1773475051">
      <w:bodyDiv w:val="1"/>
      <w:marLeft w:val="0"/>
      <w:marRight w:val="0"/>
      <w:marTop w:val="0"/>
      <w:marBottom w:val="0"/>
      <w:divBdr>
        <w:top w:val="none" w:sz="0" w:space="0" w:color="auto"/>
        <w:left w:val="none" w:sz="0" w:space="0" w:color="auto"/>
        <w:bottom w:val="none" w:sz="0" w:space="0" w:color="auto"/>
        <w:right w:val="none" w:sz="0" w:space="0" w:color="auto"/>
      </w:divBdr>
      <w:divsChild>
        <w:div w:id="507989257">
          <w:marLeft w:val="0"/>
          <w:marRight w:val="0"/>
          <w:marTop w:val="0"/>
          <w:marBottom w:val="0"/>
          <w:divBdr>
            <w:top w:val="none" w:sz="0" w:space="0" w:color="auto"/>
            <w:left w:val="none" w:sz="0" w:space="0" w:color="auto"/>
            <w:bottom w:val="none" w:sz="0" w:space="0" w:color="auto"/>
            <w:right w:val="none" w:sz="0" w:space="0" w:color="auto"/>
          </w:divBdr>
          <w:divsChild>
            <w:div w:id="772742784">
              <w:marLeft w:val="0"/>
              <w:marRight w:val="0"/>
              <w:marTop w:val="0"/>
              <w:marBottom w:val="0"/>
              <w:divBdr>
                <w:top w:val="none" w:sz="0" w:space="0" w:color="auto"/>
                <w:left w:val="none" w:sz="0" w:space="0" w:color="auto"/>
                <w:bottom w:val="none" w:sz="0" w:space="0" w:color="auto"/>
                <w:right w:val="none" w:sz="0" w:space="0" w:color="auto"/>
              </w:divBdr>
              <w:divsChild>
                <w:div w:id="187349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8443">
      <w:bodyDiv w:val="1"/>
      <w:marLeft w:val="0"/>
      <w:marRight w:val="0"/>
      <w:marTop w:val="0"/>
      <w:marBottom w:val="0"/>
      <w:divBdr>
        <w:top w:val="none" w:sz="0" w:space="0" w:color="auto"/>
        <w:left w:val="none" w:sz="0" w:space="0" w:color="auto"/>
        <w:bottom w:val="none" w:sz="0" w:space="0" w:color="auto"/>
        <w:right w:val="none" w:sz="0" w:space="0" w:color="auto"/>
      </w:divBdr>
    </w:div>
    <w:div w:id="1778600103">
      <w:bodyDiv w:val="1"/>
      <w:marLeft w:val="0"/>
      <w:marRight w:val="0"/>
      <w:marTop w:val="0"/>
      <w:marBottom w:val="0"/>
      <w:divBdr>
        <w:top w:val="none" w:sz="0" w:space="0" w:color="auto"/>
        <w:left w:val="none" w:sz="0" w:space="0" w:color="auto"/>
        <w:bottom w:val="none" w:sz="0" w:space="0" w:color="auto"/>
        <w:right w:val="none" w:sz="0" w:space="0" w:color="auto"/>
      </w:divBdr>
      <w:divsChild>
        <w:div w:id="1989897019">
          <w:marLeft w:val="0"/>
          <w:marRight w:val="0"/>
          <w:marTop w:val="0"/>
          <w:marBottom w:val="0"/>
          <w:divBdr>
            <w:top w:val="none" w:sz="0" w:space="0" w:color="auto"/>
            <w:left w:val="none" w:sz="0" w:space="0" w:color="auto"/>
            <w:bottom w:val="none" w:sz="0" w:space="0" w:color="auto"/>
            <w:right w:val="none" w:sz="0" w:space="0" w:color="auto"/>
          </w:divBdr>
          <w:divsChild>
            <w:div w:id="778373150">
              <w:marLeft w:val="0"/>
              <w:marRight w:val="0"/>
              <w:marTop w:val="0"/>
              <w:marBottom w:val="0"/>
              <w:divBdr>
                <w:top w:val="none" w:sz="0" w:space="0" w:color="auto"/>
                <w:left w:val="none" w:sz="0" w:space="0" w:color="auto"/>
                <w:bottom w:val="none" w:sz="0" w:space="0" w:color="auto"/>
                <w:right w:val="none" w:sz="0" w:space="0" w:color="auto"/>
              </w:divBdr>
              <w:divsChild>
                <w:div w:id="111668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39990">
      <w:bodyDiv w:val="1"/>
      <w:marLeft w:val="0"/>
      <w:marRight w:val="0"/>
      <w:marTop w:val="0"/>
      <w:marBottom w:val="0"/>
      <w:divBdr>
        <w:top w:val="none" w:sz="0" w:space="0" w:color="auto"/>
        <w:left w:val="none" w:sz="0" w:space="0" w:color="auto"/>
        <w:bottom w:val="none" w:sz="0" w:space="0" w:color="auto"/>
        <w:right w:val="none" w:sz="0" w:space="0" w:color="auto"/>
      </w:divBdr>
      <w:divsChild>
        <w:div w:id="2127652300">
          <w:marLeft w:val="0"/>
          <w:marRight w:val="0"/>
          <w:marTop w:val="0"/>
          <w:marBottom w:val="0"/>
          <w:divBdr>
            <w:top w:val="none" w:sz="0" w:space="0" w:color="auto"/>
            <w:left w:val="none" w:sz="0" w:space="0" w:color="auto"/>
            <w:bottom w:val="none" w:sz="0" w:space="0" w:color="auto"/>
            <w:right w:val="none" w:sz="0" w:space="0" w:color="auto"/>
          </w:divBdr>
          <w:divsChild>
            <w:div w:id="53719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426952">
      <w:bodyDiv w:val="1"/>
      <w:marLeft w:val="0"/>
      <w:marRight w:val="0"/>
      <w:marTop w:val="0"/>
      <w:marBottom w:val="0"/>
      <w:divBdr>
        <w:top w:val="none" w:sz="0" w:space="0" w:color="auto"/>
        <w:left w:val="none" w:sz="0" w:space="0" w:color="auto"/>
        <w:bottom w:val="none" w:sz="0" w:space="0" w:color="auto"/>
        <w:right w:val="none" w:sz="0" w:space="0" w:color="auto"/>
      </w:divBdr>
    </w:div>
    <w:div w:id="1802727820">
      <w:bodyDiv w:val="1"/>
      <w:marLeft w:val="0"/>
      <w:marRight w:val="0"/>
      <w:marTop w:val="0"/>
      <w:marBottom w:val="0"/>
      <w:divBdr>
        <w:top w:val="none" w:sz="0" w:space="0" w:color="auto"/>
        <w:left w:val="none" w:sz="0" w:space="0" w:color="auto"/>
        <w:bottom w:val="none" w:sz="0" w:space="0" w:color="auto"/>
        <w:right w:val="none" w:sz="0" w:space="0" w:color="auto"/>
      </w:divBdr>
      <w:divsChild>
        <w:div w:id="1195194238">
          <w:marLeft w:val="0"/>
          <w:marRight w:val="0"/>
          <w:marTop w:val="0"/>
          <w:marBottom w:val="0"/>
          <w:divBdr>
            <w:top w:val="none" w:sz="0" w:space="0" w:color="auto"/>
            <w:left w:val="none" w:sz="0" w:space="0" w:color="auto"/>
            <w:bottom w:val="none" w:sz="0" w:space="0" w:color="auto"/>
            <w:right w:val="none" w:sz="0" w:space="0" w:color="auto"/>
          </w:divBdr>
          <w:divsChild>
            <w:div w:id="2001156362">
              <w:marLeft w:val="0"/>
              <w:marRight w:val="0"/>
              <w:marTop w:val="0"/>
              <w:marBottom w:val="0"/>
              <w:divBdr>
                <w:top w:val="none" w:sz="0" w:space="0" w:color="auto"/>
                <w:left w:val="none" w:sz="0" w:space="0" w:color="auto"/>
                <w:bottom w:val="none" w:sz="0" w:space="0" w:color="auto"/>
                <w:right w:val="none" w:sz="0" w:space="0" w:color="auto"/>
              </w:divBdr>
              <w:divsChild>
                <w:div w:id="131622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166051">
      <w:bodyDiv w:val="1"/>
      <w:marLeft w:val="0"/>
      <w:marRight w:val="0"/>
      <w:marTop w:val="0"/>
      <w:marBottom w:val="0"/>
      <w:divBdr>
        <w:top w:val="none" w:sz="0" w:space="0" w:color="auto"/>
        <w:left w:val="none" w:sz="0" w:space="0" w:color="auto"/>
        <w:bottom w:val="none" w:sz="0" w:space="0" w:color="auto"/>
        <w:right w:val="none" w:sz="0" w:space="0" w:color="auto"/>
      </w:divBdr>
    </w:div>
    <w:div w:id="1821657886">
      <w:bodyDiv w:val="1"/>
      <w:marLeft w:val="0"/>
      <w:marRight w:val="0"/>
      <w:marTop w:val="0"/>
      <w:marBottom w:val="0"/>
      <w:divBdr>
        <w:top w:val="none" w:sz="0" w:space="0" w:color="auto"/>
        <w:left w:val="none" w:sz="0" w:space="0" w:color="auto"/>
        <w:bottom w:val="none" w:sz="0" w:space="0" w:color="auto"/>
        <w:right w:val="none" w:sz="0" w:space="0" w:color="auto"/>
      </w:divBdr>
    </w:div>
    <w:div w:id="1824665348">
      <w:bodyDiv w:val="1"/>
      <w:marLeft w:val="0"/>
      <w:marRight w:val="0"/>
      <w:marTop w:val="0"/>
      <w:marBottom w:val="0"/>
      <w:divBdr>
        <w:top w:val="none" w:sz="0" w:space="0" w:color="auto"/>
        <w:left w:val="none" w:sz="0" w:space="0" w:color="auto"/>
        <w:bottom w:val="none" w:sz="0" w:space="0" w:color="auto"/>
        <w:right w:val="none" w:sz="0" w:space="0" w:color="auto"/>
      </w:divBdr>
    </w:div>
    <w:div w:id="1840581168">
      <w:bodyDiv w:val="1"/>
      <w:marLeft w:val="0"/>
      <w:marRight w:val="0"/>
      <w:marTop w:val="0"/>
      <w:marBottom w:val="0"/>
      <w:divBdr>
        <w:top w:val="none" w:sz="0" w:space="0" w:color="auto"/>
        <w:left w:val="none" w:sz="0" w:space="0" w:color="auto"/>
        <w:bottom w:val="none" w:sz="0" w:space="0" w:color="auto"/>
        <w:right w:val="none" w:sz="0" w:space="0" w:color="auto"/>
      </w:divBdr>
    </w:div>
    <w:div w:id="1850676920">
      <w:bodyDiv w:val="1"/>
      <w:marLeft w:val="0"/>
      <w:marRight w:val="0"/>
      <w:marTop w:val="0"/>
      <w:marBottom w:val="0"/>
      <w:divBdr>
        <w:top w:val="none" w:sz="0" w:space="0" w:color="auto"/>
        <w:left w:val="none" w:sz="0" w:space="0" w:color="auto"/>
        <w:bottom w:val="none" w:sz="0" w:space="0" w:color="auto"/>
        <w:right w:val="none" w:sz="0" w:space="0" w:color="auto"/>
      </w:divBdr>
    </w:div>
    <w:div w:id="1855998500">
      <w:bodyDiv w:val="1"/>
      <w:marLeft w:val="0"/>
      <w:marRight w:val="0"/>
      <w:marTop w:val="0"/>
      <w:marBottom w:val="0"/>
      <w:divBdr>
        <w:top w:val="none" w:sz="0" w:space="0" w:color="auto"/>
        <w:left w:val="none" w:sz="0" w:space="0" w:color="auto"/>
        <w:bottom w:val="none" w:sz="0" w:space="0" w:color="auto"/>
        <w:right w:val="none" w:sz="0" w:space="0" w:color="auto"/>
      </w:divBdr>
    </w:div>
    <w:div w:id="1891918893">
      <w:bodyDiv w:val="1"/>
      <w:marLeft w:val="0"/>
      <w:marRight w:val="0"/>
      <w:marTop w:val="0"/>
      <w:marBottom w:val="0"/>
      <w:divBdr>
        <w:top w:val="none" w:sz="0" w:space="0" w:color="auto"/>
        <w:left w:val="none" w:sz="0" w:space="0" w:color="auto"/>
        <w:bottom w:val="none" w:sz="0" w:space="0" w:color="auto"/>
        <w:right w:val="none" w:sz="0" w:space="0" w:color="auto"/>
      </w:divBdr>
    </w:div>
    <w:div w:id="1901360540">
      <w:bodyDiv w:val="1"/>
      <w:marLeft w:val="0"/>
      <w:marRight w:val="0"/>
      <w:marTop w:val="0"/>
      <w:marBottom w:val="0"/>
      <w:divBdr>
        <w:top w:val="none" w:sz="0" w:space="0" w:color="auto"/>
        <w:left w:val="none" w:sz="0" w:space="0" w:color="auto"/>
        <w:bottom w:val="none" w:sz="0" w:space="0" w:color="auto"/>
        <w:right w:val="none" w:sz="0" w:space="0" w:color="auto"/>
      </w:divBdr>
    </w:div>
    <w:div w:id="1901473693">
      <w:bodyDiv w:val="1"/>
      <w:marLeft w:val="0"/>
      <w:marRight w:val="0"/>
      <w:marTop w:val="0"/>
      <w:marBottom w:val="0"/>
      <w:divBdr>
        <w:top w:val="none" w:sz="0" w:space="0" w:color="auto"/>
        <w:left w:val="none" w:sz="0" w:space="0" w:color="auto"/>
        <w:bottom w:val="none" w:sz="0" w:space="0" w:color="auto"/>
        <w:right w:val="none" w:sz="0" w:space="0" w:color="auto"/>
      </w:divBdr>
      <w:divsChild>
        <w:div w:id="1492797915">
          <w:marLeft w:val="0"/>
          <w:marRight w:val="0"/>
          <w:marTop w:val="0"/>
          <w:marBottom w:val="0"/>
          <w:divBdr>
            <w:top w:val="none" w:sz="0" w:space="0" w:color="auto"/>
            <w:left w:val="none" w:sz="0" w:space="0" w:color="auto"/>
            <w:bottom w:val="none" w:sz="0" w:space="0" w:color="auto"/>
            <w:right w:val="none" w:sz="0" w:space="0" w:color="auto"/>
          </w:divBdr>
          <w:divsChild>
            <w:div w:id="335352318">
              <w:marLeft w:val="0"/>
              <w:marRight w:val="0"/>
              <w:marTop w:val="0"/>
              <w:marBottom w:val="0"/>
              <w:divBdr>
                <w:top w:val="none" w:sz="0" w:space="0" w:color="auto"/>
                <w:left w:val="none" w:sz="0" w:space="0" w:color="auto"/>
                <w:bottom w:val="none" w:sz="0" w:space="0" w:color="auto"/>
                <w:right w:val="none" w:sz="0" w:space="0" w:color="auto"/>
              </w:divBdr>
              <w:divsChild>
                <w:div w:id="154155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331206">
      <w:bodyDiv w:val="1"/>
      <w:marLeft w:val="0"/>
      <w:marRight w:val="0"/>
      <w:marTop w:val="0"/>
      <w:marBottom w:val="0"/>
      <w:divBdr>
        <w:top w:val="none" w:sz="0" w:space="0" w:color="auto"/>
        <w:left w:val="none" w:sz="0" w:space="0" w:color="auto"/>
        <w:bottom w:val="none" w:sz="0" w:space="0" w:color="auto"/>
        <w:right w:val="none" w:sz="0" w:space="0" w:color="auto"/>
      </w:divBdr>
    </w:div>
    <w:div w:id="1903565617">
      <w:bodyDiv w:val="1"/>
      <w:marLeft w:val="0"/>
      <w:marRight w:val="0"/>
      <w:marTop w:val="0"/>
      <w:marBottom w:val="0"/>
      <w:divBdr>
        <w:top w:val="none" w:sz="0" w:space="0" w:color="auto"/>
        <w:left w:val="none" w:sz="0" w:space="0" w:color="auto"/>
        <w:bottom w:val="none" w:sz="0" w:space="0" w:color="auto"/>
        <w:right w:val="none" w:sz="0" w:space="0" w:color="auto"/>
      </w:divBdr>
    </w:div>
    <w:div w:id="1906643340">
      <w:bodyDiv w:val="1"/>
      <w:marLeft w:val="0"/>
      <w:marRight w:val="0"/>
      <w:marTop w:val="0"/>
      <w:marBottom w:val="0"/>
      <w:divBdr>
        <w:top w:val="none" w:sz="0" w:space="0" w:color="auto"/>
        <w:left w:val="none" w:sz="0" w:space="0" w:color="auto"/>
        <w:bottom w:val="none" w:sz="0" w:space="0" w:color="auto"/>
        <w:right w:val="none" w:sz="0" w:space="0" w:color="auto"/>
      </w:divBdr>
    </w:div>
    <w:div w:id="1911035552">
      <w:bodyDiv w:val="1"/>
      <w:marLeft w:val="0"/>
      <w:marRight w:val="0"/>
      <w:marTop w:val="0"/>
      <w:marBottom w:val="0"/>
      <w:divBdr>
        <w:top w:val="none" w:sz="0" w:space="0" w:color="auto"/>
        <w:left w:val="none" w:sz="0" w:space="0" w:color="auto"/>
        <w:bottom w:val="none" w:sz="0" w:space="0" w:color="auto"/>
        <w:right w:val="none" w:sz="0" w:space="0" w:color="auto"/>
      </w:divBdr>
    </w:div>
    <w:div w:id="1925796443">
      <w:bodyDiv w:val="1"/>
      <w:marLeft w:val="0"/>
      <w:marRight w:val="0"/>
      <w:marTop w:val="0"/>
      <w:marBottom w:val="0"/>
      <w:divBdr>
        <w:top w:val="none" w:sz="0" w:space="0" w:color="auto"/>
        <w:left w:val="none" w:sz="0" w:space="0" w:color="auto"/>
        <w:bottom w:val="none" w:sz="0" w:space="0" w:color="auto"/>
        <w:right w:val="none" w:sz="0" w:space="0" w:color="auto"/>
      </w:divBdr>
    </w:div>
    <w:div w:id="1927110811">
      <w:bodyDiv w:val="1"/>
      <w:marLeft w:val="0"/>
      <w:marRight w:val="0"/>
      <w:marTop w:val="0"/>
      <w:marBottom w:val="0"/>
      <w:divBdr>
        <w:top w:val="none" w:sz="0" w:space="0" w:color="auto"/>
        <w:left w:val="none" w:sz="0" w:space="0" w:color="auto"/>
        <w:bottom w:val="none" w:sz="0" w:space="0" w:color="auto"/>
        <w:right w:val="none" w:sz="0" w:space="0" w:color="auto"/>
      </w:divBdr>
    </w:div>
    <w:div w:id="1944923629">
      <w:bodyDiv w:val="1"/>
      <w:marLeft w:val="0"/>
      <w:marRight w:val="0"/>
      <w:marTop w:val="0"/>
      <w:marBottom w:val="0"/>
      <w:divBdr>
        <w:top w:val="none" w:sz="0" w:space="0" w:color="auto"/>
        <w:left w:val="none" w:sz="0" w:space="0" w:color="auto"/>
        <w:bottom w:val="none" w:sz="0" w:space="0" w:color="auto"/>
        <w:right w:val="none" w:sz="0" w:space="0" w:color="auto"/>
      </w:divBdr>
    </w:div>
    <w:div w:id="1953324285">
      <w:bodyDiv w:val="1"/>
      <w:marLeft w:val="0"/>
      <w:marRight w:val="0"/>
      <w:marTop w:val="0"/>
      <w:marBottom w:val="0"/>
      <w:divBdr>
        <w:top w:val="none" w:sz="0" w:space="0" w:color="auto"/>
        <w:left w:val="none" w:sz="0" w:space="0" w:color="auto"/>
        <w:bottom w:val="none" w:sz="0" w:space="0" w:color="auto"/>
        <w:right w:val="none" w:sz="0" w:space="0" w:color="auto"/>
      </w:divBdr>
    </w:div>
    <w:div w:id="1953390591">
      <w:bodyDiv w:val="1"/>
      <w:marLeft w:val="0"/>
      <w:marRight w:val="0"/>
      <w:marTop w:val="0"/>
      <w:marBottom w:val="0"/>
      <w:divBdr>
        <w:top w:val="none" w:sz="0" w:space="0" w:color="auto"/>
        <w:left w:val="none" w:sz="0" w:space="0" w:color="auto"/>
        <w:bottom w:val="none" w:sz="0" w:space="0" w:color="auto"/>
        <w:right w:val="none" w:sz="0" w:space="0" w:color="auto"/>
      </w:divBdr>
    </w:div>
    <w:div w:id="1964771363">
      <w:bodyDiv w:val="1"/>
      <w:marLeft w:val="0"/>
      <w:marRight w:val="0"/>
      <w:marTop w:val="0"/>
      <w:marBottom w:val="0"/>
      <w:divBdr>
        <w:top w:val="none" w:sz="0" w:space="0" w:color="auto"/>
        <w:left w:val="none" w:sz="0" w:space="0" w:color="auto"/>
        <w:bottom w:val="none" w:sz="0" w:space="0" w:color="auto"/>
        <w:right w:val="none" w:sz="0" w:space="0" w:color="auto"/>
      </w:divBdr>
    </w:div>
    <w:div w:id="1969311657">
      <w:bodyDiv w:val="1"/>
      <w:marLeft w:val="0"/>
      <w:marRight w:val="0"/>
      <w:marTop w:val="0"/>
      <w:marBottom w:val="0"/>
      <w:divBdr>
        <w:top w:val="none" w:sz="0" w:space="0" w:color="auto"/>
        <w:left w:val="none" w:sz="0" w:space="0" w:color="auto"/>
        <w:bottom w:val="none" w:sz="0" w:space="0" w:color="auto"/>
        <w:right w:val="none" w:sz="0" w:space="0" w:color="auto"/>
      </w:divBdr>
    </w:div>
    <w:div w:id="1970624241">
      <w:bodyDiv w:val="1"/>
      <w:marLeft w:val="0"/>
      <w:marRight w:val="0"/>
      <w:marTop w:val="0"/>
      <w:marBottom w:val="0"/>
      <w:divBdr>
        <w:top w:val="none" w:sz="0" w:space="0" w:color="auto"/>
        <w:left w:val="none" w:sz="0" w:space="0" w:color="auto"/>
        <w:bottom w:val="none" w:sz="0" w:space="0" w:color="auto"/>
        <w:right w:val="none" w:sz="0" w:space="0" w:color="auto"/>
      </w:divBdr>
    </w:div>
    <w:div w:id="1989548430">
      <w:bodyDiv w:val="1"/>
      <w:marLeft w:val="0"/>
      <w:marRight w:val="0"/>
      <w:marTop w:val="0"/>
      <w:marBottom w:val="0"/>
      <w:divBdr>
        <w:top w:val="none" w:sz="0" w:space="0" w:color="auto"/>
        <w:left w:val="none" w:sz="0" w:space="0" w:color="auto"/>
        <w:bottom w:val="none" w:sz="0" w:space="0" w:color="auto"/>
        <w:right w:val="none" w:sz="0" w:space="0" w:color="auto"/>
      </w:divBdr>
    </w:div>
    <w:div w:id="1993482912">
      <w:bodyDiv w:val="1"/>
      <w:marLeft w:val="0"/>
      <w:marRight w:val="0"/>
      <w:marTop w:val="0"/>
      <w:marBottom w:val="0"/>
      <w:divBdr>
        <w:top w:val="none" w:sz="0" w:space="0" w:color="auto"/>
        <w:left w:val="none" w:sz="0" w:space="0" w:color="auto"/>
        <w:bottom w:val="none" w:sz="0" w:space="0" w:color="auto"/>
        <w:right w:val="none" w:sz="0" w:space="0" w:color="auto"/>
      </w:divBdr>
    </w:div>
    <w:div w:id="2009822291">
      <w:bodyDiv w:val="1"/>
      <w:marLeft w:val="0"/>
      <w:marRight w:val="0"/>
      <w:marTop w:val="0"/>
      <w:marBottom w:val="0"/>
      <w:divBdr>
        <w:top w:val="none" w:sz="0" w:space="0" w:color="auto"/>
        <w:left w:val="none" w:sz="0" w:space="0" w:color="auto"/>
        <w:bottom w:val="none" w:sz="0" w:space="0" w:color="auto"/>
        <w:right w:val="none" w:sz="0" w:space="0" w:color="auto"/>
      </w:divBdr>
    </w:div>
    <w:div w:id="2021617637">
      <w:bodyDiv w:val="1"/>
      <w:marLeft w:val="0"/>
      <w:marRight w:val="0"/>
      <w:marTop w:val="0"/>
      <w:marBottom w:val="0"/>
      <w:divBdr>
        <w:top w:val="none" w:sz="0" w:space="0" w:color="auto"/>
        <w:left w:val="none" w:sz="0" w:space="0" w:color="auto"/>
        <w:bottom w:val="none" w:sz="0" w:space="0" w:color="auto"/>
        <w:right w:val="none" w:sz="0" w:space="0" w:color="auto"/>
      </w:divBdr>
    </w:div>
    <w:div w:id="2025091810">
      <w:bodyDiv w:val="1"/>
      <w:marLeft w:val="0"/>
      <w:marRight w:val="0"/>
      <w:marTop w:val="0"/>
      <w:marBottom w:val="0"/>
      <w:divBdr>
        <w:top w:val="none" w:sz="0" w:space="0" w:color="auto"/>
        <w:left w:val="none" w:sz="0" w:space="0" w:color="auto"/>
        <w:bottom w:val="none" w:sz="0" w:space="0" w:color="auto"/>
        <w:right w:val="none" w:sz="0" w:space="0" w:color="auto"/>
      </w:divBdr>
    </w:div>
    <w:div w:id="2026787951">
      <w:bodyDiv w:val="1"/>
      <w:marLeft w:val="0"/>
      <w:marRight w:val="0"/>
      <w:marTop w:val="0"/>
      <w:marBottom w:val="0"/>
      <w:divBdr>
        <w:top w:val="none" w:sz="0" w:space="0" w:color="auto"/>
        <w:left w:val="none" w:sz="0" w:space="0" w:color="auto"/>
        <w:bottom w:val="none" w:sz="0" w:space="0" w:color="auto"/>
        <w:right w:val="none" w:sz="0" w:space="0" w:color="auto"/>
      </w:divBdr>
    </w:div>
    <w:div w:id="2027245303">
      <w:bodyDiv w:val="1"/>
      <w:marLeft w:val="0"/>
      <w:marRight w:val="0"/>
      <w:marTop w:val="0"/>
      <w:marBottom w:val="0"/>
      <w:divBdr>
        <w:top w:val="none" w:sz="0" w:space="0" w:color="auto"/>
        <w:left w:val="none" w:sz="0" w:space="0" w:color="auto"/>
        <w:bottom w:val="none" w:sz="0" w:space="0" w:color="auto"/>
        <w:right w:val="none" w:sz="0" w:space="0" w:color="auto"/>
      </w:divBdr>
    </w:div>
    <w:div w:id="2038462239">
      <w:bodyDiv w:val="1"/>
      <w:marLeft w:val="0"/>
      <w:marRight w:val="0"/>
      <w:marTop w:val="0"/>
      <w:marBottom w:val="0"/>
      <w:divBdr>
        <w:top w:val="none" w:sz="0" w:space="0" w:color="auto"/>
        <w:left w:val="none" w:sz="0" w:space="0" w:color="auto"/>
        <w:bottom w:val="none" w:sz="0" w:space="0" w:color="auto"/>
        <w:right w:val="none" w:sz="0" w:space="0" w:color="auto"/>
      </w:divBdr>
    </w:div>
    <w:div w:id="2046127480">
      <w:bodyDiv w:val="1"/>
      <w:marLeft w:val="0"/>
      <w:marRight w:val="0"/>
      <w:marTop w:val="0"/>
      <w:marBottom w:val="0"/>
      <w:divBdr>
        <w:top w:val="none" w:sz="0" w:space="0" w:color="auto"/>
        <w:left w:val="none" w:sz="0" w:space="0" w:color="auto"/>
        <w:bottom w:val="none" w:sz="0" w:space="0" w:color="auto"/>
        <w:right w:val="none" w:sz="0" w:space="0" w:color="auto"/>
      </w:divBdr>
    </w:div>
    <w:div w:id="2053116822">
      <w:bodyDiv w:val="1"/>
      <w:marLeft w:val="0"/>
      <w:marRight w:val="0"/>
      <w:marTop w:val="0"/>
      <w:marBottom w:val="0"/>
      <w:divBdr>
        <w:top w:val="none" w:sz="0" w:space="0" w:color="auto"/>
        <w:left w:val="none" w:sz="0" w:space="0" w:color="auto"/>
        <w:bottom w:val="none" w:sz="0" w:space="0" w:color="auto"/>
        <w:right w:val="none" w:sz="0" w:space="0" w:color="auto"/>
      </w:divBdr>
    </w:div>
    <w:div w:id="2056267754">
      <w:bodyDiv w:val="1"/>
      <w:marLeft w:val="0"/>
      <w:marRight w:val="0"/>
      <w:marTop w:val="0"/>
      <w:marBottom w:val="0"/>
      <w:divBdr>
        <w:top w:val="none" w:sz="0" w:space="0" w:color="auto"/>
        <w:left w:val="none" w:sz="0" w:space="0" w:color="auto"/>
        <w:bottom w:val="none" w:sz="0" w:space="0" w:color="auto"/>
        <w:right w:val="none" w:sz="0" w:space="0" w:color="auto"/>
      </w:divBdr>
    </w:div>
    <w:div w:id="2057776660">
      <w:bodyDiv w:val="1"/>
      <w:marLeft w:val="0"/>
      <w:marRight w:val="0"/>
      <w:marTop w:val="0"/>
      <w:marBottom w:val="0"/>
      <w:divBdr>
        <w:top w:val="none" w:sz="0" w:space="0" w:color="auto"/>
        <w:left w:val="none" w:sz="0" w:space="0" w:color="auto"/>
        <w:bottom w:val="none" w:sz="0" w:space="0" w:color="auto"/>
        <w:right w:val="none" w:sz="0" w:space="0" w:color="auto"/>
      </w:divBdr>
    </w:div>
    <w:div w:id="2066176242">
      <w:bodyDiv w:val="1"/>
      <w:marLeft w:val="0"/>
      <w:marRight w:val="0"/>
      <w:marTop w:val="0"/>
      <w:marBottom w:val="0"/>
      <w:divBdr>
        <w:top w:val="none" w:sz="0" w:space="0" w:color="auto"/>
        <w:left w:val="none" w:sz="0" w:space="0" w:color="auto"/>
        <w:bottom w:val="none" w:sz="0" w:space="0" w:color="auto"/>
        <w:right w:val="none" w:sz="0" w:space="0" w:color="auto"/>
      </w:divBdr>
    </w:div>
    <w:div w:id="2067413552">
      <w:bodyDiv w:val="1"/>
      <w:marLeft w:val="0"/>
      <w:marRight w:val="0"/>
      <w:marTop w:val="0"/>
      <w:marBottom w:val="0"/>
      <w:divBdr>
        <w:top w:val="none" w:sz="0" w:space="0" w:color="auto"/>
        <w:left w:val="none" w:sz="0" w:space="0" w:color="auto"/>
        <w:bottom w:val="none" w:sz="0" w:space="0" w:color="auto"/>
        <w:right w:val="none" w:sz="0" w:space="0" w:color="auto"/>
      </w:divBdr>
    </w:div>
    <w:div w:id="2069573555">
      <w:bodyDiv w:val="1"/>
      <w:marLeft w:val="0"/>
      <w:marRight w:val="0"/>
      <w:marTop w:val="0"/>
      <w:marBottom w:val="0"/>
      <w:divBdr>
        <w:top w:val="none" w:sz="0" w:space="0" w:color="auto"/>
        <w:left w:val="none" w:sz="0" w:space="0" w:color="auto"/>
        <w:bottom w:val="none" w:sz="0" w:space="0" w:color="auto"/>
        <w:right w:val="none" w:sz="0" w:space="0" w:color="auto"/>
      </w:divBdr>
    </w:div>
    <w:div w:id="2071151779">
      <w:bodyDiv w:val="1"/>
      <w:marLeft w:val="0"/>
      <w:marRight w:val="0"/>
      <w:marTop w:val="0"/>
      <w:marBottom w:val="0"/>
      <w:divBdr>
        <w:top w:val="none" w:sz="0" w:space="0" w:color="auto"/>
        <w:left w:val="none" w:sz="0" w:space="0" w:color="auto"/>
        <w:bottom w:val="none" w:sz="0" w:space="0" w:color="auto"/>
        <w:right w:val="none" w:sz="0" w:space="0" w:color="auto"/>
      </w:divBdr>
    </w:div>
    <w:div w:id="2079480087">
      <w:bodyDiv w:val="1"/>
      <w:marLeft w:val="0"/>
      <w:marRight w:val="0"/>
      <w:marTop w:val="0"/>
      <w:marBottom w:val="0"/>
      <w:divBdr>
        <w:top w:val="none" w:sz="0" w:space="0" w:color="auto"/>
        <w:left w:val="none" w:sz="0" w:space="0" w:color="auto"/>
        <w:bottom w:val="none" w:sz="0" w:space="0" w:color="auto"/>
        <w:right w:val="none" w:sz="0" w:space="0" w:color="auto"/>
      </w:divBdr>
    </w:div>
    <w:div w:id="2081828739">
      <w:bodyDiv w:val="1"/>
      <w:marLeft w:val="0"/>
      <w:marRight w:val="0"/>
      <w:marTop w:val="0"/>
      <w:marBottom w:val="0"/>
      <w:divBdr>
        <w:top w:val="none" w:sz="0" w:space="0" w:color="auto"/>
        <w:left w:val="none" w:sz="0" w:space="0" w:color="auto"/>
        <w:bottom w:val="none" w:sz="0" w:space="0" w:color="auto"/>
        <w:right w:val="none" w:sz="0" w:space="0" w:color="auto"/>
      </w:divBdr>
    </w:div>
    <w:div w:id="2081907714">
      <w:bodyDiv w:val="1"/>
      <w:marLeft w:val="0"/>
      <w:marRight w:val="0"/>
      <w:marTop w:val="0"/>
      <w:marBottom w:val="0"/>
      <w:divBdr>
        <w:top w:val="none" w:sz="0" w:space="0" w:color="auto"/>
        <w:left w:val="none" w:sz="0" w:space="0" w:color="auto"/>
        <w:bottom w:val="none" w:sz="0" w:space="0" w:color="auto"/>
        <w:right w:val="none" w:sz="0" w:space="0" w:color="auto"/>
      </w:divBdr>
    </w:div>
    <w:div w:id="2083142652">
      <w:bodyDiv w:val="1"/>
      <w:marLeft w:val="0"/>
      <w:marRight w:val="0"/>
      <w:marTop w:val="0"/>
      <w:marBottom w:val="0"/>
      <w:divBdr>
        <w:top w:val="none" w:sz="0" w:space="0" w:color="auto"/>
        <w:left w:val="none" w:sz="0" w:space="0" w:color="auto"/>
        <w:bottom w:val="none" w:sz="0" w:space="0" w:color="auto"/>
        <w:right w:val="none" w:sz="0" w:space="0" w:color="auto"/>
      </w:divBdr>
    </w:div>
    <w:div w:id="2086950578">
      <w:bodyDiv w:val="1"/>
      <w:marLeft w:val="0"/>
      <w:marRight w:val="0"/>
      <w:marTop w:val="0"/>
      <w:marBottom w:val="0"/>
      <w:divBdr>
        <w:top w:val="none" w:sz="0" w:space="0" w:color="auto"/>
        <w:left w:val="none" w:sz="0" w:space="0" w:color="auto"/>
        <w:bottom w:val="none" w:sz="0" w:space="0" w:color="auto"/>
        <w:right w:val="none" w:sz="0" w:space="0" w:color="auto"/>
      </w:divBdr>
    </w:div>
    <w:div w:id="2094741378">
      <w:bodyDiv w:val="1"/>
      <w:marLeft w:val="0"/>
      <w:marRight w:val="0"/>
      <w:marTop w:val="0"/>
      <w:marBottom w:val="0"/>
      <w:divBdr>
        <w:top w:val="none" w:sz="0" w:space="0" w:color="auto"/>
        <w:left w:val="none" w:sz="0" w:space="0" w:color="auto"/>
        <w:bottom w:val="none" w:sz="0" w:space="0" w:color="auto"/>
        <w:right w:val="none" w:sz="0" w:space="0" w:color="auto"/>
      </w:divBdr>
    </w:div>
    <w:div w:id="2096587566">
      <w:bodyDiv w:val="1"/>
      <w:marLeft w:val="0"/>
      <w:marRight w:val="0"/>
      <w:marTop w:val="0"/>
      <w:marBottom w:val="0"/>
      <w:divBdr>
        <w:top w:val="none" w:sz="0" w:space="0" w:color="auto"/>
        <w:left w:val="none" w:sz="0" w:space="0" w:color="auto"/>
        <w:bottom w:val="none" w:sz="0" w:space="0" w:color="auto"/>
        <w:right w:val="none" w:sz="0" w:space="0" w:color="auto"/>
      </w:divBdr>
    </w:div>
    <w:div w:id="2099328308">
      <w:bodyDiv w:val="1"/>
      <w:marLeft w:val="0"/>
      <w:marRight w:val="0"/>
      <w:marTop w:val="0"/>
      <w:marBottom w:val="0"/>
      <w:divBdr>
        <w:top w:val="none" w:sz="0" w:space="0" w:color="auto"/>
        <w:left w:val="none" w:sz="0" w:space="0" w:color="auto"/>
        <w:bottom w:val="none" w:sz="0" w:space="0" w:color="auto"/>
        <w:right w:val="none" w:sz="0" w:space="0" w:color="auto"/>
      </w:divBdr>
    </w:div>
    <w:div w:id="2102096532">
      <w:bodyDiv w:val="1"/>
      <w:marLeft w:val="0"/>
      <w:marRight w:val="0"/>
      <w:marTop w:val="0"/>
      <w:marBottom w:val="0"/>
      <w:divBdr>
        <w:top w:val="none" w:sz="0" w:space="0" w:color="auto"/>
        <w:left w:val="none" w:sz="0" w:space="0" w:color="auto"/>
        <w:bottom w:val="none" w:sz="0" w:space="0" w:color="auto"/>
        <w:right w:val="none" w:sz="0" w:space="0" w:color="auto"/>
      </w:divBdr>
    </w:div>
    <w:div w:id="2116049804">
      <w:bodyDiv w:val="1"/>
      <w:marLeft w:val="0"/>
      <w:marRight w:val="0"/>
      <w:marTop w:val="0"/>
      <w:marBottom w:val="0"/>
      <w:divBdr>
        <w:top w:val="none" w:sz="0" w:space="0" w:color="auto"/>
        <w:left w:val="none" w:sz="0" w:space="0" w:color="auto"/>
        <w:bottom w:val="none" w:sz="0" w:space="0" w:color="auto"/>
        <w:right w:val="none" w:sz="0" w:space="0" w:color="auto"/>
      </w:divBdr>
    </w:div>
    <w:div w:id="2121533533">
      <w:bodyDiv w:val="1"/>
      <w:marLeft w:val="0"/>
      <w:marRight w:val="0"/>
      <w:marTop w:val="0"/>
      <w:marBottom w:val="0"/>
      <w:divBdr>
        <w:top w:val="none" w:sz="0" w:space="0" w:color="auto"/>
        <w:left w:val="none" w:sz="0" w:space="0" w:color="auto"/>
        <w:bottom w:val="none" w:sz="0" w:space="0" w:color="auto"/>
        <w:right w:val="none" w:sz="0" w:space="0" w:color="auto"/>
      </w:divBdr>
    </w:div>
    <w:div w:id="2122457556">
      <w:bodyDiv w:val="1"/>
      <w:marLeft w:val="0"/>
      <w:marRight w:val="0"/>
      <w:marTop w:val="0"/>
      <w:marBottom w:val="0"/>
      <w:divBdr>
        <w:top w:val="none" w:sz="0" w:space="0" w:color="auto"/>
        <w:left w:val="none" w:sz="0" w:space="0" w:color="auto"/>
        <w:bottom w:val="none" w:sz="0" w:space="0" w:color="auto"/>
        <w:right w:val="none" w:sz="0" w:space="0" w:color="auto"/>
      </w:divBdr>
    </w:div>
    <w:div w:id="2125221361">
      <w:bodyDiv w:val="1"/>
      <w:marLeft w:val="0"/>
      <w:marRight w:val="0"/>
      <w:marTop w:val="0"/>
      <w:marBottom w:val="0"/>
      <w:divBdr>
        <w:top w:val="none" w:sz="0" w:space="0" w:color="auto"/>
        <w:left w:val="none" w:sz="0" w:space="0" w:color="auto"/>
        <w:bottom w:val="none" w:sz="0" w:space="0" w:color="auto"/>
        <w:right w:val="none" w:sz="0" w:space="0" w:color="auto"/>
      </w:divBdr>
    </w:div>
    <w:div w:id="2135713142">
      <w:bodyDiv w:val="1"/>
      <w:marLeft w:val="0"/>
      <w:marRight w:val="0"/>
      <w:marTop w:val="0"/>
      <w:marBottom w:val="0"/>
      <w:divBdr>
        <w:top w:val="none" w:sz="0" w:space="0" w:color="auto"/>
        <w:left w:val="none" w:sz="0" w:space="0" w:color="auto"/>
        <w:bottom w:val="none" w:sz="0" w:space="0" w:color="auto"/>
        <w:right w:val="none" w:sz="0" w:space="0" w:color="auto"/>
      </w:divBdr>
    </w:div>
    <w:div w:id="21421908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9235430" TargetMode="External"/><Relationship Id="rId3" Type="http://schemas.openxmlformats.org/officeDocument/2006/relationships/hyperlink" Target="https://www.corteconstitucional.gov.co/secretaria/archivo.php?id=124352" TargetMode="External"/><Relationship Id="rId7" Type="http://schemas.openxmlformats.org/officeDocument/2006/relationships/hyperlink" Target="https://www.corteconstitucional.gov.co/secretaria/archivo.php?id=102640" TargetMode="External"/><Relationship Id="rId2" Type="http://schemas.openxmlformats.org/officeDocument/2006/relationships/hyperlink" Target="https://www.corteconstitucional.gov.co/relatoria/2024/c-448-24.htm" TargetMode="External"/><Relationship Id="rId1" Type="http://schemas.openxmlformats.org/officeDocument/2006/relationships/hyperlink" Target="https://www.corteconstitucional.gov.co/relatoria/autos/2024/A705-24.htm" TargetMode="External"/><Relationship Id="rId6" Type="http://schemas.openxmlformats.org/officeDocument/2006/relationships/hyperlink" Target="https://www.corteconstitucional.gov.co/secretaria/archivo.php?id=102640" TargetMode="External"/><Relationship Id="rId5" Type="http://schemas.openxmlformats.org/officeDocument/2006/relationships/hyperlink" Target="https://www.dnp.gov.co/plan-nacional-desarrollo/pnd-2022-2026/Paginas/plan-plurianual-de-inversiones.aspx" TargetMode="External"/><Relationship Id="rId10" Type="http://schemas.openxmlformats.org/officeDocument/2006/relationships/hyperlink" Target="https://community.secop.gov.co/Public/Tendering/ContractNoticeManagement/Index?currentLanguage=es-CO&amp;Page=login&amp;Country=CO&amp;SkinName=CCE" TargetMode="External"/><Relationship Id="rId4" Type="http://schemas.openxmlformats.org/officeDocument/2006/relationships/hyperlink" Target="https://www.corteconstitucional.gov.co/secretaria/archivo.php?id=128411" TargetMode="External"/><Relationship Id="rId9" Type="http://schemas.openxmlformats.org/officeDocument/2006/relationships/hyperlink" Target="https://www.pte.gov.co/es/web/pte/presupuesto-general-n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2617C-93DC-4FAB-930F-D089F22BA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23841</Words>
  <Characters>131129</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wilmancc</cp:lastModifiedBy>
  <cp:revision>1</cp:revision>
  <cp:lastPrinted>2026-03-04T13:29:00Z</cp:lastPrinted>
  <dcterms:created xsi:type="dcterms:W3CDTF">2026-05-27T22:04:00Z</dcterms:created>
  <dcterms:modified xsi:type="dcterms:W3CDTF">2026-07-06T14:39:00Z</dcterms:modified>
</cp:coreProperties>
</file>