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95F" w:rsidRPr="0029329A" w:rsidRDefault="0093576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29329A">
        <w:rPr>
          <w:rFonts w:ascii="Times New Roman" w:hAnsi="Times New Roman" w:cs="Times New Roman"/>
          <w:sz w:val="28"/>
          <w:szCs w:val="24"/>
        </w:rPr>
        <w:t xml:space="preserve"> </w:t>
      </w:r>
    </w:p>
    <w:p w:rsidR="00F5695F" w:rsidRPr="0029329A" w:rsidRDefault="00F5695F">
      <w:pPr>
        <w:widowControl w:val="0"/>
        <w:autoSpaceDE w:val="0"/>
        <w:autoSpaceDN w:val="0"/>
        <w:adjustRightInd w:val="0"/>
        <w:spacing w:after="0" w:line="240" w:lineRule="auto"/>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center"/>
        <w:rPr>
          <w:rFonts w:ascii="Times New Roman" w:hAnsi="Times New Roman" w:cs="Times New Roman"/>
          <w:b/>
          <w:bCs/>
          <w:sz w:val="28"/>
          <w:szCs w:val="28"/>
        </w:rPr>
      </w:pPr>
      <w:r w:rsidRPr="0029329A">
        <w:rPr>
          <w:rFonts w:ascii="Times New Roman" w:hAnsi="Times New Roman" w:cs="Times New Roman"/>
          <w:b/>
          <w:bCs/>
          <w:sz w:val="28"/>
          <w:szCs w:val="28"/>
        </w:rPr>
        <w:t xml:space="preserve">TEMAS-SUBTEMAS </w:t>
      </w:r>
    </w:p>
    <w:p w:rsidR="00F5695F" w:rsidRPr="0029329A" w:rsidRDefault="00F5695F">
      <w:pPr>
        <w:widowControl w:val="0"/>
        <w:autoSpaceDE w:val="0"/>
        <w:autoSpaceDN w:val="0"/>
        <w:adjustRightInd w:val="0"/>
        <w:spacing w:after="0" w:line="240" w:lineRule="auto"/>
        <w:jc w:val="center"/>
        <w:rPr>
          <w:rFonts w:ascii="Times New Roman" w:hAnsi="Times New Roman" w:cs="Times New Roman"/>
          <w:b/>
          <w:bCs/>
          <w:sz w:val="28"/>
          <w:szCs w:val="28"/>
        </w:rPr>
      </w:pPr>
    </w:p>
    <w:p w:rsidR="00F5695F" w:rsidRPr="0029329A" w:rsidRDefault="00935768">
      <w:pPr>
        <w:widowControl w:val="0"/>
        <w:autoSpaceDE w:val="0"/>
        <w:autoSpaceDN w:val="0"/>
        <w:adjustRightInd w:val="0"/>
        <w:spacing w:after="0" w:line="240" w:lineRule="auto"/>
        <w:jc w:val="center"/>
        <w:rPr>
          <w:rFonts w:ascii="Times New Roman" w:hAnsi="Times New Roman" w:cs="Times New Roman"/>
          <w:sz w:val="28"/>
          <w:szCs w:val="28"/>
        </w:rPr>
      </w:pPr>
      <w:r w:rsidRPr="0029329A">
        <w:rPr>
          <w:rFonts w:ascii="Times New Roman" w:hAnsi="Times New Roman" w:cs="Times New Roman"/>
          <w:b/>
          <w:bCs/>
          <w:sz w:val="28"/>
          <w:szCs w:val="28"/>
        </w:rPr>
        <w:t xml:space="preserve">Sentencia C-117/24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 EN LEY DEL PLAN NACIONAL DE DESARROLLO</w:t>
      </w:r>
      <w:r w:rsidRPr="0029329A">
        <w:rPr>
          <w:rFonts w:ascii="Times New Roman" w:hAnsi="Times New Roman" w:cs="Times New Roman"/>
          <w:sz w:val="28"/>
          <w:szCs w:val="28"/>
        </w:rPr>
        <w:t>-Se vulnera por inexistencia de conexidad directa con normas de contenido tributario</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i/>
          <w:iCs/>
          <w:sz w:val="28"/>
          <w:szCs w:val="28"/>
        </w:rPr>
        <w:t xml:space="preserve">(...) la Sala Plena determinó que las normas acusadas son inconstitucionales por violación al principio de unidad de materia. En lo fundamental, no guardan una conexidad instrumental, inmediata y directa, con ninguno de los objetivos de la parte general del Plan Nacional de Desarrollo, Colombia Potencia Mundial de la Vida, ni con ejes transversales estructurados en el mismo. Adicionalmente, pese a tratarse de normas de carácter permanente y de contenido tributario, tampoco se adujeron razones que justificaran su necesidad o su uso, desde el punto de vista de las finalidades del Plan Nacional de Desarrollo.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w:t>
      </w:r>
      <w:r w:rsidRPr="0029329A">
        <w:rPr>
          <w:rFonts w:ascii="Times New Roman" w:hAnsi="Times New Roman" w:cs="Times New Roman"/>
          <w:sz w:val="28"/>
          <w:szCs w:val="28"/>
        </w:rPr>
        <w:t xml:space="preserve">-Desconocimiento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w:t>
      </w:r>
      <w:r w:rsidRPr="0029329A">
        <w:rPr>
          <w:rFonts w:ascii="Times New Roman" w:hAnsi="Times New Roman" w:cs="Times New Roman"/>
          <w:sz w:val="28"/>
          <w:szCs w:val="28"/>
        </w:rPr>
        <w:t xml:space="preserve">-Reiteración de jurisprudencia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w:t>
      </w:r>
      <w:r w:rsidRPr="0029329A">
        <w:rPr>
          <w:rFonts w:ascii="Times New Roman" w:hAnsi="Times New Roman" w:cs="Times New Roman"/>
          <w:sz w:val="28"/>
          <w:szCs w:val="28"/>
        </w:rPr>
        <w:t xml:space="preserve">-Finalidad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w:t>
      </w:r>
      <w:r w:rsidRPr="0029329A">
        <w:rPr>
          <w:rFonts w:ascii="Times New Roman" w:hAnsi="Times New Roman" w:cs="Times New Roman"/>
          <w:sz w:val="28"/>
          <w:szCs w:val="28"/>
        </w:rPr>
        <w:t xml:space="preserve">-Conexidad temática, teleológica, causal, sistemática o consecuencial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LEY DEL PLAN NACIONAL DE DESARROLLO</w:t>
      </w:r>
      <w:r w:rsidRPr="0029329A">
        <w:rPr>
          <w:rFonts w:ascii="Times New Roman" w:hAnsi="Times New Roman" w:cs="Times New Roman"/>
          <w:sz w:val="28"/>
          <w:szCs w:val="28"/>
        </w:rPr>
        <w:t>-Carácter multitemático y heterogéneo</w:t>
      </w:r>
      <w:r w:rsidRPr="0029329A">
        <w:rPr>
          <w:rFonts w:ascii="Times New Roman" w:hAnsi="Times New Roman" w:cs="Times New Roman"/>
          <w:b/>
          <w:bCs/>
          <w:sz w:val="28"/>
          <w:szCs w:val="28"/>
        </w:rPr>
        <w:t>/LEY DEL PLAN NACIONAL DE DESARROLLO</w:t>
      </w:r>
      <w:r w:rsidRPr="0029329A">
        <w:rPr>
          <w:rFonts w:ascii="Times New Roman" w:hAnsi="Times New Roman" w:cs="Times New Roman"/>
          <w:sz w:val="28"/>
          <w:szCs w:val="28"/>
        </w:rPr>
        <w:t>-Naturaleza y contenido</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i/>
          <w:iCs/>
          <w:sz w:val="28"/>
          <w:szCs w:val="28"/>
        </w:rPr>
        <w:t xml:space="preserve">(...) la Corte manifestó que la naturaleza de la Ley del Plan implica un desafío normativo al principio de unidad de materia" toda vez que, "además de tratarse de un instrumento complejo de planeación macro, con articulaciones a nivel de política públicas, diseño presupuestal y política jurídica, parece serle extraña la idea de una temática única o nítidamente definida. En su carácter de ley dirigida a trazar los lineamientos y políticas en los asuntos en que se desenvuelve la realidad económica, social y ambiental del país, en variadas áreas y sectores de la vida estatal y comunitaria, no permite, en principio, ser identificada con una materia o tema dominante, más allá del elemento básico de la planeación. Con todo, la Corte ha clarificado que lo anterior en modo alguno debilita la obligación constitucional de sujeción al principio de unidad de materia.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 EN LEY DEL PLAN NACIONAL DE DESARROLLO</w:t>
      </w:r>
      <w:r w:rsidRPr="0029329A">
        <w:rPr>
          <w:rFonts w:ascii="Times New Roman" w:hAnsi="Times New Roman" w:cs="Times New Roman"/>
          <w:sz w:val="28"/>
          <w:szCs w:val="28"/>
        </w:rPr>
        <w:t xml:space="preserve">-Mayor rigurosidad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LEY DEL PLAN NACIONAL DE DESARROLLO</w:t>
      </w:r>
      <w:r w:rsidRPr="0029329A">
        <w:rPr>
          <w:rFonts w:ascii="Times New Roman" w:hAnsi="Times New Roman" w:cs="Times New Roman"/>
          <w:sz w:val="28"/>
          <w:szCs w:val="28"/>
        </w:rPr>
        <w:t xml:space="preserve">-Características y contenido específicos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LEY DEL PLAN NACIONAL DE DESARROLLO</w:t>
      </w:r>
      <w:r w:rsidRPr="0029329A">
        <w:rPr>
          <w:rFonts w:ascii="Times New Roman" w:hAnsi="Times New Roman" w:cs="Times New Roman"/>
          <w:sz w:val="28"/>
          <w:szCs w:val="28"/>
        </w:rPr>
        <w:t xml:space="preserve">-Elaboración y trámite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 APLICADO EN LEY DEL PLAN NACIONAL DE DESARROLLO</w:t>
      </w:r>
      <w:r w:rsidRPr="0029329A">
        <w:rPr>
          <w:rFonts w:ascii="Times New Roman" w:hAnsi="Times New Roman" w:cs="Times New Roman"/>
          <w:sz w:val="28"/>
          <w:szCs w:val="28"/>
        </w:rPr>
        <w:t xml:space="preserve">-Reglas jurisprudenciales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UNIDAD DE MATERIA Y JUICIO DE CONSTITUCIONALIDAD</w:t>
      </w:r>
      <w:r w:rsidRPr="0029329A">
        <w:rPr>
          <w:rFonts w:ascii="Times New Roman" w:hAnsi="Times New Roman" w:cs="Times New Roman"/>
          <w:sz w:val="28"/>
          <w:szCs w:val="28"/>
        </w:rPr>
        <w:t xml:space="preserve">-Etapas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CONTROL DE CONSTITUCIONALIDAD POR VULNERACION DEL PRINCIPIO DE UNIDAD DE MATERIA</w:t>
      </w:r>
      <w:r w:rsidRPr="0029329A">
        <w:rPr>
          <w:rFonts w:ascii="Times New Roman" w:hAnsi="Times New Roman" w:cs="Times New Roman"/>
          <w:sz w:val="28"/>
          <w:szCs w:val="28"/>
        </w:rPr>
        <w:t xml:space="preserve">-Metodología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LEGALIDAD Y CERTEZA DEL TRIBUTO</w:t>
      </w:r>
      <w:r w:rsidRPr="0029329A">
        <w:rPr>
          <w:rFonts w:ascii="Times New Roman" w:hAnsi="Times New Roman" w:cs="Times New Roman"/>
          <w:sz w:val="28"/>
          <w:szCs w:val="28"/>
        </w:rPr>
        <w:t xml:space="preserve">-Contenido y alcance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CERTEZA TRIBUTARIA</w:t>
      </w:r>
      <w:r w:rsidRPr="0029329A">
        <w:rPr>
          <w:rFonts w:ascii="Times New Roman" w:hAnsi="Times New Roman" w:cs="Times New Roman"/>
          <w:sz w:val="28"/>
          <w:szCs w:val="28"/>
        </w:rPr>
        <w:t xml:space="preserve">-Se deriva del principio de legalidad tributaria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CERTEZA EN MATERIA TRIBUTARIA</w:t>
      </w:r>
      <w:r w:rsidRPr="0029329A">
        <w:rPr>
          <w:rFonts w:ascii="Times New Roman" w:hAnsi="Times New Roman" w:cs="Times New Roman"/>
          <w:sz w:val="28"/>
          <w:szCs w:val="28"/>
        </w:rPr>
        <w:t xml:space="preserve">-Obligación del legislador de definir claramente los elementos del tributo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PRINCIPIO DE CERTEZA DEL TRIBUTO</w:t>
      </w:r>
      <w:r w:rsidRPr="0029329A">
        <w:rPr>
          <w:rFonts w:ascii="Times New Roman" w:hAnsi="Times New Roman" w:cs="Times New Roman"/>
          <w:sz w:val="28"/>
          <w:szCs w:val="28"/>
        </w:rPr>
        <w:t xml:space="preserve">-Finalidad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935768">
      <w:pPr>
        <w:widowControl w:val="0"/>
        <w:autoSpaceDE w:val="0"/>
        <w:autoSpaceDN w:val="0"/>
        <w:adjustRightInd w:val="0"/>
        <w:spacing w:after="0" w:line="240" w:lineRule="auto"/>
        <w:jc w:val="both"/>
        <w:rPr>
          <w:rFonts w:ascii="Times New Roman" w:hAnsi="Times New Roman" w:cs="Times New Roman"/>
          <w:sz w:val="28"/>
          <w:szCs w:val="28"/>
        </w:rPr>
      </w:pPr>
      <w:r w:rsidRPr="0029329A">
        <w:rPr>
          <w:rFonts w:ascii="Times New Roman" w:hAnsi="Times New Roman" w:cs="Times New Roman"/>
          <w:b/>
          <w:bCs/>
          <w:sz w:val="28"/>
          <w:szCs w:val="28"/>
        </w:rPr>
        <w:t>TASAS</w:t>
      </w:r>
      <w:r w:rsidRPr="0029329A">
        <w:rPr>
          <w:rFonts w:ascii="Times New Roman" w:hAnsi="Times New Roman" w:cs="Times New Roman"/>
          <w:sz w:val="28"/>
          <w:szCs w:val="28"/>
        </w:rPr>
        <w:t>-Definición</w:t>
      </w:r>
      <w:r w:rsidRPr="0029329A">
        <w:rPr>
          <w:rFonts w:ascii="Times New Roman" w:hAnsi="Times New Roman" w:cs="Times New Roman"/>
          <w:b/>
          <w:bCs/>
          <w:sz w:val="28"/>
          <w:szCs w:val="28"/>
        </w:rPr>
        <w:t>/TASAS</w:t>
      </w:r>
      <w:r w:rsidRPr="0029329A">
        <w:rPr>
          <w:rFonts w:ascii="Times New Roman" w:hAnsi="Times New Roman" w:cs="Times New Roman"/>
          <w:sz w:val="28"/>
          <w:szCs w:val="28"/>
        </w:rPr>
        <w:t xml:space="preserve">-Características </w:t>
      </w:r>
    </w:p>
    <w:p w:rsidR="00F5695F" w:rsidRPr="0029329A" w:rsidRDefault="00F5695F">
      <w:pPr>
        <w:widowControl w:val="0"/>
        <w:autoSpaceDE w:val="0"/>
        <w:autoSpaceDN w:val="0"/>
        <w:adjustRightInd w:val="0"/>
        <w:spacing w:after="0" w:line="240" w:lineRule="auto"/>
        <w:jc w:val="both"/>
        <w:rPr>
          <w:rFonts w:ascii="Times New Roman" w:hAnsi="Times New Roman" w:cs="Times New Roman"/>
          <w:sz w:val="28"/>
          <w:szCs w:val="28"/>
        </w:rPr>
      </w:pPr>
    </w:p>
    <w:p w:rsidR="00F5695F" w:rsidRPr="0029329A" w:rsidRDefault="0029329A">
      <w:pPr>
        <w:widowControl w:val="0"/>
        <w:autoSpaceDE w:val="0"/>
        <w:autoSpaceDN w:val="0"/>
        <w:adjustRightInd w:val="0"/>
        <w:spacing w:after="0" w:line="240" w:lineRule="auto"/>
        <w:jc w:val="both"/>
        <w:rPr>
          <w:rFonts w:ascii="Times New Roman" w:hAnsi="Times New Roman" w:cs="Times New Roman"/>
          <w:sz w:val="28"/>
        </w:rPr>
      </w:pPr>
      <w:r w:rsidRPr="0029329A">
        <w:rPr>
          <w:rFonts w:ascii="Times New Roman" w:hAnsi="Times New Roman" w:cs="Times New Roman"/>
          <w:sz w:val="28"/>
          <w:szCs w:val="28"/>
        </w:rPr>
        <w:pict>
          <v:rect id="_x0000_i1025" style="width:0;height:1.5pt" o:hralign="center" o:hrstd="t" o:hr="t" fillcolor="#a0a0a0" stroked="f"/>
        </w:pict>
      </w:r>
    </w:p>
    <w:p w:rsidR="00B96DCA" w:rsidRPr="0029329A" w:rsidRDefault="0029329A" w:rsidP="006810FB">
      <w:pPr>
        <w:spacing w:after="0" w:line="360" w:lineRule="atLeast"/>
        <w:rPr>
          <w:rFonts w:ascii="Times New Roman" w:hAnsi="Times New Roman" w:cs="Times New Roman"/>
          <w:b/>
          <w:sz w:val="28"/>
          <w:szCs w:val="28"/>
          <w:lang w:val="es-ES"/>
        </w:rPr>
      </w:pPr>
      <w:bookmarkStart w:id="1" w:name="_Hlk61509596"/>
    </w:p>
    <w:p w:rsidR="00741173" w:rsidRPr="0029329A" w:rsidRDefault="0029329A" w:rsidP="00C07886">
      <w:pPr>
        <w:spacing w:after="0" w:line="360" w:lineRule="atLeast"/>
        <w:jc w:val="center"/>
        <w:rPr>
          <w:rFonts w:ascii="Times New Roman" w:hAnsi="Times New Roman" w:cs="Times New Roman"/>
          <w:b/>
          <w:sz w:val="28"/>
          <w:szCs w:val="28"/>
        </w:rPr>
      </w:pPr>
      <w:r w:rsidRPr="0029329A">
        <w:rPr>
          <w:rFonts w:ascii="Times New Roman" w:hAnsi="Times New Roman" w:cs="Times New Roman"/>
          <w:b/>
          <w:sz w:val="28"/>
          <w:szCs w:val="28"/>
        </w:rPr>
        <w:t>REPÚBLICA DE COLOMBIA</w:t>
      </w:r>
    </w:p>
    <w:p w:rsidR="00741173" w:rsidRPr="0029329A" w:rsidRDefault="0029329A" w:rsidP="00C07886">
      <w:pPr>
        <w:spacing w:after="0" w:line="360" w:lineRule="atLeast"/>
        <w:jc w:val="center"/>
        <w:rPr>
          <w:rFonts w:ascii="Times New Roman" w:hAnsi="Times New Roman" w:cs="Times New Roman"/>
          <w:b/>
          <w:sz w:val="28"/>
          <w:szCs w:val="28"/>
        </w:rPr>
      </w:pPr>
    </w:p>
    <w:p w:rsidR="00741173" w:rsidRPr="0029329A" w:rsidRDefault="0029329A" w:rsidP="00C07886">
      <w:pPr>
        <w:spacing w:after="0" w:line="360" w:lineRule="atLeast"/>
        <w:jc w:val="center"/>
        <w:rPr>
          <w:rFonts w:ascii="Times New Roman" w:hAnsi="Times New Roman" w:cs="Times New Roman"/>
          <w:b/>
          <w:sz w:val="28"/>
          <w:szCs w:val="28"/>
        </w:rPr>
      </w:pPr>
      <w:r w:rsidRPr="0029329A">
        <w:rPr>
          <w:rFonts w:ascii="Times New Roman" w:hAnsi="Times New Roman" w:cs="Times New Roman"/>
          <w:b/>
          <w:noProof/>
          <w:sz w:val="28"/>
          <w:szCs w:val="28"/>
        </w:rPr>
        <w:drawing>
          <wp:inline distT="0" distB="0" distL="0" distR="0" wp14:anchorId="1ED0C817" wp14:editId="4A98E01D">
            <wp:extent cx="792480" cy="792480"/>
            <wp:effectExtent l="0" t="0" r="7620" b="762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741173" w:rsidRPr="0029329A" w:rsidRDefault="0029329A" w:rsidP="00C07886">
      <w:pPr>
        <w:spacing w:after="0" w:line="360" w:lineRule="atLeast"/>
        <w:jc w:val="center"/>
        <w:rPr>
          <w:rFonts w:ascii="Times New Roman" w:hAnsi="Times New Roman" w:cs="Times New Roman"/>
          <w:b/>
          <w:sz w:val="28"/>
          <w:szCs w:val="28"/>
        </w:rPr>
      </w:pPr>
      <w:r w:rsidRPr="0029329A">
        <w:rPr>
          <w:rFonts w:ascii="Times New Roman" w:hAnsi="Times New Roman" w:cs="Times New Roman"/>
          <w:b/>
          <w:sz w:val="28"/>
          <w:szCs w:val="28"/>
        </w:rPr>
        <w:t>CORTE CONSTITUCIONAL</w:t>
      </w:r>
    </w:p>
    <w:p w:rsidR="00741173" w:rsidRPr="0029329A" w:rsidRDefault="0029329A" w:rsidP="00C07886">
      <w:pPr>
        <w:spacing w:after="0" w:line="360" w:lineRule="atLeast"/>
        <w:jc w:val="center"/>
        <w:rPr>
          <w:rFonts w:ascii="Times New Roman" w:hAnsi="Times New Roman" w:cs="Times New Roman"/>
          <w:b/>
          <w:sz w:val="28"/>
          <w:szCs w:val="28"/>
        </w:rPr>
      </w:pPr>
      <w:r w:rsidRPr="0029329A">
        <w:rPr>
          <w:rFonts w:ascii="Times New Roman" w:hAnsi="Times New Roman" w:cs="Times New Roman"/>
          <w:b/>
          <w:sz w:val="28"/>
          <w:szCs w:val="28"/>
        </w:rPr>
        <w:t>Sala Plena</w:t>
      </w:r>
    </w:p>
    <w:p w:rsidR="00741173" w:rsidRPr="0029329A" w:rsidRDefault="0029329A" w:rsidP="00C07886">
      <w:pPr>
        <w:spacing w:after="0" w:line="360" w:lineRule="atLeast"/>
        <w:jc w:val="center"/>
        <w:rPr>
          <w:rFonts w:ascii="Times New Roman" w:hAnsi="Times New Roman" w:cs="Times New Roman"/>
          <w:b/>
          <w:bCs/>
          <w:sz w:val="28"/>
          <w:szCs w:val="28"/>
        </w:rPr>
      </w:pPr>
    </w:p>
    <w:p w:rsidR="00741173" w:rsidRPr="0029329A" w:rsidRDefault="0029329A" w:rsidP="00C07886">
      <w:pPr>
        <w:spacing w:after="0" w:line="360" w:lineRule="atLeast"/>
        <w:jc w:val="center"/>
        <w:rPr>
          <w:rFonts w:ascii="Times New Roman" w:hAnsi="Times New Roman" w:cs="Times New Roman"/>
          <w:b/>
          <w:bCs/>
          <w:sz w:val="28"/>
          <w:szCs w:val="28"/>
        </w:rPr>
      </w:pPr>
      <w:r w:rsidRPr="0029329A">
        <w:rPr>
          <w:rFonts w:ascii="Times New Roman" w:hAnsi="Times New Roman" w:cs="Times New Roman"/>
          <w:b/>
          <w:bCs/>
          <w:sz w:val="28"/>
          <w:szCs w:val="28"/>
        </w:rPr>
        <w:t xml:space="preserve">SENTENCIA </w:t>
      </w:r>
      <w:r w:rsidRPr="0029329A">
        <w:rPr>
          <w:rFonts w:ascii="Times New Roman" w:hAnsi="Times New Roman" w:cs="Times New Roman"/>
          <w:b/>
          <w:bCs/>
          <w:sz w:val="28"/>
          <w:szCs w:val="28"/>
        </w:rPr>
        <w:t>C-117</w:t>
      </w:r>
      <w:r w:rsidRPr="0029329A">
        <w:rPr>
          <w:rFonts w:ascii="Times New Roman" w:hAnsi="Times New Roman" w:cs="Times New Roman"/>
          <w:b/>
          <w:bCs/>
          <w:sz w:val="28"/>
          <w:szCs w:val="28"/>
        </w:rPr>
        <w:t xml:space="preserve"> </w:t>
      </w:r>
      <w:r w:rsidRPr="0029329A">
        <w:rPr>
          <w:rFonts w:ascii="Times New Roman" w:hAnsi="Times New Roman" w:cs="Times New Roman"/>
          <w:b/>
          <w:bCs/>
          <w:sz w:val="28"/>
          <w:szCs w:val="28"/>
        </w:rPr>
        <w:t>DE</w:t>
      </w:r>
      <w:r w:rsidRPr="0029329A">
        <w:rPr>
          <w:rFonts w:ascii="Times New Roman" w:hAnsi="Times New Roman" w:cs="Times New Roman"/>
          <w:b/>
          <w:bCs/>
          <w:sz w:val="28"/>
          <w:szCs w:val="28"/>
        </w:rPr>
        <w:t xml:space="preserve"> 202</w:t>
      </w:r>
      <w:r w:rsidRPr="0029329A">
        <w:rPr>
          <w:rFonts w:ascii="Times New Roman" w:hAnsi="Times New Roman" w:cs="Times New Roman"/>
          <w:b/>
          <w:bCs/>
          <w:sz w:val="28"/>
          <w:szCs w:val="28"/>
        </w:rPr>
        <w:t>4</w:t>
      </w:r>
    </w:p>
    <w:p w:rsidR="00741173" w:rsidRPr="0029329A" w:rsidRDefault="0029329A" w:rsidP="00C07886">
      <w:pPr>
        <w:spacing w:after="0" w:line="360" w:lineRule="atLeast"/>
        <w:jc w:val="both"/>
        <w:rPr>
          <w:rFonts w:ascii="Times New Roman" w:hAnsi="Times New Roman" w:cs="Times New Roman"/>
          <w:b/>
          <w:bCs/>
          <w:sz w:val="28"/>
          <w:szCs w:val="28"/>
        </w:rPr>
      </w:pPr>
    </w:p>
    <w:bookmarkEnd w:id="1"/>
    <w:p w:rsidR="00781B4E" w:rsidRPr="0029329A" w:rsidRDefault="0029329A" w:rsidP="00C07886">
      <w:pPr>
        <w:tabs>
          <w:tab w:val="left" w:pos="8647"/>
        </w:tabs>
        <w:overflowPunct w:val="0"/>
        <w:autoSpaceDE w:val="0"/>
        <w:autoSpaceDN w:val="0"/>
        <w:adjustRightInd w:val="0"/>
        <w:spacing w:after="0" w:line="360" w:lineRule="atLeast"/>
        <w:ind w:left="3686" w:right="49"/>
        <w:jc w:val="both"/>
        <w:rPr>
          <w:rFonts w:ascii="Times New Roman" w:hAnsi="Times New Roman" w:cs="Times New Roman"/>
          <w:sz w:val="28"/>
          <w:szCs w:val="28"/>
          <w:lang w:val="es-ES"/>
        </w:rPr>
      </w:pPr>
      <w:r w:rsidRPr="0029329A">
        <w:rPr>
          <w:rFonts w:ascii="Times New Roman" w:hAnsi="Times New Roman" w:cs="Times New Roman"/>
          <w:b/>
          <w:sz w:val="28"/>
          <w:szCs w:val="28"/>
          <w:lang w:val="es-ES"/>
        </w:rPr>
        <w:t>Referencia</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lang w:val="es-ES"/>
        </w:rPr>
        <w:t>E</w:t>
      </w:r>
      <w:r w:rsidRPr="0029329A">
        <w:rPr>
          <w:rFonts w:ascii="Times New Roman" w:hAnsi="Times New Roman" w:cs="Times New Roman"/>
          <w:sz w:val="28"/>
          <w:szCs w:val="28"/>
          <w:lang w:val="es-ES"/>
        </w:rPr>
        <w:t>xpediente D-15</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466</w:t>
      </w:r>
    </w:p>
    <w:p w:rsidR="00781B4E" w:rsidRPr="0029329A" w:rsidRDefault="0029329A" w:rsidP="00C07886">
      <w:pPr>
        <w:tabs>
          <w:tab w:val="left" w:pos="8647"/>
        </w:tabs>
        <w:overflowPunct w:val="0"/>
        <w:autoSpaceDE w:val="0"/>
        <w:autoSpaceDN w:val="0"/>
        <w:adjustRightInd w:val="0"/>
        <w:spacing w:after="0" w:line="360" w:lineRule="atLeast"/>
        <w:ind w:left="3686" w:right="49"/>
        <w:jc w:val="both"/>
        <w:rPr>
          <w:rFonts w:ascii="Times New Roman" w:hAnsi="Times New Roman" w:cs="Times New Roman"/>
          <w:sz w:val="28"/>
          <w:szCs w:val="28"/>
        </w:rPr>
      </w:pPr>
    </w:p>
    <w:p w:rsidR="00781B4E" w:rsidRPr="0029329A" w:rsidRDefault="0029329A" w:rsidP="00C07886">
      <w:pPr>
        <w:tabs>
          <w:tab w:val="left" w:pos="8647"/>
        </w:tabs>
        <w:overflowPunct w:val="0"/>
        <w:autoSpaceDE w:val="0"/>
        <w:autoSpaceDN w:val="0"/>
        <w:adjustRightInd w:val="0"/>
        <w:spacing w:after="0" w:line="360" w:lineRule="atLeast"/>
        <w:ind w:left="3686" w:right="49"/>
        <w:jc w:val="both"/>
        <w:rPr>
          <w:rFonts w:ascii="Times New Roman" w:hAnsi="Times New Roman" w:cs="Times New Roman"/>
          <w:sz w:val="28"/>
          <w:szCs w:val="28"/>
          <w:lang w:val="es-ES"/>
        </w:rPr>
      </w:pPr>
      <w:r w:rsidRPr="0029329A">
        <w:rPr>
          <w:rFonts w:ascii="Times New Roman" w:hAnsi="Times New Roman" w:cs="Times New Roman"/>
          <w:sz w:val="28"/>
          <w:szCs w:val="28"/>
          <w:lang w:val="es-ES"/>
        </w:rPr>
        <w:t>Demanda de inconstitucionalidad contra los artículos 135</w:t>
      </w:r>
      <w:r w:rsidRPr="0029329A">
        <w:rPr>
          <w:rFonts w:ascii="Times New Roman" w:hAnsi="Times New Roman" w:cs="Times New Roman"/>
          <w:sz w:val="28"/>
          <w:szCs w:val="28"/>
          <w:lang w:val="es-ES"/>
        </w:rPr>
        <w:t xml:space="preserve"> y 169 de la Ley 2294 de 2023, </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por la</w:t>
      </w:r>
      <w:r w:rsidRPr="0029329A">
        <w:rPr>
          <w:rFonts w:ascii="Times New Roman" w:hAnsi="Times New Roman" w:cs="Times New Roman"/>
          <w:sz w:val="28"/>
          <w:szCs w:val="28"/>
          <w:lang w:val="es-ES"/>
        </w:rPr>
        <w:t xml:space="preserve"> cual se expide el Plan Nacional de Desarrollo 2022- 2026 “</w:t>
      </w:r>
      <w:r w:rsidRPr="0029329A">
        <w:rPr>
          <w:rFonts w:ascii="Times New Roman" w:hAnsi="Times New Roman" w:cs="Times New Roman"/>
          <w:i/>
          <w:sz w:val="28"/>
          <w:szCs w:val="28"/>
          <w:lang w:val="es-ES"/>
        </w:rPr>
        <w:t>Colombia</w:t>
      </w:r>
      <w:r w:rsidRPr="0029329A">
        <w:rPr>
          <w:rFonts w:ascii="Times New Roman" w:hAnsi="Times New Roman" w:cs="Times New Roman"/>
          <w:i/>
          <w:sz w:val="28"/>
          <w:szCs w:val="28"/>
          <w:lang w:val="es-ES"/>
        </w:rPr>
        <w:t xml:space="preserve"> Potencia Mundial de la Vida</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w:t>
      </w:r>
    </w:p>
    <w:p w:rsidR="00781B4E" w:rsidRPr="0029329A" w:rsidRDefault="0029329A" w:rsidP="00C07886">
      <w:pPr>
        <w:tabs>
          <w:tab w:val="left" w:pos="8647"/>
        </w:tabs>
        <w:overflowPunct w:val="0"/>
        <w:autoSpaceDE w:val="0"/>
        <w:autoSpaceDN w:val="0"/>
        <w:adjustRightInd w:val="0"/>
        <w:spacing w:after="0" w:line="360" w:lineRule="atLeast"/>
        <w:ind w:right="49"/>
        <w:jc w:val="both"/>
        <w:rPr>
          <w:rFonts w:ascii="Times New Roman" w:hAnsi="Times New Roman" w:cs="Times New Roman"/>
          <w:i/>
          <w:sz w:val="28"/>
          <w:szCs w:val="28"/>
          <w:lang w:val="es-ES"/>
        </w:rPr>
      </w:pPr>
    </w:p>
    <w:p w:rsidR="00781B4E" w:rsidRPr="0029329A" w:rsidRDefault="0029329A" w:rsidP="00C07886">
      <w:pPr>
        <w:tabs>
          <w:tab w:val="left" w:pos="8647"/>
        </w:tabs>
        <w:overflowPunct w:val="0"/>
        <w:autoSpaceDE w:val="0"/>
        <w:autoSpaceDN w:val="0"/>
        <w:adjustRightInd w:val="0"/>
        <w:spacing w:after="0" w:line="360" w:lineRule="atLeast"/>
        <w:ind w:left="3686" w:right="49"/>
        <w:jc w:val="both"/>
        <w:rPr>
          <w:rFonts w:ascii="Times New Roman" w:hAnsi="Times New Roman" w:cs="Times New Roman"/>
          <w:sz w:val="28"/>
          <w:szCs w:val="28"/>
        </w:rPr>
      </w:pPr>
      <w:r w:rsidRPr="0029329A">
        <w:rPr>
          <w:rFonts w:ascii="Times New Roman" w:hAnsi="Times New Roman" w:cs="Times New Roman"/>
          <w:b/>
          <w:sz w:val="28"/>
          <w:szCs w:val="28"/>
          <w:lang w:val="es-ES"/>
        </w:rPr>
        <w:t>Accionantes</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rPr>
        <w:t>Jorge Octavio Ramírez Ramírez</w:t>
      </w:r>
      <w:r w:rsidRPr="0029329A">
        <w:rPr>
          <w:rFonts w:ascii="Times New Roman" w:hAnsi="Times New Roman" w:cs="Times New Roman"/>
          <w:sz w:val="28"/>
          <w:szCs w:val="28"/>
        </w:rPr>
        <w:t xml:space="preserve">, Enán Enrique Arrieta Burgos, Andrés Felipe Duque Pedroza y otros. </w:t>
      </w:r>
    </w:p>
    <w:p w:rsidR="008B159D" w:rsidRPr="0029329A" w:rsidRDefault="0029329A" w:rsidP="00C07886">
      <w:pPr>
        <w:spacing w:after="0" w:line="360" w:lineRule="atLeast"/>
        <w:rPr>
          <w:rFonts w:ascii="Times New Roman" w:hAnsi="Times New Roman" w:cs="Times New Roman"/>
          <w:b/>
          <w:sz w:val="28"/>
          <w:szCs w:val="28"/>
        </w:rPr>
      </w:pPr>
    </w:p>
    <w:p w:rsidR="001A3B45" w:rsidRPr="0029329A" w:rsidRDefault="0029329A" w:rsidP="00C07886">
      <w:pPr>
        <w:spacing w:after="0" w:line="360" w:lineRule="atLeast"/>
        <w:ind w:left="3545"/>
        <w:rPr>
          <w:rFonts w:ascii="Times New Roman" w:hAnsi="Times New Roman" w:cs="Times New Roman"/>
          <w:b/>
          <w:sz w:val="28"/>
          <w:szCs w:val="28"/>
        </w:rPr>
      </w:pPr>
      <w:r w:rsidRPr="0029329A">
        <w:rPr>
          <w:rFonts w:ascii="Times New Roman" w:hAnsi="Times New Roman" w:cs="Times New Roman"/>
          <w:b/>
          <w:sz w:val="28"/>
          <w:szCs w:val="28"/>
        </w:rPr>
        <w:t>Magistrada</w:t>
      </w:r>
      <w:r w:rsidRPr="0029329A">
        <w:rPr>
          <w:rFonts w:ascii="Times New Roman" w:hAnsi="Times New Roman" w:cs="Times New Roman"/>
          <w:b/>
          <w:sz w:val="28"/>
          <w:szCs w:val="28"/>
        </w:rPr>
        <w:t xml:space="preserve"> </w:t>
      </w:r>
      <w:r w:rsidRPr="0029329A">
        <w:rPr>
          <w:rFonts w:ascii="Times New Roman" w:hAnsi="Times New Roman" w:cs="Times New Roman"/>
          <w:b/>
          <w:sz w:val="28"/>
          <w:szCs w:val="28"/>
        </w:rPr>
        <w:t>p</w:t>
      </w:r>
      <w:r w:rsidRPr="0029329A">
        <w:rPr>
          <w:rFonts w:ascii="Times New Roman" w:hAnsi="Times New Roman" w:cs="Times New Roman"/>
          <w:b/>
          <w:sz w:val="28"/>
          <w:szCs w:val="28"/>
        </w:rPr>
        <w:t>onente</w:t>
      </w:r>
      <w:r w:rsidRPr="0029329A">
        <w:rPr>
          <w:rFonts w:ascii="Times New Roman" w:hAnsi="Times New Roman" w:cs="Times New Roman"/>
          <w:b/>
          <w:sz w:val="28"/>
          <w:szCs w:val="28"/>
        </w:rPr>
        <w:t>:</w:t>
      </w:r>
    </w:p>
    <w:p w:rsidR="001A3B45" w:rsidRPr="0029329A" w:rsidRDefault="0029329A" w:rsidP="00C07886">
      <w:pPr>
        <w:spacing w:after="0" w:line="360" w:lineRule="atLeast"/>
        <w:ind w:left="3545"/>
        <w:rPr>
          <w:rFonts w:ascii="Times New Roman" w:hAnsi="Times New Roman" w:cs="Times New Roman"/>
          <w:b/>
          <w:sz w:val="28"/>
          <w:szCs w:val="28"/>
        </w:rPr>
      </w:pPr>
      <w:r w:rsidRPr="0029329A">
        <w:rPr>
          <w:rFonts w:ascii="Times New Roman" w:hAnsi="Times New Roman" w:cs="Times New Roman"/>
          <w:b/>
          <w:sz w:val="28"/>
          <w:szCs w:val="28"/>
        </w:rPr>
        <w:t>CRISTINA PARDO SCHLESINGER</w:t>
      </w:r>
    </w:p>
    <w:p w:rsidR="00E97C31" w:rsidRPr="0029329A" w:rsidRDefault="0029329A" w:rsidP="00C07886">
      <w:pPr>
        <w:spacing w:after="0" w:line="360" w:lineRule="atLeast"/>
        <w:jc w:val="both"/>
        <w:rPr>
          <w:rFonts w:ascii="Times New Roman" w:hAnsi="Times New Roman" w:cs="Times New Roman"/>
          <w:sz w:val="28"/>
          <w:szCs w:val="28"/>
        </w:rPr>
      </w:pPr>
    </w:p>
    <w:p w:rsidR="000E6E65" w:rsidRPr="0029329A" w:rsidRDefault="0029329A" w:rsidP="00773A7F">
      <w:pPr>
        <w:spacing w:after="0" w:line="360" w:lineRule="atLeast"/>
        <w:jc w:val="both"/>
        <w:rPr>
          <w:rFonts w:ascii="Times New Roman" w:hAnsi="Times New Roman" w:cs="Times New Roman"/>
          <w:sz w:val="28"/>
          <w:szCs w:val="28"/>
          <w:lang w:val="es-ES"/>
        </w:rPr>
      </w:pPr>
      <w:r w:rsidRPr="0029329A">
        <w:rPr>
          <w:rFonts w:ascii="Times New Roman" w:hAnsi="Times New Roman" w:cs="Times New Roman"/>
          <w:sz w:val="28"/>
          <w:szCs w:val="28"/>
          <w:lang w:val="es-ES"/>
        </w:rPr>
        <w:t>Bogotá D.C.,</w:t>
      </w:r>
      <w:r w:rsidRPr="0029329A">
        <w:rPr>
          <w:rFonts w:ascii="Times New Roman" w:hAnsi="Times New Roman" w:cs="Times New Roman"/>
          <w:sz w:val="28"/>
          <w:szCs w:val="28"/>
          <w:lang w:val="es-ES"/>
        </w:rPr>
        <w:t xml:space="preserve"> once </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11</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lang w:val="es-ES"/>
        </w:rPr>
        <w:t xml:space="preserve">de </w:t>
      </w:r>
      <w:r w:rsidRPr="0029329A">
        <w:rPr>
          <w:rFonts w:ascii="Times New Roman" w:hAnsi="Times New Roman" w:cs="Times New Roman"/>
          <w:sz w:val="28"/>
          <w:szCs w:val="28"/>
          <w:lang w:val="es-ES"/>
        </w:rPr>
        <w:t>abril</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lang w:val="es-ES"/>
        </w:rPr>
        <w:t xml:space="preserve">de dos mil </w:t>
      </w:r>
      <w:r w:rsidRPr="0029329A">
        <w:rPr>
          <w:rFonts w:ascii="Times New Roman" w:hAnsi="Times New Roman" w:cs="Times New Roman"/>
          <w:sz w:val="28"/>
          <w:szCs w:val="28"/>
          <w:lang w:val="es-ES"/>
        </w:rPr>
        <w:t>veinti</w:t>
      </w:r>
      <w:r w:rsidRPr="0029329A">
        <w:rPr>
          <w:rFonts w:ascii="Times New Roman" w:hAnsi="Times New Roman" w:cs="Times New Roman"/>
          <w:sz w:val="28"/>
          <w:szCs w:val="28"/>
          <w:lang w:val="es-ES"/>
        </w:rPr>
        <w:t xml:space="preserve">cuatro </w:t>
      </w:r>
      <w:r w:rsidRPr="0029329A">
        <w:rPr>
          <w:rFonts w:ascii="Times New Roman" w:hAnsi="Times New Roman" w:cs="Times New Roman"/>
          <w:sz w:val="28"/>
          <w:szCs w:val="28"/>
          <w:lang w:val="es-ES"/>
        </w:rPr>
        <w:t>(202</w:t>
      </w:r>
      <w:r w:rsidRPr="0029329A">
        <w:rPr>
          <w:rFonts w:ascii="Times New Roman" w:hAnsi="Times New Roman" w:cs="Times New Roman"/>
          <w:sz w:val="28"/>
          <w:szCs w:val="28"/>
          <w:lang w:val="es-ES"/>
        </w:rPr>
        <w:t>4</w:t>
      </w:r>
      <w:r w:rsidRPr="0029329A">
        <w:rPr>
          <w:rFonts w:ascii="Times New Roman" w:hAnsi="Times New Roman" w:cs="Times New Roman"/>
          <w:sz w:val="28"/>
          <w:szCs w:val="28"/>
          <w:lang w:val="es-ES"/>
        </w:rPr>
        <w:t>)</w:t>
      </w:r>
    </w:p>
    <w:p w:rsidR="000E6E65" w:rsidRPr="0029329A" w:rsidRDefault="0029329A" w:rsidP="00773A7F">
      <w:pPr>
        <w:spacing w:after="0" w:line="360" w:lineRule="atLeast"/>
        <w:jc w:val="both"/>
        <w:rPr>
          <w:rFonts w:ascii="Times New Roman" w:hAnsi="Times New Roman" w:cs="Times New Roman"/>
          <w:sz w:val="28"/>
          <w:szCs w:val="28"/>
        </w:rPr>
      </w:pPr>
    </w:p>
    <w:p w:rsidR="00781B4E"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r w:rsidRPr="0029329A">
        <w:rPr>
          <w:rFonts w:ascii="Times New Roman" w:hAnsi="Times New Roman" w:cs="Times New Roman"/>
          <w:sz w:val="28"/>
          <w:szCs w:val="28"/>
          <w:lang w:val="es-ES"/>
        </w:rPr>
        <w:t xml:space="preserve">La Sala Plena de la Corte Constitucional, en ejercicio de sus atribuciones constitucionales, una vez cumplidos los requisitos y trámites establecidos en el Decreto ley 2067 de 1991, profiere la siguiente: </w:t>
      </w:r>
    </w:p>
    <w:p w:rsidR="006E1533" w:rsidRPr="0029329A" w:rsidRDefault="0029329A" w:rsidP="00773A7F">
      <w:pPr>
        <w:spacing w:after="0" w:line="360" w:lineRule="atLeast"/>
        <w:jc w:val="both"/>
        <w:rPr>
          <w:rFonts w:ascii="Times New Roman" w:hAnsi="Times New Roman" w:cs="Times New Roman"/>
          <w:sz w:val="28"/>
          <w:szCs w:val="28"/>
        </w:rPr>
      </w:pPr>
    </w:p>
    <w:p w:rsidR="000E6E65" w:rsidRPr="0029329A" w:rsidRDefault="0029329A" w:rsidP="00773A7F">
      <w:pPr>
        <w:keepNext/>
        <w:widowControl w:val="0"/>
        <w:spacing w:after="0" w:line="360" w:lineRule="atLeast"/>
        <w:jc w:val="center"/>
        <w:rPr>
          <w:rFonts w:ascii="Times New Roman" w:hAnsi="Times New Roman" w:cs="Times New Roman"/>
          <w:b/>
          <w:sz w:val="28"/>
          <w:szCs w:val="28"/>
        </w:rPr>
      </w:pPr>
      <w:r w:rsidRPr="0029329A">
        <w:rPr>
          <w:rFonts w:ascii="Times New Roman" w:hAnsi="Times New Roman" w:cs="Times New Roman"/>
          <w:b/>
          <w:sz w:val="28"/>
          <w:szCs w:val="28"/>
        </w:rPr>
        <w:t>SENTENCIA</w:t>
      </w:r>
    </w:p>
    <w:p w:rsidR="00246187" w:rsidRPr="0029329A" w:rsidRDefault="0029329A" w:rsidP="00246187">
      <w:pPr>
        <w:spacing w:after="0" w:line="360" w:lineRule="atLeast"/>
        <w:ind w:right="567"/>
        <w:rPr>
          <w:rFonts w:ascii="Times New Roman" w:hAnsi="Times New Roman" w:cs="Times New Roman"/>
          <w:sz w:val="28"/>
          <w:szCs w:val="28"/>
        </w:rPr>
      </w:pPr>
      <w:bookmarkStart w:id="2" w:name="_Hlk112055161"/>
      <w:bookmarkStart w:id="3" w:name="_Hlk62033687"/>
      <w:bookmarkEnd w:id="2"/>
    </w:p>
    <w:tbl>
      <w:tblPr>
        <w:tblStyle w:val="Tablaconcuadrcula"/>
        <w:tblW w:w="0" w:type="auto"/>
        <w:tblLook w:val="04A0" w:firstRow="1" w:lastRow="0" w:firstColumn="1" w:lastColumn="0" w:noHBand="0" w:noVBand="1"/>
      </w:tblPr>
      <w:tblGrid>
        <w:gridCol w:w="8637"/>
      </w:tblGrid>
      <w:tr w:rsidR="00246187" w:rsidRPr="0029329A" w:rsidTr="00246187">
        <w:tc>
          <w:tcPr>
            <w:tcW w:w="8637" w:type="dxa"/>
          </w:tcPr>
          <w:p w:rsidR="00246187" w:rsidRPr="0029329A" w:rsidRDefault="0029329A" w:rsidP="00246187">
            <w:pPr>
              <w:spacing w:after="0"/>
              <w:ind w:right="567"/>
              <w:jc w:val="both"/>
              <w:rPr>
                <w:rFonts w:ascii="Times New Roman" w:hAnsi="Times New Roman" w:cs="Times New Roman"/>
                <w:b/>
                <w:i/>
                <w:sz w:val="28"/>
                <w:szCs w:val="24"/>
              </w:rPr>
            </w:pPr>
            <w:r w:rsidRPr="0029329A">
              <w:rPr>
                <w:rFonts w:ascii="Times New Roman" w:hAnsi="Times New Roman" w:cs="Times New Roman"/>
                <w:b/>
                <w:i/>
                <w:sz w:val="28"/>
                <w:szCs w:val="24"/>
              </w:rPr>
              <w:t>Síntesis de la decisión</w:t>
            </w:r>
          </w:p>
          <w:p w:rsidR="009342BF" w:rsidRPr="0029329A" w:rsidRDefault="0029329A" w:rsidP="00246187">
            <w:pPr>
              <w:spacing w:after="0"/>
              <w:ind w:right="567"/>
              <w:jc w:val="both"/>
              <w:rPr>
                <w:rFonts w:ascii="Times New Roman" w:hAnsi="Times New Roman" w:cs="Times New Roman"/>
                <w:b/>
                <w:i/>
                <w:sz w:val="28"/>
                <w:szCs w:val="24"/>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La Sala Plena</w:t>
            </w:r>
            <w:r w:rsidRPr="0029329A">
              <w:rPr>
                <w:rFonts w:ascii="Times New Roman" w:hAnsi="Times New Roman" w:cs="Times New Roman"/>
                <w:color w:val="000000"/>
                <w:sz w:val="28"/>
                <w:szCs w:val="24"/>
                <w:lang w:eastAsia="es-CO"/>
              </w:rPr>
              <w:t xml:space="preserve"> estudió una demanda de inconstitucionalidad contra los artículos 135 (creación de la tasa de protección y manejo de bienes arqueológicos) y 169 (la tasa para la recuperación de los costos de los servicios prestados por la Dirección Nacional de Derechos de</w:t>
            </w:r>
            <w:r w:rsidRPr="0029329A">
              <w:rPr>
                <w:rFonts w:ascii="Times New Roman" w:hAnsi="Times New Roman" w:cs="Times New Roman"/>
                <w:color w:val="000000"/>
                <w:sz w:val="28"/>
                <w:szCs w:val="24"/>
                <w:lang w:eastAsia="es-CO"/>
              </w:rPr>
              <w:t xml:space="preserve"> Autor) de la Ley 2294 de 2023. Los accionantes argumentaron que estas disposiciones desconocían los principios de unidad de materia (art. 158 de la CP) y de legalidad y certeza tributaria (art. 338 de la CP).</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En cuanto al principio de unidad de materia, </w:t>
            </w:r>
            <w:r w:rsidRPr="0029329A">
              <w:rPr>
                <w:rFonts w:ascii="Times New Roman" w:hAnsi="Times New Roman" w:cs="Times New Roman"/>
                <w:color w:val="000000"/>
                <w:sz w:val="28"/>
                <w:szCs w:val="24"/>
                <w:lang w:eastAsia="es-CO"/>
              </w:rPr>
              <w:t>los ciudadanos argumentaron que las normas demandadas no tienen una relación directa e inmediata con los objetivos, programas, metas y estrategias del Plan Nacional de Desarrollo “Colombia Potencia Mundial de la Vida”. Señalaron que la creación de estas ta</w:t>
            </w:r>
            <w:r w:rsidRPr="0029329A">
              <w:rPr>
                <w:rFonts w:ascii="Times New Roman" w:hAnsi="Times New Roman" w:cs="Times New Roman"/>
                <w:color w:val="000000"/>
                <w:sz w:val="28"/>
                <w:szCs w:val="24"/>
                <w:lang w:eastAsia="es-CO"/>
              </w:rPr>
              <w:t>sas tampoco cuenta con una naturaleza instrumental para cumplir lo dispuesto en el Plan Nacional. Además, resaltaron que, particularmente, el artículo 169 reforma una ley permanente como lo es la Ley 23 de 1982 en materia de derechos de autor. Por lo anter</w:t>
            </w:r>
            <w:r w:rsidRPr="0029329A">
              <w:rPr>
                <w:rFonts w:ascii="Times New Roman" w:hAnsi="Times New Roman" w:cs="Times New Roman"/>
                <w:color w:val="000000"/>
                <w:sz w:val="28"/>
                <w:szCs w:val="24"/>
                <w:lang w:eastAsia="es-CO"/>
              </w:rPr>
              <w:t xml:space="preserve">ior, alegaron que estas normas establecen medidas de carácter tributario con vocación de permanencia que desconoce el principio de unidad de materia, tratándose de leyes del </w:t>
            </w:r>
            <w:r w:rsidRPr="0029329A">
              <w:rPr>
                <w:rFonts w:ascii="Times New Roman" w:hAnsi="Times New Roman" w:cs="Times New Roman"/>
                <w:color w:val="000000"/>
                <w:sz w:val="28"/>
                <w:szCs w:val="24"/>
                <w:lang w:eastAsia="es-CO"/>
              </w:rPr>
              <w:t>P</w:t>
            </w:r>
            <w:r w:rsidRPr="0029329A">
              <w:rPr>
                <w:rFonts w:ascii="Times New Roman" w:hAnsi="Times New Roman" w:cs="Times New Roman"/>
                <w:color w:val="000000"/>
                <w:sz w:val="28"/>
                <w:szCs w:val="24"/>
                <w:lang w:eastAsia="es-CO"/>
              </w:rPr>
              <w:t xml:space="preserve">lan </w:t>
            </w:r>
            <w:r w:rsidRPr="0029329A">
              <w:rPr>
                <w:rFonts w:ascii="Times New Roman" w:hAnsi="Times New Roman" w:cs="Times New Roman"/>
                <w:color w:val="000000"/>
                <w:sz w:val="28"/>
                <w:szCs w:val="24"/>
                <w:lang w:eastAsia="es-CO"/>
              </w:rPr>
              <w:t>N</w:t>
            </w:r>
            <w:r w:rsidRPr="0029329A">
              <w:rPr>
                <w:rFonts w:ascii="Times New Roman" w:hAnsi="Times New Roman" w:cs="Times New Roman"/>
                <w:color w:val="000000"/>
                <w:sz w:val="28"/>
                <w:szCs w:val="24"/>
                <w:lang w:eastAsia="es-CO"/>
              </w:rPr>
              <w:t xml:space="preserve">acional de </w:t>
            </w:r>
            <w:r w:rsidRPr="0029329A">
              <w:rPr>
                <w:rFonts w:ascii="Times New Roman" w:hAnsi="Times New Roman" w:cs="Times New Roman"/>
                <w:color w:val="000000"/>
                <w:sz w:val="28"/>
                <w:szCs w:val="24"/>
                <w:lang w:eastAsia="es-CO"/>
              </w:rPr>
              <w:t>D</w:t>
            </w:r>
            <w:r w:rsidRPr="0029329A">
              <w:rPr>
                <w:rFonts w:ascii="Times New Roman" w:hAnsi="Times New Roman" w:cs="Times New Roman"/>
                <w:color w:val="000000"/>
                <w:sz w:val="28"/>
                <w:szCs w:val="24"/>
                <w:lang w:eastAsia="es-CO"/>
              </w:rPr>
              <w:t>esarrollo.</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En lo ateniente al desconocimiento del principio de </w:t>
            </w:r>
            <w:r w:rsidRPr="0029329A">
              <w:rPr>
                <w:rFonts w:ascii="Times New Roman" w:hAnsi="Times New Roman" w:cs="Times New Roman"/>
                <w:color w:val="000000"/>
                <w:sz w:val="28"/>
                <w:szCs w:val="24"/>
                <w:lang w:eastAsia="es-CO"/>
              </w:rPr>
              <w:t>legalidad y certeza tributaria, afirmaron que las tasas dispuestas en los artículos 135 y 169 otorgan al Gobierno nacional la potestad para definir la metodología de cálculo asociada a la base gravable para la liquidación de las tasas. Lo anterior, según l</w:t>
            </w:r>
            <w:r w:rsidRPr="0029329A">
              <w:rPr>
                <w:rFonts w:ascii="Times New Roman" w:hAnsi="Times New Roman" w:cs="Times New Roman"/>
                <w:color w:val="000000"/>
                <w:sz w:val="28"/>
                <w:szCs w:val="24"/>
                <w:lang w:eastAsia="es-CO"/>
              </w:rPr>
              <w:t>os ciudadanos, desconoce lo dispuesto en el artículo 338 de la Constitución, pues es la ley la que debe determinar el método para la definición de la base gravable de este tipo de tributos. Con base en ello, argumentaron que se desconoce la reserva legal p</w:t>
            </w:r>
            <w:r w:rsidRPr="0029329A">
              <w:rPr>
                <w:rFonts w:ascii="Times New Roman" w:hAnsi="Times New Roman" w:cs="Times New Roman"/>
                <w:color w:val="000000"/>
                <w:sz w:val="28"/>
                <w:szCs w:val="24"/>
                <w:lang w:eastAsia="es-CO"/>
              </w:rPr>
              <w:t>ara definir los elementos esenciales de la tasa.</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De acuerdo con los cargos formulados por los demandantes, la Sala Plena de la Corte Constitucional propuso para el estudio los siguientes problemas jurídicos: (i) ¿Los artículos 135 y 169 de la Ley 2294 de </w:t>
            </w:r>
            <w:r w:rsidRPr="0029329A">
              <w:rPr>
                <w:rFonts w:ascii="Times New Roman" w:hAnsi="Times New Roman" w:cs="Times New Roman"/>
                <w:color w:val="000000"/>
                <w:sz w:val="28"/>
                <w:szCs w:val="24"/>
                <w:lang w:eastAsia="es-CO"/>
              </w:rPr>
              <w:t>2023 vulneran el principio de unidad de materia al crear tasas tributarias sin que exista presuntamente una conexidad objetiva y razonable de carácter causal, temático, sistemático y teleológico, con las bases o las materias dominantes de la ley del Plan N</w:t>
            </w:r>
            <w:r w:rsidRPr="0029329A">
              <w:rPr>
                <w:rFonts w:ascii="Times New Roman" w:hAnsi="Times New Roman" w:cs="Times New Roman"/>
                <w:color w:val="000000"/>
                <w:sz w:val="28"/>
                <w:szCs w:val="24"/>
                <w:lang w:eastAsia="es-CO"/>
              </w:rPr>
              <w:t>acional de Desarrollo e inobservando el límite temporal que impone la ley del plan</w:t>
            </w:r>
            <w:r w:rsidRPr="0029329A">
              <w:rPr>
                <w:rFonts w:ascii="Times New Roman" w:hAnsi="Times New Roman" w:cs="Times New Roman"/>
                <w:color w:val="000000"/>
                <w:sz w:val="28"/>
                <w:szCs w:val="24"/>
                <w:lang w:eastAsia="es-CO"/>
              </w:rPr>
              <w:t>?</w:t>
            </w:r>
            <w:r w:rsidRPr="0029329A">
              <w:rPr>
                <w:rFonts w:ascii="Times New Roman" w:hAnsi="Times New Roman" w:cs="Times New Roman"/>
                <w:color w:val="000000"/>
                <w:sz w:val="28"/>
                <w:szCs w:val="24"/>
                <w:lang w:eastAsia="es-CO"/>
              </w:rPr>
              <w:t xml:space="preserve">; y (ii) ¿El artículo 135 de la Ley 2294 de 2023 vulnera el principio de legalidad tributaria, en su faceta de certeza, al otorgar al Gobierno </w:t>
            </w:r>
            <w:r w:rsidRPr="0029329A">
              <w:rPr>
                <w:rFonts w:ascii="Times New Roman" w:hAnsi="Times New Roman" w:cs="Times New Roman"/>
                <w:color w:val="000000"/>
                <w:sz w:val="28"/>
                <w:szCs w:val="24"/>
                <w:lang w:eastAsia="es-CO"/>
              </w:rPr>
              <w:t>n</w:t>
            </w:r>
            <w:r w:rsidRPr="0029329A">
              <w:rPr>
                <w:rFonts w:ascii="Times New Roman" w:hAnsi="Times New Roman" w:cs="Times New Roman"/>
                <w:color w:val="000000"/>
                <w:sz w:val="28"/>
                <w:szCs w:val="24"/>
                <w:lang w:eastAsia="es-CO"/>
              </w:rPr>
              <w:t>acional la facultad para defi</w:t>
            </w:r>
            <w:r w:rsidRPr="0029329A">
              <w:rPr>
                <w:rFonts w:ascii="Times New Roman" w:hAnsi="Times New Roman" w:cs="Times New Roman"/>
                <w:color w:val="000000"/>
                <w:sz w:val="28"/>
                <w:szCs w:val="24"/>
                <w:lang w:eastAsia="es-CO"/>
              </w:rPr>
              <w:t>nir la metodología de cálculo asociada con la base gravable para la liquidación de la tasa que se crea en dicha disposición</w:t>
            </w:r>
            <w:r w:rsidRPr="0029329A">
              <w:rPr>
                <w:rFonts w:ascii="Times New Roman" w:hAnsi="Times New Roman" w:cs="Times New Roman"/>
                <w:color w:val="000000"/>
                <w:sz w:val="28"/>
                <w:szCs w:val="24"/>
                <w:lang w:eastAsia="es-CO"/>
              </w:rPr>
              <w:t>?</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Para dar respuesta a los interrogantes, la Sala desarrolló las siguientes consideraciones: (i) de forma general, el principio de u</w:t>
            </w:r>
            <w:r w:rsidRPr="0029329A">
              <w:rPr>
                <w:rFonts w:ascii="Times New Roman" w:hAnsi="Times New Roman" w:cs="Times New Roman"/>
                <w:color w:val="000000"/>
                <w:sz w:val="28"/>
                <w:szCs w:val="24"/>
                <w:lang w:eastAsia="es-CO"/>
              </w:rPr>
              <w:t>nidad de materia, (ii) de manera específica, el principio de unidad de materia en los planes nacionales de desarrollo y (iii) los principios de legalidad y certeza tributaria.</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Una vez desarrollada la jurisprudencia sobre los asuntos mencionados, la Sala </w:t>
            </w:r>
            <w:r w:rsidRPr="0029329A">
              <w:rPr>
                <w:rFonts w:ascii="Times New Roman" w:hAnsi="Times New Roman" w:cs="Times New Roman"/>
                <w:color w:val="000000"/>
                <w:sz w:val="28"/>
                <w:szCs w:val="24"/>
                <w:lang w:eastAsia="es-CO"/>
              </w:rPr>
              <w:t>procedió a analizar las normas demandadas de acuerdo al primer cargo presentado por los demandantes. Al respecto, la Corte concluyó que los artículos 135 y 169 de la Ley 2294 de 2023 debían ser declarad</w:t>
            </w:r>
            <w:r w:rsidRPr="0029329A">
              <w:rPr>
                <w:rFonts w:ascii="Times New Roman" w:hAnsi="Times New Roman" w:cs="Times New Roman"/>
                <w:color w:val="000000"/>
                <w:sz w:val="28"/>
                <w:szCs w:val="24"/>
                <w:lang w:eastAsia="es-CO"/>
              </w:rPr>
              <w:t>o</w:t>
            </w:r>
            <w:r w:rsidRPr="0029329A">
              <w:rPr>
                <w:rFonts w:ascii="Times New Roman" w:hAnsi="Times New Roman" w:cs="Times New Roman"/>
                <w:color w:val="000000"/>
                <w:sz w:val="28"/>
                <w:szCs w:val="24"/>
                <w:lang w:eastAsia="es-CO"/>
              </w:rPr>
              <w:t xml:space="preserve">s inconstitucionales por la violación del principio </w:t>
            </w:r>
            <w:r w:rsidRPr="0029329A">
              <w:rPr>
                <w:rFonts w:ascii="Times New Roman" w:hAnsi="Times New Roman" w:cs="Times New Roman"/>
                <w:color w:val="000000"/>
                <w:sz w:val="28"/>
                <w:szCs w:val="24"/>
                <w:lang w:eastAsia="es-CO"/>
              </w:rPr>
              <w:t>de unidad de materia, por las siguientes razones</w:t>
            </w:r>
            <w:r w:rsidRPr="0029329A">
              <w:rPr>
                <w:rFonts w:ascii="Times New Roman" w:hAnsi="Times New Roman" w:cs="Times New Roman"/>
                <w:color w:val="000000"/>
                <w:sz w:val="28"/>
                <w:szCs w:val="24"/>
                <w:lang w:eastAsia="es-CO"/>
              </w:rPr>
              <w:t>:</w:t>
            </w:r>
          </w:p>
          <w:p w:rsidR="003A36C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En primer lugar, la Sala realizó una descripción detallada de Ley 2294 de 2023, mediante la cual se adopta el Plan Nacional de Desarrollo correspondiente al período 2022-2026 denominado “Colombia Potencia </w:t>
            </w:r>
            <w:r w:rsidRPr="0029329A">
              <w:rPr>
                <w:rFonts w:ascii="Times New Roman" w:hAnsi="Times New Roman" w:cs="Times New Roman"/>
                <w:color w:val="000000"/>
                <w:sz w:val="28"/>
                <w:szCs w:val="24"/>
                <w:lang w:eastAsia="es-CO"/>
              </w:rPr>
              <w:t>Mundial de la Vida” y de la ubicación de las normas demandadas dentro de aquel cuerpo normativo. En segundo lugar, la Sala presentó cada uno de los argumentos expuestos por el Gobierno nacional con los que expuso que las normas cumplían con el principio de</w:t>
            </w:r>
            <w:r w:rsidRPr="0029329A">
              <w:rPr>
                <w:rFonts w:ascii="Times New Roman" w:hAnsi="Times New Roman" w:cs="Times New Roman"/>
                <w:color w:val="000000"/>
                <w:sz w:val="28"/>
                <w:szCs w:val="24"/>
                <w:lang w:eastAsia="es-CO"/>
              </w:rPr>
              <w:t xml:space="preserve"> unidad de materia. Especialmente, de acuerdo con el Gobierno nacional, los artículos 135 y 169 de la Ley del PND se relacionan directamente con la “seguridad humana y justicia social” y la “garantía de derechos como fundamento de la dignidad humana y cond</w:t>
            </w:r>
            <w:r w:rsidRPr="0029329A">
              <w:rPr>
                <w:rFonts w:ascii="Times New Roman" w:hAnsi="Times New Roman" w:cs="Times New Roman"/>
                <w:color w:val="000000"/>
                <w:sz w:val="28"/>
                <w:szCs w:val="24"/>
                <w:lang w:eastAsia="es-CO"/>
              </w:rPr>
              <w:t>iciones para el bienestar”.</w:t>
            </w:r>
          </w:p>
          <w:p w:rsidR="003A6721"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En esa medida, sostuvo que guardan una conexión directa e inmediata con las bases del PND.</w:t>
            </w:r>
          </w:p>
          <w:p w:rsidR="00190F3A"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Además, adujo que los recursos reportados por estas tasas impulsarán el cumplimiento de diversos compromisos étnicos del Acuerdo de Paz</w:t>
            </w:r>
            <w:r w:rsidRPr="0029329A">
              <w:rPr>
                <w:rFonts w:ascii="Times New Roman" w:hAnsi="Times New Roman" w:cs="Times New Roman"/>
                <w:color w:val="000000"/>
                <w:sz w:val="28"/>
                <w:szCs w:val="24"/>
                <w:lang w:eastAsia="es-CO"/>
              </w:rPr>
              <w:t>, proyectos de infraestructura vial y social, en educación, entre otros.</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Sin embargo, la Sala encontró que el planteamiento de conexidad propuesto por el Gobierno nacional fue problemático desde su análisis general, en la medida en que, como el mismo Gobi</w:t>
            </w:r>
            <w:r w:rsidRPr="0029329A">
              <w:rPr>
                <w:rFonts w:ascii="Times New Roman" w:hAnsi="Times New Roman" w:cs="Times New Roman"/>
                <w:color w:val="000000"/>
                <w:sz w:val="28"/>
                <w:szCs w:val="24"/>
                <w:lang w:eastAsia="es-CO"/>
              </w:rPr>
              <w:t>erno reconoció, las normas acusadas no son una herramienta diseñada específica y directamente para fortalecer los programas y servicios asociados a la protección y manejo de bienes arqueológicos y/o para proteger a los titulares del derecho de autor y dere</w:t>
            </w:r>
            <w:r w:rsidRPr="0029329A">
              <w:rPr>
                <w:rFonts w:ascii="Times New Roman" w:hAnsi="Times New Roman" w:cs="Times New Roman"/>
                <w:color w:val="000000"/>
                <w:sz w:val="28"/>
                <w:szCs w:val="24"/>
                <w:lang w:eastAsia="es-CO"/>
              </w:rPr>
              <w:t>chos conexos y garantizar la creatividad productiva que permita contribuir al desarrollo de las industrias culturales y la riqueza del país, sino que su destinación está proyectada para el financiamiento global de distintos programas del Plan.</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Lo anterior</w:t>
            </w:r>
            <w:r w:rsidRPr="0029329A">
              <w:rPr>
                <w:rFonts w:ascii="Times New Roman" w:hAnsi="Times New Roman" w:cs="Times New Roman"/>
                <w:color w:val="000000"/>
                <w:sz w:val="28"/>
                <w:szCs w:val="24"/>
                <w:lang w:eastAsia="es-CO"/>
              </w:rPr>
              <w:t>, según la Sala, desconoce la naturaleza de una tasa, toda vez que este tipo de tributo se distingue de otros en que el hecho generador se fundamenta en la prestación de un servicio público o en el beneficio particular al contribuyente, es decir, el benefi</w:t>
            </w:r>
            <w:r w:rsidRPr="0029329A">
              <w:rPr>
                <w:rFonts w:ascii="Times New Roman" w:hAnsi="Times New Roman" w:cs="Times New Roman"/>
                <w:color w:val="000000"/>
                <w:sz w:val="28"/>
                <w:szCs w:val="24"/>
                <w:lang w:eastAsia="es-CO"/>
              </w:rPr>
              <w:t>cio es individualizable. Del mismo modo, tiene una naturaleza retributiva, en la medida en que las personas que utilizan el servicio, pagan por él y compensan los costos de su ejecución.</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En ese sentido, cuando el Gobierno nacional supone que (i) el destin</w:t>
            </w:r>
            <w:r w:rsidRPr="0029329A">
              <w:rPr>
                <w:rFonts w:ascii="Times New Roman" w:hAnsi="Times New Roman" w:cs="Times New Roman"/>
                <w:color w:val="000000"/>
                <w:sz w:val="28"/>
                <w:szCs w:val="24"/>
                <w:lang w:eastAsia="es-CO"/>
              </w:rPr>
              <w:t xml:space="preserve">o de las tasas no sería específicamente destinado a compensar el gasto que ha incurrido el Estado para prestar los servicios asociados al Instituto Colombiano de Antropología e Historia (ICANH) o a la Dirección Nacional de Derechos de Autor (DNDA); y (ii) </w:t>
            </w:r>
            <w:r w:rsidRPr="0029329A">
              <w:rPr>
                <w:rFonts w:ascii="Times New Roman" w:hAnsi="Times New Roman" w:cs="Times New Roman"/>
                <w:color w:val="000000"/>
                <w:sz w:val="28"/>
                <w:szCs w:val="24"/>
                <w:lang w:eastAsia="es-CO"/>
              </w:rPr>
              <w:t>el beneficio no sería individualizable; desnaturaliza la figura de las tasas.</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9342BF"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Así, la Sala estableció que las tasas analizadas no tienen, únicamente, el propósito decantado en los artículos 135 y 169 demandados, sino que se establecen como mecanismos de f</w:t>
            </w:r>
            <w:r w:rsidRPr="0029329A">
              <w:rPr>
                <w:rFonts w:ascii="Times New Roman" w:hAnsi="Times New Roman" w:cs="Times New Roman"/>
                <w:color w:val="000000"/>
                <w:sz w:val="28"/>
                <w:szCs w:val="24"/>
                <w:lang w:eastAsia="es-CO"/>
              </w:rPr>
              <w:t>inanciación tributaria de todos los proyectos y programas que están involucrados en la Ley 2294 de 2023, sin que se evidencien, específicamente, objetivos, metas, planes o estrategias que podrían tener relación con las disposiciones acusadas.</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r w:rsidRPr="0029329A">
              <w:rPr>
                <w:rFonts w:ascii="Times New Roman" w:hAnsi="Times New Roman" w:cs="Times New Roman"/>
                <w:color w:val="000000"/>
                <w:sz w:val="28"/>
                <w:szCs w:val="24"/>
                <w:lang w:eastAsia="es-CO"/>
              </w:rPr>
              <w:t xml:space="preserve">Con base en </w:t>
            </w:r>
            <w:r w:rsidRPr="0029329A">
              <w:rPr>
                <w:rFonts w:ascii="Times New Roman" w:hAnsi="Times New Roman" w:cs="Times New Roman"/>
                <w:color w:val="000000"/>
                <w:sz w:val="28"/>
                <w:szCs w:val="24"/>
                <w:lang w:eastAsia="es-CO"/>
              </w:rPr>
              <w:t>lo anteriormente expuesto, la Sala Plena determinó que las normas acusadas son inconstitucionales por violación al principio de unidad de materia. En lo fundamental, no guardan una conexidad instrumental, inmediata y directa, con ninguno de los objetivos d</w:t>
            </w:r>
            <w:r w:rsidRPr="0029329A">
              <w:rPr>
                <w:rFonts w:ascii="Times New Roman" w:hAnsi="Times New Roman" w:cs="Times New Roman"/>
                <w:color w:val="000000"/>
                <w:sz w:val="28"/>
                <w:szCs w:val="24"/>
                <w:lang w:eastAsia="es-CO"/>
              </w:rPr>
              <w:t>e la parte general del Plan Nacional de Desarrollo, “Colombia Potencia Mundial de la Vida”, ni con ejes transversales estructurados en el mismo. Adicionalmente, pese a tratarse de normas de carácter permanente y de contenido tributario, tampoco se adujeron</w:t>
            </w:r>
            <w:r w:rsidRPr="0029329A">
              <w:rPr>
                <w:rFonts w:ascii="Times New Roman" w:hAnsi="Times New Roman" w:cs="Times New Roman"/>
                <w:color w:val="000000"/>
                <w:sz w:val="28"/>
                <w:szCs w:val="24"/>
                <w:lang w:eastAsia="es-CO"/>
              </w:rPr>
              <w:t xml:space="preserve"> razones que justificaran su necesidad o su uso, desde el punto de vista de las finalidades del Plan Nacional de Desarrollo. </w:t>
            </w:r>
          </w:p>
          <w:p w:rsidR="00855F91" w:rsidRPr="0029329A" w:rsidRDefault="0029329A" w:rsidP="009342BF">
            <w:pPr>
              <w:spacing w:after="0" w:line="254" w:lineRule="atLeast"/>
              <w:jc w:val="both"/>
              <w:rPr>
                <w:rFonts w:ascii="Times New Roman" w:hAnsi="Times New Roman" w:cs="Times New Roman"/>
                <w:color w:val="000000"/>
                <w:sz w:val="28"/>
                <w:szCs w:val="24"/>
                <w:lang w:eastAsia="es-CO"/>
              </w:rPr>
            </w:pPr>
          </w:p>
          <w:p w:rsidR="00246187" w:rsidRPr="0029329A" w:rsidRDefault="0029329A" w:rsidP="006207A7">
            <w:pPr>
              <w:spacing w:after="0" w:line="254" w:lineRule="atLeast"/>
              <w:jc w:val="both"/>
              <w:rPr>
                <w:rFonts w:ascii="Times New Roman" w:hAnsi="Times New Roman" w:cs="Times New Roman"/>
                <w:color w:val="000000"/>
                <w:sz w:val="28"/>
                <w:szCs w:val="24"/>
                <w:lang w:eastAsia="es-CO"/>
              </w:rPr>
            </w:pPr>
            <w:bookmarkStart w:id="4" w:name="_Hlk169538525"/>
            <w:r w:rsidRPr="0029329A">
              <w:rPr>
                <w:rFonts w:ascii="Times New Roman" w:hAnsi="Times New Roman" w:cs="Times New Roman"/>
                <w:color w:val="000000"/>
                <w:sz w:val="28"/>
                <w:szCs w:val="24"/>
                <w:lang w:eastAsia="es-CO"/>
              </w:rPr>
              <w:t xml:space="preserve">Finalmente, debido a que por el primer cargo fueron declaradas inconstitucionales las normas demandadas, la Sala </w:t>
            </w:r>
            <w:r w:rsidRPr="0029329A">
              <w:rPr>
                <w:rFonts w:ascii="Times New Roman" w:hAnsi="Times New Roman" w:cs="Times New Roman"/>
                <w:color w:val="000000"/>
                <w:sz w:val="28"/>
                <w:szCs w:val="24"/>
                <w:lang w:eastAsia="es-CO"/>
              </w:rPr>
              <w:t xml:space="preserve">no consideró </w:t>
            </w:r>
            <w:r w:rsidRPr="0029329A">
              <w:rPr>
                <w:rFonts w:ascii="Times New Roman" w:hAnsi="Times New Roman" w:cs="Times New Roman"/>
                <w:color w:val="000000"/>
                <w:sz w:val="28"/>
                <w:szCs w:val="24"/>
                <w:lang w:eastAsia="es-CO"/>
              </w:rPr>
              <w:t>necesario hacer</w:t>
            </w:r>
            <w:r w:rsidRPr="0029329A">
              <w:rPr>
                <w:rFonts w:ascii="Times New Roman" w:hAnsi="Times New Roman" w:cs="Times New Roman"/>
                <w:color w:val="000000"/>
                <w:sz w:val="28"/>
                <w:szCs w:val="24"/>
                <w:lang w:eastAsia="es-CO"/>
              </w:rPr>
              <w:t xml:space="preserve"> el análisis del cargo por la presunta violación del principio de legalidad y certeza tributari</w:t>
            </w:r>
            <w:r w:rsidRPr="0029329A">
              <w:rPr>
                <w:rFonts w:ascii="Times New Roman" w:hAnsi="Times New Roman" w:cs="Times New Roman"/>
                <w:color w:val="000000"/>
                <w:sz w:val="28"/>
                <w:szCs w:val="24"/>
                <w:lang w:eastAsia="es-CO"/>
              </w:rPr>
              <w:t>a.</w:t>
            </w:r>
          </w:p>
          <w:bookmarkEnd w:id="4"/>
          <w:p w:rsidR="00246187" w:rsidRPr="0029329A" w:rsidRDefault="0029329A" w:rsidP="00246187">
            <w:pPr>
              <w:spacing w:after="0" w:line="360" w:lineRule="atLeast"/>
              <w:ind w:right="567"/>
              <w:rPr>
                <w:rFonts w:ascii="Times New Roman" w:hAnsi="Times New Roman" w:cs="Times New Roman"/>
                <w:sz w:val="28"/>
                <w:szCs w:val="28"/>
              </w:rPr>
            </w:pPr>
          </w:p>
        </w:tc>
      </w:tr>
    </w:tbl>
    <w:p w:rsidR="00246187" w:rsidRPr="0029329A" w:rsidRDefault="0029329A" w:rsidP="00246187">
      <w:pPr>
        <w:spacing w:after="0" w:line="360" w:lineRule="atLeast"/>
        <w:ind w:right="567"/>
        <w:rPr>
          <w:rFonts w:ascii="Times New Roman" w:hAnsi="Times New Roman" w:cs="Times New Roman"/>
          <w:sz w:val="28"/>
          <w:szCs w:val="28"/>
        </w:rPr>
      </w:pPr>
    </w:p>
    <w:p w:rsidR="000272AD"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r w:rsidRPr="0029329A">
        <w:rPr>
          <w:rFonts w:ascii="Times New Roman" w:hAnsi="Times New Roman" w:cs="Times New Roman"/>
          <w:b/>
          <w:sz w:val="28"/>
          <w:szCs w:val="28"/>
          <w:lang w:val="es-ES"/>
        </w:rPr>
        <w:t>I. ANTECEDENTES</w:t>
      </w:r>
    </w:p>
    <w:p w:rsidR="000272AD"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p>
    <w:p w:rsidR="00B1413E" w:rsidRPr="0029329A" w:rsidRDefault="0029329A" w:rsidP="00EC2E50">
      <w:pPr>
        <w:overflowPunct w:val="0"/>
        <w:autoSpaceDE w:val="0"/>
        <w:autoSpaceDN w:val="0"/>
        <w:adjustRightInd w:val="0"/>
        <w:spacing w:after="0" w:line="360" w:lineRule="atLeast"/>
        <w:jc w:val="both"/>
        <w:textAlignment w:val="baseline"/>
        <w:rPr>
          <w:rFonts w:ascii="Times New Roman" w:hAnsi="Times New Roman" w:cs="Times New Roman"/>
          <w:bCs/>
          <w:sz w:val="28"/>
          <w:szCs w:val="28"/>
          <w:lang w:val="es-ES" w:eastAsia="en-US"/>
        </w:rPr>
      </w:pPr>
      <w:r w:rsidRPr="0029329A">
        <w:rPr>
          <w:rFonts w:ascii="Times New Roman" w:hAnsi="Times New Roman" w:cs="Times New Roman"/>
          <w:sz w:val="28"/>
          <w:szCs w:val="28"/>
          <w:lang w:val="es-ES"/>
        </w:rPr>
        <w:t>1.</w:t>
      </w:r>
      <w:r w:rsidRPr="0029329A">
        <w:rPr>
          <w:rFonts w:ascii="Times New Roman" w:hAnsi="Times New Roman" w:cs="Times New Roman"/>
          <w:b/>
          <w:sz w:val="28"/>
          <w:szCs w:val="28"/>
          <w:lang w:val="es-ES"/>
        </w:rPr>
        <w:t xml:space="preserve"> </w:t>
      </w:r>
      <w:r w:rsidRPr="0029329A">
        <w:rPr>
          <w:rFonts w:ascii="Times New Roman" w:hAnsi="Times New Roman" w:cs="Times New Roman"/>
          <w:sz w:val="28"/>
          <w:szCs w:val="28"/>
          <w:lang w:val="es-ES"/>
        </w:rPr>
        <w:t xml:space="preserve">En ejercicio de la acción de inconstitucionalidad </w:t>
      </w:r>
      <w:r w:rsidRPr="0029329A">
        <w:rPr>
          <w:rFonts w:ascii="Times New Roman" w:hAnsi="Times New Roman" w:cs="Times New Roman"/>
          <w:sz w:val="28"/>
          <w:szCs w:val="28"/>
          <w:lang w:val="es-ES"/>
        </w:rPr>
        <w:t>los</w:t>
      </w:r>
      <w:r w:rsidRPr="0029329A">
        <w:rPr>
          <w:rFonts w:ascii="Times New Roman" w:hAnsi="Times New Roman" w:cs="Times New Roman"/>
          <w:sz w:val="28"/>
          <w:szCs w:val="28"/>
          <w:lang w:val="es-ES"/>
        </w:rPr>
        <w:t xml:space="preserve"> ciudadano</w:t>
      </w:r>
      <w:r w:rsidRPr="0029329A">
        <w:rPr>
          <w:rFonts w:ascii="Times New Roman" w:hAnsi="Times New Roman" w:cs="Times New Roman"/>
          <w:sz w:val="28"/>
          <w:szCs w:val="28"/>
          <w:lang w:val="es-ES"/>
        </w:rPr>
        <w:t>s</w:t>
      </w:r>
      <w:r w:rsidRPr="0029329A">
        <w:rPr>
          <w:rFonts w:ascii="Times New Roman" w:hAnsi="Times New Roman" w:cs="Times New Roman"/>
          <w:sz w:val="28"/>
          <w:lang w:eastAsia="en-US"/>
        </w:rPr>
        <w:t xml:space="preserve"> Jorge Octavio Ramírez Ramírez, Enán Enrique Arrieta Burgos, Andrés Felipe Duque Pedroza y otros</w:t>
      </w:r>
      <w:r w:rsidRPr="0029329A">
        <w:rPr>
          <w:rStyle w:val="Refdenotaalpie"/>
          <w:rFonts w:ascii="Times New Roman" w:hAnsi="Times New Roman"/>
          <w:sz w:val="28"/>
          <w:vertAlign w:val="superscript"/>
        </w:rPr>
        <w:footnoteReference w:id="1"/>
      </w:r>
      <w:r w:rsidRPr="0029329A">
        <w:rPr>
          <w:rFonts w:ascii="Times New Roman" w:hAnsi="Times New Roman" w:cs="Times New Roman"/>
          <w:sz w:val="28"/>
          <w:vertAlign w:val="superscript"/>
          <w:lang w:eastAsia="en-US"/>
        </w:rPr>
        <w:t xml:space="preserve"> </w:t>
      </w:r>
      <w:r w:rsidRPr="0029329A">
        <w:rPr>
          <w:rFonts w:ascii="Times New Roman" w:hAnsi="Times New Roman" w:cs="Times New Roman"/>
          <w:sz w:val="28"/>
          <w:szCs w:val="28"/>
          <w:lang w:val="es-ES"/>
        </w:rPr>
        <w:t>demand</w:t>
      </w:r>
      <w:r w:rsidRPr="0029329A">
        <w:rPr>
          <w:rFonts w:ascii="Times New Roman" w:hAnsi="Times New Roman" w:cs="Times New Roman"/>
          <w:sz w:val="28"/>
          <w:szCs w:val="28"/>
          <w:lang w:val="es-ES"/>
        </w:rPr>
        <w:t>aron</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rPr>
        <w:t>en su integridad,</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lang w:val="es-ES" w:eastAsia="en-US"/>
        </w:rPr>
        <w:t>los</w:t>
      </w:r>
      <w:r w:rsidRPr="0029329A">
        <w:rPr>
          <w:rFonts w:ascii="Times New Roman" w:hAnsi="Times New Roman" w:cs="Times New Roman"/>
          <w:spacing w:val="-9"/>
          <w:sz w:val="28"/>
          <w:lang w:val="es-ES" w:eastAsia="en-US"/>
        </w:rPr>
        <w:t xml:space="preserve"> artículos </w:t>
      </w:r>
      <w:r w:rsidRPr="0029329A">
        <w:rPr>
          <w:rFonts w:ascii="Times New Roman" w:hAnsi="Times New Roman" w:cs="Times New Roman"/>
          <w:sz w:val="28"/>
          <w:lang w:eastAsia="en-US"/>
        </w:rPr>
        <w:t>135</w:t>
      </w:r>
      <w:r w:rsidRPr="0029329A">
        <w:rPr>
          <w:rFonts w:ascii="Times New Roman" w:hAnsi="Times New Roman" w:cs="Times New Roman"/>
          <w:sz w:val="28"/>
          <w:lang w:eastAsia="en-US"/>
        </w:rPr>
        <w:t xml:space="preserve"> </w:t>
      </w:r>
      <w:r w:rsidRPr="0029329A">
        <w:rPr>
          <w:rFonts w:ascii="Times New Roman" w:hAnsi="Times New Roman" w:cs="Times New Roman"/>
          <w:sz w:val="28"/>
          <w:lang w:eastAsia="en-US"/>
        </w:rPr>
        <w:t xml:space="preserve">y 169 de la Ley 2294 de 2023, </w:t>
      </w:r>
      <w:r w:rsidRPr="0029329A">
        <w:rPr>
          <w:rFonts w:ascii="Times New Roman" w:hAnsi="Times New Roman" w:cs="Times New Roman"/>
          <w:bCs/>
          <w:sz w:val="28"/>
          <w:lang w:eastAsia="en-US"/>
        </w:rPr>
        <w:t xml:space="preserve">“por el cual se expide el Plan Nacional de Desarrollo 2022- 2026 “COLOMBIA </w:t>
      </w:r>
      <w:r w:rsidRPr="0029329A">
        <w:rPr>
          <w:rFonts w:ascii="Times New Roman" w:hAnsi="Times New Roman" w:cs="Times New Roman"/>
          <w:bCs/>
          <w:sz w:val="28"/>
          <w:lang w:eastAsia="en-US"/>
        </w:rPr>
        <w:t>Potencia Mundial de la Vida”</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lang w:val="es-ES"/>
        </w:rPr>
        <w:t>El 6</w:t>
      </w:r>
      <w:r w:rsidRPr="0029329A">
        <w:rPr>
          <w:rFonts w:ascii="Times New Roman" w:hAnsi="Times New Roman" w:cs="Times New Roman"/>
          <w:sz w:val="28"/>
          <w:szCs w:val="28"/>
          <w:lang w:val="es-ES"/>
        </w:rPr>
        <w:t xml:space="preserve"> de </w:t>
      </w:r>
      <w:r w:rsidRPr="0029329A">
        <w:rPr>
          <w:rFonts w:ascii="Times New Roman" w:hAnsi="Times New Roman" w:cs="Times New Roman"/>
          <w:sz w:val="28"/>
          <w:szCs w:val="28"/>
          <w:lang w:val="es-ES"/>
        </w:rPr>
        <w:t>septiembre</w:t>
      </w:r>
      <w:r w:rsidRPr="0029329A">
        <w:rPr>
          <w:rFonts w:ascii="Times New Roman" w:hAnsi="Times New Roman" w:cs="Times New Roman"/>
          <w:sz w:val="28"/>
          <w:szCs w:val="28"/>
          <w:lang w:val="es-ES"/>
        </w:rPr>
        <w:t xml:space="preserve"> de </w:t>
      </w:r>
      <w:r w:rsidRPr="0029329A">
        <w:rPr>
          <w:rFonts w:ascii="Times New Roman" w:hAnsi="Times New Roman" w:cs="Times New Roman"/>
          <w:sz w:val="28"/>
          <w:szCs w:val="28"/>
          <w:lang w:val="es-ES"/>
        </w:rPr>
        <w:t>2023,</w:t>
      </w:r>
      <w:r w:rsidRPr="0029329A">
        <w:rPr>
          <w:rFonts w:ascii="Times New Roman" w:hAnsi="Times New Roman" w:cs="Times New Roman"/>
          <w:sz w:val="28"/>
          <w:szCs w:val="28"/>
          <w:lang w:val="es-ES"/>
        </w:rPr>
        <w:t xml:space="preserve"> </w:t>
      </w:r>
      <w:r w:rsidRPr="0029329A">
        <w:rPr>
          <w:rFonts w:ascii="Times New Roman" w:hAnsi="Times New Roman" w:cs="Times New Roman"/>
          <w:sz w:val="28"/>
          <w:szCs w:val="28"/>
          <w:lang w:val="es-ES_tradnl"/>
        </w:rPr>
        <w:t>la magistrada sustanciadora resolvió </w:t>
      </w:r>
      <w:r w:rsidRPr="0029329A">
        <w:rPr>
          <w:rFonts w:ascii="Times New Roman" w:hAnsi="Times New Roman" w:cs="Times New Roman"/>
          <w:i/>
          <w:iCs/>
          <w:sz w:val="28"/>
          <w:szCs w:val="28"/>
          <w:lang w:val="es-ES_tradnl"/>
        </w:rPr>
        <w:t>(i)</w:t>
      </w:r>
      <w:r w:rsidRPr="0029329A">
        <w:rPr>
          <w:rFonts w:ascii="Times New Roman" w:hAnsi="Times New Roman" w:cs="Times New Roman"/>
          <w:sz w:val="28"/>
          <w:szCs w:val="28"/>
          <w:lang w:val="es-ES_tradnl"/>
        </w:rPr>
        <w:t> admitir la demanda </w:t>
      </w:r>
      <w:r w:rsidRPr="0029329A">
        <w:rPr>
          <w:rFonts w:ascii="Times New Roman" w:hAnsi="Times New Roman" w:cs="Times New Roman"/>
          <w:sz w:val="28"/>
          <w:szCs w:val="28"/>
          <w:lang w:val="es-ES"/>
        </w:rPr>
        <w:t>D-15466,</w:t>
      </w:r>
      <w:r w:rsidRPr="0029329A">
        <w:rPr>
          <w:rFonts w:ascii="Times New Roman" w:hAnsi="Times New Roman" w:cs="Times New Roman"/>
          <w:sz w:val="28"/>
          <w:szCs w:val="28"/>
          <w:lang w:val="es-ES_tradnl"/>
        </w:rPr>
        <w:t> </w:t>
      </w:r>
      <w:r w:rsidRPr="0029329A">
        <w:rPr>
          <w:rFonts w:ascii="Times New Roman" w:hAnsi="Times New Roman" w:cs="Times New Roman"/>
          <w:i/>
          <w:iCs/>
          <w:sz w:val="28"/>
          <w:szCs w:val="28"/>
          <w:lang w:val="es-ES_tradnl"/>
        </w:rPr>
        <w:t>(ii)</w:t>
      </w:r>
      <w:r w:rsidRPr="0029329A">
        <w:rPr>
          <w:rFonts w:ascii="Times New Roman" w:hAnsi="Times New Roman" w:cs="Times New Roman"/>
          <w:sz w:val="28"/>
          <w:szCs w:val="28"/>
          <w:lang w:val="es-ES_tradnl"/>
        </w:rPr>
        <w:t> correr traslado a la Procuraduría General de la Nación; </w:t>
      </w:r>
      <w:r w:rsidRPr="0029329A">
        <w:rPr>
          <w:rFonts w:ascii="Times New Roman" w:hAnsi="Times New Roman" w:cs="Times New Roman"/>
          <w:i/>
          <w:iCs/>
          <w:sz w:val="28"/>
          <w:szCs w:val="28"/>
          <w:lang w:val="es-ES_tradnl"/>
        </w:rPr>
        <w:t>(iii)</w:t>
      </w:r>
      <w:r w:rsidRPr="0029329A">
        <w:rPr>
          <w:rFonts w:ascii="Times New Roman" w:hAnsi="Times New Roman" w:cs="Times New Roman"/>
          <w:sz w:val="28"/>
          <w:szCs w:val="28"/>
          <w:lang w:val="es-ES_tradnl"/>
        </w:rPr>
        <w:t> fijar en lista el proceso por el término de diez (10) días, </w:t>
      </w:r>
      <w:r w:rsidRPr="0029329A">
        <w:rPr>
          <w:rFonts w:ascii="Times New Roman" w:hAnsi="Times New Roman" w:cs="Times New Roman"/>
          <w:i/>
          <w:iCs/>
          <w:sz w:val="28"/>
          <w:szCs w:val="28"/>
          <w:lang w:val="es-ES_tradnl"/>
        </w:rPr>
        <w:t>(i</w:t>
      </w:r>
      <w:r w:rsidRPr="0029329A">
        <w:rPr>
          <w:rFonts w:ascii="Times New Roman" w:hAnsi="Times New Roman" w:cs="Times New Roman"/>
          <w:i/>
          <w:iCs/>
          <w:sz w:val="28"/>
          <w:szCs w:val="28"/>
          <w:lang w:val="es-ES_tradnl"/>
        </w:rPr>
        <w:t>v) </w:t>
      </w:r>
      <w:r w:rsidRPr="0029329A">
        <w:rPr>
          <w:rFonts w:ascii="Times New Roman" w:hAnsi="Times New Roman" w:cs="Times New Roman"/>
          <w:sz w:val="28"/>
          <w:szCs w:val="28"/>
          <w:lang w:val="es-ES_tradnl"/>
        </w:rPr>
        <w:t xml:space="preserve">comunicar la iniciación del proceso al </w:t>
      </w:r>
      <w:r w:rsidRPr="0029329A">
        <w:rPr>
          <w:rFonts w:ascii="Times New Roman" w:hAnsi="Times New Roman" w:cs="Times New Roman"/>
          <w:bCs/>
          <w:sz w:val="28"/>
          <w:szCs w:val="28"/>
        </w:rPr>
        <w:t>Presidente de la República, al Presidente del Congreso,</w:t>
      </w:r>
      <w:r w:rsidRPr="0029329A">
        <w:rPr>
          <w:rFonts w:ascii="Times New Roman" w:hAnsi="Times New Roman" w:cs="Times New Roman"/>
          <w:sz w:val="28"/>
          <w:szCs w:val="28"/>
          <w:lang w:val="es-ES_tradnl"/>
        </w:rPr>
        <w:t xml:space="preserve"> al </w:t>
      </w:r>
      <w:r w:rsidRPr="0029329A">
        <w:rPr>
          <w:rFonts w:ascii="Times New Roman" w:hAnsi="Times New Roman" w:cs="Times New Roman"/>
          <w:bCs/>
          <w:sz w:val="28"/>
          <w:szCs w:val="28"/>
        </w:rPr>
        <w:t>Ministerio de Hacienda y Crédito Público</w:t>
      </w:r>
      <w:r w:rsidRPr="0029329A">
        <w:rPr>
          <w:rFonts w:ascii="Times New Roman" w:hAnsi="Times New Roman" w:cs="Times New Roman"/>
          <w:bCs/>
          <w:sz w:val="28"/>
          <w:szCs w:val="28"/>
          <w:lang w:eastAsia="en-US"/>
        </w:rPr>
        <w:t xml:space="preserve">, al Ministerio del Interior - Dirección Nacional de Derecho de Autor- y a la Dirección de Impuestos y Aduanas </w:t>
      </w:r>
      <w:r w:rsidRPr="0029329A">
        <w:rPr>
          <w:rFonts w:ascii="Times New Roman" w:hAnsi="Times New Roman" w:cs="Times New Roman"/>
          <w:bCs/>
          <w:sz w:val="28"/>
          <w:szCs w:val="28"/>
          <w:lang w:eastAsia="en-US"/>
        </w:rPr>
        <w:t>Naci</w:t>
      </w:r>
      <w:r w:rsidRPr="0029329A">
        <w:rPr>
          <w:rFonts w:ascii="Times New Roman" w:hAnsi="Times New Roman" w:cs="Times New Roman"/>
          <w:bCs/>
          <w:sz w:val="28"/>
          <w:szCs w:val="28"/>
          <w:lang w:eastAsia="en-US"/>
        </w:rPr>
        <w:t xml:space="preserve">onales – DIAN; </w:t>
      </w:r>
      <w:r w:rsidRPr="0029329A">
        <w:rPr>
          <w:rFonts w:ascii="Times New Roman" w:hAnsi="Times New Roman" w:cs="Times New Roman"/>
          <w:bCs/>
          <w:sz w:val="28"/>
          <w:szCs w:val="28"/>
          <w:lang w:val="es-ES_tradnl" w:eastAsia="en-US"/>
        </w:rPr>
        <w:t>así como </w:t>
      </w:r>
      <w:r w:rsidRPr="0029329A">
        <w:rPr>
          <w:rFonts w:ascii="Times New Roman" w:hAnsi="Times New Roman" w:cs="Times New Roman"/>
          <w:bCs/>
          <w:i/>
          <w:iCs/>
          <w:sz w:val="28"/>
          <w:szCs w:val="28"/>
          <w:lang w:val="es-ES_tradnl" w:eastAsia="en-US"/>
        </w:rPr>
        <w:t>(v)</w:t>
      </w:r>
      <w:r w:rsidRPr="0029329A">
        <w:rPr>
          <w:rFonts w:ascii="Times New Roman" w:hAnsi="Times New Roman" w:cs="Times New Roman"/>
          <w:bCs/>
          <w:sz w:val="28"/>
          <w:szCs w:val="28"/>
          <w:lang w:val="es-ES_tradnl" w:eastAsia="en-US"/>
        </w:rPr>
        <w:t> convocar a varias autoridades, entidades</w:t>
      </w:r>
      <w:r w:rsidRPr="0029329A">
        <w:rPr>
          <w:rFonts w:ascii="Times New Roman" w:hAnsi="Times New Roman" w:cs="Times New Roman"/>
          <w:bCs/>
          <w:sz w:val="28"/>
          <w:szCs w:val="28"/>
          <w:lang w:val="es-ES_tradnl" w:eastAsia="en-US"/>
        </w:rPr>
        <w:t xml:space="preserve"> e</w:t>
      </w:r>
      <w:r w:rsidRPr="0029329A">
        <w:rPr>
          <w:rFonts w:ascii="Times New Roman" w:hAnsi="Times New Roman" w:cs="Times New Roman"/>
          <w:bCs/>
          <w:sz w:val="28"/>
          <w:szCs w:val="28"/>
          <w:lang w:val="es-ES_tradnl" w:eastAsia="en-US"/>
        </w:rPr>
        <w:t xml:space="preserve"> instituciones para intervenir en este proceso.</w:t>
      </w:r>
    </w:p>
    <w:p w:rsidR="00B1413E" w:rsidRPr="0029329A" w:rsidRDefault="0029329A" w:rsidP="00EC2E50">
      <w:pPr>
        <w:spacing w:after="0" w:line="360" w:lineRule="atLeast"/>
        <w:jc w:val="both"/>
        <w:rPr>
          <w:rFonts w:ascii="Times New Roman" w:hAnsi="Times New Roman" w:cs="Times New Roman"/>
          <w:bCs/>
          <w:sz w:val="28"/>
          <w:szCs w:val="28"/>
          <w:lang w:val="es-ES" w:eastAsia="en-US"/>
        </w:rPr>
      </w:pPr>
    </w:p>
    <w:p w:rsidR="00123BF2" w:rsidRPr="0029329A" w:rsidRDefault="0029329A" w:rsidP="00EC2E50">
      <w:pPr>
        <w:spacing w:after="0" w:line="360" w:lineRule="atLeast"/>
        <w:jc w:val="both"/>
        <w:rPr>
          <w:rFonts w:ascii="Times New Roman" w:hAnsi="Times New Roman" w:cs="Times New Roman"/>
          <w:b/>
          <w:bCs/>
          <w:sz w:val="28"/>
          <w:szCs w:val="28"/>
          <w:lang w:val="es-ES" w:eastAsia="en-US"/>
        </w:rPr>
      </w:pPr>
      <w:r w:rsidRPr="0029329A">
        <w:rPr>
          <w:rFonts w:ascii="Times New Roman" w:hAnsi="Times New Roman" w:cs="Times New Roman"/>
          <w:b/>
          <w:bCs/>
          <w:sz w:val="28"/>
          <w:szCs w:val="28"/>
          <w:lang w:eastAsia="en-US"/>
        </w:rPr>
        <w:t xml:space="preserve">II. </w:t>
      </w:r>
      <w:r w:rsidRPr="0029329A">
        <w:rPr>
          <w:rFonts w:ascii="Times New Roman" w:hAnsi="Times New Roman" w:cs="Times New Roman"/>
          <w:b/>
          <w:bCs/>
          <w:sz w:val="28"/>
          <w:szCs w:val="28"/>
          <w:lang w:val="es-ES" w:eastAsia="en-US"/>
        </w:rPr>
        <w:t>TEXTOS LEGALES ACUSADOS</w:t>
      </w:r>
    </w:p>
    <w:p w:rsidR="00B1413E" w:rsidRPr="0029329A" w:rsidRDefault="0029329A" w:rsidP="00EC2E50">
      <w:pPr>
        <w:spacing w:after="0" w:line="360" w:lineRule="atLeast"/>
        <w:jc w:val="both"/>
        <w:rPr>
          <w:rFonts w:ascii="Times New Roman" w:hAnsi="Times New Roman" w:cs="Times New Roman"/>
          <w:bCs/>
          <w:sz w:val="28"/>
          <w:szCs w:val="28"/>
          <w:lang w:eastAsia="en-US"/>
        </w:rPr>
      </w:pPr>
    </w:p>
    <w:p w:rsidR="00123BF2" w:rsidRPr="0029329A" w:rsidRDefault="0029329A" w:rsidP="00EC2E50">
      <w:pPr>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 xml:space="preserve">2. A continuación, se transcriben las disposiciones demandadas: </w:t>
      </w:r>
    </w:p>
    <w:p w:rsidR="00051286" w:rsidRPr="0029329A" w:rsidRDefault="0029329A" w:rsidP="00773A7F">
      <w:pPr>
        <w:spacing w:after="0" w:line="360" w:lineRule="atLeast"/>
        <w:jc w:val="both"/>
        <w:rPr>
          <w:rFonts w:ascii="Times New Roman" w:hAnsi="Times New Roman" w:cs="Times New Roman"/>
          <w:bCs/>
          <w:sz w:val="28"/>
          <w:szCs w:val="28"/>
          <w:lang w:eastAsia="en-US"/>
        </w:rPr>
      </w:pP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r w:rsidRPr="0029329A">
        <w:rPr>
          <w:rFonts w:ascii="Times New Roman" w:hAnsi="Times New Roman" w:cs="Times New Roman"/>
          <w:bCs/>
          <w:sz w:val="28"/>
          <w:szCs w:val="24"/>
          <w:lang w:val="es-MX" w:eastAsia="en-US"/>
        </w:rPr>
        <w:t>“</w:t>
      </w:r>
      <w:r w:rsidRPr="0029329A">
        <w:rPr>
          <w:rFonts w:ascii="Times New Roman" w:hAnsi="Times New Roman" w:cs="Times New Roman"/>
          <w:b/>
          <w:bCs/>
          <w:sz w:val="28"/>
          <w:szCs w:val="24"/>
          <w:lang w:val="es-MX" w:eastAsia="en-US"/>
        </w:rPr>
        <w:t>LEY 2294 DE 2023</w:t>
      </w: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r w:rsidRPr="0029329A">
        <w:rPr>
          <w:rFonts w:ascii="Times New Roman" w:hAnsi="Times New Roman" w:cs="Times New Roman"/>
          <w:bCs/>
          <w:sz w:val="28"/>
          <w:szCs w:val="24"/>
          <w:lang w:val="es-MX" w:eastAsia="en-US"/>
        </w:rPr>
        <w:t>(mayo 19)</w:t>
      </w:r>
    </w:p>
    <w:p w:rsidR="00FC560E" w:rsidRPr="0029329A" w:rsidRDefault="0029329A" w:rsidP="00773A7F">
      <w:pPr>
        <w:widowControl w:val="0"/>
        <w:autoSpaceDE w:val="0"/>
        <w:autoSpaceDN w:val="0"/>
        <w:spacing w:after="0" w:line="360" w:lineRule="atLeast"/>
        <w:ind w:left="567" w:right="567"/>
        <w:jc w:val="center"/>
        <w:rPr>
          <w:rFonts w:ascii="Times New Roman" w:hAnsi="Times New Roman" w:cs="Times New Roman"/>
          <w:bCs/>
          <w:sz w:val="28"/>
          <w:szCs w:val="24"/>
          <w:lang w:val="es-MX" w:eastAsia="en-US"/>
        </w:rPr>
      </w:pPr>
      <w:r w:rsidRPr="0029329A">
        <w:rPr>
          <w:rFonts w:ascii="Times New Roman" w:hAnsi="Times New Roman" w:cs="Times New Roman"/>
          <w:bCs/>
          <w:sz w:val="28"/>
          <w:szCs w:val="24"/>
          <w:lang w:eastAsia="en-US"/>
        </w:rPr>
        <w:t>Diario Oficial</w:t>
      </w:r>
      <w:r w:rsidRPr="0029329A">
        <w:rPr>
          <w:rFonts w:ascii="Times New Roman" w:hAnsi="Times New Roman" w:cs="Times New Roman"/>
          <w:bCs/>
          <w:sz w:val="28"/>
          <w:szCs w:val="24"/>
          <w:lang w:eastAsia="en-US"/>
        </w:rPr>
        <w:t xml:space="preserve"> No. 52.400 de 19 de mayo de 2023</w:t>
      </w: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r w:rsidRPr="0029329A">
        <w:rPr>
          <w:rFonts w:ascii="Times New Roman" w:hAnsi="Times New Roman" w:cs="Times New Roman"/>
          <w:b/>
          <w:bCs/>
          <w:i/>
          <w:iCs/>
          <w:sz w:val="28"/>
          <w:szCs w:val="24"/>
          <w:lang w:eastAsia="en-US"/>
        </w:rPr>
        <w:t xml:space="preserve">Por </w:t>
      </w:r>
      <w:r w:rsidRPr="0029329A">
        <w:rPr>
          <w:rFonts w:ascii="Times New Roman" w:hAnsi="Times New Roman" w:cs="Times New Roman"/>
          <w:b/>
          <w:bCs/>
          <w:i/>
          <w:iCs/>
          <w:sz w:val="28"/>
          <w:szCs w:val="24"/>
          <w:lang w:eastAsia="en-US"/>
        </w:rPr>
        <w:t>l</w:t>
      </w:r>
      <w:r w:rsidRPr="0029329A">
        <w:rPr>
          <w:rFonts w:ascii="Times New Roman" w:hAnsi="Times New Roman" w:cs="Times New Roman"/>
          <w:b/>
          <w:bCs/>
          <w:i/>
          <w:iCs/>
          <w:sz w:val="28"/>
          <w:szCs w:val="24"/>
          <w:lang w:eastAsia="en-US"/>
        </w:rPr>
        <w:t>a</w:t>
      </w:r>
      <w:r w:rsidRPr="0029329A">
        <w:rPr>
          <w:rFonts w:ascii="Times New Roman" w:hAnsi="Times New Roman" w:cs="Times New Roman"/>
          <w:b/>
          <w:bCs/>
          <w:i/>
          <w:iCs/>
          <w:sz w:val="28"/>
          <w:szCs w:val="24"/>
          <w:lang w:eastAsia="en-US"/>
        </w:rPr>
        <w:t xml:space="preserve"> cual se expide el Plan Nacional de Desarrollo 2022-2026 "Colombia Potencia Mundial de la Vida”</w:t>
      </w: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r w:rsidRPr="0029329A">
        <w:rPr>
          <w:rFonts w:ascii="Times New Roman" w:hAnsi="Times New Roman" w:cs="Times New Roman"/>
          <w:b/>
          <w:bCs/>
          <w:sz w:val="28"/>
          <w:szCs w:val="24"/>
          <w:lang w:eastAsia="en-US"/>
        </w:rPr>
        <w:t>EL CONGRESO DE COLOMBIA,</w:t>
      </w: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eastAsia="en-US"/>
        </w:rPr>
      </w:pPr>
      <w:r w:rsidRPr="0029329A">
        <w:rPr>
          <w:rFonts w:ascii="Times New Roman" w:hAnsi="Times New Roman" w:cs="Times New Roman"/>
          <w:b/>
          <w:bCs/>
          <w:sz w:val="28"/>
          <w:szCs w:val="24"/>
          <w:lang w:eastAsia="en-US"/>
        </w:rPr>
        <w:t>DECRETA:</w:t>
      </w:r>
    </w:p>
    <w:p w:rsidR="00051286" w:rsidRPr="0029329A" w:rsidRDefault="0029329A" w:rsidP="00773A7F">
      <w:pPr>
        <w:widowControl w:val="0"/>
        <w:autoSpaceDE w:val="0"/>
        <w:autoSpaceDN w:val="0"/>
        <w:spacing w:after="0" w:line="360" w:lineRule="atLeast"/>
        <w:ind w:left="567" w:right="567"/>
        <w:jc w:val="center"/>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center"/>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w:t>
      </w:r>
    </w:p>
    <w:p w:rsidR="00051286" w:rsidRPr="0029329A" w:rsidRDefault="0029329A" w:rsidP="00773A7F">
      <w:pPr>
        <w:widowControl w:val="0"/>
        <w:tabs>
          <w:tab w:val="left" w:pos="470"/>
        </w:tabs>
        <w:autoSpaceDE w:val="0"/>
        <w:autoSpaceDN w:val="0"/>
        <w:spacing w:after="0" w:line="360" w:lineRule="atLeast"/>
        <w:ind w:left="567" w:right="567"/>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b/>
          <w:bCs/>
          <w:sz w:val="28"/>
          <w:szCs w:val="24"/>
          <w:lang w:eastAsia="en-US"/>
        </w:rPr>
        <w:t>ARTÍCULO</w:t>
      </w:r>
      <w:r w:rsidRPr="0029329A">
        <w:rPr>
          <w:rFonts w:ascii="Times New Roman" w:hAnsi="Times New Roman" w:cs="Times New Roman"/>
          <w:sz w:val="28"/>
          <w:szCs w:val="24"/>
          <w:lang w:eastAsia="en-US"/>
        </w:rPr>
        <w:t> </w:t>
      </w:r>
      <w:r w:rsidRPr="0029329A">
        <w:rPr>
          <w:rFonts w:ascii="Times New Roman" w:hAnsi="Times New Roman" w:cs="Times New Roman"/>
          <w:b/>
          <w:bCs/>
          <w:sz w:val="28"/>
          <w:szCs w:val="24"/>
          <w:lang w:eastAsia="en-US"/>
        </w:rPr>
        <w:t>135. TASA DE PROTECCIÓN Y MANEJO DE BIENES ARQUEOLÓGICOS.</w:t>
      </w:r>
      <w:r w:rsidRPr="0029329A">
        <w:rPr>
          <w:rFonts w:ascii="Times New Roman" w:hAnsi="Times New Roman" w:cs="Times New Roman"/>
          <w:sz w:val="28"/>
          <w:szCs w:val="24"/>
          <w:lang w:eastAsia="en-US"/>
        </w:rPr>
        <w:t> Créese la ta</w:t>
      </w:r>
      <w:r w:rsidRPr="0029329A">
        <w:rPr>
          <w:rFonts w:ascii="Times New Roman" w:hAnsi="Times New Roman" w:cs="Times New Roman"/>
          <w:sz w:val="28"/>
          <w:szCs w:val="24"/>
          <w:lang w:eastAsia="en-US"/>
        </w:rPr>
        <w:t>sa de cobro por los procedimientos asociados a la protección y manejo de bienes arqueológicos.</w:t>
      </w:r>
    </w:p>
    <w:p w:rsidR="00051286" w:rsidRPr="0029329A" w:rsidRDefault="0029329A" w:rsidP="00773A7F">
      <w:pPr>
        <w:widowControl w:val="0"/>
        <w:tabs>
          <w:tab w:val="left" w:pos="470"/>
        </w:tabs>
        <w:autoSpaceDE w:val="0"/>
        <w:autoSpaceDN w:val="0"/>
        <w:spacing w:after="0" w:line="360" w:lineRule="atLeast"/>
        <w:ind w:left="567" w:right="567"/>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El Instituto Colombiano de Antropología e Historia -ICANH-, cobrará esta tasa a aquellas personas que requieran de los servicios que actualmente presta, relacio</w:t>
      </w:r>
      <w:r w:rsidRPr="0029329A">
        <w:rPr>
          <w:rFonts w:ascii="Times New Roman" w:hAnsi="Times New Roman" w:cs="Times New Roman"/>
          <w:sz w:val="28"/>
          <w:szCs w:val="24"/>
          <w:lang w:eastAsia="en-US"/>
        </w:rPr>
        <w:t>nados con el Programa de Arqueología Preventiva - PAP, y las respectivas gestiones para el posterior otorgamiento de las Autorizaciones de Intervención Arqueológica, así como en los demás proyectos, obras o actividades que requieran licencia ambiental, reg</w:t>
      </w:r>
      <w:r w:rsidRPr="0029329A">
        <w:rPr>
          <w:rFonts w:ascii="Times New Roman" w:hAnsi="Times New Roman" w:cs="Times New Roman"/>
          <w:sz w:val="28"/>
          <w:szCs w:val="24"/>
          <w:lang w:eastAsia="en-US"/>
        </w:rPr>
        <w:t>istros o autorizaciones equivalentes ante las autoridades competentes.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El sujeto activo de la tasa creada por la presente ley será el ICANH, los hechos generadores de la tasa que se crea en la presente ley son los siguientes: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xml:space="preserve">a) La evaluación, conceptos </w:t>
      </w:r>
      <w:r w:rsidRPr="0029329A">
        <w:rPr>
          <w:rFonts w:ascii="Times New Roman" w:hAnsi="Times New Roman" w:cs="Times New Roman"/>
          <w:sz w:val="28"/>
          <w:szCs w:val="24"/>
          <w:lang w:eastAsia="en-US"/>
        </w:rPr>
        <w:t>emitidos y demás actividades en relación con la expedición de autorizaciones o registros.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b) Desarrollo de trámites y servicios asociados a cada una de las fases del Programa de Arqueología Preventiva - PAP: 1) Diagnóstico, 2) Prospección y formulación de</w:t>
      </w:r>
      <w:r w:rsidRPr="0029329A">
        <w:rPr>
          <w:rFonts w:ascii="Times New Roman" w:hAnsi="Times New Roman" w:cs="Times New Roman"/>
          <w:sz w:val="28"/>
          <w:szCs w:val="24"/>
          <w:lang w:eastAsia="en-US"/>
        </w:rPr>
        <w:t>l Plan de Manejo Arqueológico, 3) Ejecución del Plan de Manejo Arqueológico, 4) Definición de la tenencia de bienes arqueológicos y divulgación de los resultados y 5) Arqueología Pública.</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u w:val="single"/>
          <w:lang w:eastAsia="en-US"/>
        </w:rPr>
        <w:t>La base para la liquidación de la tasa será el costo de los servici</w:t>
      </w:r>
      <w:r w:rsidRPr="0029329A">
        <w:rPr>
          <w:rFonts w:ascii="Times New Roman" w:hAnsi="Times New Roman" w:cs="Times New Roman"/>
          <w:sz w:val="28"/>
          <w:szCs w:val="24"/>
          <w:u w:val="single"/>
          <w:lang w:eastAsia="en-US"/>
        </w:rPr>
        <w:t>os correspondientes a cada uno de los hechos generadores establecidos en este artículo, conforme la metodología de cálculo que establezca el Gobierno nacional</w:t>
      </w:r>
      <w:r w:rsidRPr="0029329A">
        <w:rPr>
          <w:rFonts w:ascii="Times New Roman" w:hAnsi="Times New Roman" w:cs="Times New Roman"/>
          <w:sz w:val="28"/>
          <w:szCs w:val="24"/>
          <w:lang w:eastAsia="en-US"/>
        </w:rPr>
        <w:t xml:space="preserve">. El ICANH fijará y actualizará anualmente las tarifas de los servicios que preste, por cada uno </w:t>
      </w:r>
      <w:r w:rsidRPr="0029329A">
        <w:rPr>
          <w:rFonts w:ascii="Times New Roman" w:hAnsi="Times New Roman" w:cs="Times New Roman"/>
          <w:sz w:val="28"/>
          <w:szCs w:val="24"/>
          <w:lang w:eastAsia="en-US"/>
        </w:rPr>
        <w:t>de los hechos generadores de la tasa. Las tarifas se fijarán en salarios mínimos legales diarios vigentes y se cobrarán como recuperación de los costos de los servicios prestados por el ICANH, para lo cual se utilizarán el siguiente Método y Sistema, tenie</w:t>
      </w:r>
      <w:r w:rsidRPr="0029329A">
        <w:rPr>
          <w:rFonts w:ascii="Times New Roman" w:hAnsi="Times New Roman" w:cs="Times New Roman"/>
          <w:sz w:val="28"/>
          <w:szCs w:val="24"/>
          <w:lang w:eastAsia="en-US"/>
        </w:rPr>
        <w:t>ndo en cuenta los costos administrativos, financieros, directos e indirectos, de la operación:</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A) Método: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a) Revisión y racionalización, en cada vigencia, de los trámites y servicios, con el fin de optimizar los costos de estos;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b) Valoración de los cos</w:t>
      </w:r>
      <w:r w:rsidRPr="0029329A">
        <w:rPr>
          <w:rFonts w:ascii="Times New Roman" w:hAnsi="Times New Roman" w:cs="Times New Roman"/>
          <w:sz w:val="28"/>
          <w:szCs w:val="24"/>
          <w:lang w:eastAsia="en-US"/>
        </w:rPr>
        <w:t>tos de inversión generados en el desarrollo de trámites y servicios asociados a cada una de las fases del Programa de Arqueología Preventiva – PAP, señalados en el presente artículo;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c) Valoración del recurso humano utilizado directamente en la prestación</w:t>
      </w:r>
      <w:r w:rsidRPr="0029329A">
        <w:rPr>
          <w:rFonts w:ascii="Times New Roman" w:hAnsi="Times New Roman" w:cs="Times New Roman"/>
          <w:sz w:val="28"/>
          <w:szCs w:val="24"/>
          <w:lang w:eastAsia="en-US"/>
        </w:rPr>
        <w:t xml:space="preserve"> del servicio, tomando como base los salarios y prestaciones de la planta de personal del ICANH, así como el valor de los contratos que se celebren en cada una de las fases del Programa de Arqueología Preventiva, señalados en el presente artículo;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d) Prop</w:t>
      </w:r>
      <w:r w:rsidRPr="0029329A">
        <w:rPr>
          <w:rFonts w:ascii="Times New Roman" w:hAnsi="Times New Roman" w:cs="Times New Roman"/>
          <w:sz w:val="28"/>
          <w:szCs w:val="24"/>
          <w:lang w:eastAsia="en-US"/>
        </w:rPr>
        <w:t>orcional de otros gastos transversales de tecnología, licencias, puestos de trabajo, entre otros, en los que la Entidad incurre para el sostenimiento de estos equipos.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B) Sistema de costos: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El sistema para definir las tarifas es un sistema de costos es</w:t>
      </w:r>
      <w:r w:rsidRPr="0029329A">
        <w:rPr>
          <w:rFonts w:ascii="Times New Roman" w:hAnsi="Times New Roman" w:cs="Times New Roman"/>
          <w:sz w:val="28"/>
          <w:szCs w:val="24"/>
          <w:lang w:eastAsia="en-US"/>
        </w:rPr>
        <w:t>tandarizables, en el que la valoración y ponderación de los factores que intervienen en su definición se realizará por medio de los procedimientos de costeo técnicamente aceptados. La tarifa para cada uno de los servicios prestados por el ICANH, será el re</w:t>
      </w:r>
      <w:r w:rsidRPr="0029329A">
        <w:rPr>
          <w:rFonts w:ascii="Times New Roman" w:hAnsi="Times New Roman" w:cs="Times New Roman"/>
          <w:sz w:val="28"/>
          <w:szCs w:val="24"/>
          <w:lang w:eastAsia="en-US"/>
        </w:rPr>
        <w:t>sultado de sumar el valor de los insumos y de los recursos humanos utilizados, de conformidad con los literales b), c) y d) de este artículo, dividido en la cantidad de trámites o servicios efectuados en la vigencia inmediatamente anterior.</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b/>
          <w:bCs/>
          <w:sz w:val="28"/>
          <w:szCs w:val="24"/>
          <w:lang w:eastAsia="en-US"/>
        </w:rPr>
        <w:t>PARÁGRAFO</w:t>
      </w:r>
      <w:r w:rsidRPr="0029329A">
        <w:rPr>
          <w:rFonts w:ascii="Times New Roman" w:hAnsi="Times New Roman" w:cs="Times New Roman"/>
          <w:sz w:val="28"/>
          <w:szCs w:val="24"/>
          <w:lang w:eastAsia="en-US"/>
        </w:rPr>
        <w:t> </w:t>
      </w:r>
      <w:r w:rsidRPr="0029329A">
        <w:rPr>
          <w:rFonts w:ascii="Times New Roman" w:hAnsi="Times New Roman" w:cs="Times New Roman"/>
          <w:b/>
          <w:bCs/>
          <w:sz w:val="28"/>
          <w:szCs w:val="24"/>
          <w:lang w:eastAsia="en-US"/>
        </w:rPr>
        <w:t>1.</w:t>
      </w:r>
      <w:r w:rsidRPr="0029329A">
        <w:rPr>
          <w:rFonts w:ascii="Times New Roman" w:hAnsi="Times New Roman" w:cs="Times New Roman"/>
          <w:sz w:val="28"/>
          <w:szCs w:val="24"/>
          <w:lang w:eastAsia="en-US"/>
        </w:rPr>
        <w:t> </w:t>
      </w:r>
      <w:r w:rsidRPr="0029329A">
        <w:rPr>
          <w:rFonts w:ascii="Times New Roman" w:hAnsi="Times New Roman" w:cs="Times New Roman"/>
          <w:sz w:val="28"/>
          <w:szCs w:val="24"/>
          <w:lang w:eastAsia="en-US"/>
        </w:rPr>
        <w:t>El Gobierno nacional podrá revisar periódicamente los criterios para la determinación de las tarifas considerando mejoras en eficiencia que puedan resultar en menores costos en la prestación de los servicios a cargo del ICANH, así como utilizar ponderacion</w:t>
      </w:r>
      <w:r w:rsidRPr="0029329A">
        <w:rPr>
          <w:rFonts w:ascii="Times New Roman" w:hAnsi="Times New Roman" w:cs="Times New Roman"/>
          <w:sz w:val="28"/>
          <w:szCs w:val="24"/>
          <w:lang w:eastAsia="en-US"/>
        </w:rPr>
        <w:t>es regionales para la fijación de las tarifas.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sz w:val="28"/>
          <w:szCs w:val="24"/>
          <w:lang w:eastAsia="en-US"/>
        </w:rPr>
        <w:t> </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eastAsia="en-US"/>
        </w:rPr>
      </w:pPr>
      <w:r w:rsidRPr="0029329A">
        <w:rPr>
          <w:rFonts w:ascii="Times New Roman" w:hAnsi="Times New Roman" w:cs="Times New Roman"/>
          <w:b/>
          <w:bCs/>
          <w:sz w:val="28"/>
          <w:szCs w:val="24"/>
          <w:lang w:eastAsia="en-US"/>
        </w:rPr>
        <w:t>PARÁGRAFO</w:t>
      </w:r>
      <w:r w:rsidRPr="0029329A">
        <w:rPr>
          <w:rFonts w:ascii="Times New Roman" w:hAnsi="Times New Roman" w:cs="Times New Roman"/>
          <w:sz w:val="28"/>
          <w:szCs w:val="24"/>
          <w:lang w:eastAsia="en-US"/>
        </w:rPr>
        <w:t> </w:t>
      </w:r>
      <w:r w:rsidRPr="0029329A">
        <w:rPr>
          <w:rFonts w:ascii="Times New Roman" w:hAnsi="Times New Roman" w:cs="Times New Roman"/>
          <w:b/>
          <w:bCs/>
          <w:sz w:val="28"/>
          <w:szCs w:val="24"/>
          <w:lang w:eastAsia="en-US"/>
        </w:rPr>
        <w:t>2.</w:t>
      </w:r>
      <w:r w:rsidRPr="0029329A">
        <w:rPr>
          <w:rFonts w:ascii="Times New Roman" w:hAnsi="Times New Roman" w:cs="Times New Roman"/>
          <w:sz w:val="28"/>
          <w:szCs w:val="24"/>
          <w:lang w:eastAsia="en-US"/>
        </w:rPr>
        <w:t xml:space="preserve"> Los pequeños mineros en cualquier modalidad de formalización de sus títulos y aquellos que se encuentren realizando el trámite de licencias ambientales temporales o globales estarán exentos del </w:t>
      </w:r>
      <w:r w:rsidRPr="0029329A">
        <w:rPr>
          <w:rFonts w:ascii="Times New Roman" w:hAnsi="Times New Roman" w:cs="Times New Roman"/>
          <w:sz w:val="28"/>
          <w:szCs w:val="24"/>
          <w:lang w:eastAsia="en-US"/>
        </w:rPr>
        <w:t>pago de la presente tasa.</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 xml:space="preserve">(…) </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b/>
          <w:sz w:val="28"/>
          <w:szCs w:val="24"/>
          <w:lang w:val="es-ES" w:eastAsia="en-US"/>
        </w:rPr>
        <w:t>ARTÍCULO 169. Modifíquese el artículo 206 de la Ley 23 de 1982, el cual quedará así</w:t>
      </w:r>
      <w:r w:rsidRPr="0029329A">
        <w:rPr>
          <w:rFonts w:ascii="Times New Roman" w:hAnsi="Times New Roman" w:cs="Times New Roman"/>
          <w:sz w:val="28"/>
          <w:szCs w:val="24"/>
          <w:lang w:val="es-ES" w:eastAsia="en-US"/>
        </w:rPr>
        <w:t>:</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b/>
          <w:sz w:val="28"/>
          <w:szCs w:val="24"/>
          <w:lang w:val="es-ES" w:eastAsia="en-US"/>
        </w:rPr>
        <w:t>Artículo 206</w:t>
      </w:r>
      <w:r w:rsidRPr="0029329A">
        <w:rPr>
          <w:rFonts w:ascii="Times New Roman" w:hAnsi="Times New Roman" w:cs="Times New Roman"/>
          <w:sz w:val="28"/>
          <w:szCs w:val="24"/>
          <w:lang w:val="es-ES" w:eastAsia="en-US"/>
        </w:rPr>
        <w:t>. Créase la tasa para la recuperación de los costos de los servicios prestados por la Dirección Nacional de Derecho de Autor,</w:t>
      </w:r>
      <w:r w:rsidRPr="0029329A">
        <w:rPr>
          <w:rFonts w:ascii="Times New Roman" w:hAnsi="Times New Roman" w:cs="Times New Roman"/>
          <w:sz w:val="28"/>
          <w:szCs w:val="24"/>
          <w:lang w:val="es-ES" w:eastAsia="en-US"/>
        </w:rPr>
        <w:t xml:space="preserve"> con criterios de progresividad y equidad, en ejercicio de su función misional, para proteger a los titulares del derecho de autor y derechos conexos y garantizar la creatividad productiva que permita contribuir al desarrollo de las industrias culturales y</w:t>
      </w:r>
      <w:r w:rsidRPr="0029329A">
        <w:rPr>
          <w:rFonts w:ascii="Times New Roman" w:hAnsi="Times New Roman" w:cs="Times New Roman"/>
          <w:sz w:val="28"/>
          <w:szCs w:val="24"/>
          <w:lang w:val="es-ES" w:eastAsia="en-US"/>
        </w:rPr>
        <w:t xml:space="preserve"> la riqueza del país.</w:t>
      </w:r>
    </w:p>
    <w:p w:rsidR="003F443F" w:rsidRPr="0029329A" w:rsidRDefault="0029329A" w:rsidP="00773A7F">
      <w:pPr>
        <w:widowControl w:val="0"/>
        <w:tabs>
          <w:tab w:val="left" w:pos="470"/>
        </w:tabs>
        <w:autoSpaceDE w:val="0"/>
        <w:autoSpaceDN w:val="0"/>
        <w:spacing w:after="0" w:line="360" w:lineRule="atLeast"/>
        <w:ind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El sujeto activo de la tasa creada por la presente ley será la Dirección Nacional de Derecho de Autor. Tendrán la condición de sujeto pasivo de la tasa, las personas naturales o jurídicas que soliciten cualquiera de los servicios pre</w:t>
      </w:r>
      <w:r w:rsidRPr="0029329A">
        <w:rPr>
          <w:rFonts w:ascii="Times New Roman" w:hAnsi="Times New Roman" w:cs="Times New Roman"/>
          <w:sz w:val="28"/>
          <w:szCs w:val="24"/>
          <w:lang w:val="es-ES" w:eastAsia="en-US"/>
        </w:rPr>
        <w:t>stados por la Dirección Nacional de Derecho de Autor, con excepción de los trámites de conciliación y los trámites relacionados con asuntos jurisdiccionales.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Son hechos generadores de la tasa que se crea en la presente ley, los siguientes: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2B404E">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 xml:space="preserve">1. Expedición </w:t>
      </w:r>
      <w:r w:rsidRPr="0029329A">
        <w:rPr>
          <w:rFonts w:ascii="Times New Roman" w:hAnsi="Times New Roman" w:cs="Times New Roman"/>
          <w:sz w:val="28"/>
          <w:szCs w:val="24"/>
          <w:lang w:val="es-ES" w:eastAsia="en-US"/>
        </w:rPr>
        <w:t>de registros, certificados, inscripciones, modificaciones y cancelaciones de registros.</w:t>
      </w:r>
    </w:p>
    <w:p w:rsidR="00051286" w:rsidRPr="0029329A" w:rsidRDefault="0029329A" w:rsidP="002B404E">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2. Expedición de paz y salvos.</w:t>
      </w:r>
    </w:p>
    <w:p w:rsidR="00051286" w:rsidRPr="0029329A" w:rsidRDefault="0029329A" w:rsidP="002B404E">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3. Inscripción de dignatarios y control de legalidad de reformas estatutarias y de presupuesto.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 xml:space="preserve">4. Otorgamiento de personería jurídica y </w:t>
      </w:r>
      <w:r w:rsidRPr="0029329A">
        <w:rPr>
          <w:rFonts w:ascii="Times New Roman" w:hAnsi="Times New Roman" w:cs="Times New Roman"/>
          <w:sz w:val="28"/>
          <w:szCs w:val="24"/>
          <w:lang w:val="es-ES" w:eastAsia="en-US"/>
        </w:rPr>
        <w:t>autorización de funcionamiento.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La base para la liquidación de la tasa será el costo de los servicios correspondientes a cada uno de los hechos generadores establecidos en el presente artículo, conforme la metodología de cálculo que establezca el Gobierno</w:t>
      </w:r>
      <w:r w:rsidRPr="0029329A">
        <w:rPr>
          <w:rFonts w:ascii="Times New Roman" w:hAnsi="Times New Roman" w:cs="Times New Roman"/>
          <w:sz w:val="28"/>
          <w:szCs w:val="24"/>
          <w:lang w:val="es-ES" w:eastAsia="en-US"/>
        </w:rPr>
        <w:t xml:space="preserve"> nacional a través del Ministerio del Interior.</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Parágrafo 1. La Dirección Nacional de Derecho de Autor fijará y actualizará anualmente las tarifas de los servicios que preste, por cada uno de los hechos generadores de la tasa. Las tarifas se fijarán en un</w:t>
      </w:r>
      <w:r w:rsidRPr="0029329A">
        <w:rPr>
          <w:rFonts w:ascii="Times New Roman" w:hAnsi="Times New Roman" w:cs="Times New Roman"/>
          <w:sz w:val="28"/>
          <w:szCs w:val="24"/>
          <w:lang w:val="es-ES" w:eastAsia="en-US"/>
        </w:rPr>
        <w:t>idades de valor tributario (UVT) vigentes y se cobrarán como recuperación de los costos de los servicios prestados por la entidad, para lo cual se utilizará el siguiente método y sistema, teniendo en cuenta los costos administrativos, financieros, directos</w:t>
      </w:r>
      <w:r w:rsidRPr="0029329A">
        <w:rPr>
          <w:rFonts w:ascii="Times New Roman" w:hAnsi="Times New Roman" w:cs="Times New Roman"/>
          <w:sz w:val="28"/>
          <w:szCs w:val="24"/>
          <w:lang w:val="es-ES" w:eastAsia="en-US"/>
        </w:rPr>
        <w:t xml:space="preserve"> e indirectos y de operación:</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1) Método: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a) Elaboración y normalización de flujogramas para los diferentes procesos con el propósito de determinar sus rutinas;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 xml:space="preserve">b) Cuantificación de los materiales, suministros y los demás insumos tecnológicos y de </w:t>
      </w:r>
      <w:r w:rsidRPr="0029329A">
        <w:rPr>
          <w:rFonts w:ascii="Times New Roman" w:hAnsi="Times New Roman" w:cs="Times New Roman"/>
          <w:sz w:val="28"/>
          <w:szCs w:val="24"/>
          <w:lang w:val="es-ES" w:eastAsia="en-US"/>
        </w:rPr>
        <w:t>recurso humano utilizados anualmente, en cada uno de los procesos y procedimientos definidos en el literal anterior. Estos insumos deben incluir unos porcentajes de los gastos de administración general de la Dirección Nacional de Derecho de Autor cuantific</w:t>
      </w:r>
      <w:r w:rsidRPr="0029329A">
        <w:rPr>
          <w:rFonts w:ascii="Times New Roman" w:hAnsi="Times New Roman" w:cs="Times New Roman"/>
          <w:sz w:val="28"/>
          <w:szCs w:val="24"/>
          <w:lang w:val="es-ES" w:eastAsia="en-US"/>
        </w:rPr>
        <w:t>ados siguiendo las normas y principios aceptados de contabilidad de costos;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c) Valoración a precios de mercado de los insumos descritos en el literal anterior para</w:t>
      </w:r>
      <w:r w:rsidRPr="0029329A">
        <w:rPr>
          <w:rFonts w:ascii="Times New Roman" w:hAnsi="Times New Roman" w:cs="Times New Roman"/>
          <w:sz w:val="28"/>
          <w:szCs w:val="24"/>
          <w:lang w:val="es-ES" w:eastAsia="en-US"/>
        </w:rPr>
        <w:t xml:space="preserve"> cada uno de los procesos y procedimientos, incluido lo relacionado con almacenamiento y cus</w:t>
      </w:r>
      <w:r w:rsidRPr="0029329A">
        <w:rPr>
          <w:rFonts w:ascii="Times New Roman" w:hAnsi="Times New Roman" w:cs="Times New Roman"/>
          <w:sz w:val="28"/>
          <w:szCs w:val="24"/>
          <w:lang w:val="es-ES" w:eastAsia="en-US"/>
        </w:rPr>
        <w:t>todia del documento físico y digital;</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d) Valoración del recurso humano utilizado directamente en la prestación del servicio, tomando como base los salarios y prestaciones de la planta de personal de la Dirección Nacional de Derecho de Autor, así como el v</w:t>
      </w:r>
      <w:r w:rsidRPr="0029329A">
        <w:rPr>
          <w:rFonts w:ascii="Times New Roman" w:hAnsi="Times New Roman" w:cs="Times New Roman"/>
          <w:sz w:val="28"/>
          <w:szCs w:val="24"/>
          <w:lang w:val="es-ES" w:eastAsia="en-US"/>
        </w:rPr>
        <w:t>alor de los contratos que se celebren para el efecto;</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e) Cuantificación de los costos en función de los equipos, técnicas y tecnologías disponibles para la operación de los servicios;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f) Estimación de las frecuencias de utilización de los servicios. La f</w:t>
      </w:r>
      <w:r w:rsidRPr="0029329A">
        <w:rPr>
          <w:rFonts w:ascii="Times New Roman" w:hAnsi="Times New Roman" w:cs="Times New Roman"/>
          <w:sz w:val="28"/>
          <w:szCs w:val="24"/>
          <w:lang w:val="es-ES" w:eastAsia="en-US"/>
        </w:rPr>
        <w:t>recuencia se entiende como el número de operaciones o ejecuciones de cada uno de los servicios prestados por la Dirección Nacional de Derecho de Autor.</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2) Sistema de costos: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 xml:space="preserve">El sistema para definir las tarifas es un sistema de costos estandarizables, en </w:t>
      </w:r>
      <w:r w:rsidRPr="0029329A">
        <w:rPr>
          <w:rFonts w:ascii="Times New Roman" w:hAnsi="Times New Roman" w:cs="Times New Roman"/>
          <w:sz w:val="28"/>
          <w:szCs w:val="24"/>
          <w:lang w:val="es-ES" w:eastAsia="en-US"/>
        </w:rPr>
        <w:t>el que la valoración y ponderación de los factores que intervienen en su definición se realizará por medio de los procedimientos de costeo técnicamente aceptados.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La tarifa para cada uno de los servicios prestados por la Dirección Nacional de Derecho de A</w:t>
      </w:r>
      <w:r w:rsidRPr="0029329A">
        <w:rPr>
          <w:rFonts w:ascii="Times New Roman" w:hAnsi="Times New Roman" w:cs="Times New Roman"/>
          <w:sz w:val="28"/>
          <w:szCs w:val="24"/>
          <w:lang w:val="es-ES" w:eastAsia="en-US"/>
        </w:rPr>
        <w:t xml:space="preserve">utor, será el resultado de sumar el valor de los insumos y de los recursos humanos utilizados, de conformidad con los literales c), d) y e) del presente parágrafo, divididos cada uno por la frecuencia de utilización de que trata el literal f) del presente </w:t>
      </w:r>
      <w:r w:rsidRPr="0029329A">
        <w:rPr>
          <w:rFonts w:ascii="Times New Roman" w:hAnsi="Times New Roman" w:cs="Times New Roman"/>
          <w:sz w:val="28"/>
          <w:szCs w:val="24"/>
          <w:lang w:val="es-ES" w:eastAsia="en-US"/>
        </w:rPr>
        <w:t>artículo. El valor máximo de la tasa a cobrar por los hechos generadores 1 y 2 del presente artículo será de dos (2) unidades de valor tributario -UVT- vigente. El valor máximo de la tasa a cobrar por los hechos generadores 3 y 4 del presente artículo será</w:t>
      </w:r>
      <w:r w:rsidRPr="0029329A">
        <w:rPr>
          <w:rFonts w:ascii="Times New Roman" w:hAnsi="Times New Roman" w:cs="Times New Roman"/>
          <w:sz w:val="28"/>
          <w:szCs w:val="24"/>
          <w:lang w:val="es-ES" w:eastAsia="en-US"/>
        </w:rPr>
        <w:t xml:space="preserve"> de diez (10) unidades de valor tributario -UVT- vigente.</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Parágrafo 2. El Gobierno nacional podrá revisar periódicamente los criterios para la determinación de las tarifas considerando mejoras en eficiencia que puedan resultar en menores costos en la pres</w:t>
      </w:r>
      <w:r w:rsidRPr="0029329A">
        <w:rPr>
          <w:rFonts w:ascii="Times New Roman" w:hAnsi="Times New Roman" w:cs="Times New Roman"/>
          <w:sz w:val="28"/>
          <w:szCs w:val="24"/>
          <w:lang w:val="es-ES" w:eastAsia="en-US"/>
        </w:rPr>
        <w:t>tación de los servicios a cargo de la Dirección Nacional de Derecho de Autor.</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Parágrafo 3. El sujeto pasivo o usuario deberá acreditar el pago de la tarifa correspondiente al momento de solicitar el servicio a la Dirección Nacional de Derecho de Autor. El</w:t>
      </w:r>
      <w:r w:rsidRPr="0029329A">
        <w:rPr>
          <w:rFonts w:ascii="Times New Roman" w:hAnsi="Times New Roman" w:cs="Times New Roman"/>
          <w:sz w:val="28"/>
          <w:szCs w:val="24"/>
          <w:lang w:val="es-ES" w:eastAsia="en-US"/>
        </w:rPr>
        <w:t xml:space="preserve"> recaudo de la tasa de que trata la presente ley estará a cargo de la Dirección Nacional de Derecho de Autor y tendrá una destinación específica encaminada a proteger a los titulares del derecho de autor y de los derechos conexos y garantizar la creativida</w:t>
      </w:r>
      <w:r w:rsidRPr="0029329A">
        <w:rPr>
          <w:rFonts w:ascii="Times New Roman" w:hAnsi="Times New Roman" w:cs="Times New Roman"/>
          <w:sz w:val="28"/>
          <w:szCs w:val="24"/>
          <w:lang w:val="es-ES" w:eastAsia="en-US"/>
        </w:rPr>
        <w:t>d productiva que permita contribuir al desarrollo de las industrias culturales y la riqueza del país.</w:t>
      </w: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p>
    <w:p w:rsidR="00051286"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sz w:val="28"/>
          <w:szCs w:val="24"/>
          <w:lang w:val="es-ES" w:eastAsia="en-US"/>
        </w:rPr>
      </w:pPr>
      <w:r w:rsidRPr="0029329A">
        <w:rPr>
          <w:rFonts w:ascii="Times New Roman" w:hAnsi="Times New Roman" w:cs="Times New Roman"/>
          <w:sz w:val="28"/>
          <w:szCs w:val="24"/>
          <w:lang w:val="es-ES" w:eastAsia="en-US"/>
        </w:rPr>
        <w:t>Parágrafo 4. Los recursos serán incorporados en el presupuesto de la Dirección Nacional de Derecho de Autor, de conformidad con lo previsto en la Ley Org</w:t>
      </w:r>
      <w:r w:rsidRPr="0029329A">
        <w:rPr>
          <w:rFonts w:ascii="Times New Roman" w:hAnsi="Times New Roman" w:cs="Times New Roman"/>
          <w:sz w:val="28"/>
          <w:szCs w:val="24"/>
          <w:lang w:val="es-ES" w:eastAsia="en-US"/>
        </w:rPr>
        <w:t>ánica de Presupuesto y se destinarán a financiar los objetivos y programas, para el cumplimiento de las políticas gubernamentales en materia de derecho de autor y derechos conexos</w:t>
      </w:r>
      <w:r w:rsidRPr="0029329A">
        <w:rPr>
          <w:rFonts w:ascii="Times New Roman" w:hAnsi="Times New Roman" w:cs="Times New Roman"/>
          <w:sz w:val="28"/>
          <w:szCs w:val="24"/>
          <w:lang w:val="es-ES" w:eastAsia="en-US"/>
        </w:rPr>
        <w:t>”</w:t>
      </w:r>
      <w:r w:rsidRPr="0029329A">
        <w:rPr>
          <w:rFonts w:ascii="Times New Roman" w:hAnsi="Times New Roman" w:cs="Times New Roman"/>
          <w:sz w:val="28"/>
          <w:szCs w:val="24"/>
          <w:lang w:val="es-ES" w:eastAsia="en-US"/>
        </w:rPr>
        <w:t>.</w:t>
      </w:r>
    </w:p>
    <w:p w:rsidR="00B1413E" w:rsidRPr="0029329A" w:rsidRDefault="0029329A" w:rsidP="00773A7F">
      <w:pPr>
        <w:spacing w:after="0" w:line="360" w:lineRule="atLeast"/>
        <w:jc w:val="both"/>
        <w:rPr>
          <w:rFonts w:ascii="Times New Roman" w:hAnsi="Times New Roman" w:cs="Times New Roman"/>
          <w:bCs/>
          <w:sz w:val="28"/>
          <w:szCs w:val="28"/>
          <w:lang w:eastAsia="en-US"/>
        </w:rPr>
      </w:pPr>
    </w:p>
    <w:p w:rsidR="001E2BB5" w:rsidRPr="0029329A" w:rsidRDefault="0029329A" w:rsidP="00773A7F">
      <w:pPr>
        <w:tabs>
          <w:tab w:val="left" w:pos="8647"/>
        </w:tabs>
        <w:spacing w:after="0" w:line="360" w:lineRule="atLeast"/>
        <w:ind w:right="49"/>
        <w:jc w:val="both"/>
        <w:rPr>
          <w:rFonts w:ascii="Times New Roman" w:hAnsi="Times New Roman" w:cs="Times New Roman"/>
          <w:b/>
          <w:sz w:val="28"/>
          <w:szCs w:val="28"/>
          <w:lang w:val="es-ES"/>
        </w:rPr>
      </w:pPr>
      <w:r w:rsidRPr="0029329A">
        <w:rPr>
          <w:rFonts w:ascii="Times New Roman" w:hAnsi="Times New Roman" w:cs="Times New Roman"/>
          <w:b/>
          <w:sz w:val="28"/>
          <w:szCs w:val="28"/>
          <w:lang w:val="es-ES"/>
        </w:rPr>
        <w:t xml:space="preserve">III.  LA DEMANDA DE INCONSTITUCIONALIDAD </w:t>
      </w:r>
    </w:p>
    <w:p w:rsidR="001E2BB5"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p>
    <w:p w:rsidR="001E2BB5"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r w:rsidRPr="0029329A">
        <w:rPr>
          <w:rFonts w:ascii="Times New Roman" w:hAnsi="Times New Roman" w:cs="Times New Roman"/>
          <w:sz w:val="28"/>
          <w:szCs w:val="28"/>
          <w:lang w:val="es-ES"/>
        </w:rPr>
        <w:t>3.</w:t>
      </w:r>
      <w:r w:rsidRPr="0029329A">
        <w:rPr>
          <w:rFonts w:ascii="Times New Roman" w:hAnsi="Times New Roman" w:cs="Times New Roman"/>
          <w:b/>
          <w:sz w:val="28"/>
          <w:szCs w:val="28"/>
          <w:lang w:val="es-ES"/>
        </w:rPr>
        <w:t xml:space="preserve"> </w:t>
      </w:r>
      <w:r w:rsidRPr="0029329A">
        <w:rPr>
          <w:rFonts w:ascii="Times New Roman" w:hAnsi="Times New Roman" w:cs="Times New Roman"/>
          <w:sz w:val="28"/>
          <w:szCs w:val="28"/>
          <w:lang w:val="es-ES"/>
        </w:rPr>
        <w:t xml:space="preserve">Los accionantes plantearon dos cargos de inconstitucionalidad: </w:t>
      </w:r>
    </w:p>
    <w:p w:rsidR="001E2BB5"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p w:rsidR="001E2BB5"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bCs/>
          <w:sz w:val="28"/>
          <w:szCs w:val="28"/>
          <w:lang w:val="es-ES"/>
        </w:rPr>
      </w:pPr>
      <w:r w:rsidRPr="0029329A">
        <w:rPr>
          <w:rFonts w:ascii="Times New Roman" w:hAnsi="Times New Roman" w:cs="Times New Roman"/>
          <w:b/>
          <w:bCs/>
          <w:sz w:val="28"/>
          <w:szCs w:val="28"/>
          <w:lang w:val="es-ES"/>
        </w:rPr>
        <w:t xml:space="preserve">Violación </w:t>
      </w:r>
      <w:r w:rsidRPr="0029329A">
        <w:rPr>
          <w:rFonts w:ascii="Times New Roman" w:hAnsi="Times New Roman" w:cs="Times New Roman"/>
          <w:b/>
          <w:bCs/>
          <w:sz w:val="28"/>
          <w:szCs w:val="28"/>
          <w:lang w:val="es-ES"/>
        </w:rPr>
        <w:t>del p</w:t>
      </w:r>
      <w:r w:rsidRPr="0029329A">
        <w:rPr>
          <w:rFonts w:ascii="Times New Roman" w:hAnsi="Times New Roman" w:cs="Times New Roman"/>
          <w:b/>
          <w:bCs/>
          <w:sz w:val="28"/>
          <w:szCs w:val="28"/>
          <w:lang w:val="es-ES"/>
        </w:rPr>
        <w:t>rincipio</w:t>
      </w:r>
      <w:r w:rsidRPr="0029329A">
        <w:rPr>
          <w:rFonts w:ascii="Times New Roman" w:hAnsi="Times New Roman" w:cs="Times New Roman"/>
          <w:b/>
          <w:bCs/>
          <w:sz w:val="28"/>
          <w:szCs w:val="28"/>
          <w:lang w:val="es-ES"/>
        </w:rPr>
        <w:t xml:space="preserve"> de unidad de materia (art. 158 C. Pol.)</w:t>
      </w: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71142C"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 xml:space="preserve">4. </w:t>
      </w:r>
      <w:r w:rsidRPr="0029329A">
        <w:rPr>
          <w:rFonts w:ascii="Times New Roman" w:hAnsi="Times New Roman" w:cs="Times New Roman"/>
          <w:bCs/>
          <w:sz w:val="28"/>
          <w:szCs w:val="28"/>
          <w:lang w:val="es-ES" w:eastAsia="en-US"/>
        </w:rPr>
        <w:t>Los accionante</w:t>
      </w:r>
      <w:r w:rsidRPr="0029329A">
        <w:rPr>
          <w:rFonts w:ascii="Times New Roman" w:hAnsi="Times New Roman" w:cs="Times New Roman"/>
          <w:bCs/>
          <w:sz w:val="28"/>
          <w:szCs w:val="28"/>
          <w:lang w:val="es-ES" w:eastAsia="en-US"/>
        </w:rPr>
        <w:t>s</w:t>
      </w:r>
      <w:r w:rsidRPr="0029329A">
        <w:rPr>
          <w:rFonts w:ascii="Times New Roman" w:hAnsi="Times New Roman" w:cs="Times New Roman"/>
          <w:bCs/>
          <w:sz w:val="28"/>
          <w:szCs w:val="28"/>
          <w:lang w:val="es-ES" w:eastAsia="en-US"/>
        </w:rPr>
        <w:t xml:space="preserve"> afirman que las normas demandadas a través de la</w:t>
      </w:r>
      <w:r w:rsidRPr="0029329A">
        <w:rPr>
          <w:rFonts w:ascii="Times New Roman" w:hAnsi="Times New Roman" w:cs="Times New Roman"/>
          <w:bCs/>
          <w:sz w:val="28"/>
          <w:szCs w:val="28"/>
          <w:lang w:eastAsia="en-US"/>
        </w:rPr>
        <w:t>s cuales se crean, respectivamente, la tasa de protección y</w:t>
      </w:r>
      <w:r w:rsidRPr="0029329A">
        <w:rPr>
          <w:rFonts w:ascii="Times New Roman" w:hAnsi="Times New Roman" w:cs="Times New Roman"/>
          <w:bCs/>
          <w:sz w:val="28"/>
          <w:szCs w:val="28"/>
          <w:lang w:eastAsia="en-US"/>
        </w:rPr>
        <w:t xml:space="preserve"> manejo de bienes arqueol</w:t>
      </w:r>
      <w:r w:rsidRPr="0029329A">
        <w:rPr>
          <w:rFonts w:ascii="Times New Roman" w:hAnsi="Times New Roman" w:cs="Times New Roman"/>
          <w:bCs/>
          <w:sz w:val="28"/>
          <w:szCs w:val="28"/>
          <w:lang w:eastAsia="en-US"/>
        </w:rPr>
        <w:t>ógicos (a</w:t>
      </w:r>
      <w:r w:rsidRPr="0029329A">
        <w:rPr>
          <w:rFonts w:ascii="Times New Roman" w:hAnsi="Times New Roman" w:cs="Times New Roman"/>
          <w:bCs/>
          <w:sz w:val="28"/>
          <w:szCs w:val="28"/>
          <w:lang w:eastAsia="en-US"/>
        </w:rPr>
        <w:t>rt. 135) y la tasa para la recuperación de los costos de los servicios prestados por la Dirección</w:t>
      </w:r>
      <w:r w:rsidRPr="0029329A">
        <w:rPr>
          <w:rFonts w:ascii="Times New Roman" w:hAnsi="Times New Roman" w:cs="Times New Roman"/>
          <w:bCs/>
          <w:sz w:val="28"/>
          <w:szCs w:val="28"/>
          <w:lang w:eastAsia="en-US"/>
        </w:rPr>
        <w:t xml:space="preserve"> Nacional de Derecho de Autor (a</w:t>
      </w:r>
      <w:r w:rsidRPr="0029329A">
        <w:rPr>
          <w:rFonts w:ascii="Times New Roman" w:hAnsi="Times New Roman" w:cs="Times New Roman"/>
          <w:bCs/>
          <w:sz w:val="28"/>
          <w:szCs w:val="28"/>
          <w:lang w:eastAsia="en-US"/>
        </w:rPr>
        <w:t>rt. 169) son inconstitucionales, pues en su criterio transgreden el principio de unidad de ma</w:t>
      </w:r>
      <w:r w:rsidRPr="0029329A">
        <w:rPr>
          <w:rFonts w:ascii="Times New Roman" w:hAnsi="Times New Roman" w:cs="Times New Roman"/>
          <w:bCs/>
          <w:sz w:val="28"/>
          <w:szCs w:val="28"/>
          <w:lang w:eastAsia="en-US"/>
        </w:rPr>
        <w:t xml:space="preserve">teria exigible para la creación de tributos </w:t>
      </w:r>
      <w:r w:rsidRPr="0029329A">
        <w:rPr>
          <w:rFonts w:ascii="Times New Roman" w:hAnsi="Times New Roman" w:cs="Times New Roman"/>
          <w:bCs/>
          <w:sz w:val="28"/>
          <w:szCs w:val="28"/>
          <w:lang w:eastAsia="en-US"/>
        </w:rPr>
        <w:t>en</w:t>
      </w:r>
      <w:r w:rsidRPr="0029329A">
        <w:rPr>
          <w:rFonts w:ascii="Times New Roman" w:hAnsi="Times New Roman" w:cs="Times New Roman"/>
          <w:bCs/>
          <w:sz w:val="28"/>
          <w:szCs w:val="28"/>
          <w:lang w:eastAsia="en-US"/>
        </w:rPr>
        <w:t xml:space="preserve"> las leyes aprobatorias d</w:t>
      </w:r>
      <w:r w:rsidRPr="0029329A">
        <w:rPr>
          <w:rFonts w:ascii="Times New Roman" w:hAnsi="Times New Roman" w:cs="Times New Roman"/>
          <w:bCs/>
          <w:sz w:val="28"/>
          <w:szCs w:val="28"/>
          <w:lang w:eastAsia="en-US"/>
        </w:rPr>
        <w:t>el Plan Nacional de D</w:t>
      </w:r>
      <w:r w:rsidRPr="0029329A">
        <w:rPr>
          <w:rFonts w:ascii="Times New Roman" w:hAnsi="Times New Roman" w:cs="Times New Roman"/>
          <w:bCs/>
          <w:sz w:val="28"/>
          <w:szCs w:val="28"/>
          <w:lang w:eastAsia="en-US"/>
        </w:rPr>
        <w:t xml:space="preserve">esarrollo. Para sustentar lo anterior, </w:t>
      </w:r>
      <w:r w:rsidRPr="0029329A">
        <w:rPr>
          <w:rFonts w:ascii="Times New Roman" w:hAnsi="Times New Roman" w:cs="Times New Roman"/>
          <w:bCs/>
          <w:sz w:val="28"/>
          <w:szCs w:val="28"/>
          <w:lang w:eastAsia="en-US"/>
        </w:rPr>
        <w:t xml:space="preserve">los demandantes </w:t>
      </w:r>
      <w:r w:rsidRPr="0029329A">
        <w:rPr>
          <w:rFonts w:ascii="Times New Roman" w:hAnsi="Times New Roman" w:cs="Times New Roman"/>
          <w:bCs/>
          <w:sz w:val="28"/>
          <w:szCs w:val="28"/>
          <w:lang w:eastAsia="en-US"/>
        </w:rPr>
        <w:t xml:space="preserve">exponen </w:t>
      </w:r>
      <w:r w:rsidRPr="0029329A">
        <w:rPr>
          <w:rFonts w:ascii="Times New Roman" w:hAnsi="Times New Roman" w:cs="Times New Roman"/>
          <w:bCs/>
          <w:sz w:val="28"/>
          <w:szCs w:val="28"/>
          <w:lang w:eastAsia="en-US"/>
        </w:rPr>
        <w:t>que</w:t>
      </w:r>
      <w:r w:rsidRPr="0029329A">
        <w:rPr>
          <w:rFonts w:ascii="Times New Roman" w:hAnsi="Times New Roman" w:cs="Times New Roman"/>
          <w:bCs/>
          <w:sz w:val="28"/>
          <w:szCs w:val="28"/>
          <w:lang w:eastAsia="en-US"/>
        </w:rPr>
        <w:t>:</w:t>
      </w:r>
    </w:p>
    <w:p w:rsidR="0071142C"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val="es-ES" w:eastAsia="en-US"/>
        </w:rPr>
        <w:t>“</w:t>
      </w:r>
      <w:r w:rsidRPr="0029329A">
        <w:rPr>
          <w:rFonts w:ascii="Times New Roman" w:hAnsi="Times New Roman" w:cs="Times New Roman"/>
          <w:bCs/>
          <w:sz w:val="28"/>
          <w:szCs w:val="28"/>
          <w:lang w:val="es-ES" w:eastAsia="en-US"/>
        </w:rPr>
        <w:t xml:space="preserve">• No existe una relación directa e inmediata entre lo dispuesto en los artículos 135 y 169 de </w:t>
      </w:r>
      <w:r w:rsidRPr="0029329A">
        <w:rPr>
          <w:rFonts w:ascii="Times New Roman" w:hAnsi="Times New Roman" w:cs="Times New Roman"/>
          <w:bCs/>
          <w:sz w:val="28"/>
          <w:szCs w:val="28"/>
          <w:lang w:val="es-ES" w:eastAsia="en-US"/>
        </w:rPr>
        <w:t>la Ley 2294 de 2023 y los objetivos, programas, metas y estrategias del Plan Nacional de Desarrollo “Colombia Potencia Mundial de la Vida”. Las normas acusadas crean dos tasas, asociadas a servicios que el ICANH y la DNDA antes prestaban de forma gratuita.</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val="es-ES" w:eastAsia="en-US"/>
        </w:rPr>
        <w:t>• Los artículos 135 y 169 de la Ley 2294 de 2023, si bien se encuentran ubicados en el Eje “Seguridad humana y justicia social” (Capítulo III), específicamente en la “SECCIÓN III GARANTÍA DE DERECHOS COMO FUNDAMENTO DE LA DIGNIDAD HUMANA Y CONDICIONES PA</w:t>
      </w:r>
      <w:r w:rsidRPr="0029329A">
        <w:rPr>
          <w:rFonts w:ascii="Times New Roman" w:hAnsi="Times New Roman" w:cs="Times New Roman"/>
          <w:bCs/>
          <w:sz w:val="28"/>
          <w:szCs w:val="28"/>
          <w:lang w:val="es-ES" w:eastAsia="en-US"/>
        </w:rPr>
        <w:t>RA EL BIENESTAR”, no guardan una relación teleológica, de carácter instrumental, para el desarrollo de este Eje. Las tasas destinadas para la protección de bienes arqueológicos y la recuperación de costos por servicios prestados por la Dirección Nacional d</w:t>
      </w:r>
      <w:r w:rsidRPr="0029329A">
        <w:rPr>
          <w:rFonts w:ascii="Times New Roman" w:hAnsi="Times New Roman" w:cs="Times New Roman"/>
          <w:bCs/>
          <w:sz w:val="28"/>
          <w:szCs w:val="28"/>
          <w:lang w:val="es-ES" w:eastAsia="en-US"/>
        </w:rPr>
        <w:t>e Derechos de Autor no constituyen un medio idóneo para la promoción de la seguridad humana y la justicia social.</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val="es-ES" w:eastAsia="en-US"/>
        </w:rPr>
        <w:t>• El artículo 169 de la Ley 2294 de 2023 reforma la legislación permanente en materia de derechos de autor, esto es, el artículo 206 de la Le</w:t>
      </w:r>
      <w:r w:rsidRPr="0029329A">
        <w:rPr>
          <w:rFonts w:ascii="Times New Roman" w:hAnsi="Times New Roman" w:cs="Times New Roman"/>
          <w:bCs/>
          <w:sz w:val="28"/>
          <w:szCs w:val="28"/>
          <w:lang w:val="es-ES" w:eastAsia="en-US"/>
        </w:rPr>
        <w:t xml:space="preserve">y 23 de 1982, que no contemplaba la tasa que por vía del </w:t>
      </w:r>
      <w:r w:rsidRPr="0029329A">
        <w:rPr>
          <w:rFonts w:ascii="Times New Roman" w:hAnsi="Times New Roman" w:cs="Times New Roman"/>
          <w:bCs/>
          <w:sz w:val="28"/>
          <w:szCs w:val="28"/>
          <w:lang w:val="es-ES" w:eastAsia="en-US"/>
        </w:rPr>
        <w:t>P</w:t>
      </w:r>
      <w:r w:rsidRPr="0029329A">
        <w:rPr>
          <w:rFonts w:ascii="Times New Roman" w:hAnsi="Times New Roman" w:cs="Times New Roman"/>
          <w:bCs/>
          <w:sz w:val="28"/>
          <w:szCs w:val="28"/>
          <w:lang w:val="es-ES" w:eastAsia="en-US"/>
        </w:rPr>
        <w:t xml:space="preserve">lan </w:t>
      </w:r>
      <w:r w:rsidRPr="0029329A">
        <w:rPr>
          <w:rFonts w:ascii="Times New Roman" w:hAnsi="Times New Roman" w:cs="Times New Roman"/>
          <w:bCs/>
          <w:sz w:val="28"/>
          <w:szCs w:val="28"/>
          <w:lang w:val="es-ES" w:eastAsia="en-US"/>
        </w:rPr>
        <w:t>N</w:t>
      </w:r>
      <w:r w:rsidRPr="0029329A">
        <w:rPr>
          <w:rFonts w:ascii="Times New Roman" w:hAnsi="Times New Roman" w:cs="Times New Roman"/>
          <w:bCs/>
          <w:sz w:val="28"/>
          <w:szCs w:val="28"/>
          <w:lang w:val="es-ES" w:eastAsia="en-US"/>
        </w:rPr>
        <w:t xml:space="preserve">acional de </w:t>
      </w:r>
      <w:r w:rsidRPr="0029329A">
        <w:rPr>
          <w:rFonts w:ascii="Times New Roman" w:hAnsi="Times New Roman" w:cs="Times New Roman"/>
          <w:bCs/>
          <w:sz w:val="28"/>
          <w:szCs w:val="28"/>
          <w:lang w:val="es-ES" w:eastAsia="en-US"/>
        </w:rPr>
        <w:t>D</w:t>
      </w:r>
      <w:r w:rsidRPr="0029329A">
        <w:rPr>
          <w:rFonts w:ascii="Times New Roman" w:hAnsi="Times New Roman" w:cs="Times New Roman"/>
          <w:bCs/>
          <w:sz w:val="28"/>
          <w:szCs w:val="28"/>
          <w:lang w:val="es-ES" w:eastAsia="en-US"/>
        </w:rPr>
        <w:t>esarrollo se crea. Un tributo de naturaleza permanente no puede ser incluido en la Ley del Plan Nacional de Desarrollo, atendiendo a su naturaleza transitoria.</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 Las normas acusada</w:t>
      </w:r>
      <w:r w:rsidRPr="0029329A">
        <w:rPr>
          <w:rFonts w:ascii="Times New Roman" w:hAnsi="Times New Roman" w:cs="Times New Roman"/>
          <w:bCs/>
          <w:sz w:val="28"/>
          <w:szCs w:val="28"/>
          <w:lang w:eastAsia="en-US"/>
        </w:rPr>
        <w:t xml:space="preserve">s no constituyen mecanismos para la ejecución del </w:t>
      </w:r>
      <w:r w:rsidRPr="0029329A">
        <w:rPr>
          <w:rFonts w:ascii="Times New Roman" w:hAnsi="Times New Roman" w:cs="Times New Roman"/>
          <w:bCs/>
          <w:sz w:val="28"/>
          <w:szCs w:val="28"/>
          <w:lang w:eastAsia="en-US"/>
        </w:rPr>
        <w:t>P</w:t>
      </w:r>
      <w:r w:rsidRPr="0029329A">
        <w:rPr>
          <w:rFonts w:ascii="Times New Roman" w:hAnsi="Times New Roman" w:cs="Times New Roman"/>
          <w:bCs/>
          <w:sz w:val="28"/>
          <w:szCs w:val="28"/>
          <w:lang w:eastAsia="en-US"/>
        </w:rPr>
        <w:t xml:space="preserve">lan </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 xml:space="preserve">acional de </w:t>
      </w:r>
      <w:r w:rsidRPr="0029329A">
        <w:rPr>
          <w:rFonts w:ascii="Times New Roman" w:hAnsi="Times New Roman" w:cs="Times New Roman"/>
          <w:bCs/>
          <w:sz w:val="28"/>
          <w:szCs w:val="28"/>
          <w:lang w:eastAsia="en-US"/>
        </w:rPr>
        <w:t>I</w:t>
      </w:r>
      <w:r w:rsidRPr="0029329A">
        <w:rPr>
          <w:rFonts w:ascii="Times New Roman" w:hAnsi="Times New Roman" w:cs="Times New Roman"/>
          <w:bCs/>
          <w:sz w:val="28"/>
          <w:szCs w:val="28"/>
          <w:lang w:eastAsia="en-US"/>
        </w:rPr>
        <w:t xml:space="preserve">nversiones, ni medidas necesarias para impulsar el cumplimiento del Plan de Desarrollo. </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eastAsia="en-US"/>
        </w:rPr>
        <w:t xml:space="preserve">• Los artículos 135 y 169 de la Ley 2294 de 2023 no son una expresión de la función de planeación </w:t>
      </w:r>
      <w:r w:rsidRPr="0029329A">
        <w:rPr>
          <w:rFonts w:ascii="Times New Roman" w:hAnsi="Times New Roman" w:cs="Times New Roman"/>
          <w:bCs/>
          <w:sz w:val="28"/>
          <w:szCs w:val="28"/>
          <w:lang w:eastAsia="en-US"/>
        </w:rPr>
        <w:t>que le corresponde al Gobierno Nacional, al punto que hacía menos de 6 meses se había aprobado la Ley 2277 de 2022, mediante la cual se adopta una reforma tributaria en la que perfectamente se habrían podido crear las dos tasas acusadas.</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eastAsia="en-US"/>
        </w:rPr>
        <w:t>• En las Sentenci</w:t>
      </w:r>
      <w:r w:rsidRPr="0029329A">
        <w:rPr>
          <w:rFonts w:ascii="Times New Roman" w:hAnsi="Times New Roman" w:cs="Times New Roman"/>
          <w:bCs/>
          <w:sz w:val="28"/>
          <w:szCs w:val="28"/>
          <w:lang w:eastAsia="en-US"/>
        </w:rPr>
        <w:t>as C-464 de 2020 y C-493 de 2020 se indicó que las normas de contenido tributario con vocación de permanencia, que se introducen en los planes de desarrollo, son constitucionalmente problemáticas, en tanto que exigen de un mayor grado de transparencia y de</w:t>
      </w:r>
      <w:r w:rsidRPr="0029329A">
        <w:rPr>
          <w:rFonts w:ascii="Times New Roman" w:hAnsi="Times New Roman" w:cs="Times New Roman"/>
          <w:bCs/>
          <w:sz w:val="28"/>
          <w:szCs w:val="28"/>
          <w:lang w:eastAsia="en-US"/>
        </w:rPr>
        <w:t xml:space="preserve">liberación democrática a los que se dan en tan solo 3 debates y en una ley que es aprobada en apenas 3 meses. De esta manera, la Corte Constitucional expresó que resulta cuestionable la creación de cargas tributarias a través del uso de la atribución para </w:t>
      </w:r>
      <w:r w:rsidRPr="0029329A">
        <w:rPr>
          <w:rFonts w:ascii="Times New Roman" w:hAnsi="Times New Roman" w:cs="Times New Roman"/>
          <w:bCs/>
          <w:sz w:val="28"/>
          <w:szCs w:val="28"/>
          <w:lang w:eastAsia="en-US"/>
        </w:rPr>
        <w:t xml:space="preserve">expedir el </w:t>
      </w:r>
      <w:r w:rsidRPr="0029329A">
        <w:rPr>
          <w:rFonts w:ascii="Times New Roman" w:hAnsi="Times New Roman" w:cs="Times New Roman"/>
          <w:bCs/>
          <w:sz w:val="28"/>
          <w:szCs w:val="28"/>
          <w:lang w:eastAsia="en-US"/>
        </w:rPr>
        <w:t>P</w:t>
      </w:r>
      <w:r w:rsidRPr="0029329A">
        <w:rPr>
          <w:rFonts w:ascii="Times New Roman" w:hAnsi="Times New Roman" w:cs="Times New Roman"/>
          <w:bCs/>
          <w:sz w:val="28"/>
          <w:szCs w:val="28"/>
          <w:lang w:eastAsia="en-US"/>
        </w:rPr>
        <w:t xml:space="preserve">lan </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 xml:space="preserve">acional de </w:t>
      </w:r>
      <w:r w:rsidRPr="0029329A">
        <w:rPr>
          <w:rFonts w:ascii="Times New Roman" w:hAnsi="Times New Roman" w:cs="Times New Roman"/>
          <w:bCs/>
          <w:sz w:val="28"/>
          <w:szCs w:val="28"/>
          <w:lang w:eastAsia="en-US"/>
        </w:rPr>
        <w:t>D</w:t>
      </w:r>
      <w:r w:rsidRPr="0029329A">
        <w:rPr>
          <w:rFonts w:ascii="Times New Roman" w:hAnsi="Times New Roman" w:cs="Times New Roman"/>
          <w:bCs/>
          <w:sz w:val="28"/>
          <w:szCs w:val="28"/>
          <w:lang w:eastAsia="en-US"/>
        </w:rPr>
        <w:t xml:space="preserve">esarrollo, por cuanto el Congreso podría estar vaciando su competencia ordinaria para el diseño de la política fiscal del Estado (Párrafos 128 a 130 de la Sentencia C464 de 2020; 161, 123 a 130 de la C-493 de 2020). </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p>
    <w:p w:rsidR="0071142C" w:rsidRPr="0029329A" w:rsidRDefault="0029329A" w:rsidP="002B404E">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eastAsia="en-US"/>
        </w:rPr>
        <w:t xml:space="preserve">• En las </w:t>
      </w:r>
      <w:r w:rsidRPr="0029329A">
        <w:rPr>
          <w:rFonts w:ascii="Times New Roman" w:hAnsi="Times New Roman" w:cs="Times New Roman"/>
          <w:bCs/>
          <w:sz w:val="28"/>
          <w:szCs w:val="28"/>
          <w:lang w:eastAsia="en-US"/>
        </w:rPr>
        <w:t xml:space="preserve">bases del Plan Nacional de Desarrollo, el Gobierno </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acional no justifica cómo las normas acusadas guardan una conexidad directa e inmediata con los objetivos generales del Plan, de modo que resulten necesarias para su cumplimiento</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vertAlign w:val="superscript"/>
          <w:lang w:val="es-ES" w:eastAsia="en-US"/>
        </w:rPr>
        <w:footnoteReference w:id="2"/>
      </w:r>
      <w:r w:rsidRPr="0029329A">
        <w:rPr>
          <w:rFonts w:ascii="Times New Roman" w:hAnsi="Times New Roman" w:cs="Times New Roman"/>
          <w:bCs/>
          <w:sz w:val="28"/>
          <w:szCs w:val="28"/>
          <w:lang w:val="es-ES" w:eastAsia="en-US"/>
        </w:rPr>
        <w:t>.</w:t>
      </w:r>
    </w:p>
    <w:p w:rsidR="003F443F" w:rsidRPr="0029329A" w:rsidRDefault="0029329A" w:rsidP="002B404E">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val="es-ES" w:eastAsia="en-US"/>
        </w:rPr>
      </w:pPr>
    </w:p>
    <w:p w:rsidR="001370D7"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val="es-ES" w:eastAsia="en-US"/>
        </w:rPr>
        <w:t>5</w:t>
      </w:r>
      <w:r w:rsidRPr="0029329A">
        <w:rPr>
          <w:rFonts w:ascii="Times New Roman" w:hAnsi="Times New Roman" w:cs="Times New Roman"/>
          <w:bCs/>
          <w:sz w:val="28"/>
          <w:szCs w:val="28"/>
          <w:lang w:val="es-ES" w:eastAsia="en-US"/>
        </w:rPr>
        <w:t xml:space="preserve">. </w:t>
      </w:r>
      <w:r w:rsidRPr="0029329A">
        <w:rPr>
          <w:rFonts w:ascii="Times New Roman" w:hAnsi="Times New Roman" w:cs="Times New Roman"/>
          <w:bCs/>
          <w:sz w:val="28"/>
          <w:szCs w:val="28"/>
          <w:lang w:val="es-ES" w:eastAsia="en-US"/>
        </w:rPr>
        <w:t xml:space="preserve">Adicionalmente, </w:t>
      </w:r>
      <w:r w:rsidRPr="0029329A">
        <w:rPr>
          <w:rFonts w:ascii="Times New Roman" w:hAnsi="Times New Roman" w:cs="Times New Roman"/>
          <w:bCs/>
          <w:sz w:val="28"/>
          <w:szCs w:val="28"/>
          <w:lang w:val="es-ES" w:eastAsia="en-US"/>
        </w:rPr>
        <w:t>los</w:t>
      </w:r>
      <w:r w:rsidRPr="0029329A">
        <w:rPr>
          <w:rFonts w:ascii="Times New Roman" w:hAnsi="Times New Roman" w:cs="Times New Roman"/>
          <w:bCs/>
          <w:sz w:val="28"/>
          <w:szCs w:val="28"/>
          <w:lang w:val="es-ES" w:eastAsia="en-US"/>
        </w:rPr>
        <w:t xml:space="preserve"> actores</w:t>
      </w:r>
      <w:r w:rsidRPr="0029329A">
        <w:rPr>
          <w:rFonts w:ascii="Times New Roman" w:hAnsi="Times New Roman" w:cs="Times New Roman"/>
          <w:bCs/>
          <w:sz w:val="28"/>
          <w:szCs w:val="28"/>
          <w:lang w:val="es-ES" w:eastAsia="en-US"/>
        </w:rPr>
        <w:t xml:space="preserve"> indican que l</w:t>
      </w:r>
      <w:r w:rsidRPr="0029329A">
        <w:rPr>
          <w:rFonts w:ascii="Times New Roman" w:hAnsi="Times New Roman" w:cs="Times New Roman"/>
          <w:bCs/>
          <w:sz w:val="28"/>
          <w:szCs w:val="28"/>
          <w:lang w:eastAsia="en-US"/>
        </w:rPr>
        <w:t xml:space="preserve">os artículos 135 y 169 de la Ley 2294 de 2023 se encuentran ubicados en el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Eje de Transformación “SEGURIDAD HUMANA Y JUSTICIA SOCIAL” (Capítulo III), específicamente en la “SECCIÓN III GARANTÍA DE DERECHOS COMO FUNDAMENTO DE LA DI</w:t>
      </w:r>
      <w:r w:rsidRPr="0029329A">
        <w:rPr>
          <w:rFonts w:ascii="Times New Roman" w:hAnsi="Times New Roman" w:cs="Times New Roman"/>
          <w:bCs/>
          <w:sz w:val="28"/>
          <w:szCs w:val="28"/>
          <w:lang w:eastAsia="en-US"/>
        </w:rPr>
        <w:t>GNIDAD HUMANA Y CONDICIONES PARA EL BIENESTAR”</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 xml:space="preserve">. Sin embargo, aseguran que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w:t>
      </w:r>
      <w:r w:rsidRPr="0029329A">
        <w:rPr>
          <w:rFonts w:ascii="Times New Roman" w:hAnsi="Times New Roman" w:cs="Times New Roman"/>
          <w:bCs/>
          <w:sz w:val="28"/>
          <w:szCs w:val="28"/>
          <w:lang w:eastAsia="en-US"/>
        </w:rPr>
        <w:t>A</w:t>
      </w:r>
      <w:r w:rsidRPr="0029329A">
        <w:rPr>
          <w:rFonts w:ascii="Times New Roman" w:hAnsi="Times New Roman" w:cs="Times New Roman"/>
          <w:bCs/>
          <w:sz w:val="28"/>
          <w:szCs w:val="28"/>
          <w:lang w:eastAsia="en-US"/>
        </w:rPr>
        <w:t xml:space="preserve"> “SECCIÓN III GARANTÍA DE DERECHOS COMO FUNDAMENTO DE LA DIGNIDAD HUMANA Y CONDICIONES PARA EL BIENESTAR” se extiende del artículo 106 hasta el artículo 192 de la Ley 2294 de 202</w:t>
      </w:r>
      <w:r w:rsidRPr="0029329A">
        <w:rPr>
          <w:rFonts w:ascii="Times New Roman" w:hAnsi="Times New Roman" w:cs="Times New Roman"/>
          <w:bCs/>
          <w:sz w:val="28"/>
          <w:szCs w:val="28"/>
          <w:lang w:eastAsia="en-US"/>
        </w:rPr>
        <w:t>3, e incluye medidas normativas muy diversas, siendo los artículos 135 y 169 las únicas dos cargas tributarias que se crean. Las normas acusadas no son siquiera formalmente instrumentales para desarrollar la “GARANTÍA DE DERECHOS COMO FUNDAMENTO DE LA DIGN</w:t>
      </w:r>
      <w:r w:rsidRPr="0029329A">
        <w:rPr>
          <w:rFonts w:ascii="Times New Roman" w:hAnsi="Times New Roman" w:cs="Times New Roman"/>
          <w:bCs/>
          <w:sz w:val="28"/>
          <w:szCs w:val="28"/>
          <w:lang w:eastAsia="en-US"/>
        </w:rPr>
        <w:t>IDAD HUMANA Y CONDICIONES PARA EL BIENESTAR”, ni para promover la “SEGURIDAD HUMANA Y JUSTICIA SOCIAL”</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1370D7"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71142C"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eastAsia="en-US"/>
        </w:rPr>
        <w:t>6</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 xml:space="preserve"> En esa medida, los accionantes aseguran que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w:t>
      </w:r>
      <w:r w:rsidRPr="0029329A">
        <w:rPr>
          <w:rFonts w:ascii="Times New Roman" w:hAnsi="Times New Roman" w:cs="Times New Roman"/>
          <w:bCs/>
          <w:sz w:val="28"/>
          <w:szCs w:val="28"/>
          <w:lang w:eastAsia="en-US"/>
        </w:rPr>
        <w:t>a creación de dos tasas asociadas a trámites administrativos que realizan dos dependencias del Estado</w:t>
      </w:r>
      <w:r w:rsidRPr="0029329A">
        <w:rPr>
          <w:rFonts w:ascii="Times New Roman" w:hAnsi="Times New Roman" w:cs="Times New Roman"/>
          <w:bCs/>
          <w:sz w:val="28"/>
          <w:szCs w:val="28"/>
          <w:lang w:eastAsia="en-US"/>
        </w:rPr>
        <w:t xml:space="preserve"> no son medios conducentes, pese a su ubicación, para la implementación de políticas públicas en materia de dignidad humana, bienestar, seguridad humana o justicia social</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vertAlign w:val="superscript"/>
          <w:lang w:eastAsia="en-US"/>
        </w:rPr>
        <w:footnoteReference w:id="3"/>
      </w:r>
      <w:r w:rsidRPr="0029329A">
        <w:rPr>
          <w:rFonts w:ascii="Times New Roman" w:hAnsi="Times New Roman" w:cs="Times New Roman"/>
          <w:bCs/>
          <w:sz w:val="28"/>
          <w:szCs w:val="28"/>
          <w:lang w:val="es-ES" w:eastAsia="en-US"/>
        </w:rPr>
        <w:t>. Lo anterior</w:t>
      </w:r>
      <w:r w:rsidRPr="0029329A">
        <w:rPr>
          <w:rFonts w:ascii="Times New Roman" w:hAnsi="Times New Roman" w:cs="Times New Roman"/>
          <w:bCs/>
          <w:sz w:val="28"/>
          <w:szCs w:val="28"/>
          <w:lang w:val="es-ES" w:eastAsia="en-US"/>
        </w:rPr>
        <w:t>,</w:t>
      </w:r>
      <w:r w:rsidRPr="0029329A">
        <w:rPr>
          <w:rFonts w:ascii="Times New Roman" w:hAnsi="Times New Roman" w:cs="Times New Roman"/>
          <w:bCs/>
          <w:sz w:val="28"/>
          <w:szCs w:val="28"/>
          <w:lang w:val="es-ES" w:eastAsia="en-US"/>
        </w:rPr>
        <w:t xml:space="preserve"> por cuanto, en criterio de los demandantes: </w:t>
      </w:r>
    </w:p>
    <w:p w:rsidR="0071142C"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val="es-ES"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val="es-ES" w:eastAsia="en-US"/>
        </w:rPr>
        <w:t xml:space="preserve">(i) </w:t>
      </w:r>
      <w:r w:rsidRPr="0029329A">
        <w:rPr>
          <w:rFonts w:ascii="Times New Roman" w:hAnsi="Times New Roman" w:cs="Times New Roman"/>
          <w:bCs/>
          <w:sz w:val="28"/>
          <w:szCs w:val="28"/>
          <w:lang w:val="es-ES" w:eastAsia="en-US"/>
        </w:rPr>
        <w:t>“</w:t>
      </w:r>
      <w:r w:rsidRPr="0029329A">
        <w:rPr>
          <w:rFonts w:ascii="Times New Roman" w:hAnsi="Times New Roman" w:cs="Times New Roman"/>
          <w:bCs/>
          <w:sz w:val="28"/>
          <w:szCs w:val="28"/>
          <w:lang w:eastAsia="en-US"/>
        </w:rPr>
        <w:t xml:space="preserve">La tasa de cobro </w:t>
      </w:r>
      <w:r w:rsidRPr="0029329A">
        <w:rPr>
          <w:rFonts w:ascii="Times New Roman" w:hAnsi="Times New Roman" w:cs="Times New Roman"/>
          <w:bCs/>
          <w:sz w:val="28"/>
          <w:szCs w:val="28"/>
          <w:lang w:eastAsia="en-US"/>
        </w:rPr>
        <w:t>por los procedimientos asociados a la protección y manejo de bienes arqueológicos, creada en el artículo 135 de la Ley 2294 de 2023; no es un instrumento conducente, pese a su ubicación, para la implementación de políticas públicas en materia de dignidad h</w:t>
      </w:r>
      <w:r w:rsidRPr="0029329A">
        <w:rPr>
          <w:rFonts w:ascii="Times New Roman" w:hAnsi="Times New Roman" w:cs="Times New Roman"/>
          <w:bCs/>
          <w:sz w:val="28"/>
          <w:szCs w:val="28"/>
          <w:lang w:eastAsia="en-US"/>
        </w:rPr>
        <w:t>umana, bienestar, seguridad humana o justicia social. El alcance de esta tasa busca beneficiar como sujeto activo al Instituto Colombiano de Antropología e Historia (ICANH), quien cobrará esta tasa a aquellas personas que requieran de los servicios que act</w:t>
      </w:r>
      <w:r w:rsidRPr="0029329A">
        <w:rPr>
          <w:rFonts w:ascii="Times New Roman" w:hAnsi="Times New Roman" w:cs="Times New Roman"/>
          <w:bCs/>
          <w:sz w:val="28"/>
          <w:szCs w:val="28"/>
          <w:lang w:eastAsia="en-US"/>
        </w:rPr>
        <w:t>ualmente presta, relacionados con el Programa de Arqueología Preventiva (PAP), y las respectivas gestiones para el posterior otorgamiento de las Autorizaciones de Intervención Arqueológica, así como en los demás proyectos, obras o actividades que requieran</w:t>
      </w:r>
      <w:r w:rsidRPr="0029329A">
        <w:rPr>
          <w:rFonts w:ascii="Times New Roman" w:hAnsi="Times New Roman" w:cs="Times New Roman"/>
          <w:bCs/>
          <w:sz w:val="28"/>
          <w:szCs w:val="28"/>
          <w:lang w:eastAsia="en-US"/>
        </w:rPr>
        <w:t xml:space="preserve"> licencia ambiental, registros o autorizaciones equivalentes ante las autoridades competentes</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p>
    <w:p w:rsidR="0071142C" w:rsidRPr="0029329A" w:rsidRDefault="0029329A" w:rsidP="00773A7F">
      <w:pPr>
        <w:widowControl w:val="0"/>
        <w:tabs>
          <w:tab w:val="left" w:pos="470"/>
        </w:tabs>
        <w:autoSpaceDE w:val="0"/>
        <w:autoSpaceDN w:val="0"/>
        <w:spacing w:after="0" w:line="360" w:lineRule="atLeast"/>
        <w:ind w:left="567" w:right="567"/>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 xml:space="preserve">(ii)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La tasa de cobro para la recuperación de los costos de los servicios prestados por la Dirección Nacional de Derecho de Autor (DNDA), creada en el artícul</w:t>
      </w:r>
      <w:r w:rsidRPr="0029329A">
        <w:rPr>
          <w:rFonts w:ascii="Times New Roman" w:hAnsi="Times New Roman" w:cs="Times New Roman"/>
          <w:bCs/>
          <w:sz w:val="28"/>
          <w:szCs w:val="28"/>
          <w:lang w:eastAsia="en-US"/>
        </w:rPr>
        <w:t>o 169 de la Ley 2294 de 2023 y que modifica el artículo 206 de la Ley 23 de 1982; no es un instrumento conducente, pese a su ubicación, para la implementación de políticas públicas en materia de dignidad humana, bienestar, seguridad humana o justicia socia</w:t>
      </w:r>
      <w:r w:rsidRPr="0029329A">
        <w:rPr>
          <w:rFonts w:ascii="Times New Roman" w:hAnsi="Times New Roman" w:cs="Times New Roman"/>
          <w:bCs/>
          <w:sz w:val="28"/>
          <w:szCs w:val="28"/>
          <w:lang w:eastAsia="en-US"/>
        </w:rPr>
        <w:t xml:space="preserve">l. El alcance de esta tasa busca beneficiar como sujeto activo al Dirección Nacional de Derecho de Autor, quien cobrará esta tasa a las personas naturales o jurídicas que soliciten cualquiera de los servicios prestados por la Dirección Nacional de Derecho </w:t>
      </w:r>
      <w:r w:rsidRPr="0029329A">
        <w:rPr>
          <w:rFonts w:ascii="Times New Roman" w:hAnsi="Times New Roman" w:cs="Times New Roman"/>
          <w:bCs/>
          <w:sz w:val="28"/>
          <w:szCs w:val="28"/>
          <w:lang w:eastAsia="en-US"/>
        </w:rPr>
        <w:t>de Autor, con excepción de los trámites de conciliación y los trámites relacionados con asuntos jurisdiccionales</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71142C"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7</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Cs/>
          <w:sz w:val="28"/>
          <w:szCs w:val="28"/>
          <w:lang w:eastAsia="en-US"/>
        </w:rPr>
        <w:t xml:space="preserve">Finalmente, los accionantes consideran que las relaciones que se esbozaron en el Plan de Inversiones contenido en la norma demandada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son</w:t>
      </w:r>
      <w:r w:rsidRPr="0029329A">
        <w:rPr>
          <w:rFonts w:ascii="Times New Roman" w:hAnsi="Times New Roman" w:cs="Times New Roman"/>
          <w:bCs/>
          <w:sz w:val="28"/>
          <w:szCs w:val="28"/>
          <w:lang w:eastAsia="en-US"/>
        </w:rPr>
        <w:t xml:space="preserve"> artificiosas y conjeturales, en tanto que no develan un vínculo de conexidad directo e inmediato, entre la creación de dos tasas que benefician al ICANH y a la DNDA y que se encuentran asociadas a servicios que estas entidades deben prestar; con la admini</w:t>
      </w:r>
      <w:r w:rsidRPr="0029329A">
        <w:rPr>
          <w:rFonts w:ascii="Times New Roman" w:hAnsi="Times New Roman" w:cs="Times New Roman"/>
          <w:bCs/>
          <w:sz w:val="28"/>
          <w:szCs w:val="28"/>
          <w:lang w:eastAsia="en-US"/>
        </w:rPr>
        <w:t>stración pública, el fortalecimiento institucional, la lucha contra la corrupción o la salvaguardia de las culturas indígenas</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 xml:space="preserve">. En ese orden de ideas, aseguraron que en ningún aparte del Plan Nacional de Desarrollo 2022- 2026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se encuentra un desarrollo co</w:t>
      </w:r>
      <w:r w:rsidRPr="0029329A">
        <w:rPr>
          <w:rFonts w:ascii="Times New Roman" w:hAnsi="Times New Roman" w:cs="Times New Roman"/>
          <w:bCs/>
          <w:sz w:val="28"/>
          <w:szCs w:val="28"/>
          <w:lang w:eastAsia="en-US"/>
        </w:rPr>
        <w:t>ncreto y específico orientado bien sea a fortalecer institucionalmente al ICANH o a la DNDA; o a explicitar cómo los recursos que se recaudarían con la creación de estas dos tasas podrían ser funcionalmente destinados en pro de la seguridad humana y la jus</w:t>
      </w:r>
      <w:r w:rsidRPr="0029329A">
        <w:rPr>
          <w:rFonts w:ascii="Times New Roman" w:hAnsi="Times New Roman" w:cs="Times New Roman"/>
          <w:bCs/>
          <w:sz w:val="28"/>
          <w:szCs w:val="28"/>
          <w:lang w:eastAsia="en-US"/>
        </w:rPr>
        <w:t>ticia social. Tampoco se indica cómo con estos recursos protegerán las culturas ancestrales o los derechos de autor</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vertAlign w:val="superscript"/>
          <w:lang w:eastAsia="en-US"/>
        </w:rPr>
        <w:footnoteReference w:id="4"/>
      </w:r>
      <w:r w:rsidRPr="0029329A">
        <w:rPr>
          <w:rFonts w:ascii="Times New Roman" w:hAnsi="Times New Roman" w:cs="Times New Roman"/>
          <w:bCs/>
          <w:sz w:val="28"/>
          <w:szCs w:val="28"/>
          <w:lang w:eastAsia="en-US"/>
        </w:rPr>
        <w:t>.</w:t>
      </w:r>
    </w:p>
    <w:p w:rsidR="00B1413E"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p w:rsidR="009D1D56"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b/>
          <w:bCs/>
          <w:sz w:val="28"/>
          <w:szCs w:val="28"/>
          <w:lang w:val="es-ES"/>
        </w:rPr>
      </w:pPr>
      <w:r w:rsidRPr="0029329A">
        <w:rPr>
          <w:rFonts w:ascii="Times New Roman" w:hAnsi="Times New Roman" w:cs="Times New Roman"/>
          <w:b/>
          <w:bCs/>
          <w:sz w:val="28"/>
          <w:szCs w:val="28"/>
          <w:lang w:val="es-ES"/>
        </w:rPr>
        <w:t>Violación del principio de</w:t>
      </w:r>
      <w:r w:rsidRPr="0029329A">
        <w:rPr>
          <w:rFonts w:ascii="Times New Roman" w:hAnsi="Times New Roman" w:cs="Times New Roman"/>
          <w:b/>
          <w:bCs/>
          <w:sz w:val="28"/>
          <w:szCs w:val="28"/>
          <w:lang w:eastAsia="en-US"/>
        </w:rPr>
        <w:t xml:space="preserve"> legalidad y certeza del tributo</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
          <w:bCs/>
          <w:sz w:val="28"/>
          <w:szCs w:val="28"/>
          <w:lang w:val="es-ES"/>
        </w:rPr>
        <w:t>(art. 338 C. Pol.)</w:t>
      </w:r>
    </w:p>
    <w:p w:rsidR="00B1413E"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8</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 xml:space="preserve"> Los demandantes afirman que el artículo 135 de la Ley 2294 de 2023 otorga al Gobierno </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 xml:space="preserve">acional la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potestad</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 xml:space="preserve"> para definir la metodología de cálculo asociada con la base gravable para la liquidación de la tasa que se crea en dicha disposición. Lo anterior,</w:t>
      </w:r>
      <w:r w:rsidRPr="0029329A">
        <w:rPr>
          <w:rFonts w:ascii="Times New Roman" w:hAnsi="Times New Roman" w:cs="Times New Roman"/>
          <w:bCs/>
          <w:sz w:val="28"/>
          <w:szCs w:val="28"/>
          <w:lang w:eastAsia="en-US"/>
        </w:rPr>
        <w:t xml:space="preserve"> desconociendo que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de acuerdo con el artículo 338 de la Constitución Política, “el sistema y el método para definir tales costos y beneficios, y la forma de hacer su reparto, deben ser fijados por la ley”, no por el Ejecutivo</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2B404E"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9</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Cs/>
          <w:sz w:val="28"/>
          <w:szCs w:val="28"/>
          <w:lang w:eastAsia="en-US"/>
        </w:rPr>
        <w:t>En esa medida, los acto</w:t>
      </w:r>
      <w:r w:rsidRPr="0029329A">
        <w:rPr>
          <w:rFonts w:ascii="Times New Roman" w:hAnsi="Times New Roman" w:cs="Times New Roman"/>
          <w:bCs/>
          <w:sz w:val="28"/>
          <w:szCs w:val="28"/>
          <w:lang w:eastAsia="en-US"/>
        </w:rPr>
        <w:t xml:space="preserve">res sostienen que, de acuerdo con el artículo 338 constitucional,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los elementos esenciales de un tributo, entre los que se encuentran la base gravable y la metodología para su liquidación, deben ser definidos exclusivamente por el Legislador. El principio</w:t>
      </w:r>
      <w:r w:rsidRPr="0029329A">
        <w:rPr>
          <w:rFonts w:ascii="Times New Roman" w:hAnsi="Times New Roman" w:cs="Times New Roman"/>
          <w:bCs/>
          <w:sz w:val="28"/>
          <w:szCs w:val="28"/>
          <w:lang w:eastAsia="en-US"/>
        </w:rPr>
        <w:t xml:space="preserve"> de reserva de ley que especialmente gobierna esta materia se encuentra establecido en el artículo 338 de la Constitución Política, según el cual la ley puede permitir que las autoridades fijen la tarifa de las tasas, pero “el sistema y el método para defi</w:t>
      </w:r>
      <w:r w:rsidRPr="0029329A">
        <w:rPr>
          <w:rFonts w:ascii="Times New Roman" w:hAnsi="Times New Roman" w:cs="Times New Roman"/>
          <w:bCs/>
          <w:sz w:val="28"/>
          <w:szCs w:val="28"/>
          <w:lang w:eastAsia="en-US"/>
        </w:rPr>
        <w:t>nir tales costos y beneficios, y la forma de hacer su reparto, deben ser fijados por la ley”</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10</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Cs/>
          <w:sz w:val="28"/>
          <w:szCs w:val="28"/>
          <w:lang w:eastAsia="en-US"/>
        </w:rPr>
        <w:t xml:space="preserve">Seguidamente, los demandantes insisten en que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la habilitación que el artículo 135 de la Ley 2294 de 2023 concede al Gobierno Nacional para establecer una metodología de cálculo asociada con la base para la liquidación de la tasa que tiene origen en los servicios prestados por el ICANH, viola el princi</w:t>
      </w:r>
      <w:r w:rsidRPr="0029329A">
        <w:rPr>
          <w:rFonts w:ascii="Times New Roman" w:hAnsi="Times New Roman" w:cs="Times New Roman"/>
          <w:bCs/>
          <w:sz w:val="28"/>
          <w:szCs w:val="28"/>
          <w:lang w:eastAsia="en-US"/>
        </w:rPr>
        <w:t xml:space="preserve">pio de reserva de ley por cuanto es la Ley, y no un acto administrativo expedido </w:t>
      </w:r>
      <w:r w:rsidRPr="0029329A">
        <w:rPr>
          <w:rFonts w:ascii="Times New Roman" w:hAnsi="Times New Roman" w:cs="Times New Roman"/>
          <w:bCs/>
          <w:sz w:val="28"/>
          <w:szCs w:val="28"/>
          <w:lang w:eastAsia="en-US"/>
        </w:rPr>
        <w:t xml:space="preserve">por </w:t>
      </w:r>
      <w:r w:rsidRPr="0029329A">
        <w:rPr>
          <w:rFonts w:ascii="Times New Roman" w:hAnsi="Times New Roman" w:cs="Times New Roman"/>
          <w:bCs/>
          <w:sz w:val="28"/>
          <w:szCs w:val="28"/>
          <w:lang w:eastAsia="en-US"/>
        </w:rPr>
        <w:t>el Gobierno Nacional, la que debe definir los elementos esenciales de la tasa que se crea</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 xml:space="preserve"> en virtud del artículo 135 de la Ley 2294 de 2023, incluyéndose dentro de estos,</w:t>
      </w:r>
      <w:r w:rsidRPr="0029329A">
        <w:rPr>
          <w:rFonts w:ascii="Times New Roman" w:hAnsi="Times New Roman" w:cs="Times New Roman"/>
          <w:bCs/>
          <w:sz w:val="28"/>
          <w:szCs w:val="28"/>
          <w:lang w:eastAsia="en-US"/>
        </w:rPr>
        <w:t xml:space="preserve"> por mandato expreso del artículo 338 constitucional, el sistema y el método, con particular énfasis en la metodología de cálculo que afecta la liquidación de la base gravable</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w:t>
      </w:r>
    </w:p>
    <w:p w:rsidR="009D1D5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eastAsia="en-US"/>
        </w:rPr>
      </w:pPr>
    </w:p>
    <w:p w:rsidR="00C07886" w:rsidRPr="0029329A" w:rsidRDefault="0029329A" w:rsidP="00773A7F">
      <w:pPr>
        <w:widowControl w:val="0"/>
        <w:tabs>
          <w:tab w:val="left" w:pos="470"/>
        </w:tabs>
        <w:autoSpaceDE w:val="0"/>
        <w:autoSpaceDN w:val="0"/>
        <w:spacing w:after="0" w:line="360" w:lineRule="atLeast"/>
        <w:jc w:val="both"/>
        <w:rPr>
          <w:rFonts w:ascii="Times New Roman" w:hAnsi="Times New Roman" w:cs="Times New Roman"/>
          <w:bCs/>
          <w:sz w:val="28"/>
          <w:szCs w:val="28"/>
          <w:lang w:val="es-ES" w:eastAsia="en-US"/>
        </w:rPr>
      </w:pPr>
      <w:r w:rsidRPr="0029329A">
        <w:rPr>
          <w:rFonts w:ascii="Times New Roman" w:hAnsi="Times New Roman" w:cs="Times New Roman"/>
          <w:bCs/>
          <w:sz w:val="28"/>
          <w:szCs w:val="28"/>
          <w:lang w:eastAsia="en-US"/>
        </w:rPr>
        <w:t>1</w:t>
      </w:r>
      <w:r w:rsidRPr="0029329A">
        <w:rPr>
          <w:rFonts w:ascii="Times New Roman" w:hAnsi="Times New Roman" w:cs="Times New Roman"/>
          <w:bCs/>
          <w:sz w:val="28"/>
          <w:szCs w:val="28"/>
          <w:lang w:eastAsia="en-US"/>
        </w:rPr>
        <w:t>1</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Cs/>
          <w:sz w:val="28"/>
          <w:szCs w:val="28"/>
          <w:lang w:eastAsia="en-US"/>
        </w:rPr>
        <w:t xml:space="preserve">Finalmente, los demandantes concluyen que </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lang w:eastAsia="en-US"/>
        </w:rPr>
        <w:t>la norma acusada viola el artí</w:t>
      </w:r>
      <w:r w:rsidRPr="0029329A">
        <w:rPr>
          <w:rFonts w:ascii="Times New Roman" w:hAnsi="Times New Roman" w:cs="Times New Roman"/>
          <w:bCs/>
          <w:sz w:val="28"/>
          <w:szCs w:val="28"/>
          <w:lang w:eastAsia="en-US"/>
        </w:rPr>
        <w:t xml:space="preserve">culo 338 de la Constitución Política porque priva al Legislador de su deber de fijar con precisión la metodología de cálculo para la liquidación de la base gravable. Por tratarse de asuntos tributarios, estimamos que el artículo 135 en su aparte subrayado </w:t>
      </w:r>
      <w:r w:rsidRPr="0029329A">
        <w:rPr>
          <w:rFonts w:ascii="Times New Roman" w:hAnsi="Times New Roman" w:cs="Times New Roman"/>
          <w:bCs/>
          <w:sz w:val="28"/>
          <w:szCs w:val="28"/>
          <w:lang w:eastAsia="en-US"/>
        </w:rPr>
        <w:t>desconoce la naturaleza y razón de ser de la potestad reglamentaria, que apunta a precisar la norma legal y permitir su aplicación, no a desplazar la competencia del Legislador</w:t>
      </w:r>
      <w:r w:rsidRPr="0029329A">
        <w:rPr>
          <w:rFonts w:ascii="Times New Roman" w:hAnsi="Times New Roman" w:cs="Times New Roman"/>
          <w:bCs/>
          <w:sz w:val="28"/>
          <w:szCs w:val="28"/>
          <w:lang w:eastAsia="en-US"/>
        </w:rPr>
        <w:t>”</w:t>
      </w:r>
      <w:r w:rsidRPr="0029329A">
        <w:rPr>
          <w:rFonts w:ascii="Times New Roman" w:hAnsi="Times New Roman" w:cs="Times New Roman"/>
          <w:bCs/>
          <w:sz w:val="28"/>
          <w:szCs w:val="28"/>
          <w:vertAlign w:val="superscript"/>
          <w:lang w:eastAsia="en-US"/>
        </w:rPr>
        <w:footnoteReference w:id="5"/>
      </w:r>
      <w:r w:rsidRPr="0029329A">
        <w:rPr>
          <w:rFonts w:ascii="Times New Roman" w:hAnsi="Times New Roman" w:cs="Times New Roman"/>
          <w:bCs/>
          <w:sz w:val="28"/>
          <w:szCs w:val="28"/>
          <w:lang w:eastAsia="en-US"/>
        </w:rPr>
        <w:t>.</w:t>
      </w:r>
    </w:p>
    <w:p w:rsidR="00AE3785"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p w:rsidR="0018682A"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r w:rsidRPr="0029329A">
        <w:rPr>
          <w:rFonts w:ascii="Times New Roman" w:hAnsi="Times New Roman" w:cs="Times New Roman"/>
          <w:b/>
          <w:sz w:val="28"/>
          <w:szCs w:val="28"/>
          <w:lang w:val="es-ES"/>
        </w:rPr>
        <w:t xml:space="preserve">III. INTERVENCIONES </w:t>
      </w:r>
    </w:p>
    <w:p w:rsidR="0018682A"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p>
    <w:p w:rsidR="00B1413E"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r w:rsidRPr="0029329A">
        <w:rPr>
          <w:rFonts w:ascii="Times New Roman" w:hAnsi="Times New Roman" w:cs="Times New Roman"/>
          <w:b/>
          <w:bCs/>
          <w:sz w:val="28"/>
          <w:szCs w:val="28"/>
          <w:lang w:val="es-ES"/>
        </w:rPr>
        <w:t xml:space="preserve">Ministerio de </w:t>
      </w:r>
      <w:r w:rsidRPr="0029329A">
        <w:rPr>
          <w:rFonts w:ascii="Times New Roman" w:hAnsi="Times New Roman" w:cs="Times New Roman"/>
          <w:b/>
          <w:bCs/>
          <w:sz w:val="28"/>
          <w:szCs w:val="28"/>
        </w:rPr>
        <w:t>Hacienda y Crédito Público</w:t>
      </w:r>
    </w:p>
    <w:p w:rsidR="001A07C2"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bookmarkEnd w:id="3"/>
    <w:p w:rsidR="0034716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2</w:t>
      </w:r>
      <w:r w:rsidRPr="0029329A">
        <w:rPr>
          <w:rFonts w:ascii="Times New Roman" w:hAnsi="Times New Roman" w:cs="Times New Roman"/>
          <w:sz w:val="28"/>
          <w:szCs w:val="28"/>
        </w:rPr>
        <w:t xml:space="preserve">. El Ministerio de Hacienda y Crédito Público solicitó la exequibilidad de los </w:t>
      </w:r>
      <w:r w:rsidRPr="0029329A">
        <w:rPr>
          <w:rFonts w:ascii="Times New Roman" w:hAnsi="Times New Roman" w:cs="Times New Roman"/>
          <w:sz w:val="28"/>
          <w:szCs w:val="28"/>
        </w:rPr>
        <w:t>artículos 135</w:t>
      </w:r>
      <w:r w:rsidRPr="0029329A">
        <w:rPr>
          <w:rFonts w:ascii="Times New Roman" w:hAnsi="Times New Roman" w:cs="Times New Roman"/>
          <w:sz w:val="28"/>
          <w:szCs w:val="28"/>
        </w:rPr>
        <w:t xml:space="preserve"> y 169 de la Ley 2294 de 2023, por la cual se expide el Plan Nacional de Desarrollo 2022-2026 </w:t>
      </w:r>
      <w:r w:rsidRPr="0029329A">
        <w:rPr>
          <w:rFonts w:ascii="Times New Roman" w:hAnsi="Times New Roman" w:cs="Times New Roman"/>
          <w:sz w:val="28"/>
          <w:szCs w:val="28"/>
        </w:rPr>
        <w:t>“</w:t>
      </w:r>
      <w:r w:rsidRPr="0029329A">
        <w:rPr>
          <w:rFonts w:ascii="Times New Roman" w:hAnsi="Times New Roman" w:cs="Times New Roman"/>
          <w:sz w:val="28"/>
          <w:szCs w:val="28"/>
        </w:rPr>
        <w:t>Colombia Potencia Mundial de la Vida</w:t>
      </w:r>
      <w:r w:rsidRPr="0029329A">
        <w:rPr>
          <w:rFonts w:ascii="Times New Roman" w:hAnsi="Times New Roman" w:cs="Times New Roman"/>
          <w:sz w:val="28"/>
          <w:szCs w:val="28"/>
        </w:rPr>
        <w:t>”</w:t>
      </w:r>
      <w:r w:rsidRPr="0029329A">
        <w:rPr>
          <w:rFonts w:ascii="Times New Roman" w:hAnsi="Times New Roman" w:cs="Times New Roman"/>
          <w:sz w:val="28"/>
          <w:szCs w:val="28"/>
        </w:rPr>
        <w:t>, en relación con los principios</w:t>
      </w:r>
      <w:r w:rsidRPr="0029329A">
        <w:rPr>
          <w:rFonts w:ascii="Times New Roman" w:hAnsi="Times New Roman" w:cs="Times New Roman"/>
          <w:sz w:val="28"/>
          <w:szCs w:val="28"/>
        </w:rPr>
        <w:t xml:space="preserve"> de unidad de materia y de certeza en materia tributaria</w:t>
      </w:r>
      <w:r w:rsidRPr="0029329A">
        <w:rPr>
          <w:rFonts w:ascii="Times New Roman" w:hAnsi="Times New Roman" w:cs="Times New Roman"/>
          <w:sz w:val="28"/>
          <w:szCs w:val="28"/>
        </w:rPr>
        <w:t xml:space="preserve">. </w:t>
      </w:r>
    </w:p>
    <w:p w:rsidR="0034716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3602F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13</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Sobre </w:t>
      </w:r>
      <w:r w:rsidRPr="0029329A">
        <w:rPr>
          <w:rFonts w:ascii="Times New Roman" w:hAnsi="Times New Roman" w:cs="Times New Roman"/>
          <w:sz w:val="28"/>
          <w:szCs w:val="28"/>
        </w:rPr>
        <w:t xml:space="preserve">las normas demandadas, el </w:t>
      </w:r>
      <w:r w:rsidRPr="0029329A">
        <w:rPr>
          <w:rFonts w:ascii="Times New Roman" w:hAnsi="Times New Roman" w:cs="Times New Roman"/>
          <w:sz w:val="28"/>
          <w:szCs w:val="28"/>
        </w:rPr>
        <w:t xml:space="preserve">interviniente afirmó </w:t>
      </w:r>
      <w:r w:rsidRPr="0029329A">
        <w:rPr>
          <w:rFonts w:ascii="Times New Roman" w:hAnsi="Times New Roman" w:cs="Times New Roman"/>
          <w:sz w:val="28"/>
          <w:szCs w:val="28"/>
        </w:rPr>
        <w:t>que respeta</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 el principio de unidad de materia, pues </w:t>
      </w:r>
      <w:r w:rsidRPr="0029329A">
        <w:rPr>
          <w:rFonts w:ascii="Times New Roman" w:hAnsi="Times New Roman" w:cs="Times New Roman"/>
          <w:sz w:val="28"/>
          <w:szCs w:val="28"/>
        </w:rPr>
        <w:t xml:space="preserve">(i) </w:t>
      </w:r>
      <w:r w:rsidRPr="0029329A">
        <w:rPr>
          <w:rFonts w:ascii="Times New Roman" w:hAnsi="Times New Roman" w:cs="Times New Roman"/>
          <w:sz w:val="28"/>
          <w:szCs w:val="28"/>
        </w:rPr>
        <w:t>por su ubicación y alcance tienen una naturaleza instrumental y guardan relación c</w:t>
      </w:r>
      <w:r w:rsidRPr="0029329A">
        <w:rPr>
          <w:rFonts w:ascii="Times New Roman" w:hAnsi="Times New Roman" w:cs="Times New Roman"/>
          <w:sz w:val="28"/>
          <w:szCs w:val="28"/>
        </w:rPr>
        <w:t>on los objetivos, metas, planes o estrategias de la parte general del Plan Nacional de Desarrollo</w:t>
      </w:r>
      <w:r w:rsidRPr="0029329A">
        <w:rPr>
          <w:rFonts w:ascii="Times New Roman" w:hAnsi="Times New Roman" w:cs="Times New Roman"/>
          <w:sz w:val="28"/>
          <w:szCs w:val="28"/>
        </w:rPr>
        <w:t xml:space="preserve"> y (ii) cuentan con una conexidad directa e inmediata con los objetivos, metas o estrategias de la parte general del Plan Nacional de Desarrollo. </w:t>
      </w:r>
    </w:p>
    <w:p w:rsidR="003602F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3602F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4</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Específicamente, sobre el artículo 135 acusado indicó que </w:t>
      </w:r>
      <w:r w:rsidRPr="0029329A">
        <w:rPr>
          <w:rFonts w:ascii="Times New Roman" w:hAnsi="Times New Roman" w:cs="Times New Roman"/>
          <w:sz w:val="28"/>
          <w:szCs w:val="28"/>
        </w:rPr>
        <w:t>“</w:t>
      </w:r>
      <w:r w:rsidRPr="0029329A">
        <w:rPr>
          <w:rFonts w:ascii="Times New Roman" w:hAnsi="Times New Roman" w:cs="Times New Roman"/>
          <w:sz w:val="28"/>
          <w:szCs w:val="28"/>
        </w:rPr>
        <w:t>se planteó como un elemento de política pública que materializa los derechos al patrimonio cultural como manifestación del respeto de la dignidad humana</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En esa medida, informó que </w:t>
      </w:r>
      <w:r w:rsidRPr="0029329A">
        <w:rPr>
          <w:rFonts w:ascii="Times New Roman" w:hAnsi="Times New Roman" w:cs="Times New Roman"/>
          <w:sz w:val="28"/>
          <w:szCs w:val="28"/>
        </w:rPr>
        <w:t>“</w:t>
      </w:r>
      <w:r w:rsidRPr="0029329A">
        <w:rPr>
          <w:rFonts w:ascii="Times New Roman" w:hAnsi="Times New Roman" w:cs="Times New Roman"/>
          <w:sz w:val="28"/>
          <w:szCs w:val="28"/>
        </w:rPr>
        <w:t>la tasa de pro</w:t>
      </w:r>
      <w:r w:rsidRPr="0029329A">
        <w:rPr>
          <w:rFonts w:ascii="Times New Roman" w:hAnsi="Times New Roman" w:cs="Times New Roman"/>
          <w:sz w:val="28"/>
          <w:szCs w:val="28"/>
        </w:rPr>
        <w:t>tección y manejo de bienes arqueológicos constituye una medida necesaria para impulsar el cumplimiento del Plan Nacional de Desarrollo en cuanto contribuye a garantizar la debida protección de los bienes arqueológicos como una estrategia incluida en el com</w:t>
      </w:r>
      <w:r w:rsidRPr="0029329A">
        <w:rPr>
          <w:rFonts w:ascii="Times New Roman" w:hAnsi="Times New Roman" w:cs="Times New Roman"/>
          <w:sz w:val="28"/>
          <w:szCs w:val="28"/>
        </w:rPr>
        <w:t>ponente de Gobernanza cultural del catalizador Garantía del disfrute y ejercicio de los</w:t>
      </w:r>
      <w:r w:rsidRPr="0029329A">
        <w:rPr>
          <w:rFonts w:ascii="Times New Roman" w:hAnsi="Times New Roman" w:cs="Times New Roman"/>
          <w:sz w:val="28"/>
        </w:rPr>
        <w:t xml:space="preserve"> </w:t>
      </w:r>
      <w:r w:rsidRPr="0029329A">
        <w:rPr>
          <w:rFonts w:ascii="Times New Roman" w:hAnsi="Times New Roman" w:cs="Times New Roman"/>
          <w:sz w:val="28"/>
          <w:szCs w:val="28"/>
        </w:rPr>
        <w:t>derechos culturales para la vida y la paz, siendo un instrumento idóneo para la ejecución y cumplimiento de los objetivos y estrategias de la construcción de una socied</w:t>
      </w:r>
      <w:r w:rsidRPr="0029329A">
        <w:rPr>
          <w:rFonts w:ascii="Times New Roman" w:hAnsi="Times New Roman" w:cs="Times New Roman"/>
          <w:sz w:val="28"/>
          <w:szCs w:val="28"/>
        </w:rPr>
        <w:t>ad en paz y más inclusiva, que dignifique la labor cultural, que reconozca los saberes y, adicionalmente, que proteja efectivamente el patrimonio y memorias del país</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6"/>
      </w:r>
      <w:r w:rsidRPr="0029329A">
        <w:rPr>
          <w:rFonts w:ascii="Times New Roman" w:hAnsi="Times New Roman" w:cs="Times New Roman"/>
          <w:sz w:val="28"/>
          <w:szCs w:val="28"/>
        </w:rPr>
        <w:t>.</w:t>
      </w:r>
    </w:p>
    <w:p w:rsidR="0034716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2B6B7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15</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Adicionalmente, el Ministerio de Hacienda y Crédito Público indicó que del conteni</w:t>
      </w:r>
      <w:r w:rsidRPr="0029329A">
        <w:rPr>
          <w:rFonts w:ascii="Times New Roman" w:hAnsi="Times New Roman" w:cs="Times New Roman"/>
          <w:sz w:val="28"/>
          <w:szCs w:val="28"/>
        </w:rPr>
        <w:t>do del artículo 135 de la Ley 2294 de 2023 se colige que existe una conexidad directa e inmediata con las estrategias contempladas en los objetivos fijados en la parte general del Plan Nacional de Desarrollo 2022 – 2026 que se manifiesta a través de una co</w:t>
      </w:r>
      <w:r w:rsidRPr="0029329A">
        <w:rPr>
          <w:rFonts w:ascii="Times New Roman" w:hAnsi="Times New Roman" w:cs="Times New Roman"/>
          <w:sz w:val="28"/>
          <w:szCs w:val="28"/>
        </w:rPr>
        <w:t>nexidad temática y teleológica con la finalidad de construir una sociedad en paz e inclusiva.</w:t>
      </w:r>
    </w:p>
    <w:p w:rsidR="006A68F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5430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6</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Frente al artículo 169 de la Ley 2294 de 2023, el interviniente </w:t>
      </w:r>
      <w:r w:rsidRPr="0029329A">
        <w:rPr>
          <w:rFonts w:ascii="Times New Roman" w:hAnsi="Times New Roman" w:cs="Times New Roman"/>
          <w:sz w:val="28"/>
          <w:szCs w:val="28"/>
        </w:rPr>
        <w:t xml:space="preserve">adujo que resulta evidente que la propiedad intelectual es un instrumento de protección y apoyo </w:t>
      </w:r>
      <w:r w:rsidRPr="0029329A">
        <w:rPr>
          <w:rFonts w:ascii="Times New Roman" w:hAnsi="Times New Roman" w:cs="Times New Roman"/>
          <w:sz w:val="28"/>
          <w:szCs w:val="28"/>
        </w:rPr>
        <w:t xml:space="preserve">a </w:t>
      </w:r>
      <w:r w:rsidRPr="0029329A">
        <w:rPr>
          <w:rFonts w:ascii="Times New Roman" w:hAnsi="Times New Roman" w:cs="Times New Roman"/>
          <w:sz w:val="28"/>
          <w:szCs w:val="28"/>
        </w:rPr>
        <w:t>la dignidad humana de los creadores, intérpretes y ejecutantes, para quienes la protección de sus derechos morales y patrimoniales les permite mejorar su cali</w:t>
      </w:r>
      <w:r w:rsidRPr="0029329A">
        <w:rPr>
          <w:rFonts w:ascii="Times New Roman" w:hAnsi="Times New Roman" w:cs="Times New Roman"/>
          <w:sz w:val="28"/>
          <w:szCs w:val="28"/>
        </w:rPr>
        <w:t xml:space="preserve">dad de vida, y es de esta manera </w:t>
      </w:r>
      <w:r w:rsidRPr="0029329A">
        <w:rPr>
          <w:rFonts w:ascii="Times New Roman" w:hAnsi="Times New Roman" w:cs="Times New Roman"/>
          <w:sz w:val="28"/>
          <w:szCs w:val="28"/>
        </w:rPr>
        <w:t>por la que</w:t>
      </w:r>
      <w:r w:rsidRPr="0029329A">
        <w:rPr>
          <w:rFonts w:ascii="Times New Roman" w:hAnsi="Times New Roman" w:cs="Times New Roman"/>
          <w:sz w:val="28"/>
          <w:szCs w:val="28"/>
        </w:rPr>
        <w:t xml:space="preserve"> el Estado requiere fortalecer la</w:t>
      </w:r>
      <w:r w:rsidRPr="0029329A">
        <w:rPr>
          <w:rFonts w:ascii="Times New Roman" w:hAnsi="Times New Roman" w:cs="Times New Roman"/>
          <w:sz w:val="28"/>
        </w:rPr>
        <w:t xml:space="preserve"> </w:t>
      </w:r>
      <w:r w:rsidRPr="0029329A">
        <w:rPr>
          <w:rFonts w:ascii="Times New Roman" w:hAnsi="Times New Roman" w:cs="Times New Roman"/>
          <w:sz w:val="28"/>
          <w:szCs w:val="28"/>
        </w:rPr>
        <w:t>Dirección Nacional de Derecho de Autor, para salvaguardar a los titulares de derecho de autor y derechos conexos, a través de herramientas tales como el registro de obras, actos y</w:t>
      </w:r>
      <w:r w:rsidRPr="0029329A">
        <w:rPr>
          <w:rFonts w:ascii="Times New Roman" w:hAnsi="Times New Roman" w:cs="Times New Roman"/>
          <w:sz w:val="28"/>
          <w:szCs w:val="28"/>
        </w:rPr>
        <w:t xml:space="preserve"> contratos, la capacitación y la realización de funciones de inspección, vigilancia y control sobre la gestión colectiva del derecho de autor</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7"/>
      </w:r>
      <w:r w:rsidRPr="0029329A">
        <w:rPr>
          <w:rFonts w:ascii="Times New Roman" w:hAnsi="Times New Roman" w:cs="Times New Roman"/>
          <w:sz w:val="28"/>
          <w:szCs w:val="28"/>
        </w:rPr>
        <w:t>.</w:t>
      </w:r>
    </w:p>
    <w:p w:rsidR="00E5430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5430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17</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Finalmente, el Ministerio de Hacienda y Crédito Público manifestó que el artículo 135 de la Ley 2294 de 20</w:t>
      </w:r>
      <w:r w:rsidRPr="0029329A">
        <w:rPr>
          <w:rFonts w:ascii="Times New Roman" w:hAnsi="Times New Roman" w:cs="Times New Roman"/>
          <w:sz w:val="28"/>
          <w:szCs w:val="28"/>
        </w:rPr>
        <w:t xml:space="preserve">23 no desconoce el principio de certeza en materia tributaria, pues </w:t>
      </w:r>
      <w:r w:rsidRPr="0029329A">
        <w:rPr>
          <w:rFonts w:ascii="Times New Roman" w:hAnsi="Times New Roman" w:cs="Times New Roman"/>
          <w:sz w:val="28"/>
          <w:szCs w:val="28"/>
        </w:rPr>
        <w:t>“</w:t>
      </w:r>
      <w:r w:rsidRPr="0029329A">
        <w:rPr>
          <w:rFonts w:ascii="Times New Roman" w:hAnsi="Times New Roman" w:cs="Times New Roman"/>
          <w:sz w:val="28"/>
          <w:szCs w:val="28"/>
        </w:rPr>
        <w:t>establece de manera clara y precisa que la base gravable de esta tasa son los costos (administrativos, financieros, directos e indirectos de la operación) de los servicios correspondiente</w:t>
      </w:r>
      <w:r w:rsidRPr="0029329A">
        <w:rPr>
          <w:rFonts w:ascii="Times New Roman" w:hAnsi="Times New Roman" w:cs="Times New Roman"/>
          <w:sz w:val="28"/>
          <w:szCs w:val="28"/>
        </w:rPr>
        <w:t>s a cada uno de los hechos generadores y, además, fija los factores o criterios necesarios para establecer la metodología de cálculo que debe aplicar el Gobierno nacional con el fin de cuantificar los mencionados costos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Por lo anterior, concluyó que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no </w:t>
      </w:r>
      <w:r w:rsidRPr="0029329A">
        <w:rPr>
          <w:rFonts w:ascii="Times New Roman" w:hAnsi="Times New Roman" w:cs="Times New Roman"/>
          <w:sz w:val="28"/>
          <w:szCs w:val="28"/>
        </w:rPr>
        <w:t>existe una indeterminación absoluta de la base gravable que pueda generar la inexequibilidad de la norma demandada, con ocasión del supuesto menoscabo al principio de legalidad</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8"/>
      </w:r>
      <w:r w:rsidRPr="0029329A">
        <w:rPr>
          <w:rFonts w:ascii="Times New Roman" w:hAnsi="Times New Roman" w:cs="Times New Roman"/>
          <w:sz w:val="28"/>
          <w:szCs w:val="28"/>
        </w:rPr>
        <w:t>.</w:t>
      </w:r>
    </w:p>
    <w:p w:rsidR="00E5430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b/>
          <w:sz w:val="28"/>
          <w:szCs w:val="28"/>
        </w:rPr>
        <w:t>Presidencia de la República</w:t>
      </w: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8</w:t>
      </w:r>
      <w:r w:rsidRPr="0029329A">
        <w:rPr>
          <w:rFonts w:ascii="Times New Roman" w:hAnsi="Times New Roman" w:cs="Times New Roman"/>
          <w:sz w:val="28"/>
          <w:szCs w:val="28"/>
        </w:rPr>
        <w:t>. La Presidencia de la República intervino e</w:t>
      </w:r>
      <w:r w:rsidRPr="0029329A">
        <w:rPr>
          <w:rFonts w:ascii="Times New Roman" w:hAnsi="Times New Roman" w:cs="Times New Roman"/>
          <w:sz w:val="28"/>
          <w:szCs w:val="28"/>
        </w:rPr>
        <w:t xml:space="preserve">n el presente proceso y solicitó a esta corporación declarar la exequibilidad de los artículos 135 y 169 de la Ley 2294 de 2023, toda vez que: </w:t>
      </w: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(i) </w:t>
      </w:r>
      <w:r w:rsidRPr="0029329A">
        <w:rPr>
          <w:rFonts w:ascii="Times New Roman" w:hAnsi="Times New Roman" w:cs="Times New Roman"/>
          <w:sz w:val="28"/>
          <w:szCs w:val="28"/>
        </w:rPr>
        <w:t>“</w:t>
      </w:r>
      <w:r w:rsidRPr="0029329A">
        <w:rPr>
          <w:rFonts w:ascii="Times New Roman" w:hAnsi="Times New Roman" w:cs="Times New Roman"/>
          <w:sz w:val="28"/>
          <w:szCs w:val="28"/>
        </w:rPr>
        <w:t>No transgreden el principio de unidad de materia, por cuanto las tasas establecidas por la prestación de s</w:t>
      </w:r>
      <w:r w:rsidRPr="0029329A">
        <w:rPr>
          <w:rFonts w:ascii="Times New Roman" w:hAnsi="Times New Roman" w:cs="Times New Roman"/>
          <w:sz w:val="28"/>
          <w:szCs w:val="28"/>
        </w:rPr>
        <w:t>ervicios del Instituto Colombiano de Arqueología e Historia (en adelante ICANH) y la Dirección Nacional de Derecho de Autor (en adelante DNDA), constituyen mecanismos instrumentales para impulsar el cumplimiento y la ejecución del Plan Nacional de Inversio</w:t>
      </w:r>
      <w:r w:rsidRPr="0029329A">
        <w:rPr>
          <w:rFonts w:ascii="Times New Roman" w:hAnsi="Times New Roman" w:cs="Times New Roman"/>
          <w:sz w:val="28"/>
          <w:szCs w:val="28"/>
        </w:rPr>
        <w:t>nes, dispuesto en la Ley 2294 de 2023, con lo cual, las normas acusadas guardan una relación de conexión directa, inmediata y verificable con las bases del PND</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9"/>
      </w:r>
      <w:r w:rsidRPr="0029329A">
        <w:rPr>
          <w:rFonts w:ascii="Times New Roman" w:hAnsi="Times New Roman" w:cs="Times New Roman"/>
          <w:sz w:val="28"/>
          <w:szCs w:val="28"/>
        </w:rPr>
        <w:t xml:space="preserve">. </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(ii) </w:t>
      </w:r>
      <w:r w:rsidRPr="0029329A">
        <w:rPr>
          <w:rFonts w:ascii="Times New Roman" w:hAnsi="Times New Roman" w:cs="Times New Roman"/>
          <w:sz w:val="28"/>
          <w:szCs w:val="28"/>
        </w:rPr>
        <w:t>“</w:t>
      </w:r>
      <w:r w:rsidRPr="0029329A">
        <w:rPr>
          <w:rFonts w:ascii="Times New Roman" w:hAnsi="Times New Roman" w:cs="Times New Roman"/>
          <w:sz w:val="28"/>
          <w:szCs w:val="28"/>
        </w:rPr>
        <w:t>No vulneran los principios de legalidad y certeza del tributo, pues las disposiciones</w:t>
      </w:r>
      <w:r w:rsidRPr="0029329A">
        <w:rPr>
          <w:rFonts w:ascii="Times New Roman" w:hAnsi="Times New Roman" w:cs="Times New Roman"/>
          <w:sz w:val="28"/>
          <w:szCs w:val="28"/>
        </w:rPr>
        <w:t xml:space="preserve"> impugnadas establecen la metodología del cálculo y el sistema de costos mediante el cual, por expresa disposición de la Ley 2294 de 2023, el ICANH y la DNDA fijarán la tarifa de las tasas establecidas por la prestación de sus servicios</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10"/>
      </w:r>
      <w:r w:rsidRPr="0029329A">
        <w:rPr>
          <w:rFonts w:ascii="Times New Roman" w:hAnsi="Times New Roman" w:cs="Times New Roman"/>
          <w:sz w:val="28"/>
          <w:szCs w:val="28"/>
        </w:rPr>
        <w:t>.</w:t>
      </w:r>
    </w:p>
    <w:p w:rsidR="00631A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5430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b/>
          <w:sz w:val="28"/>
          <w:szCs w:val="28"/>
        </w:rPr>
        <w:t>Agencia Naciona</w:t>
      </w:r>
      <w:r w:rsidRPr="0029329A">
        <w:rPr>
          <w:rFonts w:ascii="Times New Roman" w:hAnsi="Times New Roman" w:cs="Times New Roman"/>
          <w:b/>
          <w:sz w:val="28"/>
          <w:szCs w:val="28"/>
        </w:rPr>
        <w:t>l de Defensa Jurídica del Estado</w:t>
      </w:r>
    </w:p>
    <w:p w:rsidR="00661CB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464A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9</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La Agencia Nacional de Defensa Jurídica del Estado solicitó declarar la constitucionalidad de los artículos 135 y 169 de la Ley 2294 del 2023. Para sustentar su petición, indicó que ratificaba el núcleo central de la </w:t>
      </w:r>
      <w:r w:rsidRPr="0029329A">
        <w:rPr>
          <w:rFonts w:ascii="Times New Roman" w:hAnsi="Times New Roman" w:cs="Times New Roman"/>
          <w:sz w:val="28"/>
          <w:szCs w:val="28"/>
        </w:rPr>
        <w:t>solicitud de exequibilidad presentada por diversas instituciones públicas que actuaron como intervinientes en este proceso.</w:t>
      </w:r>
    </w:p>
    <w:p w:rsidR="00F464A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464A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szCs w:val="28"/>
        </w:rPr>
        <w:t>20</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En primer lugar</w:t>
      </w:r>
      <w:r w:rsidRPr="0029329A">
        <w:rPr>
          <w:rFonts w:ascii="Times New Roman" w:hAnsi="Times New Roman" w:cs="Times New Roman"/>
          <w:sz w:val="28"/>
          <w:szCs w:val="28"/>
        </w:rPr>
        <w:t xml:space="preserve">, la entidad interviniente </w:t>
      </w:r>
      <w:r w:rsidRPr="0029329A">
        <w:rPr>
          <w:rFonts w:ascii="Times New Roman" w:hAnsi="Times New Roman" w:cs="Times New Roman"/>
          <w:sz w:val="28"/>
          <w:szCs w:val="28"/>
        </w:rPr>
        <w:t>aseguró</w:t>
      </w:r>
      <w:r w:rsidRPr="0029329A">
        <w:rPr>
          <w:rFonts w:ascii="Times New Roman" w:hAnsi="Times New Roman" w:cs="Times New Roman"/>
          <w:sz w:val="28"/>
          <w:szCs w:val="28"/>
        </w:rPr>
        <w:t xml:space="preserve"> que el artículo 135 de la Ley 2294 de 2023 no viola el principio de unidad de</w:t>
      </w:r>
      <w:r w:rsidRPr="0029329A">
        <w:rPr>
          <w:rFonts w:ascii="Times New Roman" w:hAnsi="Times New Roman" w:cs="Times New Roman"/>
          <w:sz w:val="28"/>
          <w:szCs w:val="28"/>
        </w:rPr>
        <w:t xml:space="preserve"> materia, pues: (i) </w:t>
      </w:r>
      <w:r w:rsidRPr="0029329A">
        <w:rPr>
          <w:rFonts w:ascii="Times New Roman" w:hAnsi="Times New Roman" w:cs="Times New Roman"/>
          <w:sz w:val="28"/>
          <w:szCs w:val="28"/>
        </w:rPr>
        <w:t>“</w:t>
      </w:r>
      <w:r w:rsidRPr="0029329A">
        <w:rPr>
          <w:rFonts w:ascii="Times New Roman" w:hAnsi="Times New Roman" w:cs="Times New Roman"/>
          <w:sz w:val="28"/>
          <w:szCs w:val="28"/>
        </w:rPr>
        <w:t>l</w:t>
      </w:r>
      <w:r w:rsidRPr="0029329A">
        <w:rPr>
          <w:rFonts w:ascii="Times New Roman" w:hAnsi="Times New Roman" w:cs="Times New Roman"/>
          <w:sz w:val="28"/>
        </w:rPr>
        <w:t>a norma se halla inserta y ubicada en el eje de transformación de la seguridad humana y justicia social, catalizador expansión de capacidades, lo cual corresponde al contenido y propósito de la disposición</w:t>
      </w:r>
      <w:r w:rsidRPr="0029329A">
        <w:rPr>
          <w:rFonts w:ascii="Times New Roman" w:hAnsi="Times New Roman" w:cs="Times New Roman"/>
          <w:sz w:val="28"/>
        </w:rPr>
        <w:t>”</w:t>
      </w:r>
      <w:r w:rsidRPr="0029329A">
        <w:rPr>
          <w:rFonts w:ascii="Times New Roman" w:hAnsi="Times New Roman" w:cs="Times New Roman"/>
          <w:sz w:val="28"/>
        </w:rPr>
        <w:t xml:space="preserve">, (ii) </w:t>
      </w:r>
      <w:r w:rsidRPr="0029329A">
        <w:rPr>
          <w:rFonts w:ascii="Times New Roman" w:hAnsi="Times New Roman" w:cs="Times New Roman"/>
          <w:sz w:val="28"/>
        </w:rPr>
        <w:t>“</w:t>
      </w:r>
      <w:r w:rsidRPr="0029329A">
        <w:rPr>
          <w:rFonts w:ascii="Times New Roman" w:hAnsi="Times New Roman" w:cs="Times New Roman"/>
          <w:sz w:val="28"/>
        </w:rPr>
        <w:t>existen objetivos, p</w:t>
      </w:r>
      <w:r w:rsidRPr="0029329A">
        <w:rPr>
          <w:rFonts w:ascii="Times New Roman" w:hAnsi="Times New Roman" w:cs="Times New Roman"/>
          <w:sz w:val="28"/>
        </w:rPr>
        <w:t>lanes y estrategias que se encuentran también en el documento Bases del Plan Nacional de Desarrollo 2022-2026, relacionados con la norma acusada, que justifican claramente su inserción en el articulado</w:t>
      </w:r>
      <w:r w:rsidRPr="0029329A">
        <w:rPr>
          <w:rFonts w:ascii="Times New Roman" w:hAnsi="Times New Roman" w:cs="Times New Roman"/>
          <w:sz w:val="28"/>
        </w:rPr>
        <w:t>”</w:t>
      </w:r>
      <w:r w:rsidRPr="0029329A">
        <w:rPr>
          <w:rFonts w:ascii="Times New Roman" w:hAnsi="Times New Roman" w:cs="Times New Roman"/>
          <w:sz w:val="28"/>
        </w:rPr>
        <w:t xml:space="preserve"> y (ii</w:t>
      </w:r>
      <w:r w:rsidRPr="0029329A">
        <w:rPr>
          <w:rFonts w:ascii="Times New Roman" w:hAnsi="Times New Roman" w:cs="Times New Roman"/>
          <w:sz w:val="28"/>
        </w:rPr>
        <w:t>i</w:t>
      </w:r>
      <w:r w:rsidRPr="0029329A">
        <w:rPr>
          <w:rFonts w:ascii="Times New Roman" w:hAnsi="Times New Roman" w:cs="Times New Roman"/>
          <w:sz w:val="28"/>
        </w:rPr>
        <w:t xml:space="preserve">) existe una </w:t>
      </w:r>
      <w:r w:rsidRPr="0029329A">
        <w:rPr>
          <w:rFonts w:ascii="Times New Roman" w:hAnsi="Times New Roman" w:cs="Times New Roman"/>
          <w:sz w:val="28"/>
        </w:rPr>
        <w:t>“</w:t>
      </w:r>
      <w:r w:rsidRPr="0029329A">
        <w:rPr>
          <w:rFonts w:ascii="Times New Roman" w:hAnsi="Times New Roman" w:cs="Times New Roman"/>
          <w:sz w:val="28"/>
        </w:rPr>
        <w:t>conexidad directa e inmediata</w:t>
      </w:r>
      <w:r w:rsidRPr="0029329A">
        <w:rPr>
          <w:rFonts w:ascii="Times New Roman" w:hAnsi="Times New Roman" w:cs="Times New Roman"/>
          <w:sz w:val="28"/>
        </w:rPr>
        <w:t>”</w:t>
      </w:r>
      <w:r w:rsidRPr="0029329A">
        <w:rPr>
          <w:rFonts w:ascii="Times New Roman" w:hAnsi="Times New Roman" w:cs="Times New Roman"/>
          <w:sz w:val="28"/>
        </w:rPr>
        <w:t xml:space="preserve"> en</w:t>
      </w:r>
      <w:r w:rsidRPr="0029329A">
        <w:rPr>
          <w:rFonts w:ascii="Times New Roman" w:hAnsi="Times New Roman" w:cs="Times New Roman"/>
          <w:sz w:val="28"/>
        </w:rPr>
        <w:t>tre la tasa que se crea y la necesidad de protección del patrimonio arqueológico</w:t>
      </w:r>
      <w:r w:rsidRPr="0029329A">
        <w:rPr>
          <w:rStyle w:val="Refdenotaalpie"/>
          <w:rFonts w:ascii="Times New Roman" w:hAnsi="Times New Roman"/>
          <w:sz w:val="28"/>
          <w:vertAlign w:val="superscript"/>
        </w:rPr>
        <w:footnoteReference w:id="11"/>
      </w:r>
      <w:r w:rsidRPr="0029329A">
        <w:rPr>
          <w:rFonts w:ascii="Times New Roman" w:hAnsi="Times New Roman" w:cs="Times New Roman"/>
          <w:sz w:val="28"/>
        </w:rPr>
        <w:t>.</w:t>
      </w:r>
    </w:p>
    <w:p w:rsidR="0050572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p>
    <w:p w:rsidR="0050572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rPr>
        <w:t>21</w:t>
      </w:r>
      <w:r w:rsidRPr="0029329A">
        <w:rPr>
          <w:rFonts w:ascii="Times New Roman" w:hAnsi="Times New Roman" w:cs="Times New Roman"/>
          <w:sz w:val="28"/>
        </w:rPr>
        <w:t xml:space="preserve">. </w:t>
      </w:r>
      <w:r w:rsidRPr="0029329A">
        <w:rPr>
          <w:rFonts w:ascii="Times New Roman" w:hAnsi="Times New Roman" w:cs="Times New Roman"/>
          <w:sz w:val="28"/>
        </w:rPr>
        <w:t xml:space="preserve">En segundo lugar, la Agencia Nacional de Defensa Jurídica del Estado </w:t>
      </w:r>
      <w:r w:rsidRPr="0029329A">
        <w:rPr>
          <w:rFonts w:ascii="Times New Roman" w:hAnsi="Times New Roman" w:cs="Times New Roman"/>
          <w:sz w:val="28"/>
        </w:rPr>
        <w:t xml:space="preserve">indicó </w:t>
      </w:r>
      <w:r w:rsidRPr="0029329A">
        <w:rPr>
          <w:rFonts w:ascii="Times New Roman" w:hAnsi="Times New Roman" w:cs="Times New Roman"/>
          <w:sz w:val="28"/>
        </w:rPr>
        <w:t>que el artículo 169 de la Ley 2294 de 2023 no viola el principio de unidad de materia, porqu</w:t>
      </w:r>
      <w:r w:rsidRPr="0029329A">
        <w:rPr>
          <w:rFonts w:ascii="Times New Roman" w:hAnsi="Times New Roman" w:cs="Times New Roman"/>
          <w:sz w:val="28"/>
        </w:rPr>
        <w:t xml:space="preserve">e: (i) </w:t>
      </w:r>
      <w:r w:rsidRPr="0029329A">
        <w:rPr>
          <w:rFonts w:ascii="Times New Roman" w:hAnsi="Times New Roman" w:cs="Times New Roman"/>
          <w:sz w:val="28"/>
        </w:rPr>
        <w:t>“</w:t>
      </w:r>
      <w:r w:rsidRPr="0029329A">
        <w:rPr>
          <w:rFonts w:ascii="Times New Roman" w:hAnsi="Times New Roman" w:cs="Times New Roman"/>
          <w:sz w:val="28"/>
        </w:rPr>
        <w:t>la norma se halla inserta y ubicada en el eje de transformación de la seguridad humana y justicia social, catalizador expansión de capacidades: más y mejores oportunidades de la población para lograr sus proyectos de vida, componente Democratizació</w:t>
      </w:r>
      <w:r w:rsidRPr="0029329A">
        <w:rPr>
          <w:rFonts w:ascii="Times New Roman" w:hAnsi="Times New Roman" w:cs="Times New Roman"/>
          <w:sz w:val="28"/>
        </w:rPr>
        <w:t>n del conocimiento: aprovechamiento de la propiedad intelectual (PI) y reconocimiento de los saberes tradicionales, c. Apoyo a Derechos de Autor y conexos, lo cual corresponde al contenido y propósito de la disposición</w:t>
      </w:r>
      <w:r w:rsidRPr="0029329A">
        <w:rPr>
          <w:rFonts w:ascii="Times New Roman" w:hAnsi="Times New Roman" w:cs="Times New Roman"/>
          <w:sz w:val="28"/>
        </w:rPr>
        <w:t>”</w:t>
      </w:r>
      <w:r w:rsidRPr="0029329A">
        <w:rPr>
          <w:rFonts w:ascii="Times New Roman" w:hAnsi="Times New Roman" w:cs="Times New Roman"/>
          <w:sz w:val="28"/>
        </w:rPr>
        <w:t xml:space="preserve">, (ii) </w:t>
      </w:r>
      <w:r w:rsidRPr="0029329A">
        <w:rPr>
          <w:rFonts w:ascii="Times New Roman" w:hAnsi="Times New Roman" w:cs="Times New Roman"/>
          <w:sz w:val="28"/>
        </w:rPr>
        <w:t>“</w:t>
      </w:r>
      <w:r w:rsidRPr="0029329A">
        <w:rPr>
          <w:rFonts w:ascii="Times New Roman" w:hAnsi="Times New Roman" w:cs="Times New Roman"/>
          <w:sz w:val="28"/>
        </w:rPr>
        <w:t>existen objetivos, planes y e</w:t>
      </w:r>
      <w:r w:rsidRPr="0029329A">
        <w:rPr>
          <w:rFonts w:ascii="Times New Roman" w:hAnsi="Times New Roman" w:cs="Times New Roman"/>
          <w:sz w:val="28"/>
        </w:rPr>
        <w:t>strategias que se encuentran a todo lo largo del documento Bases del Plan Nacional de Desarrollo 2022- 2026, relacionados con la norma acusada</w:t>
      </w:r>
      <w:r w:rsidRPr="0029329A">
        <w:rPr>
          <w:rFonts w:ascii="Times New Roman" w:hAnsi="Times New Roman" w:cs="Times New Roman"/>
          <w:sz w:val="28"/>
        </w:rPr>
        <w:t>”</w:t>
      </w:r>
      <w:r w:rsidRPr="0029329A">
        <w:rPr>
          <w:rFonts w:ascii="Times New Roman" w:hAnsi="Times New Roman" w:cs="Times New Roman"/>
          <w:sz w:val="28"/>
        </w:rPr>
        <w:t xml:space="preserve"> y (iii) </w:t>
      </w:r>
      <w:r w:rsidRPr="0029329A">
        <w:rPr>
          <w:rFonts w:ascii="Times New Roman" w:hAnsi="Times New Roman" w:cs="Times New Roman"/>
          <w:sz w:val="28"/>
        </w:rPr>
        <w:t>“</w:t>
      </w:r>
      <w:r w:rsidRPr="0029329A">
        <w:rPr>
          <w:rFonts w:ascii="Times New Roman" w:hAnsi="Times New Roman" w:cs="Times New Roman"/>
          <w:sz w:val="28"/>
        </w:rPr>
        <w:t xml:space="preserve">se ha explicado la conexidad directa e inmediata que existe entre la tasa que se crea y la importancia </w:t>
      </w:r>
      <w:r w:rsidRPr="0029329A">
        <w:rPr>
          <w:rFonts w:ascii="Times New Roman" w:hAnsi="Times New Roman" w:cs="Times New Roman"/>
          <w:sz w:val="28"/>
        </w:rPr>
        <w:t>en el fortalecimiento y desarrollo de la propiedad intelectual, a través del fortalecimiento de la DNDA que redunda en la generación de riqueza para el país</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12"/>
      </w:r>
      <w:r w:rsidRPr="0029329A">
        <w:rPr>
          <w:rFonts w:ascii="Times New Roman" w:hAnsi="Times New Roman" w:cs="Times New Roman"/>
          <w:sz w:val="28"/>
        </w:rPr>
        <w:t>.</w:t>
      </w:r>
    </w:p>
    <w:p w:rsidR="000E71A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464A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22</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Finalmente, la interviniente concluyó que la expresión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la base para la liquidación de la </w:t>
      </w:r>
      <w:r w:rsidRPr="0029329A">
        <w:rPr>
          <w:rFonts w:ascii="Times New Roman" w:hAnsi="Times New Roman" w:cs="Times New Roman"/>
          <w:sz w:val="28"/>
          <w:szCs w:val="28"/>
        </w:rPr>
        <w:t>tasa será el costo de los servicios correspondientes a cada uno de los hechos generadores establecidos en este artículo, conforme la metodología de cálculo que establezca el Gobierno nacional</w:t>
      </w:r>
      <w:r w:rsidRPr="0029329A">
        <w:rPr>
          <w:rFonts w:ascii="Times New Roman" w:hAnsi="Times New Roman" w:cs="Times New Roman"/>
          <w:sz w:val="28"/>
          <w:szCs w:val="28"/>
        </w:rPr>
        <w:t>”</w:t>
      </w:r>
      <w:r w:rsidRPr="0029329A">
        <w:rPr>
          <w:rFonts w:ascii="Times New Roman" w:hAnsi="Times New Roman" w:cs="Times New Roman"/>
          <w:sz w:val="28"/>
          <w:szCs w:val="28"/>
        </w:rPr>
        <w:t>, contenida en el artículo 135 de la Ley 2294 de 2023 no viola e</w:t>
      </w:r>
      <w:r w:rsidRPr="0029329A">
        <w:rPr>
          <w:rFonts w:ascii="Times New Roman" w:hAnsi="Times New Roman" w:cs="Times New Roman"/>
          <w:sz w:val="28"/>
          <w:szCs w:val="28"/>
        </w:rPr>
        <w:t xml:space="preserve">l principio de legalidad, pues el precepto demandado </w:t>
      </w:r>
      <w:r w:rsidRPr="0029329A">
        <w:rPr>
          <w:rFonts w:ascii="Times New Roman" w:hAnsi="Times New Roman" w:cs="Times New Roman"/>
          <w:sz w:val="28"/>
        </w:rPr>
        <w:t>contiene de manera inequívoca los elementos esenciales de la tasa en cuestión: el sujeto activo, el sujeto pasivo, los hechos generadores, la base gravable y la tarifa. En esa medida, se debe entender qu</w:t>
      </w:r>
      <w:r w:rsidRPr="0029329A">
        <w:rPr>
          <w:rFonts w:ascii="Times New Roman" w:hAnsi="Times New Roman" w:cs="Times New Roman"/>
          <w:sz w:val="28"/>
        </w:rPr>
        <w:t xml:space="preserve">e </w:t>
      </w:r>
      <w:r w:rsidRPr="0029329A">
        <w:rPr>
          <w:rFonts w:ascii="Times New Roman" w:hAnsi="Times New Roman" w:cs="Times New Roman"/>
          <w:sz w:val="28"/>
        </w:rPr>
        <w:t>“</w:t>
      </w:r>
      <w:r w:rsidRPr="0029329A">
        <w:rPr>
          <w:rFonts w:ascii="Times New Roman" w:hAnsi="Times New Roman" w:cs="Times New Roman"/>
          <w:sz w:val="28"/>
        </w:rPr>
        <w:t>es claro que la base está constituida por los costos de los servicios prestados, lo cual no adolece de falta de claridad</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13"/>
      </w:r>
      <w:r w:rsidRPr="0029329A">
        <w:rPr>
          <w:rFonts w:ascii="Times New Roman" w:hAnsi="Times New Roman" w:cs="Times New Roman"/>
          <w:sz w:val="28"/>
        </w:rPr>
        <w:t>.</w:t>
      </w:r>
    </w:p>
    <w:p w:rsidR="000E71A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0E71A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bookmarkStart w:id="5" w:name="_Hlk150930640"/>
      <w:r w:rsidRPr="0029329A">
        <w:rPr>
          <w:rFonts w:ascii="Times New Roman" w:hAnsi="Times New Roman" w:cs="Times New Roman"/>
          <w:b/>
          <w:sz w:val="28"/>
          <w:szCs w:val="28"/>
        </w:rPr>
        <w:t>Departamento Nacional de Planeación</w:t>
      </w:r>
    </w:p>
    <w:bookmarkEnd w:id="5"/>
    <w:p w:rsidR="000E71A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A19E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w:t>
      </w:r>
      <w:r w:rsidRPr="0029329A">
        <w:rPr>
          <w:rFonts w:ascii="Times New Roman" w:hAnsi="Times New Roman" w:cs="Times New Roman"/>
          <w:sz w:val="28"/>
          <w:szCs w:val="28"/>
        </w:rPr>
        <w:t>3</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El Departamento Nacional de Planeación solicitó a la Corte Constitucional que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declare </w:t>
      </w:r>
      <w:r w:rsidRPr="0029329A">
        <w:rPr>
          <w:rFonts w:ascii="Times New Roman" w:hAnsi="Times New Roman" w:cs="Times New Roman"/>
          <w:sz w:val="28"/>
          <w:szCs w:val="28"/>
        </w:rPr>
        <w:t>los artículos 135 y 169 como EXEQUIBLES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Para sustentar su petición, argumentó lo siguiente: </w:t>
      </w:r>
    </w:p>
    <w:p w:rsidR="00EA19E6"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0022C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24</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Por una parte, el interviniente se refirió a </w:t>
      </w:r>
      <w:r w:rsidRPr="0029329A">
        <w:rPr>
          <w:rFonts w:ascii="Times New Roman" w:hAnsi="Times New Roman" w:cs="Times New Roman"/>
          <w:sz w:val="28"/>
          <w:szCs w:val="28"/>
        </w:rPr>
        <w:t>l</w:t>
      </w:r>
      <w:r w:rsidRPr="0029329A">
        <w:rPr>
          <w:rFonts w:ascii="Times New Roman" w:hAnsi="Times New Roman" w:cs="Times New Roman"/>
          <w:sz w:val="28"/>
          <w:szCs w:val="28"/>
        </w:rPr>
        <w:t>a</w:t>
      </w:r>
      <w:r w:rsidRPr="0029329A">
        <w:rPr>
          <w:rFonts w:ascii="Times New Roman" w:hAnsi="Times New Roman" w:cs="Times New Roman"/>
          <w:sz w:val="28"/>
          <w:szCs w:val="28"/>
        </w:rPr>
        <w:t xml:space="preserve"> exequibilidad de</w:t>
      </w:r>
      <w:r w:rsidRPr="0029329A">
        <w:rPr>
          <w:rFonts w:ascii="Times New Roman" w:hAnsi="Times New Roman" w:cs="Times New Roman"/>
          <w:sz w:val="28"/>
          <w:szCs w:val="28"/>
        </w:rPr>
        <w:t>l artículo 135 de la Ley 2294 de 2023</w:t>
      </w:r>
      <w:r w:rsidRPr="0029329A">
        <w:rPr>
          <w:rFonts w:ascii="Times New Roman" w:hAnsi="Times New Roman" w:cs="Times New Roman"/>
          <w:sz w:val="28"/>
          <w:szCs w:val="28"/>
        </w:rPr>
        <w:t xml:space="preserve"> e </w:t>
      </w:r>
      <w:r w:rsidRPr="0029329A">
        <w:rPr>
          <w:rFonts w:ascii="Times New Roman" w:hAnsi="Times New Roman" w:cs="Times New Roman"/>
          <w:sz w:val="28"/>
          <w:szCs w:val="28"/>
        </w:rPr>
        <w:t xml:space="preserve">indicó que </w:t>
      </w:r>
      <w:r w:rsidRPr="0029329A">
        <w:rPr>
          <w:rFonts w:ascii="Times New Roman" w:hAnsi="Times New Roman" w:cs="Times New Roman"/>
          <w:sz w:val="28"/>
          <w:szCs w:val="28"/>
        </w:rPr>
        <w:t>el Patrimonio Cultural de la Nación (PCN)</w:t>
      </w:r>
      <w:r w:rsidRPr="0029329A">
        <w:rPr>
          <w:rFonts w:ascii="Times New Roman" w:hAnsi="Times New Roman" w:cs="Times New Roman"/>
          <w:sz w:val="28"/>
          <w:szCs w:val="28"/>
        </w:rPr>
        <w:t xml:space="preserve"> está constituido, entre otros, por los bienes integrantes del patrimonio arqueológico, los cuales se reconocen como bienes de interés cultural propiedad de la Nación. </w:t>
      </w:r>
      <w:r w:rsidRPr="0029329A">
        <w:rPr>
          <w:rFonts w:ascii="Times New Roman" w:hAnsi="Times New Roman" w:cs="Times New Roman"/>
          <w:sz w:val="28"/>
          <w:szCs w:val="28"/>
        </w:rPr>
        <w:t>En esa medida, señal</w:t>
      </w:r>
      <w:r w:rsidRPr="0029329A">
        <w:rPr>
          <w:rFonts w:ascii="Times New Roman" w:hAnsi="Times New Roman" w:cs="Times New Roman"/>
          <w:sz w:val="28"/>
          <w:szCs w:val="28"/>
        </w:rPr>
        <w:t>ó</w:t>
      </w:r>
      <w:r w:rsidRPr="0029329A">
        <w:rPr>
          <w:rFonts w:ascii="Times New Roman" w:hAnsi="Times New Roman" w:cs="Times New Roman"/>
          <w:sz w:val="28"/>
          <w:szCs w:val="28"/>
        </w:rPr>
        <w:t xml:space="preserve"> que el artículo objeto de control constitucional, relacionado con </w:t>
      </w:r>
      <w:r w:rsidRPr="0029329A">
        <w:rPr>
          <w:rFonts w:ascii="Times New Roman" w:hAnsi="Times New Roman" w:cs="Times New Roman"/>
          <w:sz w:val="28"/>
          <w:szCs w:val="28"/>
        </w:rPr>
        <w:t xml:space="preserve">el Instituto Colombiano de Antropología e Historia (ICANH), </w:t>
      </w:r>
      <w:r w:rsidRPr="0029329A">
        <w:rPr>
          <w:rFonts w:ascii="Times New Roman" w:hAnsi="Times New Roman" w:cs="Times New Roman"/>
          <w:sz w:val="28"/>
          <w:szCs w:val="28"/>
        </w:rPr>
        <w:t>“</w:t>
      </w:r>
      <w:r w:rsidRPr="0029329A">
        <w:rPr>
          <w:rFonts w:ascii="Times New Roman" w:hAnsi="Times New Roman" w:cs="Times New Roman"/>
          <w:sz w:val="28"/>
          <w:szCs w:val="28"/>
        </w:rPr>
        <w:t>busca fortalecer los mecanismos para la atención adecuada y oportuna de hallazgos fortuitos de bienes integrantes del patrimonio arqueológico</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14"/>
      </w:r>
      <w:r w:rsidRPr="0029329A">
        <w:rPr>
          <w:rFonts w:ascii="Times New Roman" w:hAnsi="Times New Roman" w:cs="Times New Roman"/>
          <w:sz w:val="28"/>
          <w:szCs w:val="28"/>
        </w:rPr>
        <w:t>.</w:t>
      </w:r>
    </w:p>
    <w:p w:rsidR="006413A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413A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szCs w:val="28"/>
        </w:rPr>
        <w:t>2</w:t>
      </w:r>
      <w:r w:rsidRPr="0029329A">
        <w:rPr>
          <w:rFonts w:ascii="Times New Roman" w:hAnsi="Times New Roman" w:cs="Times New Roman"/>
          <w:sz w:val="28"/>
          <w:szCs w:val="28"/>
        </w:rPr>
        <w:t>5</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Así, el Departamento Nacional de Planeación manifestó que lo dispuesto en el artículo 135 acusado hace parte de </w:t>
      </w:r>
      <w:r w:rsidRPr="0029329A">
        <w:rPr>
          <w:rFonts w:ascii="Times New Roman" w:hAnsi="Times New Roman" w:cs="Times New Roman"/>
          <w:sz w:val="28"/>
        </w:rPr>
        <w:t xml:space="preserve">la segunda transformación, denominada </w:t>
      </w:r>
      <w:r w:rsidRPr="0029329A">
        <w:rPr>
          <w:rFonts w:ascii="Times New Roman" w:hAnsi="Times New Roman" w:cs="Times New Roman"/>
          <w:sz w:val="28"/>
        </w:rPr>
        <w:t>“</w:t>
      </w:r>
      <w:r w:rsidRPr="0029329A">
        <w:rPr>
          <w:rFonts w:ascii="Times New Roman" w:hAnsi="Times New Roman" w:cs="Times New Roman"/>
          <w:sz w:val="28"/>
        </w:rPr>
        <w:t xml:space="preserve">Seguridad humana y justicia social”, en la cual se contempla </w:t>
      </w:r>
      <w:r w:rsidRPr="0029329A">
        <w:rPr>
          <w:rFonts w:ascii="Times New Roman" w:hAnsi="Times New Roman" w:cs="Times New Roman"/>
          <w:sz w:val="28"/>
        </w:rPr>
        <w:t>“</w:t>
      </w:r>
      <w:r w:rsidRPr="0029329A">
        <w:rPr>
          <w:rFonts w:ascii="Times New Roman" w:hAnsi="Times New Roman" w:cs="Times New Roman"/>
          <w:sz w:val="28"/>
        </w:rPr>
        <w:t>un catalizador denominado “Expansión de cap</w:t>
      </w:r>
      <w:r w:rsidRPr="0029329A">
        <w:rPr>
          <w:rFonts w:ascii="Times New Roman" w:hAnsi="Times New Roman" w:cs="Times New Roman"/>
          <w:sz w:val="28"/>
        </w:rPr>
        <w:t>acidades: más y mejores oportunidades de la población para lograr sus proyectos de vida”,  uno de sus componentes es el “Reconocimiento, salvaguarda y fomento de la memoria viva, el patrimonio, las culturas y los saberes”, a través del cual se propone el f</w:t>
      </w:r>
      <w:r w:rsidRPr="0029329A">
        <w:rPr>
          <w:rFonts w:ascii="Times New Roman" w:hAnsi="Times New Roman" w:cs="Times New Roman"/>
          <w:sz w:val="28"/>
        </w:rPr>
        <w:t>ortalecimiento de procesos de formación investigación, valoración, protección y divulgación del patrimonio arqueológico</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15"/>
      </w:r>
      <w:r w:rsidRPr="0029329A">
        <w:rPr>
          <w:rFonts w:ascii="Times New Roman" w:hAnsi="Times New Roman" w:cs="Times New Roman"/>
          <w:sz w:val="28"/>
        </w:rPr>
        <w:t>.</w:t>
      </w:r>
      <w:r w:rsidRPr="0029329A">
        <w:rPr>
          <w:rFonts w:ascii="Times New Roman" w:hAnsi="Times New Roman" w:cs="Times New Roman"/>
          <w:sz w:val="28"/>
        </w:rPr>
        <w:t xml:space="preserve"> </w:t>
      </w:r>
    </w:p>
    <w:p w:rsidR="00812BC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p>
    <w:p w:rsidR="00E200D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26</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En ese sentido, el interviniente aclaró que el artículo 135 demandado tiene como hechos generadores los diferentes servicios qu</w:t>
      </w:r>
      <w:r w:rsidRPr="0029329A">
        <w:rPr>
          <w:rFonts w:ascii="Times New Roman" w:hAnsi="Times New Roman" w:cs="Times New Roman"/>
          <w:sz w:val="28"/>
          <w:szCs w:val="28"/>
        </w:rPr>
        <w:t xml:space="preserve">e presta el </w:t>
      </w:r>
      <w:r w:rsidRPr="0029329A">
        <w:rPr>
          <w:rFonts w:ascii="Times New Roman" w:hAnsi="Times New Roman" w:cs="Times New Roman"/>
          <w:sz w:val="28"/>
          <w:szCs w:val="28"/>
        </w:rPr>
        <w:t>Instituto Colombiano de Antropología e Historia</w:t>
      </w:r>
      <w:r w:rsidRPr="0029329A">
        <w:rPr>
          <w:rFonts w:ascii="Times New Roman" w:hAnsi="Times New Roman" w:cs="Times New Roman"/>
          <w:sz w:val="28"/>
          <w:szCs w:val="28"/>
        </w:rPr>
        <w:t xml:space="preserve">, entre ellos, lo que corresponde a los </w:t>
      </w:r>
      <w:r w:rsidRPr="0029329A">
        <w:rPr>
          <w:rFonts w:ascii="Times New Roman" w:hAnsi="Times New Roman" w:cs="Times New Roman"/>
          <w:sz w:val="28"/>
          <w:szCs w:val="28"/>
        </w:rPr>
        <w:t>Programas de Arqueología Preventiva</w:t>
      </w:r>
      <w:r w:rsidRPr="0029329A">
        <w:rPr>
          <w:rFonts w:ascii="Times New Roman" w:hAnsi="Times New Roman" w:cs="Times New Roman"/>
          <w:sz w:val="28"/>
          <w:szCs w:val="28"/>
        </w:rPr>
        <w:t>, teniendo esta función un impacto directo e inmediato en la posibilidad de proteger el patrimonio arqueológico de la Naci</w:t>
      </w:r>
      <w:r w:rsidRPr="0029329A">
        <w:rPr>
          <w:rFonts w:ascii="Times New Roman" w:hAnsi="Times New Roman" w:cs="Times New Roman"/>
          <w:sz w:val="28"/>
          <w:szCs w:val="28"/>
        </w:rPr>
        <w:t xml:space="preserve">ón, </w:t>
      </w:r>
      <w:r w:rsidRPr="0029329A">
        <w:rPr>
          <w:rFonts w:ascii="Times New Roman" w:hAnsi="Times New Roman" w:cs="Times New Roman"/>
          <w:sz w:val="28"/>
          <w:szCs w:val="28"/>
        </w:rPr>
        <w:t xml:space="preserve">pues </w:t>
      </w:r>
      <w:r w:rsidRPr="0029329A">
        <w:rPr>
          <w:rFonts w:ascii="Times New Roman" w:hAnsi="Times New Roman" w:cs="Times New Roman"/>
          <w:sz w:val="28"/>
          <w:szCs w:val="28"/>
        </w:rPr>
        <w:t>“</w:t>
      </w:r>
      <w:r w:rsidRPr="0029329A">
        <w:rPr>
          <w:rFonts w:ascii="Times New Roman" w:hAnsi="Times New Roman" w:cs="Times New Roman"/>
          <w:sz w:val="28"/>
          <w:szCs w:val="28"/>
        </w:rPr>
        <w:t>todo el territorio Nacional tiene potencial arqueológico, es decir, tiene elementos que permiten reconstruir e identificar las diversas culturas que han habitado este suelo</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16"/>
      </w:r>
      <w:r w:rsidRPr="0029329A">
        <w:rPr>
          <w:rFonts w:ascii="Times New Roman" w:hAnsi="Times New Roman" w:cs="Times New Roman"/>
          <w:sz w:val="28"/>
          <w:szCs w:val="28"/>
        </w:rPr>
        <w:t xml:space="preserve">. Por lo anterior, </w:t>
      </w:r>
      <w:r w:rsidRPr="0029329A">
        <w:rPr>
          <w:rFonts w:ascii="Times New Roman" w:hAnsi="Times New Roman" w:cs="Times New Roman"/>
          <w:sz w:val="28"/>
          <w:szCs w:val="28"/>
        </w:rPr>
        <w:t>“</w:t>
      </w:r>
      <w:r w:rsidRPr="0029329A">
        <w:rPr>
          <w:rFonts w:ascii="Times New Roman" w:hAnsi="Times New Roman" w:cs="Times New Roman"/>
          <w:sz w:val="28"/>
          <w:szCs w:val="28"/>
        </w:rPr>
        <w:t>no es posible afirmar que la creación de la tasa par</w:t>
      </w:r>
      <w:r w:rsidRPr="0029329A">
        <w:rPr>
          <w:rFonts w:ascii="Times New Roman" w:hAnsi="Times New Roman" w:cs="Times New Roman"/>
          <w:sz w:val="28"/>
          <w:szCs w:val="28"/>
        </w:rPr>
        <w:t>a esta Entidad, es un artículo que se encuentra desconectado y sin relación con la materia de qué trata el PND</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E200D3"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812BC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27</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Así las cosas, el Departamento Nacional de Planeación concluyó que el artículo 135 de la Ley 2294 de 2023 es exequible porque la tasa que </w:t>
      </w:r>
      <w:r w:rsidRPr="0029329A">
        <w:rPr>
          <w:rFonts w:ascii="Times New Roman" w:hAnsi="Times New Roman" w:cs="Times New Roman"/>
          <w:sz w:val="28"/>
          <w:szCs w:val="28"/>
        </w:rPr>
        <w:t>contempla el precepto citado guarda una relación directa con los fines misionales del Instituto Colombiano de Antropología e Historia, y, en su criterio, es evidente la conexidad estrecha, directa e inmediata entre la norma cuestionada y los objetivos, met</w:t>
      </w:r>
      <w:r w:rsidRPr="0029329A">
        <w:rPr>
          <w:rFonts w:ascii="Times New Roman" w:hAnsi="Times New Roman" w:cs="Times New Roman"/>
          <w:sz w:val="28"/>
          <w:szCs w:val="28"/>
        </w:rPr>
        <w:t>as o estrategias de la parte general del Plan, cumpliendo así con el principio de unidad de materia</w:t>
      </w:r>
      <w:r w:rsidRPr="0029329A">
        <w:rPr>
          <w:rStyle w:val="Refdenotaalpie"/>
          <w:rFonts w:ascii="Times New Roman" w:hAnsi="Times New Roman"/>
          <w:sz w:val="28"/>
          <w:szCs w:val="28"/>
          <w:vertAlign w:val="superscript"/>
        </w:rPr>
        <w:footnoteReference w:id="17"/>
      </w:r>
      <w:r w:rsidRPr="0029329A">
        <w:rPr>
          <w:rFonts w:ascii="Times New Roman" w:hAnsi="Times New Roman" w:cs="Times New Roman"/>
          <w:sz w:val="28"/>
          <w:szCs w:val="28"/>
        </w:rPr>
        <w:t>.</w:t>
      </w:r>
    </w:p>
    <w:p w:rsidR="00CA479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w:t>
      </w:r>
      <w:r w:rsidRPr="0029329A">
        <w:rPr>
          <w:rFonts w:ascii="Times New Roman" w:hAnsi="Times New Roman" w:cs="Times New Roman"/>
          <w:sz w:val="28"/>
          <w:szCs w:val="28"/>
        </w:rPr>
        <w:t>8</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Por otra parte, el interviniente aseguró que el artículo 169 de la Ley 2294 de 2023 resulta ajustado a nuestro ordenamiento y encuentra plena justifi</w:t>
      </w:r>
      <w:r w:rsidRPr="0029329A">
        <w:rPr>
          <w:rFonts w:ascii="Times New Roman" w:hAnsi="Times New Roman" w:cs="Times New Roman"/>
          <w:sz w:val="28"/>
          <w:szCs w:val="28"/>
        </w:rPr>
        <w:t>cación</w:t>
      </w:r>
      <w:r w:rsidRPr="0029329A">
        <w:rPr>
          <w:rFonts w:ascii="Times New Roman" w:hAnsi="Times New Roman" w:cs="Times New Roman"/>
          <w:sz w:val="28"/>
          <w:szCs w:val="28"/>
        </w:rPr>
        <w:t>, pues</w:t>
      </w:r>
      <w:r w:rsidRPr="0029329A">
        <w:rPr>
          <w:rFonts w:ascii="Times New Roman" w:hAnsi="Times New Roman" w:cs="Times New Roman"/>
          <w:sz w:val="28"/>
          <w:szCs w:val="28"/>
        </w:rPr>
        <w:t>:</w:t>
      </w: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D002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(i) </w:t>
      </w:r>
      <w:r w:rsidRPr="0029329A">
        <w:rPr>
          <w:rFonts w:ascii="Times New Roman" w:hAnsi="Times New Roman" w:cs="Times New Roman"/>
          <w:sz w:val="28"/>
          <w:szCs w:val="28"/>
        </w:rPr>
        <w:t>“</w:t>
      </w:r>
      <w:r w:rsidRPr="0029329A">
        <w:rPr>
          <w:rFonts w:ascii="Times New Roman" w:hAnsi="Times New Roman" w:cs="Times New Roman"/>
          <w:sz w:val="28"/>
          <w:szCs w:val="28"/>
        </w:rPr>
        <w:t>La adopción de tasas a los servicios y proceso</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 de la Dirección Nacional de Derecho</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 de Autor corregiría la inequidad antes descrita, en la medida en que contribuiría a mejorar la capacidad de respuesta de la Entidad por cuanto se obtendrían recursos adicionales a los entregados por trasferencias de la Nación para mejorar y optimizar la i</w:t>
      </w:r>
      <w:r w:rsidRPr="0029329A">
        <w:rPr>
          <w:rFonts w:ascii="Times New Roman" w:hAnsi="Times New Roman" w:cs="Times New Roman"/>
          <w:sz w:val="28"/>
          <w:szCs w:val="28"/>
        </w:rPr>
        <w:t>nfraestructura y el talento humano que destina la Dirección Nacional de Derechos de Autor a la prestación de sus servicios</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(ii) </w:t>
      </w:r>
      <w:r w:rsidRPr="0029329A">
        <w:rPr>
          <w:rFonts w:ascii="Times New Roman" w:hAnsi="Times New Roman" w:cs="Times New Roman"/>
          <w:sz w:val="28"/>
          <w:szCs w:val="28"/>
        </w:rPr>
        <w:t>“</w:t>
      </w:r>
      <w:r w:rsidRPr="0029329A">
        <w:rPr>
          <w:rFonts w:ascii="Times New Roman" w:hAnsi="Times New Roman" w:cs="Times New Roman"/>
          <w:sz w:val="28"/>
          <w:szCs w:val="28"/>
        </w:rPr>
        <w:t>Es un incentivo directo para controlar el desborde de la demanda del sector con capacidad de pago frente del sector que no l</w:t>
      </w:r>
      <w:r w:rsidRPr="0029329A">
        <w:rPr>
          <w:rFonts w:ascii="Times New Roman" w:hAnsi="Times New Roman" w:cs="Times New Roman"/>
          <w:sz w:val="28"/>
          <w:szCs w:val="28"/>
        </w:rPr>
        <w:t>o tiene, dado que reduciría necesariamente la demanda de dicho sector y permitiría que aquellos que carecen de una capacidad de pago puedan incrementar su participación en la demanda de los servicios de la Entidad</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812BC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29</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Finalmente, el Departamento Naciona</w:t>
      </w:r>
      <w:r w:rsidRPr="0029329A">
        <w:rPr>
          <w:rFonts w:ascii="Times New Roman" w:hAnsi="Times New Roman" w:cs="Times New Roman"/>
          <w:sz w:val="28"/>
          <w:szCs w:val="28"/>
        </w:rPr>
        <w:t xml:space="preserve">l de Planeación arguyó que los </w:t>
      </w:r>
      <w:r w:rsidRPr="0029329A">
        <w:rPr>
          <w:rFonts w:ascii="Times New Roman" w:hAnsi="Times New Roman" w:cs="Times New Roman"/>
          <w:sz w:val="28"/>
          <w:szCs w:val="28"/>
        </w:rPr>
        <w:t>“</w:t>
      </w:r>
      <w:r w:rsidRPr="0029329A">
        <w:rPr>
          <w:rFonts w:ascii="Times New Roman" w:hAnsi="Times New Roman" w:cs="Times New Roman"/>
          <w:sz w:val="28"/>
          <w:szCs w:val="28"/>
        </w:rPr>
        <w:t>artículos 135 y 169 de la Ley 2294 de 2023</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no desconocen el artículo 338 de la Constitución Política toda vez que el artículo 135 demandado prevé de manera clara e inequívoca los elementos esenciales de la tasa en cuestión.</w:t>
      </w:r>
      <w:r w:rsidRPr="0029329A">
        <w:rPr>
          <w:rFonts w:ascii="Times New Roman" w:hAnsi="Times New Roman" w:cs="Times New Roman"/>
          <w:sz w:val="28"/>
          <w:szCs w:val="28"/>
        </w:rPr>
        <w:t xml:space="preserve"> A saber: </w:t>
      </w:r>
      <w:r w:rsidRPr="0029329A">
        <w:rPr>
          <w:rFonts w:ascii="Times New Roman" w:hAnsi="Times New Roman" w:cs="Times New Roman"/>
          <w:sz w:val="28"/>
          <w:szCs w:val="28"/>
        </w:rPr>
        <w:t>“</w:t>
      </w:r>
      <w:r w:rsidRPr="0029329A">
        <w:rPr>
          <w:rFonts w:ascii="Times New Roman" w:hAnsi="Times New Roman" w:cs="Times New Roman"/>
          <w:sz w:val="28"/>
          <w:szCs w:val="28"/>
        </w:rPr>
        <w:t>el sujeto activo es el ICANH, y el sujeto pasivo son las personas que requieran de los servicios que actualmente presta</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el legislador estableció la base gravable o base de liquidación de la Tasa</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al determinar que </w:t>
      </w:r>
      <w:r w:rsidRPr="0029329A">
        <w:rPr>
          <w:rFonts w:ascii="Times New Roman" w:hAnsi="Times New Roman" w:cs="Times New Roman"/>
          <w:sz w:val="28"/>
          <w:szCs w:val="28"/>
        </w:rPr>
        <w:t>“</w:t>
      </w:r>
      <w:r w:rsidRPr="0029329A">
        <w:rPr>
          <w:rFonts w:ascii="Times New Roman" w:hAnsi="Times New Roman" w:cs="Times New Roman"/>
          <w:sz w:val="28"/>
          <w:szCs w:val="28"/>
        </w:rPr>
        <w:t>la base para la liquidación</w:t>
      </w:r>
      <w:r w:rsidRPr="0029329A">
        <w:rPr>
          <w:rFonts w:ascii="Times New Roman" w:hAnsi="Times New Roman" w:cs="Times New Roman"/>
          <w:sz w:val="28"/>
          <w:szCs w:val="28"/>
        </w:rPr>
        <w:t xml:space="preserve"> de la tasa será el costo de los servicios correspondientes a cada uno de los hechos generadores establecidos en este artículo</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E288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30</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En esa medida, el interviniente concluyó que la norma acusada establece de manera clara y precisa que la base gravable de </w:t>
      </w:r>
      <w:r w:rsidRPr="0029329A">
        <w:rPr>
          <w:rFonts w:ascii="Times New Roman" w:hAnsi="Times New Roman" w:cs="Times New Roman"/>
          <w:sz w:val="28"/>
          <w:szCs w:val="28"/>
        </w:rPr>
        <w:t>esta tasa</w:t>
      </w:r>
      <w:r w:rsidRPr="0029329A">
        <w:rPr>
          <w:rFonts w:ascii="Times New Roman" w:hAnsi="Times New Roman" w:cs="Times New Roman"/>
          <w:sz w:val="28"/>
        </w:rPr>
        <w:t xml:space="preserve"> </w:t>
      </w:r>
      <w:r w:rsidRPr="0029329A">
        <w:rPr>
          <w:rFonts w:ascii="Times New Roman" w:hAnsi="Times New Roman" w:cs="Times New Roman"/>
          <w:sz w:val="28"/>
          <w:szCs w:val="28"/>
        </w:rPr>
        <w:t>son los costos asociados a los servicios gravados y, además, fija los criterios necesarios para establecer la metodología de cálculo que debe aplicar el Gobierno nacional con el fin de cuantificar los mencionados costos</w:t>
      </w:r>
      <w:r w:rsidRPr="0029329A">
        <w:rPr>
          <w:rStyle w:val="Refdenotaalpie"/>
          <w:rFonts w:ascii="Times New Roman" w:hAnsi="Times New Roman"/>
          <w:sz w:val="28"/>
          <w:szCs w:val="28"/>
          <w:vertAlign w:val="superscript"/>
        </w:rPr>
        <w:footnoteReference w:id="18"/>
      </w:r>
      <w:r w:rsidRPr="0029329A">
        <w:rPr>
          <w:rFonts w:ascii="Times New Roman" w:hAnsi="Times New Roman" w:cs="Times New Roman"/>
          <w:sz w:val="28"/>
          <w:szCs w:val="28"/>
        </w:rPr>
        <w:t xml:space="preserve">. </w:t>
      </w:r>
    </w:p>
    <w:p w:rsidR="00AF63EB"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B28C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r w:rsidRPr="0029329A">
        <w:rPr>
          <w:rFonts w:ascii="Times New Roman" w:hAnsi="Times New Roman" w:cs="Times New Roman"/>
          <w:b/>
          <w:sz w:val="28"/>
          <w:szCs w:val="28"/>
        </w:rPr>
        <w:t xml:space="preserve">Dirección Nacional de </w:t>
      </w:r>
      <w:r w:rsidRPr="0029329A">
        <w:rPr>
          <w:rFonts w:ascii="Times New Roman" w:hAnsi="Times New Roman" w:cs="Times New Roman"/>
          <w:b/>
          <w:sz w:val="28"/>
          <w:szCs w:val="28"/>
        </w:rPr>
        <w:t>Derecho de Autor</w:t>
      </w:r>
    </w:p>
    <w:p w:rsidR="00D305A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C34A0A"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31</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La </w:t>
      </w:r>
      <w:r w:rsidRPr="0029329A">
        <w:rPr>
          <w:rFonts w:ascii="Times New Roman" w:hAnsi="Times New Roman" w:cs="Times New Roman"/>
          <w:sz w:val="28"/>
          <w:szCs w:val="28"/>
        </w:rPr>
        <w:t>Dirección Nacional de Derecho de Autor (en adelante DNDA)</w:t>
      </w:r>
      <w:r w:rsidRPr="0029329A">
        <w:rPr>
          <w:rFonts w:ascii="Times New Roman" w:hAnsi="Times New Roman" w:cs="Times New Roman"/>
          <w:sz w:val="28"/>
          <w:szCs w:val="28"/>
        </w:rPr>
        <w:t xml:space="preserve"> intervino en el presente proceso</w:t>
      </w:r>
      <w:r w:rsidRPr="0029329A">
        <w:rPr>
          <w:rFonts w:ascii="Times New Roman" w:hAnsi="Times New Roman" w:cs="Times New Roman"/>
          <w:sz w:val="28"/>
          <w:szCs w:val="28"/>
        </w:rPr>
        <w:t xml:space="preserve">, se pronunció únicamente frente al artículo 169 de la Ley 2294 de 2023 y </w:t>
      </w:r>
      <w:r w:rsidRPr="0029329A">
        <w:rPr>
          <w:rFonts w:ascii="Times New Roman" w:hAnsi="Times New Roman" w:cs="Times New Roman"/>
          <w:sz w:val="28"/>
          <w:szCs w:val="28"/>
        </w:rPr>
        <w:t xml:space="preserve">solicitó a la Corte </w:t>
      </w:r>
      <w:r w:rsidRPr="0029329A">
        <w:rPr>
          <w:rFonts w:ascii="Times New Roman" w:hAnsi="Times New Roman" w:cs="Times New Roman"/>
          <w:sz w:val="28"/>
          <w:szCs w:val="28"/>
        </w:rPr>
        <w:t>“</w:t>
      </w:r>
      <w:r w:rsidRPr="0029329A">
        <w:rPr>
          <w:rFonts w:ascii="Times New Roman" w:hAnsi="Times New Roman" w:cs="Times New Roman"/>
          <w:sz w:val="28"/>
          <w:szCs w:val="28"/>
        </w:rPr>
        <w:t>declarar EXEQUIBLE el artículo 169 de la norma</w:t>
      </w:r>
      <w:r w:rsidRPr="0029329A">
        <w:rPr>
          <w:rFonts w:ascii="Times New Roman" w:hAnsi="Times New Roman" w:cs="Times New Roman"/>
          <w:sz w:val="28"/>
          <w:szCs w:val="28"/>
        </w:rPr>
        <w:t xml:space="preserve"> acusada, sin condicionamiento alguno, por no vulnerar en forma alguna ninguna disposición constitucional</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B66A9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rPr>
        <w:t>32</w:t>
      </w:r>
      <w:r w:rsidRPr="0029329A">
        <w:rPr>
          <w:rFonts w:ascii="Times New Roman" w:hAnsi="Times New Roman" w:cs="Times New Roman"/>
          <w:sz w:val="28"/>
        </w:rPr>
        <w:t xml:space="preserve">. </w:t>
      </w:r>
      <w:r w:rsidRPr="0029329A">
        <w:rPr>
          <w:rFonts w:ascii="Times New Roman" w:hAnsi="Times New Roman" w:cs="Times New Roman"/>
          <w:sz w:val="28"/>
        </w:rPr>
        <w:t>L</w:t>
      </w:r>
      <w:r w:rsidRPr="0029329A">
        <w:rPr>
          <w:rFonts w:ascii="Times New Roman" w:hAnsi="Times New Roman" w:cs="Times New Roman"/>
          <w:sz w:val="28"/>
        </w:rPr>
        <w:t xml:space="preserve">a interviniente se refirió a la constitucionalidad del artículo 169 de la Ley 2294 de 2023. Así, indicó </w:t>
      </w:r>
      <w:r w:rsidRPr="0029329A">
        <w:rPr>
          <w:rFonts w:ascii="Times New Roman" w:hAnsi="Times New Roman" w:cs="Times New Roman"/>
          <w:sz w:val="28"/>
        </w:rPr>
        <w:t xml:space="preserve">que </w:t>
      </w:r>
      <w:r w:rsidRPr="0029329A">
        <w:rPr>
          <w:rFonts w:ascii="Times New Roman" w:hAnsi="Times New Roman" w:cs="Times New Roman"/>
          <w:sz w:val="28"/>
        </w:rPr>
        <w:t>el precepto acusado cumple la rela</w:t>
      </w:r>
      <w:r w:rsidRPr="0029329A">
        <w:rPr>
          <w:rFonts w:ascii="Times New Roman" w:hAnsi="Times New Roman" w:cs="Times New Roman"/>
          <w:sz w:val="28"/>
        </w:rPr>
        <w:t xml:space="preserve">ción </w:t>
      </w:r>
      <w:r w:rsidRPr="0029329A">
        <w:rPr>
          <w:rFonts w:ascii="Times New Roman" w:hAnsi="Times New Roman" w:cs="Times New Roman"/>
          <w:sz w:val="28"/>
        </w:rPr>
        <w:t>“</w:t>
      </w:r>
      <w:r w:rsidRPr="0029329A">
        <w:rPr>
          <w:rFonts w:ascii="Times New Roman" w:hAnsi="Times New Roman" w:cs="Times New Roman"/>
          <w:sz w:val="28"/>
        </w:rPr>
        <w:t>medio a fin</w:t>
      </w:r>
      <w:r w:rsidRPr="0029329A">
        <w:rPr>
          <w:rFonts w:ascii="Times New Roman" w:hAnsi="Times New Roman" w:cs="Times New Roman"/>
          <w:sz w:val="28"/>
        </w:rPr>
        <w:t>”</w:t>
      </w:r>
      <w:r w:rsidRPr="0029329A">
        <w:rPr>
          <w:rFonts w:ascii="Times New Roman" w:hAnsi="Times New Roman" w:cs="Times New Roman"/>
          <w:sz w:val="28"/>
        </w:rPr>
        <w:t xml:space="preserve">, considerados en el Documento Bases del Plan Nacional de Desarrollo 2022 – 2026 “Colombia Potencia Mundial de la Vida”, específicamente </w:t>
      </w:r>
      <w:r w:rsidRPr="0029329A">
        <w:rPr>
          <w:rFonts w:ascii="Times New Roman" w:hAnsi="Times New Roman" w:cs="Times New Roman"/>
          <w:sz w:val="28"/>
        </w:rPr>
        <w:t>“</w:t>
      </w:r>
      <w:r w:rsidRPr="0029329A">
        <w:rPr>
          <w:rFonts w:ascii="Times New Roman" w:hAnsi="Times New Roman" w:cs="Times New Roman"/>
          <w:sz w:val="28"/>
        </w:rPr>
        <w:t>el Eje de Transformación: 2. Seguridad Humana y Justicia Social. Catalizador: C. Expansión de capaci</w:t>
      </w:r>
      <w:r w:rsidRPr="0029329A">
        <w:rPr>
          <w:rFonts w:ascii="Times New Roman" w:hAnsi="Times New Roman" w:cs="Times New Roman"/>
          <w:sz w:val="28"/>
        </w:rPr>
        <w:t>dades: más y mejores oportunidades de la población para lograr sus proyectos de vida. Componente: 9. Democratización del Conocimiento: aprovechamiento de la propiedad intelectual (PI) y reconocimiento de los saberes tradicionales. c. Apoyo a Derechos de Au</w:t>
      </w:r>
      <w:r w:rsidRPr="0029329A">
        <w:rPr>
          <w:rFonts w:ascii="Times New Roman" w:hAnsi="Times New Roman" w:cs="Times New Roman"/>
          <w:sz w:val="28"/>
        </w:rPr>
        <w:t>tor y Conexos: Se desarrollarán estrategias de apoyo para la creación de contenidos y asesoría en la gestión de Derecho de Autor y Conexos, impulsando sectores estratégicos y procesos de afirmación identitaria</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19"/>
      </w:r>
      <w:r w:rsidRPr="0029329A">
        <w:rPr>
          <w:rFonts w:ascii="Times New Roman" w:hAnsi="Times New Roman" w:cs="Times New Roman"/>
          <w:sz w:val="28"/>
        </w:rPr>
        <w:t>.</w:t>
      </w:r>
    </w:p>
    <w:p w:rsidR="006B28C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B66A9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szCs w:val="28"/>
        </w:rPr>
        <w:t>33</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Así, </w:t>
      </w:r>
      <w:bookmarkStart w:id="7" w:name="_Hlk150935031"/>
      <w:r w:rsidRPr="0029329A">
        <w:rPr>
          <w:rFonts w:ascii="Times New Roman" w:hAnsi="Times New Roman" w:cs="Times New Roman"/>
          <w:sz w:val="28"/>
          <w:szCs w:val="28"/>
        </w:rPr>
        <w:t xml:space="preserve">la DNDA </w:t>
      </w:r>
      <w:bookmarkEnd w:id="7"/>
      <w:r w:rsidRPr="0029329A">
        <w:rPr>
          <w:rFonts w:ascii="Times New Roman" w:hAnsi="Times New Roman" w:cs="Times New Roman"/>
          <w:sz w:val="28"/>
          <w:szCs w:val="28"/>
        </w:rPr>
        <w:t xml:space="preserve">afirmó que la </w:t>
      </w:r>
      <w:r w:rsidRPr="0029329A">
        <w:rPr>
          <w:rFonts w:ascii="Times New Roman" w:hAnsi="Times New Roman" w:cs="Times New Roman"/>
          <w:sz w:val="28"/>
        </w:rPr>
        <w:t xml:space="preserve">conexidad </w:t>
      </w:r>
      <w:r w:rsidRPr="0029329A">
        <w:rPr>
          <w:rFonts w:ascii="Times New Roman" w:hAnsi="Times New Roman" w:cs="Times New Roman"/>
          <w:sz w:val="28"/>
        </w:rPr>
        <w:t>existente –de medio a fin- entre las bases del Plan Nacional de Desarrollo y el artículo demandado, se debe dar por demostrada, pues la existencia y aplicación de la tasa de cobro es indispensable para (i) asegurar la eficiencia en la protección y promoció</w:t>
      </w:r>
      <w:r w:rsidRPr="0029329A">
        <w:rPr>
          <w:rFonts w:ascii="Times New Roman" w:hAnsi="Times New Roman" w:cs="Times New Roman"/>
          <w:sz w:val="28"/>
        </w:rPr>
        <w:t xml:space="preserve">n de los derechos de autor, (ii) cumplir las metas y objetivos que en materia de garantía de derechos de autor y conexos fueron incorporados a la ley del Plan, (iii) garantizar la calidad de los servicios de Derecho de Autor y conexos y (iv) favorecer las </w:t>
      </w:r>
      <w:r w:rsidRPr="0029329A">
        <w:rPr>
          <w:rFonts w:ascii="Times New Roman" w:hAnsi="Times New Roman" w:cs="Times New Roman"/>
          <w:sz w:val="28"/>
        </w:rPr>
        <w:t>transformaciones incluidas en las Bases del PND.</w:t>
      </w:r>
    </w:p>
    <w:p w:rsidR="00B66A9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p>
    <w:p w:rsidR="00B66A9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rPr>
        <w:t>34</w:t>
      </w:r>
      <w:r w:rsidRPr="0029329A">
        <w:rPr>
          <w:rFonts w:ascii="Times New Roman" w:hAnsi="Times New Roman" w:cs="Times New Roman"/>
          <w:sz w:val="28"/>
        </w:rPr>
        <w:t xml:space="preserve">. </w:t>
      </w:r>
      <w:r w:rsidRPr="0029329A">
        <w:rPr>
          <w:rFonts w:ascii="Times New Roman" w:hAnsi="Times New Roman" w:cs="Times New Roman"/>
          <w:sz w:val="28"/>
        </w:rPr>
        <w:t xml:space="preserve">En esa medida, la interviniente señaló que el artículo 169 demandado cumple con los principios de unidad de materia, y no invade competencias del legislador, pues guarda unidad de materia con las bases </w:t>
      </w:r>
      <w:r w:rsidRPr="0029329A">
        <w:rPr>
          <w:rFonts w:ascii="Times New Roman" w:hAnsi="Times New Roman" w:cs="Times New Roman"/>
          <w:sz w:val="28"/>
        </w:rPr>
        <w:t>del Plan Nacional de Desarrollo 2022 – 2026.</w:t>
      </w:r>
    </w:p>
    <w:p w:rsidR="00665B89"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B66A9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w:t>
      </w:r>
      <w:r w:rsidRPr="0029329A">
        <w:rPr>
          <w:rFonts w:ascii="Times New Roman" w:hAnsi="Times New Roman" w:cs="Times New Roman"/>
          <w:sz w:val="28"/>
          <w:szCs w:val="28"/>
        </w:rPr>
        <w:t>5</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Adicionalmente, l</w:t>
      </w:r>
      <w:r w:rsidRPr="0029329A">
        <w:rPr>
          <w:rFonts w:ascii="Times New Roman" w:hAnsi="Times New Roman" w:cs="Times New Roman"/>
          <w:sz w:val="28"/>
          <w:szCs w:val="28"/>
        </w:rPr>
        <w:t xml:space="preserve">a DNDA manifestó que el </w:t>
      </w:r>
      <w:r w:rsidRPr="0029329A">
        <w:rPr>
          <w:rFonts w:ascii="Times New Roman" w:hAnsi="Times New Roman" w:cs="Times New Roman"/>
          <w:sz w:val="28"/>
          <w:szCs w:val="28"/>
        </w:rPr>
        <w:t>precepto</w:t>
      </w:r>
      <w:r w:rsidRPr="0029329A">
        <w:rPr>
          <w:rFonts w:ascii="Times New Roman" w:hAnsi="Times New Roman" w:cs="Times New Roman"/>
          <w:sz w:val="28"/>
          <w:szCs w:val="28"/>
        </w:rPr>
        <w:t xml:space="preserve"> demandado es exequible frente al artículo 338 de la Constitución, pues establece los lineamientos para determinar los costos administrativos, financieros, d</w:t>
      </w:r>
      <w:r w:rsidRPr="0029329A">
        <w:rPr>
          <w:rFonts w:ascii="Times New Roman" w:hAnsi="Times New Roman" w:cs="Times New Roman"/>
          <w:sz w:val="28"/>
          <w:szCs w:val="28"/>
        </w:rPr>
        <w:t>irectos e indirectos y de operación del servicio. A su vez, determina que la estimación de los mismos debe realizarse conforme al sistema y metodología definidos por el legislador en el parágrafo primero del mismo artículo 169 de la ley 2294 de 2023, los c</w:t>
      </w:r>
      <w:r w:rsidRPr="0029329A">
        <w:rPr>
          <w:rFonts w:ascii="Times New Roman" w:hAnsi="Times New Roman" w:cs="Times New Roman"/>
          <w:sz w:val="28"/>
          <w:szCs w:val="28"/>
        </w:rPr>
        <w:t xml:space="preserve">uales resultan claros y precisos en cuanto a los elementos y procedimientos que se deben tener en cuenta para fijar la tarifa. Así, concluyó </w:t>
      </w:r>
      <w:r w:rsidRPr="0029329A">
        <w:rPr>
          <w:rFonts w:ascii="Times New Roman" w:hAnsi="Times New Roman" w:cs="Times New Roman"/>
          <w:sz w:val="28"/>
          <w:szCs w:val="28"/>
        </w:rPr>
        <w:t xml:space="preserve">que </w:t>
      </w:r>
      <w:r w:rsidRPr="0029329A">
        <w:rPr>
          <w:rFonts w:ascii="Times New Roman" w:hAnsi="Times New Roman" w:cs="Times New Roman"/>
          <w:sz w:val="28"/>
          <w:szCs w:val="28"/>
        </w:rPr>
        <w:t>“</w:t>
      </w:r>
      <w:r w:rsidRPr="0029329A">
        <w:rPr>
          <w:rFonts w:ascii="Times New Roman" w:hAnsi="Times New Roman" w:cs="Times New Roman"/>
          <w:sz w:val="28"/>
          <w:szCs w:val="28"/>
        </w:rPr>
        <w:t>basta con que dicho sistema y método sea suficientemente claro y preciso para evitar que se desatienda el mand</w:t>
      </w:r>
      <w:r w:rsidRPr="0029329A">
        <w:rPr>
          <w:rFonts w:ascii="Times New Roman" w:hAnsi="Times New Roman" w:cs="Times New Roman"/>
          <w:sz w:val="28"/>
          <w:szCs w:val="28"/>
        </w:rPr>
        <w:t>ato del artículo 338 de la Constitución Política</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20"/>
      </w:r>
      <w:r w:rsidRPr="0029329A">
        <w:rPr>
          <w:rFonts w:ascii="Times New Roman" w:hAnsi="Times New Roman" w:cs="Times New Roman"/>
          <w:sz w:val="28"/>
          <w:szCs w:val="28"/>
        </w:rPr>
        <w:t>.</w:t>
      </w:r>
    </w:p>
    <w:p w:rsidR="002B6B7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C5ABD"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r w:rsidRPr="0029329A">
        <w:rPr>
          <w:rFonts w:ascii="Times New Roman" w:hAnsi="Times New Roman" w:cs="Times New Roman"/>
          <w:b/>
          <w:sz w:val="28"/>
          <w:szCs w:val="28"/>
        </w:rPr>
        <w:t>Instituto Colombiano de Antropología e Historia – ICANH</w:t>
      </w:r>
    </w:p>
    <w:p w:rsidR="009F66C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p>
    <w:p w:rsidR="009F66C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w:t>
      </w:r>
      <w:r w:rsidRPr="0029329A">
        <w:rPr>
          <w:rFonts w:ascii="Times New Roman" w:hAnsi="Times New Roman" w:cs="Times New Roman"/>
          <w:sz w:val="28"/>
          <w:szCs w:val="28"/>
        </w:rPr>
        <w:t>6</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Instituto Colombiano de Antropología e Historia (en adelante ICANH) intervino en el presente proceso</w:t>
      </w:r>
      <w:r w:rsidRPr="0029329A">
        <w:rPr>
          <w:rFonts w:ascii="Times New Roman" w:hAnsi="Times New Roman" w:cs="Times New Roman"/>
          <w:sz w:val="28"/>
          <w:szCs w:val="28"/>
        </w:rPr>
        <w:t xml:space="preserve"> y</w:t>
      </w:r>
      <w:r w:rsidRPr="0029329A">
        <w:rPr>
          <w:rFonts w:ascii="Times New Roman" w:hAnsi="Times New Roman" w:cs="Times New Roman"/>
          <w:sz w:val="28"/>
          <w:szCs w:val="28"/>
        </w:rPr>
        <w:t xml:space="preserve"> se pronunció únicamente frente al </w:t>
      </w:r>
      <w:r w:rsidRPr="0029329A">
        <w:rPr>
          <w:rFonts w:ascii="Times New Roman" w:hAnsi="Times New Roman" w:cs="Times New Roman"/>
          <w:sz w:val="28"/>
          <w:szCs w:val="28"/>
        </w:rPr>
        <w:t>artíc</w:t>
      </w:r>
      <w:r w:rsidRPr="0029329A">
        <w:rPr>
          <w:rFonts w:ascii="Times New Roman" w:hAnsi="Times New Roman" w:cs="Times New Roman"/>
          <w:sz w:val="28"/>
          <w:szCs w:val="28"/>
        </w:rPr>
        <w:t>ulo 135 del Plan Nacional de Desarrollo (PND) 2022-2026</w:t>
      </w:r>
      <w:r w:rsidRPr="0029329A">
        <w:rPr>
          <w:rFonts w:ascii="Times New Roman" w:hAnsi="Times New Roman" w:cs="Times New Roman"/>
          <w:sz w:val="28"/>
          <w:szCs w:val="28"/>
        </w:rPr>
        <w:t xml:space="preserve"> y solicitó a la Corte </w:t>
      </w:r>
      <w:r w:rsidRPr="0029329A">
        <w:rPr>
          <w:rFonts w:ascii="Times New Roman" w:hAnsi="Times New Roman" w:cs="Times New Roman"/>
          <w:sz w:val="28"/>
          <w:szCs w:val="28"/>
        </w:rPr>
        <w:t>“</w:t>
      </w:r>
      <w:r w:rsidRPr="0029329A">
        <w:rPr>
          <w:rFonts w:ascii="Times New Roman" w:hAnsi="Times New Roman" w:cs="Times New Roman"/>
          <w:sz w:val="28"/>
        </w:rPr>
        <w:t>declarar</w:t>
      </w:r>
      <w:r w:rsidRPr="0029329A">
        <w:rPr>
          <w:rFonts w:ascii="Times New Roman" w:hAnsi="Times New Roman" w:cs="Times New Roman"/>
          <w:sz w:val="28"/>
          <w:szCs w:val="28"/>
        </w:rPr>
        <w:t xml:space="preserve"> la EXEQUIBILIDAD del artículo 135 de la Ley 2294 de 2023</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9E720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9E720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37</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El interviniente manifestó que la inclusión del artículo 135 acusado responde a la obligación imperante </w:t>
      </w:r>
      <w:r w:rsidRPr="0029329A">
        <w:rPr>
          <w:rFonts w:ascii="Times New Roman" w:hAnsi="Times New Roman" w:cs="Times New Roman"/>
          <w:sz w:val="28"/>
          <w:szCs w:val="28"/>
        </w:rPr>
        <w:t>del ICANH de garantizar la protección y el manejo adecuado de los bienes arqueológicos de la Nación, pues, actualmente, dicha institución no cuenta con ninguna tarifa o tasa que le permita solventar parte del gasto presupuestal, administrativo, contractual</w:t>
      </w:r>
      <w:r w:rsidRPr="0029329A">
        <w:rPr>
          <w:rFonts w:ascii="Times New Roman" w:hAnsi="Times New Roman" w:cs="Times New Roman"/>
          <w:sz w:val="28"/>
          <w:szCs w:val="28"/>
        </w:rPr>
        <w:t xml:space="preserve"> y de funcionamiento, que le implica abarcar todas las solicitudes de terceros relacionadas con el manejo de bienes arqueológicos.</w:t>
      </w:r>
      <w:r w:rsidRPr="0029329A">
        <w:rPr>
          <w:rFonts w:ascii="Times New Roman" w:hAnsi="Times New Roman" w:cs="Times New Roman"/>
          <w:sz w:val="28"/>
          <w:szCs w:val="28"/>
        </w:rPr>
        <w:t xml:space="preserve"> Por lo anterior, indicó que </w:t>
      </w:r>
      <w:r w:rsidRPr="0029329A">
        <w:rPr>
          <w:rFonts w:ascii="Times New Roman" w:hAnsi="Times New Roman" w:cs="Times New Roman"/>
          <w:sz w:val="28"/>
          <w:szCs w:val="28"/>
        </w:rPr>
        <w:t>“</w:t>
      </w:r>
      <w:r w:rsidRPr="0029329A">
        <w:rPr>
          <w:rFonts w:ascii="Times New Roman" w:hAnsi="Times New Roman" w:cs="Times New Roman"/>
          <w:sz w:val="28"/>
          <w:szCs w:val="28"/>
        </w:rPr>
        <w:t>se requiere con urgencia el establecimiento de la tasa que trata el artículo 135 con el propósit</w:t>
      </w:r>
      <w:r w:rsidRPr="0029329A">
        <w:rPr>
          <w:rFonts w:ascii="Times New Roman" w:hAnsi="Times New Roman" w:cs="Times New Roman"/>
          <w:sz w:val="28"/>
          <w:szCs w:val="28"/>
        </w:rPr>
        <w:t>o de recuperar los costos de los servicios y parte de la carga financiera de dichos trámites y poder abarcar integralmente las competencias del Instituto</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9E720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9E720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38</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Seguidamente, el ICANH argumentó que la tasa de que trata el precepto acusado es necesaria toda</w:t>
      </w:r>
      <w:r w:rsidRPr="0029329A">
        <w:rPr>
          <w:rFonts w:ascii="Times New Roman" w:hAnsi="Times New Roman" w:cs="Times New Roman"/>
          <w:sz w:val="28"/>
          <w:szCs w:val="28"/>
        </w:rPr>
        <w:t xml:space="preserve"> vez que constituye una herramienta indispensable que garantiza la protección del patrimonio arqueológico por medio de los programas de arqueología preventiva y la salvaguarda del inventario de la colección.</w:t>
      </w:r>
    </w:p>
    <w:p w:rsidR="00D478D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6E6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39</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Para el interviniente, la tasa creada en el</w:t>
      </w:r>
      <w:r w:rsidRPr="0029329A">
        <w:rPr>
          <w:rFonts w:ascii="Times New Roman" w:hAnsi="Times New Roman" w:cs="Times New Roman"/>
          <w:sz w:val="28"/>
          <w:szCs w:val="28"/>
        </w:rPr>
        <w:t xml:space="preserve"> artículo 135 de la Ley 2294 de 2023 se articula con los objetivos y las bases del PND, pues son claras, concretas y específicas respecto de la necesidad que tiene el Estado de expandir las capacidades del ecosistema cultural, posicionar la cultura como ej</w:t>
      </w:r>
      <w:r w:rsidRPr="0029329A">
        <w:rPr>
          <w:rFonts w:ascii="Times New Roman" w:hAnsi="Times New Roman" w:cs="Times New Roman"/>
          <w:sz w:val="28"/>
          <w:szCs w:val="28"/>
        </w:rPr>
        <w:t>e del desarrollo integral, la justicia social y la paz, fortalecer los procesos de investigación, protección y divulgación del patrimonio arqueológico y museológico. En esa medida, afirmó que el art</w:t>
      </w:r>
      <w:r w:rsidRPr="0029329A">
        <w:rPr>
          <w:rFonts w:ascii="Times New Roman" w:hAnsi="Times New Roman" w:cs="Times New Roman"/>
          <w:sz w:val="28"/>
          <w:szCs w:val="28"/>
        </w:rPr>
        <w:t>í</w:t>
      </w:r>
      <w:r w:rsidRPr="0029329A">
        <w:rPr>
          <w:rFonts w:ascii="Times New Roman" w:hAnsi="Times New Roman" w:cs="Times New Roman"/>
          <w:sz w:val="28"/>
          <w:szCs w:val="28"/>
        </w:rPr>
        <w:t>culo 135 por el cual se crea la tasa de protección y mane</w:t>
      </w:r>
      <w:r w:rsidRPr="0029329A">
        <w:rPr>
          <w:rFonts w:ascii="Times New Roman" w:hAnsi="Times New Roman" w:cs="Times New Roman"/>
          <w:sz w:val="28"/>
          <w:szCs w:val="28"/>
        </w:rPr>
        <w:t xml:space="preserve">jo de bienes arqueológicos no desconoce el principio de unidad </w:t>
      </w:r>
      <w:r w:rsidRPr="0029329A">
        <w:rPr>
          <w:rFonts w:ascii="Times New Roman" w:hAnsi="Times New Roman" w:cs="Times New Roman"/>
          <w:sz w:val="28"/>
          <w:szCs w:val="28"/>
        </w:rPr>
        <w:t xml:space="preserve">de materia </w:t>
      </w:r>
      <w:r w:rsidRPr="0029329A">
        <w:rPr>
          <w:rFonts w:ascii="Times New Roman" w:hAnsi="Times New Roman" w:cs="Times New Roman"/>
          <w:sz w:val="28"/>
          <w:szCs w:val="28"/>
        </w:rPr>
        <w:t>toda vez que se ubica dentro de la sección III del PND por encontrarse vinculado a la garantía del disfrute y ejercicio de los derechos culturales para la vida y la paz, siendo uno d</w:t>
      </w:r>
      <w:r w:rsidRPr="0029329A">
        <w:rPr>
          <w:rFonts w:ascii="Times New Roman" w:hAnsi="Times New Roman" w:cs="Times New Roman"/>
          <w:sz w:val="28"/>
          <w:szCs w:val="28"/>
        </w:rPr>
        <w:t>e los ejes centrales en el reconocimiento y posicionamiento del sector cultura dentro del articulado del PND.</w:t>
      </w:r>
    </w:p>
    <w:p w:rsidR="00D478D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6E6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szCs w:val="28"/>
        </w:rPr>
        <w:t>40</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Por lo anterior, el ICANH advirtió que la tasa se constituye como una medida necesaria para impulsar el cumplimiento del Plan Nacional de Des</w:t>
      </w:r>
      <w:r w:rsidRPr="0029329A">
        <w:rPr>
          <w:rFonts w:ascii="Times New Roman" w:hAnsi="Times New Roman" w:cs="Times New Roman"/>
          <w:sz w:val="28"/>
          <w:szCs w:val="28"/>
        </w:rPr>
        <w:t xml:space="preserve">arrollo en razón a la sostenibilidad fiscal requerida por la </w:t>
      </w:r>
      <w:r w:rsidRPr="0029329A">
        <w:rPr>
          <w:rFonts w:ascii="Times New Roman" w:hAnsi="Times New Roman" w:cs="Times New Roman"/>
          <w:sz w:val="28"/>
          <w:szCs w:val="28"/>
        </w:rPr>
        <w:t>e</w:t>
      </w:r>
      <w:r w:rsidRPr="0029329A">
        <w:rPr>
          <w:rFonts w:ascii="Times New Roman" w:hAnsi="Times New Roman" w:cs="Times New Roman"/>
          <w:sz w:val="28"/>
          <w:szCs w:val="28"/>
        </w:rPr>
        <w:t>ntidad para garantizar la debida protección de los bienes arqueológicos</w:t>
      </w:r>
      <w:r w:rsidRPr="0029329A">
        <w:rPr>
          <w:rFonts w:ascii="Times New Roman" w:hAnsi="Times New Roman" w:cs="Times New Roman"/>
          <w:sz w:val="28"/>
          <w:szCs w:val="28"/>
        </w:rPr>
        <w:t xml:space="preserve"> y </w:t>
      </w:r>
      <w:r w:rsidRPr="0029329A">
        <w:rPr>
          <w:rFonts w:ascii="Times New Roman" w:hAnsi="Times New Roman" w:cs="Times New Roman"/>
          <w:sz w:val="28"/>
        </w:rPr>
        <w:t xml:space="preserve">se evidencia la relación </w:t>
      </w:r>
      <w:r w:rsidRPr="0029329A">
        <w:rPr>
          <w:rFonts w:ascii="Times New Roman" w:hAnsi="Times New Roman" w:cs="Times New Roman"/>
          <w:sz w:val="28"/>
        </w:rPr>
        <w:t xml:space="preserve">que </w:t>
      </w:r>
      <w:r w:rsidRPr="0029329A">
        <w:rPr>
          <w:rFonts w:ascii="Times New Roman" w:hAnsi="Times New Roman" w:cs="Times New Roman"/>
          <w:sz w:val="28"/>
        </w:rPr>
        <w:t>existe entre la tasa</w:t>
      </w:r>
      <w:r w:rsidRPr="0029329A">
        <w:rPr>
          <w:rFonts w:ascii="Times New Roman" w:hAnsi="Times New Roman" w:cs="Times New Roman"/>
          <w:sz w:val="28"/>
        </w:rPr>
        <w:t xml:space="preserve"> y</w:t>
      </w:r>
      <w:r w:rsidRPr="0029329A">
        <w:rPr>
          <w:rFonts w:ascii="Times New Roman" w:hAnsi="Times New Roman" w:cs="Times New Roman"/>
          <w:sz w:val="28"/>
        </w:rPr>
        <w:t xml:space="preserve"> los fines misionales del ICANH, y los objetivos y </w:t>
      </w:r>
      <w:r w:rsidRPr="0029329A">
        <w:rPr>
          <w:rFonts w:ascii="Times New Roman" w:hAnsi="Times New Roman" w:cs="Times New Roman"/>
          <w:sz w:val="28"/>
        </w:rPr>
        <w:t>l</w:t>
      </w:r>
      <w:r w:rsidRPr="0029329A">
        <w:rPr>
          <w:rFonts w:ascii="Times New Roman" w:hAnsi="Times New Roman" w:cs="Times New Roman"/>
          <w:sz w:val="28"/>
        </w:rPr>
        <w:t>as bases del Plan</w:t>
      </w:r>
      <w:r w:rsidRPr="0029329A">
        <w:rPr>
          <w:rFonts w:ascii="Times New Roman" w:hAnsi="Times New Roman" w:cs="Times New Roman"/>
          <w:sz w:val="28"/>
        </w:rPr>
        <w:t xml:space="preserve"> Nacional de Desarrollo son coherentes y articulad</w:t>
      </w:r>
      <w:r w:rsidRPr="0029329A">
        <w:rPr>
          <w:rFonts w:ascii="Times New Roman" w:hAnsi="Times New Roman" w:cs="Times New Roman"/>
          <w:sz w:val="28"/>
        </w:rPr>
        <w:t>o</w:t>
      </w:r>
      <w:r w:rsidRPr="0029329A">
        <w:rPr>
          <w:rFonts w:ascii="Times New Roman" w:hAnsi="Times New Roman" w:cs="Times New Roman"/>
          <w:sz w:val="28"/>
        </w:rPr>
        <w:t>s, cumpliendo así con el principio de unidad de materia.</w:t>
      </w:r>
    </w:p>
    <w:p w:rsidR="00D6484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36E6C"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41</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Finalmente, </w:t>
      </w:r>
      <w:r w:rsidRPr="0029329A">
        <w:rPr>
          <w:rFonts w:ascii="Times New Roman" w:hAnsi="Times New Roman" w:cs="Times New Roman"/>
          <w:sz w:val="28"/>
          <w:szCs w:val="28"/>
        </w:rPr>
        <w:t>el</w:t>
      </w:r>
      <w:r w:rsidRPr="0029329A">
        <w:rPr>
          <w:rFonts w:ascii="Times New Roman" w:hAnsi="Times New Roman" w:cs="Times New Roman"/>
          <w:sz w:val="28"/>
          <w:szCs w:val="28"/>
        </w:rPr>
        <w:t xml:space="preserve"> interviniente aseguró que la norma cuestionada no vulnera el artículo 338 superior, pues (i) el legislador estableció la base gravable o base</w:t>
      </w:r>
      <w:r w:rsidRPr="0029329A">
        <w:rPr>
          <w:rFonts w:ascii="Times New Roman" w:hAnsi="Times New Roman" w:cs="Times New Roman"/>
          <w:sz w:val="28"/>
          <w:szCs w:val="28"/>
        </w:rPr>
        <w:t xml:space="preserve"> de liquidación de la tasa. En esa medida, </w:t>
      </w:r>
      <w:r w:rsidRPr="0029329A">
        <w:rPr>
          <w:rFonts w:ascii="Times New Roman" w:hAnsi="Times New Roman" w:cs="Times New Roman"/>
          <w:sz w:val="28"/>
          <w:szCs w:val="28"/>
        </w:rPr>
        <w:t>es claro para la autoridad tributaria y el contribuyente que se aplicar</w:t>
      </w:r>
      <w:r w:rsidRPr="0029329A">
        <w:rPr>
          <w:rFonts w:ascii="Times New Roman" w:hAnsi="Times New Roman" w:cs="Times New Roman"/>
          <w:sz w:val="28"/>
          <w:szCs w:val="28"/>
        </w:rPr>
        <w:t>á la tarifa respecto del costo de los servicios correspondientes a cada uno de los hechos generadores</w:t>
      </w:r>
      <w:r w:rsidRPr="0029329A">
        <w:rPr>
          <w:rFonts w:ascii="Times New Roman" w:hAnsi="Times New Roman" w:cs="Times New Roman"/>
          <w:sz w:val="28"/>
          <w:szCs w:val="28"/>
        </w:rPr>
        <w:t xml:space="preserve"> y (ii) el G</w:t>
      </w:r>
      <w:r w:rsidRPr="0029329A">
        <w:rPr>
          <w:rFonts w:ascii="Times New Roman" w:hAnsi="Times New Roman" w:cs="Times New Roman"/>
          <w:sz w:val="28"/>
          <w:szCs w:val="28"/>
        </w:rPr>
        <w:t>obierno nacional establece la metodología para la cuantificación de la base gravable y pueda hacers</w:t>
      </w:r>
      <w:r w:rsidRPr="0029329A">
        <w:rPr>
          <w:rFonts w:ascii="Times New Roman" w:hAnsi="Times New Roman" w:cs="Times New Roman"/>
          <w:sz w:val="28"/>
          <w:szCs w:val="28"/>
        </w:rPr>
        <w:t>e efectivo el cobro de la tasa.</w:t>
      </w:r>
    </w:p>
    <w:p w:rsidR="00D6484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D305A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rPr>
      </w:pPr>
      <w:r w:rsidRPr="0029329A">
        <w:rPr>
          <w:rFonts w:ascii="Times New Roman" w:hAnsi="Times New Roman" w:cs="Times New Roman"/>
          <w:b/>
          <w:sz w:val="28"/>
        </w:rPr>
        <w:t>Instituto C</w:t>
      </w:r>
      <w:r w:rsidRPr="0029329A">
        <w:rPr>
          <w:rFonts w:ascii="Times New Roman" w:hAnsi="Times New Roman" w:cs="Times New Roman"/>
          <w:b/>
          <w:sz w:val="28"/>
        </w:rPr>
        <w:t xml:space="preserve">olombiano de Derecho Tributario –ICDT </w:t>
      </w:r>
    </w:p>
    <w:p w:rsidR="00964A3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rPr>
      </w:pPr>
    </w:p>
    <w:p w:rsidR="00964A38" w:rsidRPr="0029329A" w:rsidRDefault="0029329A" w:rsidP="00773A7F">
      <w:pPr>
        <w:spacing w:after="0" w:line="360" w:lineRule="atLeast"/>
        <w:jc w:val="both"/>
        <w:rPr>
          <w:rFonts w:ascii="Times New Roman" w:hAnsi="Times New Roman" w:cs="Times New Roman"/>
          <w:sz w:val="28"/>
        </w:rPr>
      </w:pPr>
      <w:r w:rsidRPr="0029329A">
        <w:rPr>
          <w:rFonts w:ascii="Times New Roman" w:hAnsi="Times New Roman" w:cs="Times New Roman"/>
          <w:sz w:val="28"/>
        </w:rPr>
        <w:t>4</w:t>
      </w:r>
      <w:r w:rsidRPr="0029329A">
        <w:rPr>
          <w:rFonts w:ascii="Times New Roman" w:hAnsi="Times New Roman" w:cs="Times New Roman"/>
          <w:sz w:val="28"/>
        </w:rPr>
        <w:t>2</w:t>
      </w:r>
      <w:r w:rsidRPr="0029329A">
        <w:rPr>
          <w:rFonts w:ascii="Times New Roman" w:hAnsi="Times New Roman" w:cs="Times New Roman"/>
          <w:sz w:val="28"/>
        </w:rPr>
        <w:t xml:space="preserve">. </w:t>
      </w:r>
      <w:r w:rsidRPr="0029329A">
        <w:rPr>
          <w:rFonts w:ascii="Times New Roman" w:hAnsi="Times New Roman" w:cs="Times New Roman"/>
          <w:sz w:val="28"/>
        </w:rPr>
        <w:t>El Instituto Colombiano de Derecho Tributario (en adelante ICDT</w:t>
      </w:r>
      <w:r w:rsidRPr="0029329A">
        <w:rPr>
          <w:rFonts w:ascii="Times New Roman" w:hAnsi="Times New Roman" w:cs="Times New Roman"/>
          <w:sz w:val="28"/>
        </w:rPr>
        <w:t xml:space="preserve">) </w:t>
      </w:r>
      <w:r w:rsidRPr="0029329A">
        <w:rPr>
          <w:rFonts w:ascii="Times New Roman" w:hAnsi="Times New Roman" w:cs="Times New Roman"/>
          <w:sz w:val="28"/>
        </w:rPr>
        <w:t xml:space="preserve">intervino en el presente proceso y manifestó que los artículos 135 y 169 de la Ley 2294 de 2023 en su totalidad </w:t>
      </w:r>
      <w:r w:rsidRPr="0029329A">
        <w:rPr>
          <w:rFonts w:ascii="Times New Roman" w:hAnsi="Times New Roman" w:cs="Times New Roman"/>
          <w:sz w:val="28"/>
        </w:rPr>
        <w:t>“</w:t>
      </w:r>
      <w:r w:rsidRPr="0029329A">
        <w:rPr>
          <w:rFonts w:ascii="Times New Roman" w:hAnsi="Times New Roman" w:cs="Times New Roman"/>
          <w:sz w:val="28"/>
        </w:rPr>
        <w:t xml:space="preserve">no se atemperan a lo dispuesto en </w:t>
      </w:r>
      <w:r w:rsidRPr="0029329A">
        <w:rPr>
          <w:rFonts w:ascii="Times New Roman" w:hAnsi="Times New Roman" w:cs="Times New Roman"/>
          <w:sz w:val="28"/>
        </w:rPr>
        <w:t>los artículos 158 y 169 de la Constitución Política, que desarrollan el principio de unidad de materia</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21"/>
      </w:r>
      <w:r w:rsidRPr="0029329A">
        <w:rPr>
          <w:rFonts w:ascii="Times New Roman" w:hAnsi="Times New Roman" w:cs="Times New Roman"/>
          <w:sz w:val="28"/>
        </w:rPr>
        <w:t>.</w:t>
      </w:r>
    </w:p>
    <w:p w:rsidR="00CA4795" w:rsidRPr="0029329A" w:rsidRDefault="0029329A" w:rsidP="00773A7F">
      <w:pPr>
        <w:spacing w:after="0" w:line="360" w:lineRule="atLeast"/>
        <w:jc w:val="both"/>
        <w:rPr>
          <w:rFonts w:ascii="Times New Roman" w:hAnsi="Times New Roman" w:cs="Times New Roman"/>
          <w:sz w:val="28"/>
        </w:rPr>
      </w:pPr>
    </w:p>
    <w:p w:rsidR="00A871AF" w:rsidRPr="0029329A" w:rsidRDefault="0029329A" w:rsidP="00773A7F">
      <w:pPr>
        <w:spacing w:after="0" w:line="360" w:lineRule="atLeast"/>
        <w:jc w:val="both"/>
        <w:rPr>
          <w:rFonts w:ascii="Times New Roman" w:hAnsi="Times New Roman" w:cs="Times New Roman"/>
          <w:sz w:val="28"/>
        </w:rPr>
      </w:pPr>
      <w:r w:rsidRPr="0029329A">
        <w:rPr>
          <w:rFonts w:ascii="Times New Roman" w:hAnsi="Times New Roman" w:cs="Times New Roman"/>
          <w:sz w:val="28"/>
        </w:rPr>
        <w:t>4</w:t>
      </w:r>
      <w:r w:rsidRPr="0029329A">
        <w:rPr>
          <w:rFonts w:ascii="Times New Roman" w:hAnsi="Times New Roman" w:cs="Times New Roman"/>
          <w:sz w:val="28"/>
        </w:rPr>
        <w:t>3</w:t>
      </w:r>
      <w:r w:rsidRPr="0029329A">
        <w:rPr>
          <w:rFonts w:ascii="Times New Roman" w:hAnsi="Times New Roman" w:cs="Times New Roman"/>
          <w:sz w:val="28"/>
        </w:rPr>
        <w:t xml:space="preserve">. </w:t>
      </w:r>
      <w:r w:rsidRPr="0029329A">
        <w:rPr>
          <w:rFonts w:ascii="Times New Roman" w:hAnsi="Times New Roman" w:cs="Times New Roman"/>
          <w:sz w:val="28"/>
        </w:rPr>
        <w:t>Para sustentar lo anterior, el ICDT indicó que las disposiciones censuradas regulan tasas con carácter permanente cuyo fin es financiar ordinaria y permanentemente a dos entidades estatales. Sin embargo, las mismas no tienen ninguna relación con los progra</w:t>
      </w:r>
      <w:r w:rsidRPr="0029329A">
        <w:rPr>
          <w:rFonts w:ascii="Times New Roman" w:hAnsi="Times New Roman" w:cs="Times New Roman"/>
          <w:sz w:val="28"/>
        </w:rPr>
        <w:t xml:space="preserve">mas y proyectos dispuestos en la parte general del Plan Nacional de Desarrollo ni se rigen como normas instrumentales para cumplir con tales fines. Por lo anterior, concluyó que las mismas </w:t>
      </w:r>
      <w:r w:rsidRPr="0029329A">
        <w:rPr>
          <w:rFonts w:ascii="Times New Roman" w:hAnsi="Times New Roman" w:cs="Times New Roman"/>
          <w:sz w:val="28"/>
        </w:rPr>
        <w:t>“</w:t>
      </w:r>
      <w:r w:rsidRPr="0029329A">
        <w:rPr>
          <w:rFonts w:ascii="Times New Roman" w:hAnsi="Times New Roman" w:cs="Times New Roman"/>
          <w:sz w:val="28"/>
        </w:rPr>
        <w:t>carecen de una conexidad directa e inmediata con las bases de dich</w:t>
      </w:r>
      <w:r w:rsidRPr="0029329A">
        <w:rPr>
          <w:rFonts w:ascii="Times New Roman" w:hAnsi="Times New Roman" w:cs="Times New Roman"/>
          <w:sz w:val="28"/>
        </w:rPr>
        <w:t>o Plan</w:t>
      </w:r>
      <w:r w:rsidRPr="0029329A">
        <w:rPr>
          <w:rFonts w:ascii="Times New Roman" w:hAnsi="Times New Roman" w:cs="Times New Roman"/>
          <w:sz w:val="28"/>
        </w:rPr>
        <w:t>”</w:t>
      </w:r>
      <w:r w:rsidRPr="0029329A">
        <w:rPr>
          <w:rFonts w:ascii="Times New Roman" w:hAnsi="Times New Roman" w:cs="Times New Roman"/>
          <w:sz w:val="28"/>
        </w:rPr>
        <w:t>.</w:t>
      </w:r>
    </w:p>
    <w:p w:rsidR="000A22F8" w:rsidRPr="0029329A" w:rsidRDefault="0029329A" w:rsidP="00773A7F">
      <w:pPr>
        <w:spacing w:after="0" w:line="360" w:lineRule="atLeast"/>
        <w:jc w:val="both"/>
        <w:rPr>
          <w:rFonts w:ascii="Times New Roman" w:hAnsi="Times New Roman" w:cs="Times New Roman"/>
          <w:sz w:val="28"/>
        </w:rPr>
      </w:pPr>
    </w:p>
    <w:p w:rsidR="006D3D31" w:rsidRPr="0029329A" w:rsidRDefault="0029329A" w:rsidP="00773A7F">
      <w:pPr>
        <w:spacing w:after="0" w:line="360" w:lineRule="atLeast"/>
        <w:jc w:val="both"/>
        <w:rPr>
          <w:rFonts w:ascii="Times New Roman" w:hAnsi="Times New Roman" w:cs="Times New Roman"/>
          <w:sz w:val="28"/>
        </w:rPr>
      </w:pPr>
      <w:r w:rsidRPr="0029329A">
        <w:rPr>
          <w:rFonts w:ascii="Times New Roman" w:hAnsi="Times New Roman" w:cs="Times New Roman"/>
          <w:sz w:val="28"/>
        </w:rPr>
        <w:t>4</w:t>
      </w:r>
      <w:r w:rsidRPr="0029329A">
        <w:rPr>
          <w:rFonts w:ascii="Times New Roman" w:hAnsi="Times New Roman" w:cs="Times New Roman"/>
          <w:sz w:val="28"/>
        </w:rPr>
        <w:t>4</w:t>
      </w:r>
      <w:r w:rsidRPr="0029329A">
        <w:rPr>
          <w:rFonts w:ascii="Times New Roman" w:hAnsi="Times New Roman" w:cs="Times New Roman"/>
          <w:sz w:val="28"/>
        </w:rPr>
        <w:t xml:space="preserve">. </w:t>
      </w:r>
      <w:r w:rsidRPr="0029329A">
        <w:rPr>
          <w:rFonts w:ascii="Times New Roman" w:hAnsi="Times New Roman" w:cs="Times New Roman"/>
          <w:sz w:val="28"/>
        </w:rPr>
        <w:t xml:space="preserve">Aunado a lo anterior, el ICDT se refirió al segundo cargo </w:t>
      </w:r>
      <w:r w:rsidRPr="0029329A">
        <w:rPr>
          <w:rFonts w:ascii="Times New Roman" w:hAnsi="Times New Roman" w:cs="Times New Roman"/>
          <w:sz w:val="28"/>
        </w:rPr>
        <w:t xml:space="preserve">e indicó que </w:t>
      </w:r>
      <w:r w:rsidRPr="0029329A">
        <w:rPr>
          <w:rFonts w:ascii="Times New Roman" w:hAnsi="Times New Roman" w:cs="Times New Roman"/>
          <w:sz w:val="28"/>
        </w:rPr>
        <w:t>“</w:t>
      </w:r>
      <w:r w:rsidRPr="0029329A">
        <w:rPr>
          <w:rFonts w:ascii="Times New Roman" w:hAnsi="Times New Roman" w:cs="Times New Roman"/>
          <w:sz w:val="28"/>
        </w:rPr>
        <w:t>el aparte demandado de</w:t>
      </w:r>
      <w:r w:rsidRPr="0029329A">
        <w:rPr>
          <w:rFonts w:ascii="Times New Roman" w:hAnsi="Times New Roman" w:cs="Times New Roman"/>
          <w:sz w:val="28"/>
        </w:rPr>
        <w:t>l</w:t>
      </w:r>
      <w:r w:rsidRPr="0029329A">
        <w:rPr>
          <w:rFonts w:ascii="Times New Roman" w:hAnsi="Times New Roman" w:cs="Times New Roman"/>
          <w:sz w:val="28"/>
        </w:rPr>
        <w:t xml:space="preserve"> artículo 135 de la Ley 2294 de 2023 se ajusta</w:t>
      </w:r>
      <w:r w:rsidRPr="0029329A">
        <w:rPr>
          <w:rFonts w:ascii="Times New Roman" w:hAnsi="Times New Roman" w:cs="Times New Roman"/>
          <w:sz w:val="28"/>
        </w:rPr>
        <w:t xml:space="preserve"> a</w:t>
      </w:r>
      <w:r w:rsidRPr="0029329A">
        <w:rPr>
          <w:rFonts w:ascii="Times New Roman" w:hAnsi="Times New Roman" w:cs="Times New Roman"/>
          <w:sz w:val="28"/>
        </w:rPr>
        <w:t xml:space="preserve"> lo dispuesto en el artículo 338 de Constitución Política, teniendo en cuenta</w:t>
      </w:r>
      <w:r w:rsidRPr="0029329A">
        <w:rPr>
          <w:rFonts w:ascii="Times New Roman" w:hAnsi="Times New Roman" w:cs="Times New Roman"/>
          <w:sz w:val="28"/>
        </w:rPr>
        <w:t xml:space="preserve"> que</w:t>
      </w:r>
      <w:r w:rsidRPr="0029329A">
        <w:rPr>
          <w:rFonts w:ascii="Times New Roman" w:hAnsi="Times New Roman" w:cs="Times New Roman"/>
          <w:sz w:val="28"/>
        </w:rPr>
        <w:t xml:space="preserve"> no existe una falta de certeza en la base gravable de este tributo. Al respecto, </w:t>
      </w:r>
      <w:r w:rsidRPr="0029329A">
        <w:rPr>
          <w:rFonts w:ascii="Times New Roman" w:hAnsi="Times New Roman" w:cs="Times New Roman"/>
          <w:sz w:val="28"/>
        </w:rPr>
        <w:t xml:space="preserve">señaló que </w:t>
      </w:r>
      <w:r w:rsidRPr="0029329A">
        <w:rPr>
          <w:rFonts w:ascii="Times New Roman" w:hAnsi="Times New Roman" w:cs="Times New Roman"/>
          <w:sz w:val="28"/>
        </w:rPr>
        <w:t>si bien la norma establece que la base gravable para la liquidación de la tasa será el costo de los servicios</w:t>
      </w:r>
      <w:r w:rsidRPr="0029329A">
        <w:rPr>
          <w:rFonts w:ascii="Times New Roman" w:hAnsi="Times New Roman" w:cs="Times New Roman"/>
          <w:sz w:val="28"/>
        </w:rPr>
        <w:t xml:space="preserve"> correspondientes a cada uno de los hechos generadores</w:t>
      </w:r>
      <w:r w:rsidRPr="0029329A">
        <w:rPr>
          <w:rFonts w:ascii="Times New Roman" w:hAnsi="Times New Roman" w:cs="Times New Roman"/>
          <w:sz w:val="28"/>
        </w:rPr>
        <w:t xml:space="preserve"> y delega en cabeza del Gobierno Nacional el establecimiento de la metodología para su cálculo, esta delegación no corresponde a una función propiamente legislativa para que esta autoridad fije autónomamente la base gravable, sino más bien una “función téc</w:t>
      </w:r>
      <w:r w:rsidRPr="0029329A">
        <w:rPr>
          <w:rFonts w:ascii="Times New Roman" w:hAnsi="Times New Roman" w:cs="Times New Roman"/>
          <w:sz w:val="28"/>
        </w:rPr>
        <w:t>nica de certificación” que facilita el cálculo y la prueba de dichos costos</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22"/>
      </w:r>
      <w:r w:rsidRPr="0029329A">
        <w:rPr>
          <w:rFonts w:ascii="Times New Roman" w:hAnsi="Times New Roman" w:cs="Times New Roman"/>
          <w:sz w:val="28"/>
        </w:rPr>
        <w:t>.</w:t>
      </w:r>
    </w:p>
    <w:p w:rsidR="00CA4795" w:rsidRPr="0029329A" w:rsidRDefault="0029329A" w:rsidP="00773A7F">
      <w:pPr>
        <w:spacing w:after="0" w:line="360" w:lineRule="atLeast"/>
        <w:jc w:val="both"/>
        <w:rPr>
          <w:rFonts w:ascii="Times New Roman" w:hAnsi="Times New Roman" w:cs="Times New Roman"/>
          <w:sz w:val="28"/>
        </w:rPr>
      </w:pPr>
    </w:p>
    <w:p w:rsidR="00D64845" w:rsidRPr="0029329A" w:rsidRDefault="0029329A" w:rsidP="00773A7F">
      <w:pPr>
        <w:spacing w:after="0" w:line="360" w:lineRule="atLeast"/>
        <w:jc w:val="both"/>
        <w:rPr>
          <w:rFonts w:ascii="Times New Roman" w:hAnsi="Times New Roman" w:cs="Times New Roman"/>
          <w:sz w:val="28"/>
        </w:rPr>
      </w:pPr>
      <w:r w:rsidRPr="0029329A">
        <w:rPr>
          <w:rFonts w:ascii="Times New Roman" w:hAnsi="Times New Roman" w:cs="Times New Roman"/>
          <w:sz w:val="28"/>
        </w:rPr>
        <w:t>4</w:t>
      </w:r>
      <w:r w:rsidRPr="0029329A">
        <w:rPr>
          <w:rFonts w:ascii="Times New Roman" w:hAnsi="Times New Roman" w:cs="Times New Roman"/>
          <w:sz w:val="28"/>
        </w:rPr>
        <w:t>5</w:t>
      </w:r>
      <w:r w:rsidRPr="0029329A">
        <w:rPr>
          <w:rFonts w:ascii="Times New Roman" w:hAnsi="Times New Roman" w:cs="Times New Roman"/>
          <w:sz w:val="28"/>
        </w:rPr>
        <w:t xml:space="preserve">. </w:t>
      </w:r>
      <w:r w:rsidRPr="0029329A">
        <w:rPr>
          <w:rFonts w:ascii="Times New Roman" w:hAnsi="Times New Roman" w:cs="Times New Roman"/>
          <w:sz w:val="28"/>
        </w:rPr>
        <w:t>Así las cosas, el interviniente expuso que el mismo</w:t>
      </w:r>
      <w:r w:rsidRPr="0029329A">
        <w:rPr>
          <w:rFonts w:ascii="Times New Roman" w:hAnsi="Times New Roman" w:cs="Times New Roman"/>
          <w:sz w:val="28"/>
        </w:rPr>
        <w:t xml:space="preserve"> artículo 135 en los literales a) y b</w:t>
      </w:r>
      <w:r w:rsidRPr="0029329A">
        <w:rPr>
          <w:rFonts w:ascii="Times New Roman" w:hAnsi="Times New Roman" w:cs="Times New Roman"/>
          <w:sz w:val="28"/>
        </w:rPr>
        <w:t xml:space="preserve">) proporciona </w:t>
      </w:r>
      <w:r w:rsidRPr="0029329A">
        <w:rPr>
          <w:rFonts w:ascii="Times New Roman" w:hAnsi="Times New Roman" w:cs="Times New Roman"/>
          <w:sz w:val="28"/>
        </w:rPr>
        <w:t>“</w:t>
      </w:r>
      <w:r w:rsidRPr="0029329A">
        <w:rPr>
          <w:rFonts w:ascii="Times New Roman" w:hAnsi="Times New Roman" w:cs="Times New Roman"/>
          <w:sz w:val="28"/>
        </w:rPr>
        <w:t>los criterios o pautas que deben seguirse para calcular tales costos,</w:t>
      </w:r>
      <w:r w:rsidRPr="0029329A">
        <w:rPr>
          <w:rFonts w:ascii="Times New Roman" w:hAnsi="Times New Roman" w:cs="Times New Roman"/>
          <w:sz w:val="28"/>
        </w:rPr>
        <w:t xml:space="preserve"> detallando el método y el sistema que el Instituto Colombiano de Antropología e Historia -ICANH debe tener en cuenta para fijar y actualizar anualmente las tarifas de los servicios que presta por cada uno de los hechos generadores de la tasa, en función p</w:t>
      </w:r>
      <w:r w:rsidRPr="0029329A">
        <w:rPr>
          <w:rFonts w:ascii="Times New Roman" w:hAnsi="Times New Roman" w:cs="Times New Roman"/>
          <w:sz w:val="28"/>
        </w:rPr>
        <w:t>recisamente de los costos en que incurre al prestar los mismos, los cuales pueden ser observados igualmente por el Gobierno Nacional</w:t>
      </w:r>
      <w:r w:rsidRPr="0029329A">
        <w:rPr>
          <w:rFonts w:ascii="Times New Roman" w:hAnsi="Times New Roman" w:cs="Times New Roman"/>
          <w:sz w:val="28"/>
        </w:rPr>
        <w:t xml:space="preserve"> a</w:t>
      </w:r>
      <w:r w:rsidRPr="0029329A">
        <w:rPr>
          <w:rFonts w:ascii="Times New Roman" w:hAnsi="Times New Roman" w:cs="Times New Roman"/>
          <w:sz w:val="28"/>
        </w:rPr>
        <w:t xml:space="preserve"> efectos de establecer la metodología para el cálculo de los costos en función de la gravable de la tasa</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23"/>
      </w:r>
      <w:r w:rsidRPr="0029329A">
        <w:rPr>
          <w:rFonts w:ascii="Times New Roman" w:hAnsi="Times New Roman" w:cs="Times New Roman"/>
          <w:sz w:val="28"/>
        </w:rPr>
        <w:t>. En esa medida,</w:t>
      </w:r>
      <w:r w:rsidRPr="0029329A">
        <w:rPr>
          <w:rFonts w:ascii="Times New Roman" w:hAnsi="Times New Roman" w:cs="Times New Roman"/>
          <w:sz w:val="28"/>
        </w:rPr>
        <w:t xml:space="preserve"> el ICDT concluyó que </w:t>
      </w:r>
      <w:r w:rsidRPr="0029329A">
        <w:rPr>
          <w:rFonts w:ascii="Times New Roman" w:hAnsi="Times New Roman" w:cs="Times New Roman"/>
          <w:sz w:val="28"/>
        </w:rPr>
        <w:t>“</w:t>
      </w:r>
      <w:r w:rsidRPr="0029329A">
        <w:rPr>
          <w:rFonts w:ascii="Times New Roman" w:hAnsi="Times New Roman" w:cs="Times New Roman"/>
          <w:sz w:val="28"/>
        </w:rPr>
        <w:t>no se está ante una insuperable indeterminación de la norma que viole los principios de legalidad y certeza tributaria</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24"/>
      </w:r>
      <w:r w:rsidRPr="0029329A">
        <w:rPr>
          <w:rFonts w:ascii="Times New Roman" w:hAnsi="Times New Roman" w:cs="Times New Roman"/>
          <w:sz w:val="28"/>
        </w:rPr>
        <w:t>.</w:t>
      </w:r>
    </w:p>
    <w:p w:rsidR="00CA4795" w:rsidRPr="0029329A" w:rsidRDefault="0029329A" w:rsidP="00773A7F">
      <w:pPr>
        <w:spacing w:after="0" w:line="360" w:lineRule="atLeast"/>
        <w:jc w:val="both"/>
        <w:rPr>
          <w:rFonts w:ascii="Times New Roman" w:hAnsi="Times New Roman" w:cs="Times New Roman"/>
          <w:sz w:val="28"/>
        </w:rPr>
      </w:pPr>
    </w:p>
    <w:p w:rsidR="006D3D31"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r w:rsidRPr="0029329A">
        <w:rPr>
          <w:rFonts w:ascii="Times New Roman" w:hAnsi="Times New Roman" w:cs="Times New Roman"/>
          <w:b/>
          <w:sz w:val="28"/>
          <w:szCs w:val="28"/>
        </w:rPr>
        <w:t>Universidad del Norte</w:t>
      </w:r>
    </w:p>
    <w:p w:rsidR="006D3D31"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E300C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46</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La Universidad del Norte solicitó a la Corte Constitucional </w:t>
      </w:r>
      <w:r w:rsidRPr="0029329A">
        <w:rPr>
          <w:rFonts w:ascii="Times New Roman" w:hAnsi="Times New Roman" w:cs="Times New Roman"/>
          <w:sz w:val="28"/>
          <w:szCs w:val="28"/>
        </w:rPr>
        <w:t>“</w:t>
      </w:r>
      <w:r w:rsidRPr="0029329A">
        <w:rPr>
          <w:rFonts w:ascii="Times New Roman" w:hAnsi="Times New Roman" w:cs="Times New Roman"/>
          <w:sz w:val="28"/>
          <w:szCs w:val="28"/>
        </w:rPr>
        <w:t>DECLARAR INEXEQUIBLE l</w:t>
      </w:r>
      <w:r w:rsidRPr="0029329A">
        <w:rPr>
          <w:rFonts w:ascii="Times New Roman" w:hAnsi="Times New Roman" w:cs="Times New Roman"/>
          <w:sz w:val="28"/>
          <w:szCs w:val="28"/>
        </w:rPr>
        <w:t>os artículos 135 y 169 de la ley 2294 de 2023</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Para sustentar su petición, indicó que las disposiciones demandadas, por una parte, violan el principio de unidad de materia, pues (i) </w:t>
      </w:r>
      <w:r w:rsidRPr="0029329A">
        <w:rPr>
          <w:rFonts w:ascii="Times New Roman" w:hAnsi="Times New Roman" w:cs="Times New Roman"/>
          <w:sz w:val="28"/>
          <w:szCs w:val="28"/>
        </w:rPr>
        <w:t>“</w:t>
      </w:r>
      <w:r w:rsidRPr="0029329A">
        <w:rPr>
          <w:rFonts w:ascii="Times New Roman" w:hAnsi="Times New Roman" w:cs="Times New Roman"/>
          <w:sz w:val="28"/>
        </w:rPr>
        <w:t xml:space="preserve">resulta difícil comprender cuál fue el propósito de establecer dos </w:t>
      </w:r>
      <w:r w:rsidRPr="0029329A">
        <w:rPr>
          <w:rFonts w:ascii="Times New Roman" w:hAnsi="Times New Roman" w:cs="Times New Roman"/>
          <w:sz w:val="28"/>
        </w:rPr>
        <w:t>tributos adicionales con el objetivo de promover la seguridad humana y la justicia social</w:t>
      </w:r>
      <w:r w:rsidRPr="0029329A">
        <w:rPr>
          <w:rFonts w:ascii="Times New Roman" w:hAnsi="Times New Roman" w:cs="Times New Roman"/>
          <w:sz w:val="28"/>
        </w:rPr>
        <w:t>”</w:t>
      </w:r>
      <w:r w:rsidRPr="0029329A">
        <w:rPr>
          <w:rFonts w:ascii="Times New Roman" w:hAnsi="Times New Roman" w:cs="Times New Roman"/>
          <w:sz w:val="28"/>
        </w:rPr>
        <w:t xml:space="preserve">, (ii) </w:t>
      </w:r>
      <w:r w:rsidRPr="0029329A">
        <w:rPr>
          <w:rFonts w:ascii="Times New Roman" w:hAnsi="Times New Roman" w:cs="Times New Roman"/>
          <w:sz w:val="28"/>
        </w:rPr>
        <w:t xml:space="preserve">no existe </w:t>
      </w:r>
      <w:r w:rsidRPr="0029329A">
        <w:rPr>
          <w:rFonts w:ascii="Times New Roman" w:hAnsi="Times New Roman" w:cs="Times New Roman"/>
          <w:sz w:val="28"/>
        </w:rPr>
        <w:t>coherencia con las demás disposicio</w:t>
      </w:r>
      <w:r w:rsidRPr="0029329A">
        <w:rPr>
          <w:rFonts w:ascii="Times New Roman" w:hAnsi="Times New Roman" w:cs="Times New Roman"/>
          <w:sz w:val="28"/>
        </w:rPr>
        <w:t xml:space="preserve">nes contenidas en el Plan Nacional de Desarrollo y </w:t>
      </w:r>
      <w:r w:rsidRPr="0029329A">
        <w:rPr>
          <w:rFonts w:ascii="Times New Roman" w:hAnsi="Times New Roman" w:cs="Times New Roman"/>
          <w:sz w:val="28"/>
        </w:rPr>
        <w:t xml:space="preserve"> </w:t>
      </w:r>
      <w:r w:rsidRPr="0029329A">
        <w:rPr>
          <w:rFonts w:ascii="Times New Roman" w:hAnsi="Times New Roman" w:cs="Times New Roman"/>
          <w:sz w:val="28"/>
        </w:rPr>
        <w:t xml:space="preserve">(iii) no se logra </w:t>
      </w:r>
      <w:r w:rsidRPr="0029329A">
        <w:rPr>
          <w:rFonts w:ascii="Times New Roman" w:hAnsi="Times New Roman" w:cs="Times New Roman"/>
          <w:sz w:val="28"/>
        </w:rPr>
        <w:t>identificar ninguna interpretación temática,</w:t>
      </w:r>
      <w:r w:rsidRPr="0029329A">
        <w:rPr>
          <w:rFonts w:ascii="Times New Roman" w:hAnsi="Times New Roman" w:cs="Times New Roman"/>
          <w:sz w:val="28"/>
        </w:rPr>
        <w:t xml:space="preserve"> causal, teleológica o sistemática que </w:t>
      </w:r>
      <w:r w:rsidRPr="0029329A">
        <w:rPr>
          <w:rFonts w:ascii="Times New Roman" w:hAnsi="Times New Roman" w:cs="Times New Roman"/>
          <w:sz w:val="28"/>
        </w:rPr>
        <w:t>“</w:t>
      </w:r>
      <w:r w:rsidRPr="0029329A">
        <w:rPr>
          <w:rFonts w:ascii="Times New Roman" w:hAnsi="Times New Roman" w:cs="Times New Roman"/>
          <w:sz w:val="28"/>
        </w:rPr>
        <w:t>justifique la inclusión de estos impuestos, ni entendemos la necesidad de estos</w:t>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25"/>
      </w:r>
      <w:r w:rsidRPr="0029329A">
        <w:rPr>
          <w:rFonts w:ascii="Times New Roman" w:hAnsi="Times New Roman" w:cs="Times New Roman"/>
          <w:sz w:val="28"/>
        </w:rPr>
        <w:t xml:space="preserve">. </w:t>
      </w:r>
    </w:p>
    <w:p w:rsidR="00E300C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D62EF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47. </w:t>
      </w:r>
      <w:r w:rsidRPr="0029329A">
        <w:rPr>
          <w:rFonts w:ascii="Times New Roman" w:hAnsi="Times New Roman" w:cs="Times New Roman"/>
          <w:sz w:val="28"/>
          <w:szCs w:val="28"/>
        </w:rPr>
        <w:t xml:space="preserve">Por otra parte, la interviniente manifestó que las normas demandadas </w:t>
      </w:r>
      <w:r w:rsidRPr="0029329A">
        <w:rPr>
          <w:rFonts w:ascii="Times New Roman" w:hAnsi="Times New Roman" w:cs="Times New Roman"/>
          <w:sz w:val="28"/>
          <w:szCs w:val="28"/>
        </w:rPr>
        <w:t>vulneran el</w:t>
      </w:r>
      <w:r w:rsidRPr="0029329A">
        <w:rPr>
          <w:rFonts w:ascii="Times New Roman" w:hAnsi="Times New Roman" w:cs="Times New Roman"/>
          <w:sz w:val="28"/>
          <w:szCs w:val="28"/>
        </w:rPr>
        <w:t xml:space="preserve"> artículo 338 </w:t>
      </w:r>
      <w:r w:rsidRPr="0029329A">
        <w:rPr>
          <w:rFonts w:ascii="Times New Roman" w:hAnsi="Times New Roman" w:cs="Times New Roman"/>
          <w:sz w:val="28"/>
          <w:szCs w:val="28"/>
        </w:rPr>
        <w:t>constitucional, pues</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la ley [</w:t>
      </w:r>
      <w:r w:rsidRPr="0029329A">
        <w:rPr>
          <w:rFonts w:ascii="Times New Roman" w:hAnsi="Times New Roman" w:cs="Times New Roman"/>
          <w:sz w:val="28"/>
          <w:szCs w:val="28"/>
        </w:rPr>
        <w:t>229</w:t>
      </w:r>
      <w:r w:rsidRPr="0029329A">
        <w:rPr>
          <w:rFonts w:ascii="Times New Roman" w:hAnsi="Times New Roman" w:cs="Times New Roman"/>
          <w:sz w:val="28"/>
          <w:szCs w:val="28"/>
        </w:rPr>
        <w:t>4 de 2023</w:t>
      </w:r>
      <w:r w:rsidRPr="0029329A">
        <w:rPr>
          <w:rFonts w:ascii="Times New Roman" w:hAnsi="Times New Roman" w:cs="Times New Roman"/>
          <w:sz w:val="28"/>
          <w:szCs w:val="28"/>
        </w:rPr>
        <w:t>] está transfiriendo al poder ejecutivo funciones que tienen una remisión directa en la Constitución al poder legislativo. En este sentido, el poder legislativo no puede delegar sus responsabilidades constitucionales</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26"/>
      </w:r>
      <w:r w:rsidRPr="0029329A">
        <w:rPr>
          <w:rFonts w:ascii="Times New Roman" w:hAnsi="Times New Roman" w:cs="Times New Roman"/>
          <w:sz w:val="28"/>
          <w:szCs w:val="28"/>
        </w:rPr>
        <w:t>.</w:t>
      </w:r>
    </w:p>
    <w:p w:rsidR="00D62EF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p>
    <w:p w:rsidR="00DC6C68"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r w:rsidRPr="0029329A">
        <w:rPr>
          <w:rFonts w:ascii="Times New Roman" w:hAnsi="Times New Roman" w:cs="Times New Roman"/>
          <w:b/>
          <w:sz w:val="28"/>
          <w:szCs w:val="28"/>
          <w:lang w:val="es-ES"/>
        </w:rPr>
        <w:t>IV. CONCEPTO DE</w:t>
      </w:r>
      <w:r w:rsidRPr="0029329A">
        <w:rPr>
          <w:rFonts w:ascii="Times New Roman" w:hAnsi="Times New Roman" w:cs="Times New Roman"/>
          <w:b/>
          <w:sz w:val="28"/>
          <w:szCs w:val="28"/>
          <w:lang w:val="es-ES"/>
        </w:rPr>
        <w:t xml:space="preserve"> </w:t>
      </w:r>
      <w:r w:rsidRPr="0029329A">
        <w:rPr>
          <w:rFonts w:ascii="Times New Roman" w:hAnsi="Times New Roman" w:cs="Times New Roman"/>
          <w:b/>
          <w:sz w:val="28"/>
          <w:szCs w:val="28"/>
          <w:lang w:val="es-ES"/>
        </w:rPr>
        <w:t>L</w:t>
      </w:r>
      <w:r w:rsidRPr="0029329A">
        <w:rPr>
          <w:rFonts w:ascii="Times New Roman" w:hAnsi="Times New Roman" w:cs="Times New Roman"/>
          <w:b/>
          <w:sz w:val="28"/>
          <w:szCs w:val="28"/>
          <w:lang w:val="es-ES"/>
        </w:rPr>
        <w:t>A PROCURA</w:t>
      </w:r>
      <w:r w:rsidRPr="0029329A">
        <w:rPr>
          <w:rFonts w:ascii="Times New Roman" w:hAnsi="Times New Roman" w:cs="Times New Roman"/>
          <w:b/>
          <w:sz w:val="28"/>
          <w:szCs w:val="28"/>
          <w:lang w:val="es-ES"/>
        </w:rPr>
        <w:t>DURÍA</w:t>
      </w:r>
      <w:r w:rsidRPr="0029329A">
        <w:rPr>
          <w:rFonts w:ascii="Times New Roman" w:hAnsi="Times New Roman" w:cs="Times New Roman"/>
          <w:b/>
          <w:sz w:val="28"/>
          <w:szCs w:val="28"/>
          <w:lang w:val="es-ES"/>
        </w:rPr>
        <w:t xml:space="preserve"> GENERAL DE LA NACIÓN</w:t>
      </w:r>
    </w:p>
    <w:p w:rsidR="00DC6C68" w:rsidRPr="0029329A" w:rsidRDefault="0029329A" w:rsidP="00773A7F">
      <w:pPr>
        <w:overflowPunct w:val="0"/>
        <w:autoSpaceDE w:val="0"/>
        <w:autoSpaceDN w:val="0"/>
        <w:adjustRightInd w:val="0"/>
        <w:spacing w:after="0" w:line="360" w:lineRule="atLeast"/>
        <w:ind w:right="49"/>
        <w:jc w:val="both"/>
        <w:textAlignment w:val="baseline"/>
        <w:rPr>
          <w:rFonts w:ascii="Times New Roman" w:hAnsi="Times New Roman" w:cs="Times New Roman"/>
          <w:sz w:val="28"/>
          <w:szCs w:val="28"/>
          <w:lang w:val="es-ES"/>
        </w:rPr>
      </w:pPr>
    </w:p>
    <w:p w:rsidR="00421AC6" w:rsidRPr="0029329A" w:rsidRDefault="0029329A" w:rsidP="00773A7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48</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El </w:t>
      </w:r>
      <w:r w:rsidRPr="0029329A">
        <w:rPr>
          <w:rFonts w:ascii="Times New Roman" w:hAnsi="Times New Roman" w:cs="Times New Roman"/>
          <w:sz w:val="28"/>
          <w:szCs w:val="28"/>
        </w:rPr>
        <w:t>31</w:t>
      </w:r>
      <w:r w:rsidRPr="0029329A">
        <w:rPr>
          <w:rFonts w:ascii="Times New Roman" w:hAnsi="Times New Roman" w:cs="Times New Roman"/>
          <w:sz w:val="28"/>
          <w:szCs w:val="28"/>
        </w:rPr>
        <w:t xml:space="preserve"> de octubre de 202</w:t>
      </w:r>
      <w:r w:rsidRPr="0029329A">
        <w:rPr>
          <w:rFonts w:ascii="Times New Roman" w:hAnsi="Times New Roman" w:cs="Times New Roman"/>
          <w:sz w:val="28"/>
          <w:szCs w:val="28"/>
        </w:rPr>
        <w:t>3, la Procuraduría</w:t>
      </w:r>
      <w:r w:rsidRPr="0029329A">
        <w:rPr>
          <w:rFonts w:ascii="Times New Roman" w:hAnsi="Times New Roman" w:cs="Times New Roman"/>
          <w:sz w:val="28"/>
          <w:szCs w:val="28"/>
        </w:rPr>
        <w:t xml:space="preserve"> General de la Nación en su concepto solicitó a la Corte Constitucional</w:t>
      </w:r>
      <w:r w:rsidRPr="0029329A">
        <w:rPr>
          <w:rFonts w:ascii="Times New Roman" w:hAnsi="Times New Roman" w:cs="Times New Roman"/>
          <w:sz w:val="28"/>
          <w:szCs w:val="28"/>
        </w:rPr>
        <w:t xml:space="preserve"> que se declare la </w:t>
      </w:r>
      <w:r w:rsidRPr="0029329A">
        <w:rPr>
          <w:rFonts w:ascii="Times New Roman" w:hAnsi="Times New Roman" w:cs="Times New Roman"/>
          <w:sz w:val="28"/>
          <w:szCs w:val="28"/>
        </w:rPr>
        <w:t>“</w:t>
      </w:r>
      <w:r w:rsidRPr="0029329A">
        <w:rPr>
          <w:rFonts w:ascii="Times New Roman" w:hAnsi="Times New Roman" w:cs="Times New Roman"/>
          <w:sz w:val="28"/>
          <w:szCs w:val="28"/>
        </w:rPr>
        <w:t>INEXEQUIBILIDAD de los artículos 135 y 169 de la Ley 2294 de 2023, “Por la cual se expide el</w:t>
      </w:r>
      <w:r w:rsidRPr="0029329A">
        <w:rPr>
          <w:rFonts w:ascii="Times New Roman" w:hAnsi="Times New Roman" w:cs="Times New Roman"/>
          <w:sz w:val="28"/>
          <w:szCs w:val="28"/>
        </w:rPr>
        <w:t xml:space="preserve"> Plan Nacional de Desarrollo 2022-2026 – Colombia Potencia Mundial de la Vida”</w:t>
      </w:r>
      <w:r w:rsidRPr="0029329A">
        <w:rPr>
          <w:rFonts w:ascii="Times New Roman" w:hAnsi="Times New Roman" w:cs="Times New Roman"/>
          <w:sz w:val="28"/>
          <w:szCs w:val="28"/>
        </w:rPr>
        <w:t>”</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p>
    <w:p w:rsidR="00421AC6" w:rsidRPr="0029329A" w:rsidRDefault="0029329A" w:rsidP="00773A7F">
      <w:pPr>
        <w:widowControl w:val="0"/>
        <w:spacing w:after="0" w:line="360" w:lineRule="atLeast"/>
        <w:contextualSpacing/>
        <w:jc w:val="both"/>
        <w:rPr>
          <w:rFonts w:ascii="Times New Roman" w:hAnsi="Times New Roman" w:cs="Times New Roman"/>
          <w:sz w:val="28"/>
          <w:szCs w:val="28"/>
        </w:rPr>
      </w:pPr>
    </w:p>
    <w:p w:rsidR="00ED4695" w:rsidRPr="0029329A" w:rsidRDefault="0029329A" w:rsidP="00773A7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49</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E</w:t>
      </w:r>
      <w:r w:rsidRPr="0029329A">
        <w:rPr>
          <w:rFonts w:ascii="Times New Roman" w:hAnsi="Times New Roman" w:cs="Times New Roman"/>
          <w:sz w:val="28"/>
          <w:szCs w:val="28"/>
        </w:rPr>
        <w:t xml:space="preserve">n </w:t>
      </w:r>
      <w:r w:rsidRPr="0029329A">
        <w:rPr>
          <w:rFonts w:ascii="Times New Roman" w:hAnsi="Times New Roman" w:cs="Times New Roman"/>
          <w:sz w:val="28"/>
          <w:szCs w:val="28"/>
        </w:rPr>
        <w:t>primer lugar, el Ministerio Público indic</w:t>
      </w:r>
      <w:r w:rsidRPr="0029329A">
        <w:rPr>
          <w:rFonts w:ascii="Times New Roman" w:hAnsi="Times New Roman" w:cs="Times New Roman"/>
          <w:sz w:val="28"/>
          <w:szCs w:val="28"/>
        </w:rPr>
        <w:t xml:space="preserve">ó que el </w:t>
      </w:r>
      <w:r w:rsidRPr="0029329A">
        <w:rPr>
          <w:rFonts w:ascii="Times New Roman" w:hAnsi="Times New Roman" w:cs="Times New Roman"/>
          <w:sz w:val="28"/>
          <w:szCs w:val="28"/>
        </w:rPr>
        <w:t>art</w:t>
      </w:r>
      <w:r w:rsidRPr="0029329A">
        <w:rPr>
          <w:rFonts w:ascii="Times New Roman" w:hAnsi="Times New Roman" w:cs="Times New Roman"/>
          <w:sz w:val="28"/>
          <w:szCs w:val="28"/>
        </w:rPr>
        <w:t>ículo</w:t>
      </w:r>
      <w:r w:rsidRPr="0029329A">
        <w:rPr>
          <w:rFonts w:ascii="Times New Roman" w:hAnsi="Times New Roman" w:cs="Times New Roman"/>
          <w:sz w:val="28"/>
          <w:szCs w:val="28"/>
        </w:rPr>
        <w:t xml:space="preserve"> 135</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no desconoce el principio de legalidad y certeza tributaria</w:t>
      </w:r>
      <w:r w:rsidRPr="0029329A">
        <w:rPr>
          <w:rFonts w:ascii="Times New Roman" w:hAnsi="Times New Roman" w:cs="Times New Roman"/>
          <w:sz w:val="28"/>
          <w:szCs w:val="28"/>
        </w:rPr>
        <w:t>”</w:t>
      </w:r>
      <w:r w:rsidRPr="0029329A">
        <w:rPr>
          <w:rFonts w:ascii="Times New Roman" w:hAnsi="Times New Roman" w:cs="Times New Roman"/>
          <w:sz w:val="28"/>
          <w:szCs w:val="28"/>
        </w:rPr>
        <w:t>, pues en el referido precepto el Congreso</w:t>
      </w:r>
      <w:r w:rsidRPr="0029329A">
        <w:rPr>
          <w:rFonts w:ascii="Times New Roman" w:hAnsi="Times New Roman" w:cs="Times New Roman"/>
          <w:sz w:val="28"/>
          <w:szCs w:val="28"/>
        </w:rPr>
        <w:t xml:space="preserve"> de la República dispuso que: </w:t>
      </w:r>
    </w:p>
    <w:p w:rsidR="00ED4695" w:rsidRPr="0029329A" w:rsidRDefault="0029329A" w:rsidP="00773A7F">
      <w:pPr>
        <w:widowControl w:val="0"/>
        <w:spacing w:after="0" w:line="360" w:lineRule="atLeast"/>
        <w:contextualSpacing/>
        <w:jc w:val="both"/>
        <w:rPr>
          <w:rFonts w:ascii="Times New Roman" w:hAnsi="Times New Roman" w:cs="Times New Roman"/>
          <w:sz w:val="28"/>
          <w:szCs w:val="28"/>
        </w:rPr>
      </w:pPr>
    </w:p>
    <w:p w:rsidR="00ED4695" w:rsidRPr="0029329A" w:rsidRDefault="0029329A" w:rsidP="00E300C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w:t>
      </w:r>
      <w:r w:rsidRPr="0029329A">
        <w:rPr>
          <w:rFonts w:ascii="Times New Roman" w:hAnsi="Times New Roman" w:cs="Times New Roman"/>
          <w:sz w:val="28"/>
          <w:szCs w:val="28"/>
        </w:rPr>
        <w:t>(i) La base gravable de la tasa ordenada es un “</w:t>
      </w:r>
      <w:r w:rsidRPr="0029329A">
        <w:rPr>
          <w:rFonts w:ascii="Times New Roman" w:hAnsi="Times New Roman" w:cs="Times New Roman"/>
          <w:i/>
          <w:sz w:val="28"/>
          <w:szCs w:val="28"/>
        </w:rPr>
        <w:t>precio</w:t>
      </w:r>
      <w:r w:rsidRPr="0029329A">
        <w:rPr>
          <w:rFonts w:ascii="Times New Roman" w:hAnsi="Times New Roman" w:cs="Times New Roman"/>
          <w:sz w:val="28"/>
          <w:szCs w:val="28"/>
        </w:rPr>
        <w:t>”, pues indicó que el valor</w:t>
      </w:r>
      <w:r w:rsidRPr="0029329A">
        <w:rPr>
          <w:rFonts w:ascii="Times New Roman" w:hAnsi="Times New Roman" w:cs="Times New Roman"/>
          <w:sz w:val="28"/>
          <w:szCs w:val="28"/>
        </w:rPr>
        <w:t xml:space="preserve"> sobre el cual se aplica la tarifa del tributo es “</w:t>
      </w:r>
      <w:r w:rsidRPr="0029329A">
        <w:rPr>
          <w:rFonts w:ascii="Times New Roman" w:hAnsi="Times New Roman" w:cs="Times New Roman"/>
          <w:i/>
          <w:sz w:val="28"/>
          <w:szCs w:val="28"/>
        </w:rPr>
        <w:t>el costo de los servicios</w:t>
      </w:r>
      <w:r w:rsidRPr="0029329A">
        <w:rPr>
          <w:rFonts w:ascii="Times New Roman" w:hAnsi="Times New Roman" w:cs="Times New Roman"/>
          <w:sz w:val="28"/>
          <w:szCs w:val="28"/>
        </w:rPr>
        <w:t>” prestados por el Instituto Colombiano de Antropología e Historia</w:t>
      </w:r>
      <w:r w:rsidRPr="0029329A">
        <w:rPr>
          <w:rFonts w:ascii="Times New Roman" w:hAnsi="Times New Roman" w:cs="Times New Roman"/>
          <w:sz w:val="28"/>
          <w:szCs w:val="28"/>
        </w:rPr>
        <w:t xml:space="preserve"> por los “procedimientos asociados a la protección y manejo de bienes arqueológicos, y</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(ii) El Gobierno Nacional está a cargo de fijar la metodología de concreción del referido precio, lo cual resulta razonable si se tiene en cuenta que los costos de los s</w:t>
      </w:r>
      <w:r w:rsidRPr="0029329A">
        <w:rPr>
          <w:rFonts w:ascii="Times New Roman" w:hAnsi="Times New Roman" w:cs="Times New Roman"/>
          <w:sz w:val="28"/>
          <w:szCs w:val="28"/>
        </w:rPr>
        <w:t>ervicios prestados son variables, dado que dependen de los valores oscilantes de los insumos requeridos para adelantar los procedimientos, así como de los gastos asociados al talento humano especializado necesario para gestionar las distintas clases de trá</w:t>
      </w:r>
      <w:r w:rsidRPr="0029329A">
        <w:rPr>
          <w:rFonts w:ascii="Times New Roman" w:hAnsi="Times New Roman" w:cs="Times New Roman"/>
          <w:sz w:val="28"/>
          <w:szCs w:val="28"/>
        </w:rPr>
        <w:t>mites</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27"/>
      </w:r>
      <w:r w:rsidRPr="0029329A">
        <w:rPr>
          <w:rFonts w:ascii="Times New Roman" w:hAnsi="Times New Roman" w:cs="Times New Roman"/>
          <w:sz w:val="28"/>
          <w:szCs w:val="28"/>
        </w:rPr>
        <w:t>.</w:t>
      </w:r>
    </w:p>
    <w:p w:rsidR="00F50827" w:rsidRPr="0029329A" w:rsidRDefault="0029329A" w:rsidP="00773A7F">
      <w:pPr>
        <w:widowControl w:val="0"/>
        <w:spacing w:after="0" w:line="360" w:lineRule="atLeast"/>
        <w:contextualSpacing/>
        <w:jc w:val="both"/>
        <w:rPr>
          <w:rFonts w:ascii="Times New Roman" w:hAnsi="Times New Roman" w:cs="Times New Roman"/>
          <w:sz w:val="28"/>
          <w:szCs w:val="28"/>
        </w:rPr>
      </w:pPr>
    </w:p>
    <w:p w:rsidR="004F4DE3" w:rsidRPr="0029329A" w:rsidRDefault="0029329A" w:rsidP="00773A7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50</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Así las cosas, la Procuraduría General de la Nación concluy</w:t>
      </w:r>
      <w:r w:rsidRPr="0029329A">
        <w:rPr>
          <w:rFonts w:ascii="Times New Roman" w:hAnsi="Times New Roman" w:cs="Times New Roman"/>
          <w:sz w:val="28"/>
          <w:szCs w:val="28"/>
        </w:rPr>
        <w:t>ó que, en el presente caso, el Congreso de la República no delegó en la administración la definición de la base gravable de la tasa, pues indicó que la misma será el costo del servicio. Por lo anterior, para el Ministerio Público el cargo por el presunto d</w:t>
      </w:r>
      <w:r w:rsidRPr="0029329A">
        <w:rPr>
          <w:rFonts w:ascii="Times New Roman" w:hAnsi="Times New Roman" w:cs="Times New Roman"/>
          <w:sz w:val="28"/>
          <w:szCs w:val="28"/>
        </w:rPr>
        <w:t xml:space="preserve">esconocimiento del principio de legalidad y certeza tributaria no está llamado a prosperar. </w:t>
      </w:r>
    </w:p>
    <w:p w:rsidR="00ED4695" w:rsidRPr="0029329A" w:rsidRDefault="0029329A" w:rsidP="00773A7F">
      <w:pPr>
        <w:widowControl w:val="0"/>
        <w:spacing w:after="0" w:line="360" w:lineRule="atLeast"/>
        <w:contextualSpacing/>
        <w:jc w:val="both"/>
        <w:rPr>
          <w:rFonts w:ascii="Times New Roman" w:hAnsi="Times New Roman" w:cs="Times New Roman"/>
          <w:sz w:val="28"/>
          <w:szCs w:val="28"/>
        </w:rPr>
      </w:pPr>
    </w:p>
    <w:p w:rsidR="00ED4695" w:rsidRPr="0029329A" w:rsidRDefault="0029329A" w:rsidP="00773A7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51</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En segundo lugar, la Procuraduría General de la Nación </w:t>
      </w:r>
      <w:r w:rsidRPr="0029329A">
        <w:rPr>
          <w:rFonts w:ascii="Times New Roman" w:hAnsi="Times New Roman" w:cs="Times New Roman"/>
          <w:sz w:val="28"/>
          <w:szCs w:val="28"/>
        </w:rPr>
        <w:t xml:space="preserve">manifestó que los artículos 135 </w:t>
      </w:r>
      <w:r w:rsidRPr="0029329A">
        <w:rPr>
          <w:rFonts w:ascii="Times New Roman" w:hAnsi="Times New Roman" w:cs="Times New Roman"/>
          <w:sz w:val="28"/>
          <w:szCs w:val="28"/>
        </w:rPr>
        <w:t xml:space="preserve">y 169 de la Ley 2294 de 2023 desconocen el principio de </w:t>
      </w:r>
      <w:r w:rsidRPr="0029329A">
        <w:rPr>
          <w:rFonts w:ascii="Times New Roman" w:hAnsi="Times New Roman" w:cs="Times New Roman"/>
          <w:sz w:val="28"/>
          <w:szCs w:val="28"/>
        </w:rPr>
        <w:t>unidad de mater</w:t>
      </w:r>
      <w:r w:rsidRPr="0029329A">
        <w:rPr>
          <w:rFonts w:ascii="Times New Roman" w:hAnsi="Times New Roman" w:cs="Times New Roman"/>
          <w:sz w:val="28"/>
          <w:szCs w:val="28"/>
        </w:rPr>
        <w:t xml:space="preserve">ia, pues se trata de disposiciones tributarias que </w:t>
      </w:r>
      <w:r w:rsidRPr="0029329A">
        <w:rPr>
          <w:rFonts w:ascii="Times New Roman" w:hAnsi="Times New Roman" w:cs="Times New Roman"/>
          <w:sz w:val="28"/>
          <w:szCs w:val="28"/>
        </w:rPr>
        <w:t>“</w:t>
      </w:r>
      <w:r w:rsidRPr="0029329A">
        <w:rPr>
          <w:rFonts w:ascii="Times New Roman" w:hAnsi="Times New Roman" w:cs="Times New Roman"/>
          <w:sz w:val="28"/>
          <w:szCs w:val="28"/>
        </w:rPr>
        <w:t>no guardan una relación estrecha con la parte general ni con el plan de inversiones de la Ley 2294 de 2023, así como carecen de una motivación en el documento que contiene las bases del Plan Nacional de D</w:t>
      </w:r>
      <w:r w:rsidRPr="0029329A">
        <w:rPr>
          <w:rFonts w:ascii="Times New Roman" w:hAnsi="Times New Roman" w:cs="Times New Roman"/>
          <w:sz w:val="28"/>
          <w:szCs w:val="28"/>
        </w:rPr>
        <w:t>esarrollo</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En concreto, consideró que no existe una conexidad directa e inmediata toda vez que: </w:t>
      </w:r>
    </w:p>
    <w:p w:rsidR="00ED4695" w:rsidRPr="0029329A" w:rsidRDefault="0029329A" w:rsidP="00773A7F">
      <w:pPr>
        <w:widowControl w:val="0"/>
        <w:spacing w:after="0" w:line="360" w:lineRule="atLeast"/>
        <w:contextualSpacing/>
        <w:jc w:val="both"/>
        <w:rPr>
          <w:rFonts w:ascii="Times New Roman" w:hAnsi="Times New Roman" w:cs="Times New Roman"/>
          <w:sz w:val="28"/>
          <w:szCs w:val="28"/>
        </w:rPr>
      </w:pPr>
    </w:p>
    <w:p w:rsidR="00ED4695" w:rsidRPr="0029329A" w:rsidRDefault="0029329A" w:rsidP="00E300C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w:t>
      </w:r>
      <w:r w:rsidRPr="0029329A">
        <w:rPr>
          <w:rFonts w:ascii="Times New Roman" w:hAnsi="Times New Roman" w:cs="Times New Roman"/>
          <w:sz w:val="28"/>
          <w:szCs w:val="28"/>
        </w:rPr>
        <w:t xml:space="preserve">(i) </w:t>
      </w:r>
      <w:r w:rsidRPr="0029329A">
        <w:rPr>
          <w:rFonts w:ascii="Times New Roman" w:hAnsi="Times New Roman" w:cs="Times New Roman"/>
          <w:sz w:val="28"/>
          <w:szCs w:val="28"/>
        </w:rPr>
        <w:t>A</w:t>
      </w:r>
      <w:r w:rsidRPr="0029329A">
        <w:rPr>
          <w:rFonts w:ascii="Times New Roman" w:hAnsi="Times New Roman" w:cs="Times New Roman"/>
          <w:sz w:val="28"/>
          <w:szCs w:val="28"/>
        </w:rPr>
        <w:t xml:space="preserve"> partir de los textos positivos, es claro que la tasa de protección y manejo de bienes arqueológicos por el Instituto Colombiano de Antropología e Hist</w:t>
      </w:r>
      <w:r w:rsidRPr="0029329A">
        <w:rPr>
          <w:rFonts w:ascii="Times New Roman" w:hAnsi="Times New Roman" w:cs="Times New Roman"/>
          <w:sz w:val="28"/>
          <w:szCs w:val="28"/>
        </w:rPr>
        <w:t xml:space="preserve">oria (artículo 135), y la tasa para la recuperación de los costos de los servicios prestados por la Dirección Nacional de Derecho de Autor (artículo 169), son disposiciones destinadas a financiar las actividades adelantadas de forma ordinaria y permanente </w:t>
      </w:r>
      <w:r w:rsidRPr="0029329A">
        <w:rPr>
          <w:rFonts w:ascii="Times New Roman" w:hAnsi="Times New Roman" w:cs="Times New Roman"/>
          <w:sz w:val="28"/>
          <w:szCs w:val="28"/>
        </w:rPr>
        <w:t xml:space="preserve">por dichas entidades, dado que, en principio, no responden al desarrollo de nuevos programas o proyectos ni al costo de funciones adicionales, </w:t>
      </w:r>
    </w:p>
    <w:p w:rsidR="002178FE" w:rsidRPr="0029329A" w:rsidRDefault="0029329A" w:rsidP="00E300CF">
      <w:pPr>
        <w:widowControl w:val="0"/>
        <w:spacing w:after="0" w:line="360" w:lineRule="atLeast"/>
        <w:contextualSpacing/>
        <w:jc w:val="both"/>
        <w:rPr>
          <w:rFonts w:ascii="Times New Roman" w:hAnsi="Times New Roman" w:cs="Times New Roman"/>
          <w:sz w:val="28"/>
          <w:szCs w:val="28"/>
        </w:rPr>
      </w:pPr>
    </w:p>
    <w:p w:rsidR="0095300B" w:rsidRPr="0029329A" w:rsidRDefault="0029329A" w:rsidP="00E300C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(ii) Los artículos 135 y 169 se encuentran incluidos en la Ley 2294 de 2023 en el acápite que contiene las medi</w:t>
      </w:r>
      <w:r w:rsidRPr="0029329A">
        <w:rPr>
          <w:rFonts w:ascii="Times New Roman" w:hAnsi="Times New Roman" w:cs="Times New Roman"/>
          <w:sz w:val="28"/>
          <w:szCs w:val="28"/>
        </w:rPr>
        <w:t xml:space="preserve">das instrumentales para la ejecución del objetivo de </w:t>
      </w:r>
      <w:r w:rsidRPr="0029329A">
        <w:rPr>
          <w:rFonts w:ascii="Times New Roman" w:hAnsi="Times New Roman" w:cs="Times New Roman"/>
          <w:i/>
          <w:sz w:val="28"/>
          <w:szCs w:val="28"/>
        </w:rPr>
        <w:t>“seguridad humana y justicia social”</w:t>
      </w:r>
      <w:r w:rsidRPr="0029329A">
        <w:rPr>
          <w:rFonts w:ascii="Times New Roman" w:hAnsi="Times New Roman" w:cs="Times New Roman"/>
          <w:sz w:val="28"/>
          <w:szCs w:val="28"/>
        </w:rPr>
        <w:t xml:space="preserve"> del Plan Nacional de Desarrollo, que, en términos generales, comprende las políticas</w:t>
      </w:r>
      <w:r w:rsidRPr="0029329A">
        <w:rPr>
          <w:rFonts w:ascii="Times New Roman" w:hAnsi="Times New Roman" w:cs="Times New Roman"/>
          <w:sz w:val="28"/>
          <w:szCs w:val="28"/>
        </w:rPr>
        <w:t xml:space="preserve"> de </w:t>
      </w:r>
      <w:r w:rsidRPr="0029329A">
        <w:rPr>
          <w:rFonts w:ascii="Times New Roman" w:hAnsi="Times New Roman" w:cs="Times New Roman"/>
          <w:sz w:val="28"/>
          <w:szCs w:val="28"/>
        </w:rPr>
        <w:t>bienestar para la realización de los proyectos de vida de los ciudadanos en co</w:t>
      </w:r>
      <w:r w:rsidRPr="0029329A">
        <w:rPr>
          <w:rFonts w:ascii="Times New Roman" w:hAnsi="Times New Roman" w:cs="Times New Roman"/>
          <w:sz w:val="28"/>
          <w:szCs w:val="28"/>
        </w:rPr>
        <w:t>ndiciones de dignidad, y</w:t>
      </w:r>
    </w:p>
    <w:p w:rsidR="0095300B" w:rsidRPr="0029329A" w:rsidRDefault="0029329A" w:rsidP="00E300CF">
      <w:pPr>
        <w:widowControl w:val="0"/>
        <w:spacing w:after="0" w:line="360" w:lineRule="atLeast"/>
        <w:contextualSpacing/>
        <w:jc w:val="both"/>
        <w:rPr>
          <w:rFonts w:ascii="Times New Roman" w:hAnsi="Times New Roman" w:cs="Times New Roman"/>
          <w:sz w:val="28"/>
          <w:szCs w:val="28"/>
        </w:rPr>
      </w:pPr>
    </w:p>
    <w:p w:rsidR="0095300B" w:rsidRPr="0029329A" w:rsidRDefault="0029329A" w:rsidP="00E300C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(iii) No es claro que, a efectos de asegurar las políticas relacionadas con la seguridad humana y la justicia social, sea imperioso establecer tributos dirigidos a financiar la operación ordinaria del Instituto Colombiano de Antro</w:t>
      </w:r>
      <w:r w:rsidRPr="0029329A">
        <w:rPr>
          <w:rFonts w:ascii="Times New Roman" w:hAnsi="Times New Roman" w:cs="Times New Roman"/>
          <w:sz w:val="28"/>
          <w:szCs w:val="28"/>
        </w:rPr>
        <w:t>pología e Historia y de la Dirección Nacional de Derecho de Autor, máxime cuando dichas entidades pueden recibir recursos por medio de otras vías presupuestales para cumplir con sus funciones legales</w:t>
      </w:r>
      <w:r w:rsidRPr="0029329A">
        <w:rPr>
          <w:rFonts w:ascii="Times New Roman" w:hAnsi="Times New Roman" w:cs="Times New Roman"/>
          <w:sz w:val="28"/>
          <w:szCs w:val="28"/>
        </w:rPr>
        <w:t>”</w:t>
      </w:r>
      <w:r w:rsidRPr="0029329A">
        <w:rPr>
          <w:rStyle w:val="Refdenotaalpie"/>
          <w:rFonts w:ascii="Times New Roman" w:hAnsi="Times New Roman"/>
          <w:sz w:val="28"/>
          <w:szCs w:val="28"/>
          <w:vertAlign w:val="superscript"/>
        </w:rPr>
        <w:footnoteReference w:id="28"/>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 </w:t>
      </w:r>
    </w:p>
    <w:p w:rsidR="00E300CF" w:rsidRPr="0029329A" w:rsidRDefault="0029329A" w:rsidP="00A32780">
      <w:pPr>
        <w:widowControl w:val="0"/>
        <w:spacing w:after="0" w:line="360" w:lineRule="atLeast"/>
        <w:ind w:left="567" w:right="567"/>
        <w:contextualSpacing/>
        <w:jc w:val="both"/>
        <w:rPr>
          <w:rFonts w:ascii="Times New Roman" w:hAnsi="Times New Roman" w:cs="Times New Roman"/>
          <w:sz w:val="28"/>
          <w:szCs w:val="28"/>
        </w:rPr>
      </w:pPr>
    </w:p>
    <w:p w:rsidR="0095300B" w:rsidRPr="0029329A" w:rsidRDefault="0029329A" w:rsidP="00E300CF">
      <w:pPr>
        <w:widowControl w:val="0"/>
        <w:spacing w:after="0"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5</w:t>
      </w:r>
      <w:r w:rsidRPr="0029329A">
        <w:rPr>
          <w:rFonts w:ascii="Times New Roman" w:hAnsi="Times New Roman" w:cs="Times New Roman"/>
          <w:sz w:val="28"/>
          <w:szCs w:val="28"/>
        </w:rPr>
        <w:t>2</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Adicionalmente, el Ministerio Público indic</w:t>
      </w:r>
      <w:r w:rsidRPr="0029329A">
        <w:rPr>
          <w:rFonts w:ascii="Times New Roman" w:hAnsi="Times New Roman" w:cs="Times New Roman"/>
          <w:sz w:val="28"/>
          <w:szCs w:val="28"/>
        </w:rPr>
        <w:t xml:space="preserve">ó </w:t>
      </w:r>
      <w:r w:rsidRPr="0029329A">
        <w:rPr>
          <w:rFonts w:ascii="Times New Roman" w:hAnsi="Times New Roman" w:cs="Times New Roman"/>
          <w:sz w:val="28"/>
          <w:szCs w:val="28"/>
        </w:rPr>
        <w:t>que en</w:t>
      </w:r>
      <w:r w:rsidRPr="0029329A">
        <w:rPr>
          <w:rFonts w:ascii="Times New Roman" w:hAnsi="Times New Roman" w:cs="Times New Roman"/>
          <w:sz w:val="28"/>
          <w:szCs w:val="28"/>
        </w:rPr>
        <w:t xml:space="preserve"> las fuentes de financiación para la ejecución de los objetivos del Plan Nacional de De</w:t>
      </w:r>
      <w:r w:rsidRPr="0029329A">
        <w:rPr>
          <w:rFonts w:ascii="Times New Roman" w:hAnsi="Times New Roman" w:cs="Times New Roman"/>
          <w:sz w:val="28"/>
          <w:szCs w:val="28"/>
        </w:rPr>
        <w:t>sarrollo no se hace referencia a las tasas previstas en los artículos demandados, ni se menciona algún proyecto relacionado con las mismas. Tampoco se ofrece una motivación expresa dirigida a justificar la necesidad imperiosa de financiar el funcionamiento</w:t>
      </w:r>
      <w:r w:rsidRPr="0029329A">
        <w:rPr>
          <w:rFonts w:ascii="Times New Roman" w:hAnsi="Times New Roman" w:cs="Times New Roman"/>
          <w:sz w:val="28"/>
          <w:szCs w:val="28"/>
        </w:rPr>
        <w:t xml:space="preserve"> ordinario del Instituto Colombiano de Antropología e Historia y de la Dirección Nacional de Derecho de Autor. Por lo anterior, el Ministerio Público concluyó que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las normas acusadas vulneran el principio de unidad de materia, dado que tienen un (sic) </w:t>
      </w:r>
      <w:r w:rsidRPr="0029329A">
        <w:rPr>
          <w:rFonts w:ascii="Times New Roman" w:hAnsi="Times New Roman" w:cs="Times New Roman"/>
          <w:i/>
          <w:sz w:val="28"/>
          <w:szCs w:val="28"/>
        </w:rPr>
        <w:t>“ca</w:t>
      </w:r>
      <w:r w:rsidRPr="0029329A">
        <w:rPr>
          <w:rFonts w:ascii="Times New Roman" w:hAnsi="Times New Roman" w:cs="Times New Roman"/>
          <w:i/>
          <w:sz w:val="28"/>
          <w:szCs w:val="28"/>
        </w:rPr>
        <w:t>rácter permanente”</w:t>
      </w:r>
      <w:r w:rsidRPr="0029329A">
        <w:rPr>
          <w:rFonts w:ascii="Times New Roman" w:hAnsi="Times New Roman" w:cs="Times New Roman"/>
          <w:sz w:val="28"/>
          <w:szCs w:val="28"/>
        </w:rPr>
        <w:t xml:space="preserve"> e incumplen el </w:t>
      </w:r>
      <w:r w:rsidRPr="0029329A">
        <w:rPr>
          <w:rFonts w:ascii="Times New Roman" w:hAnsi="Times New Roman" w:cs="Times New Roman"/>
          <w:i/>
          <w:sz w:val="28"/>
          <w:szCs w:val="28"/>
        </w:rPr>
        <w:t>“fin planificador y de impulso a los programas”</w:t>
      </w:r>
      <w:r w:rsidRPr="0029329A">
        <w:rPr>
          <w:rFonts w:ascii="Times New Roman" w:hAnsi="Times New Roman" w:cs="Times New Roman"/>
          <w:sz w:val="28"/>
          <w:szCs w:val="28"/>
        </w:rPr>
        <w:t xml:space="preserve"> que deben tener los preceptos instrumentales del Plan Nacional de Desarrollo, más aun cuando no están justificadas, ni tienen </w:t>
      </w:r>
      <w:r w:rsidRPr="0029329A">
        <w:rPr>
          <w:rFonts w:ascii="Times New Roman" w:hAnsi="Times New Roman" w:cs="Times New Roman"/>
          <w:i/>
          <w:sz w:val="28"/>
          <w:szCs w:val="28"/>
        </w:rPr>
        <w:t>“una carga argumentativa en las bases del Plan”</w:t>
      </w:r>
      <w:r w:rsidRPr="0029329A">
        <w:rPr>
          <w:rFonts w:ascii="Times New Roman" w:hAnsi="Times New Roman" w:cs="Times New Roman"/>
          <w:i/>
          <w:sz w:val="28"/>
          <w:szCs w:val="28"/>
        </w:rPr>
        <w:t>”</w:t>
      </w:r>
      <w:r w:rsidRPr="0029329A">
        <w:rPr>
          <w:rStyle w:val="Refdenotaalpie"/>
          <w:rFonts w:ascii="Times New Roman" w:hAnsi="Times New Roman"/>
          <w:sz w:val="28"/>
          <w:szCs w:val="28"/>
          <w:vertAlign w:val="superscript"/>
        </w:rPr>
        <w:footnoteReference w:id="29"/>
      </w:r>
      <w:r w:rsidRPr="0029329A">
        <w:rPr>
          <w:rFonts w:ascii="Times New Roman" w:hAnsi="Times New Roman" w:cs="Times New Roman"/>
          <w:sz w:val="28"/>
          <w:szCs w:val="28"/>
        </w:rPr>
        <w:t xml:space="preserve">. </w:t>
      </w:r>
    </w:p>
    <w:p w:rsidR="000543F6" w:rsidRPr="0029329A" w:rsidRDefault="0029329A" w:rsidP="00773A7F">
      <w:pPr>
        <w:widowControl w:val="0"/>
        <w:spacing w:after="0" w:line="360" w:lineRule="atLeast"/>
        <w:contextualSpacing/>
        <w:jc w:val="both"/>
        <w:rPr>
          <w:rFonts w:ascii="Times New Roman" w:hAnsi="Times New Roman" w:cs="Times New Roman"/>
          <w:sz w:val="28"/>
          <w:szCs w:val="28"/>
        </w:rPr>
      </w:pPr>
    </w:p>
    <w:p w:rsidR="00C07886"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r w:rsidRPr="0029329A">
        <w:rPr>
          <w:rFonts w:ascii="Times New Roman" w:hAnsi="Times New Roman" w:cs="Times New Roman"/>
          <w:b/>
          <w:sz w:val="28"/>
          <w:szCs w:val="28"/>
          <w:lang w:val="es-ES"/>
        </w:rPr>
        <w:t>VII.   CONSIDERACIONES DE LA CORTE CONSTITUCIONAL</w:t>
      </w:r>
    </w:p>
    <w:p w:rsidR="00C07886"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p>
    <w:p w:rsidR="00C07886" w:rsidRPr="0029329A" w:rsidRDefault="0029329A" w:rsidP="00773A7F">
      <w:pPr>
        <w:tabs>
          <w:tab w:val="left" w:pos="8647"/>
        </w:tabs>
        <w:overflowPunct w:val="0"/>
        <w:autoSpaceDE w:val="0"/>
        <w:autoSpaceDN w:val="0"/>
        <w:adjustRightInd w:val="0"/>
        <w:spacing w:after="0" w:line="360" w:lineRule="atLeast"/>
        <w:ind w:right="49"/>
        <w:jc w:val="both"/>
        <w:textAlignment w:val="baseline"/>
        <w:rPr>
          <w:rFonts w:ascii="Times New Roman" w:hAnsi="Times New Roman" w:cs="Times New Roman"/>
          <w:b/>
          <w:sz w:val="28"/>
          <w:szCs w:val="28"/>
          <w:lang w:val="es-ES"/>
        </w:rPr>
      </w:pPr>
      <w:r w:rsidRPr="0029329A">
        <w:rPr>
          <w:rFonts w:ascii="Times New Roman" w:hAnsi="Times New Roman" w:cs="Times New Roman"/>
          <w:b/>
          <w:sz w:val="28"/>
          <w:szCs w:val="28"/>
          <w:lang w:val="es-ES"/>
        </w:rPr>
        <w:t>Competencia</w:t>
      </w:r>
    </w:p>
    <w:p w:rsidR="00C07886" w:rsidRPr="0029329A" w:rsidRDefault="0029329A" w:rsidP="00773A7F">
      <w:pPr>
        <w:pStyle w:val="Prrafodelista"/>
        <w:overflowPunct w:val="0"/>
        <w:autoSpaceDE w:val="0"/>
        <w:autoSpaceDN w:val="0"/>
        <w:adjustRightInd w:val="0"/>
        <w:spacing w:before="0" w:beforeAutospacing="0" w:after="0" w:afterAutospacing="0" w:line="360" w:lineRule="atLeast"/>
        <w:ind w:right="49"/>
        <w:jc w:val="both"/>
        <w:textAlignment w:val="baseline"/>
        <w:rPr>
          <w:rFonts w:ascii="Times New Roman" w:hAnsi="Times New Roman" w:cs="Times New Roman"/>
          <w:sz w:val="28"/>
          <w:szCs w:val="28"/>
          <w:lang w:val="es-ES" w:eastAsia="es-ES"/>
        </w:rPr>
      </w:pPr>
    </w:p>
    <w:p w:rsidR="00C07886" w:rsidRPr="0029329A" w:rsidRDefault="0029329A" w:rsidP="00E300CF">
      <w:pPr>
        <w:pStyle w:val="Prrafodelista"/>
        <w:overflowPunct w:val="0"/>
        <w:autoSpaceDE w:val="0"/>
        <w:autoSpaceDN w:val="0"/>
        <w:adjustRightInd w:val="0"/>
        <w:spacing w:before="0" w:beforeAutospacing="0" w:after="0" w:afterAutospacing="0" w:line="360" w:lineRule="atLeast"/>
        <w:jc w:val="both"/>
        <w:textAlignment w:val="baseline"/>
        <w:rPr>
          <w:rFonts w:ascii="Times New Roman" w:hAnsi="Times New Roman" w:cs="Times New Roman"/>
          <w:sz w:val="28"/>
          <w:lang w:val="es-ES"/>
        </w:rPr>
      </w:pPr>
      <w:r w:rsidRPr="0029329A">
        <w:rPr>
          <w:rFonts w:ascii="Times New Roman" w:hAnsi="Times New Roman" w:cs="Times New Roman"/>
          <w:sz w:val="28"/>
          <w:lang w:val="es-ES"/>
        </w:rPr>
        <w:t>53</w:t>
      </w:r>
      <w:r w:rsidRPr="0029329A">
        <w:rPr>
          <w:rFonts w:ascii="Times New Roman" w:hAnsi="Times New Roman" w:cs="Times New Roman"/>
          <w:sz w:val="28"/>
          <w:lang w:val="es-ES"/>
        </w:rPr>
        <w:t xml:space="preserve">. </w:t>
      </w:r>
      <w:r w:rsidRPr="0029329A">
        <w:rPr>
          <w:rFonts w:ascii="Times New Roman" w:hAnsi="Times New Roman" w:cs="Times New Roman"/>
          <w:sz w:val="28"/>
          <w:lang w:val="es-ES"/>
        </w:rPr>
        <w:t>La Corte es competente para conocer de</w:t>
      </w:r>
      <w:r w:rsidRPr="0029329A">
        <w:rPr>
          <w:rFonts w:ascii="Times New Roman" w:hAnsi="Times New Roman" w:cs="Times New Roman"/>
          <w:sz w:val="28"/>
          <w:lang w:val="es-ES"/>
        </w:rPr>
        <w:t>l presente asunto, por cuanto los preceptos acusados</w:t>
      </w:r>
      <w:r w:rsidRPr="0029329A">
        <w:rPr>
          <w:rFonts w:ascii="Times New Roman" w:hAnsi="Times New Roman" w:cs="Times New Roman"/>
          <w:sz w:val="28"/>
          <w:lang w:val="es-ES"/>
        </w:rPr>
        <w:t xml:space="preserve"> hacen</w:t>
      </w:r>
      <w:r w:rsidRPr="0029329A">
        <w:rPr>
          <w:rFonts w:ascii="Times New Roman" w:hAnsi="Times New Roman" w:cs="Times New Roman"/>
          <w:sz w:val="28"/>
          <w:lang w:val="es-ES"/>
        </w:rPr>
        <w:t xml:space="preserve"> parte de una ley de la República, de conformidad con las competencias establecidas por el numeral 4 del artículo 241 de la Constitución. </w:t>
      </w:r>
    </w:p>
    <w:p w:rsidR="0056562C" w:rsidRPr="0029329A" w:rsidRDefault="0029329A" w:rsidP="00773A7F">
      <w:pPr>
        <w:pStyle w:val="Prrafodelista"/>
        <w:overflowPunct w:val="0"/>
        <w:autoSpaceDE w:val="0"/>
        <w:autoSpaceDN w:val="0"/>
        <w:adjustRightInd w:val="0"/>
        <w:spacing w:before="0" w:beforeAutospacing="0" w:after="0" w:afterAutospacing="0" w:line="360" w:lineRule="atLeast"/>
        <w:ind w:right="49"/>
        <w:jc w:val="both"/>
        <w:textAlignment w:val="baseline"/>
        <w:rPr>
          <w:rFonts w:ascii="Times New Roman" w:hAnsi="Times New Roman" w:cs="Times New Roman"/>
          <w:sz w:val="28"/>
          <w:lang w:val="es-ES"/>
        </w:rPr>
      </w:pPr>
    </w:p>
    <w:p w:rsidR="0056562C" w:rsidRPr="0029329A" w:rsidRDefault="0029329A" w:rsidP="00773A7F">
      <w:pPr>
        <w:spacing w:after="0" w:line="360" w:lineRule="atLeast"/>
        <w:ind w:right="49"/>
        <w:jc w:val="both"/>
        <w:rPr>
          <w:rFonts w:ascii="Times New Roman" w:hAnsi="Times New Roman" w:cs="Times New Roman"/>
          <w:b/>
          <w:bCs/>
          <w:sz w:val="28"/>
          <w:szCs w:val="28"/>
          <w:lang w:val="es-ES"/>
        </w:rPr>
      </w:pPr>
      <w:r w:rsidRPr="0029329A">
        <w:rPr>
          <w:rFonts w:ascii="Times New Roman" w:hAnsi="Times New Roman" w:cs="Times New Roman"/>
          <w:b/>
          <w:bCs/>
          <w:sz w:val="28"/>
          <w:szCs w:val="28"/>
          <w:lang w:val="es-ES"/>
        </w:rPr>
        <w:t xml:space="preserve">Problemas jurídicos y metodología de decisión </w:t>
      </w:r>
    </w:p>
    <w:p w:rsidR="0056562C" w:rsidRPr="0029329A" w:rsidRDefault="0029329A" w:rsidP="00773A7F">
      <w:pPr>
        <w:spacing w:after="0" w:line="360" w:lineRule="atLeast"/>
        <w:ind w:right="49"/>
        <w:jc w:val="both"/>
        <w:rPr>
          <w:rFonts w:ascii="Times New Roman" w:hAnsi="Times New Roman" w:cs="Times New Roman"/>
          <w:b/>
          <w:bCs/>
          <w:sz w:val="28"/>
          <w:szCs w:val="28"/>
          <w:lang w:val="es-ES"/>
        </w:rPr>
      </w:pPr>
    </w:p>
    <w:p w:rsidR="0056562C" w:rsidRPr="0029329A" w:rsidRDefault="0029329A" w:rsidP="00E300CF">
      <w:pPr>
        <w:spacing w:after="0" w:line="360" w:lineRule="atLeast"/>
        <w:jc w:val="both"/>
        <w:rPr>
          <w:rFonts w:ascii="Times New Roman" w:hAnsi="Times New Roman" w:cs="Times New Roman"/>
          <w:bCs/>
          <w:sz w:val="28"/>
          <w:szCs w:val="28"/>
          <w:lang w:val="es-ES"/>
        </w:rPr>
      </w:pPr>
      <w:bookmarkStart w:id="8" w:name="_Hlk58242956"/>
      <w:r w:rsidRPr="0029329A">
        <w:rPr>
          <w:rFonts w:ascii="Times New Roman" w:hAnsi="Times New Roman" w:cs="Times New Roman"/>
          <w:bCs/>
          <w:sz w:val="28"/>
          <w:szCs w:val="28"/>
          <w:lang w:val="es-ES"/>
        </w:rPr>
        <w:t>54</w:t>
      </w:r>
      <w:r w:rsidRPr="0029329A">
        <w:rPr>
          <w:rFonts w:ascii="Times New Roman" w:hAnsi="Times New Roman" w:cs="Times New Roman"/>
          <w:bCs/>
          <w:sz w:val="28"/>
          <w:szCs w:val="28"/>
          <w:lang w:val="es-ES"/>
        </w:rPr>
        <w:t xml:space="preserve">. </w:t>
      </w:r>
      <w:r w:rsidRPr="0029329A">
        <w:rPr>
          <w:rFonts w:ascii="Times New Roman" w:hAnsi="Times New Roman" w:cs="Times New Roman"/>
          <w:bCs/>
          <w:sz w:val="28"/>
          <w:szCs w:val="28"/>
          <w:lang w:val="es-ES"/>
        </w:rPr>
        <w:t>¿</w:t>
      </w:r>
      <w:bookmarkStart w:id="9" w:name="_Hlk49296506"/>
      <w:r w:rsidRPr="0029329A">
        <w:rPr>
          <w:rFonts w:ascii="Times New Roman" w:hAnsi="Times New Roman" w:cs="Times New Roman"/>
          <w:bCs/>
          <w:sz w:val="28"/>
          <w:szCs w:val="28"/>
          <w:lang w:val="es-ES"/>
        </w:rPr>
        <w:t>Los artículos 135 y 169</w:t>
      </w:r>
      <w:bookmarkStart w:id="10" w:name="_Hlk51580848"/>
      <w:r w:rsidRPr="0029329A">
        <w:rPr>
          <w:rFonts w:ascii="Times New Roman" w:hAnsi="Times New Roman" w:cs="Times New Roman"/>
          <w:bCs/>
          <w:sz w:val="28"/>
          <w:szCs w:val="28"/>
          <w:lang w:val="es-ES"/>
        </w:rPr>
        <w:t xml:space="preserve"> de la Ley 2294 de 20223</w:t>
      </w:r>
      <w:r w:rsidRPr="0029329A">
        <w:rPr>
          <w:rFonts w:ascii="Times New Roman" w:hAnsi="Times New Roman" w:cs="Times New Roman"/>
          <w:bCs/>
          <w:sz w:val="28"/>
          <w:szCs w:val="28"/>
        </w:rPr>
        <w:t xml:space="preserve"> vulneran el principio</w:t>
      </w:r>
      <w:r w:rsidRPr="0029329A">
        <w:rPr>
          <w:rFonts w:ascii="Times New Roman" w:hAnsi="Times New Roman" w:cs="Times New Roman"/>
          <w:bCs/>
          <w:sz w:val="28"/>
          <w:szCs w:val="28"/>
          <w:lang w:val="es-ES"/>
        </w:rPr>
        <w:t xml:space="preserve"> de unidad de materia </w:t>
      </w:r>
      <w:r w:rsidRPr="0029329A">
        <w:rPr>
          <w:rFonts w:ascii="Times New Roman" w:hAnsi="Times New Roman" w:cs="Times New Roman"/>
          <w:bCs/>
          <w:sz w:val="28"/>
          <w:szCs w:val="28"/>
          <w:lang w:val="es-ES"/>
        </w:rPr>
        <w:t xml:space="preserve">al </w:t>
      </w:r>
      <w:r w:rsidRPr="0029329A">
        <w:rPr>
          <w:rFonts w:ascii="Times New Roman" w:hAnsi="Times New Roman" w:cs="Times New Roman"/>
          <w:bCs/>
          <w:sz w:val="28"/>
          <w:szCs w:val="28"/>
          <w:lang w:val="es-ES"/>
        </w:rPr>
        <w:t>crear tasas tributarias sin que exista</w:t>
      </w:r>
      <w:r w:rsidRPr="0029329A">
        <w:rPr>
          <w:rFonts w:ascii="Times New Roman" w:hAnsi="Times New Roman" w:cs="Times New Roman"/>
          <w:bCs/>
          <w:sz w:val="28"/>
          <w:szCs w:val="28"/>
          <w:lang w:val="es-ES"/>
        </w:rPr>
        <w:t xml:space="preserve"> presuntamente una conexidad objetiva y razonable de carácter causal, temático, sistemático y teleológico, con las bases o las mate</w:t>
      </w:r>
      <w:r w:rsidRPr="0029329A">
        <w:rPr>
          <w:rFonts w:ascii="Times New Roman" w:hAnsi="Times New Roman" w:cs="Times New Roman"/>
          <w:bCs/>
          <w:sz w:val="28"/>
          <w:szCs w:val="28"/>
          <w:lang w:val="es-ES"/>
        </w:rPr>
        <w:t>rias dominantes de la ley del P</w:t>
      </w:r>
      <w:r w:rsidRPr="0029329A">
        <w:rPr>
          <w:rFonts w:ascii="Times New Roman" w:hAnsi="Times New Roman" w:cs="Times New Roman"/>
          <w:bCs/>
          <w:sz w:val="28"/>
          <w:szCs w:val="28"/>
          <w:lang w:val="es-ES"/>
        </w:rPr>
        <w:t>lan</w:t>
      </w:r>
      <w:r w:rsidRPr="0029329A">
        <w:rPr>
          <w:rFonts w:ascii="Times New Roman" w:hAnsi="Times New Roman" w:cs="Times New Roman"/>
          <w:bCs/>
          <w:sz w:val="28"/>
          <w:szCs w:val="28"/>
          <w:lang w:val="es-ES"/>
        </w:rPr>
        <w:t xml:space="preserve"> Nacio</w:t>
      </w:r>
      <w:r w:rsidRPr="0029329A">
        <w:rPr>
          <w:rFonts w:ascii="Times New Roman" w:hAnsi="Times New Roman" w:cs="Times New Roman"/>
          <w:bCs/>
          <w:sz w:val="28"/>
          <w:szCs w:val="28"/>
          <w:lang w:val="es-ES"/>
        </w:rPr>
        <w:t>nal de Desarrollo e</w:t>
      </w:r>
      <w:r w:rsidRPr="0029329A">
        <w:rPr>
          <w:rFonts w:ascii="Times New Roman" w:hAnsi="Times New Roman" w:cs="Times New Roman"/>
          <w:bCs/>
          <w:sz w:val="28"/>
          <w:szCs w:val="28"/>
          <w:lang w:val="es-ES"/>
        </w:rPr>
        <w:t xml:space="preserve"> inobservando el límite temporal que impone la ley del plan?</w:t>
      </w:r>
      <w:r w:rsidRPr="0029329A">
        <w:rPr>
          <w:rFonts w:ascii="Times New Roman" w:hAnsi="Times New Roman" w:cs="Times New Roman"/>
          <w:bCs/>
          <w:sz w:val="28"/>
          <w:szCs w:val="28"/>
          <w:lang w:val="es-ES"/>
        </w:rPr>
        <w:t xml:space="preserve"> </w:t>
      </w:r>
    </w:p>
    <w:p w:rsidR="0090783C" w:rsidRPr="0029329A" w:rsidRDefault="0029329A" w:rsidP="00773A7F">
      <w:pPr>
        <w:spacing w:after="0" w:line="360" w:lineRule="atLeast"/>
        <w:ind w:right="49"/>
        <w:jc w:val="both"/>
        <w:rPr>
          <w:rFonts w:ascii="Times New Roman" w:hAnsi="Times New Roman" w:cs="Times New Roman"/>
          <w:bCs/>
          <w:sz w:val="28"/>
          <w:szCs w:val="28"/>
          <w:lang w:val="es-ES"/>
        </w:rPr>
      </w:pPr>
    </w:p>
    <w:p w:rsidR="0090783C" w:rsidRPr="0029329A" w:rsidRDefault="0029329A" w:rsidP="00E300CF">
      <w:pPr>
        <w:spacing w:after="0" w:line="360" w:lineRule="atLeast"/>
        <w:jc w:val="both"/>
        <w:rPr>
          <w:rFonts w:ascii="Times New Roman" w:hAnsi="Times New Roman" w:cs="Times New Roman"/>
          <w:bCs/>
          <w:sz w:val="28"/>
          <w:szCs w:val="28"/>
        </w:rPr>
      </w:pPr>
      <w:r w:rsidRPr="0029329A">
        <w:rPr>
          <w:rFonts w:ascii="Times New Roman" w:hAnsi="Times New Roman" w:cs="Times New Roman"/>
          <w:bCs/>
          <w:sz w:val="28"/>
          <w:szCs w:val="28"/>
          <w:lang w:val="es-ES"/>
        </w:rPr>
        <w:t xml:space="preserve">54.1. </w:t>
      </w:r>
      <w:r w:rsidRPr="0029329A">
        <w:rPr>
          <w:rFonts w:ascii="Times New Roman" w:hAnsi="Times New Roman" w:cs="Times New Roman"/>
          <w:bCs/>
          <w:sz w:val="28"/>
          <w:szCs w:val="28"/>
          <w:lang w:val="es-ES"/>
        </w:rPr>
        <w:t xml:space="preserve">¿El </w:t>
      </w:r>
      <w:r w:rsidRPr="0029329A">
        <w:rPr>
          <w:rFonts w:ascii="Times New Roman" w:hAnsi="Times New Roman" w:cs="Times New Roman"/>
          <w:bCs/>
          <w:sz w:val="28"/>
          <w:szCs w:val="28"/>
          <w:lang w:val="es-ES"/>
        </w:rPr>
        <w:t xml:space="preserve">artículo 135 de la Ley 2294 de 2023 </w:t>
      </w:r>
      <w:r w:rsidRPr="0029329A">
        <w:rPr>
          <w:rFonts w:ascii="Times New Roman" w:hAnsi="Times New Roman" w:cs="Times New Roman"/>
          <w:bCs/>
          <w:sz w:val="28"/>
          <w:szCs w:val="28"/>
          <w:lang w:val="es-ES"/>
        </w:rPr>
        <w:t xml:space="preserve">vulnera el principio de legalidad tributaria, en su </w:t>
      </w:r>
      <w:r w:rsidRPr="0029329A">
        <w:rPr>
          <w:rFonts w:ascii="Times New Roman" w:hAnsi="Times New Roman" w:cs="Times New Roman"/>
          <w:bCs/>
          <w:sz w:val="28"/>
          <w:szCs w:val="28"/>
          <w:lang w:val="es-ES"/>
        </w:rPr>
        <w:t>faceta de certeza, al</w:t>
      </w:r>
      <w:r w:rsidRPr="0029329A">
        <w:rPr>
          <w:rFonts w:ascii="Times New Roman" w:hAnsi="Times New Roman" w:cs="Times New Roman"/>
          <w:bCs/>
          <w:sz w:val="28"/>
          <w:szCs w:val="28"/>
          <w:lang w:val="es-ES"/>
        </w:rPr>
        <w:t xml:space="preserve"> </w:t>
      </w:r>
      <w:r w:rsidRPr="0029329A">
        <w:rPr>
          <w:rFonts w:ascii="Times New Roman" w:hAnsi="Times New Roman" w:cs="Times New Roman"/>
          <w:bCs/>
          <w:sz w:val="28"/>
          <w:szCs w:val="28"/>
        </w:rPr>
        <w:t>otorga</w:t>
      </w:r>
      <w:r w:rsidRPr="0029329A">
        <w:rPr>
          <w:rFonts w:ascii="Times New Roman" w:hAnsi="Times New Roman" w:cs="Times New Roman"/>
          <w:bCs/>
          <w:sz w:val="28"/>
          <w:szCs w:val="28"/>
        </w:rPr>
        <w:t>r</w:t>
      </w:r>
      <w:r w:rsidRPr="0029329A">
        <w:rPr>
          <w:rFonts w:ascii="Times New Roman" w:hAnsi="Times New Roman" w:cs="Times New Roman"/>
          <w:bCs/>
          <w:sz w:val="28"/>
          <w:szCs w:val="28"/>
        </w:rPr>
        <w:t xml:space="preserve"> al Gobierno </w:t>
      </w:r>
      <w:r w:rsidRPr="0029329A">
        <w:rPr>
          <w:rFonts w:ascii="Times New Roman" w:hAnsi="Times New Roman" w:cs="Times New Roman"/>
          <w:bCs/>
          <w:sz w:val="28"/>
          <w:szCs w:val="28"/>
        </w:rPr>
        <w:t>n</w:t>
      </w:r>
      <w:r w:rsidRPr="0029329A">
        <w:rPr>
          <w:rFonts w:ascii="Times New Roman" w:hAnsi="Times New Roman" w:cs="Times New Roman"/>
          <w:bCs/>
          <w:sz w:val="28"/>
          <w:szCs w:val="28"/>
        </w:rPr>
        <w:t>acional</w:t>
      </w:r>
      <w:r w:rsidRPr="0029329A">
        <w:rPr>
          <w:rFonts w:ascii="Times New Roman" w:hAnsi="Times New Roman" w:cs="Times New Roman"/>
          <w:bCs/>
          <w:sz w:val="28"/>
          <w:szCs w:val="28"/>
        </w:rPr>
        <w:t xml:space="preserve"> la facultad</w:t>
      </w:r>
      <w:r w:rsidRPr="0029329A">
        <w:rPr>
          <w:rFonts w:ascii="Times New Roman" w:hAnsi="Times New Roman" w:cs="Times New Roman"/>
          <w:bCs/>
          <w:sz w:val="28"/>
          <w:szCs w:val="28"/>
        </w:rPr>
        <w:t xml:space="preserve"> para definir la metodología de cálculo asociada con la base gravable para la liquidación de la tasa qu</w:t>
      </w:r>
      <w:r w:rsidRPr="0029329A">
        <w:rPr>
          <w:rFonts w:ascii="Times New Roman" w:hAnsi="Times New Roman" w:cs="Times New Roman"/>
          <w:bCs/>
          <w:sz w:val="28"/>
          <w:szCs w:val="28"/>
        </w:rPr>
        <w:t>e se crea en dicha disposición</w:t>
      </w:r>
      <w:r w:rsidRPr="0029329A">
        <w:rPr>
          <w:rFonts w:ascii="Times New Roman" w:hAnsi="Times New Roman" w:cs="Times New Roman"/>
          <w:bCs/>
          <w:sz w:val="28"/>
          <w:szCs w:val="28"/>
        </w:rPr>
        <w:t xml:space="preserve">? </w:t>
      </w:r>
    </w:p>
    <w:p w:rsidR="00D002DE" w:rsidRPr="0029329A" w:rsidRDefault="0029329A" w:rsidP="00773A7F">
      <w:pPr>
        <w:spacing w:after="0" w:line="360" w:lineRule="atLeast"/>
        <w:ind w:right="49"/>
        <w:jc w:val="both"/>
        <w:rPr>
          <w:rFonts w:ascii="Times New Roman" w:hAnsi="Times New Roman" w:cs="Times New Roman"/>
          <w:bCs/>
          <w:sz w:val="28"/>
          <w:szCs w:val="28"/>
          <w:lang w:val="es-ES"/>
        </w:rPr>
      </w:pPr>
    </w:p>
    <w:p w:rsidR="00DC6C68" w:rsidRPr="0029329A" w:rsidRDefault="0029329A" w:rsidP="00AF00D7">
      <w:pPr>
        <w:spacing w:after="0" w:line="360" w:lineRule="atLeast"/>
        <w:jc w:val="both"/>
        <w:rPr>
          <w:rFonts w:ascii="Times New Roman" w:hAnsi="Times New Roman" w:cs="Times New Roman"/>
          <w:bCs/>
          <w:sz w:val="28"/>
          <w:szCs w:val="28"/>
          <w:lang w:val="es-ES"/>
        </w:rPr>
      </w:pPr>
      <w:r w:rsidRPr="0029329A">
        <w:rPr>
          <w:rFonts w:ascii="Times New Roman" w:hAnsi="Times New Roman" w:cs="Times New Roman"/>
          <w:bCs/>
          <w:sz w:val="28"/>
          <w:szCs w:val="28"/>
          <w:lang w:val="es-ES"/>
        </w:rPr>
        <w:t xml:space="preserve">55. </w:t>
      </w:r>
      <w:r w:rsidRPr="0029329A">
        <w:rPr>
          <w:rFonts w:ascii="Times New Roman" w:hAnsi="Times New Roman" w:cs="Times New Roman"/>
          <w:bCs/>
          <w:sz w:val="28"/>
          <w:szCs w:val="28"/>
        </w:rPr>
        <w:t xml:space="preserve">Para resolver los </w:t>
      </w:r>
      <w:r w:rsidRPr="0029329A">
        <w:rPr>
          <w:rFonts w:ascii="Times New Roman" w:hAnsi="Times New Roman" w:cs="Times New Roman"/>
          <w:bCs/>
          <w:sz w:val="28"/>
          <w:szCs w:val="28"/>
        </w:rPr>
        <w:t>problema</w:t>
      </w:r>
      <w:r w:rsidRPr="0029329A">
        <w:rPr>
          <w:rFonts w:ascii="Times New Roman" w:hAnsi="Times New Roman" w:cs="Times New Roman"/>
          <w:bCs/>
          <w:sz w:val="28"/>
          <w:szCs w:val="28"/>
        </w:rPr>
        <w:t>s</w:t>
      </w:r>
      <w:r w:rsidRPr="0029329A">
        <w:rPr>
          <w:rFonts w:ascii="Times New Roman" w:hAnsi="Times New Roman" w:cs="Times New Roman"/>
          <w:bCs/>
          <w:sz w:val="28"/>
          <w:szCs w:val="28"/>
        </w:rPr>
        <w:t xml:space="preserve"> jurídico</w:t>
      </w:r>
      <w:r w:rsidRPr="0029329A">
        <w:rPr>
          <w:rFonts w:ascii="Times New Roman" w:hAnsi="Times New Roman" w:cs="Times New Roman"/>
          <w:bCs/>
          <w:sz w:val="28"/>
          <w:szCs w:val="28"/>
        </w:rPr>
        <w:t>s formulados</w:t>
      </w:r>
      <w:r w:rsidRPr="0029329A">
        <w:rPr>
          <w:rFonts w:ascii="Times New Roman" w:hAnsi="Times New Roman" w:cs="Times New Roman"/>
          <w:bCs/>
          <w:sz w:val="28"/>
          <w:szCs w:val="28"/>
        </w:rPr>
        <w:t>, la Sala se referirá:</w:t>
      </w:r>
      <w:r w:rsidRPr="0029329A">
        <w:rPr>
          <w:rFonts w:ascii="Times New Roman" w:hAnsi="Times New Roman" w:cs="Times New Roman"/>
          <w:bCs/>
          <w:sz w:val="28"/>
          <w:szCs w:val="28"/>
        </w:rPr>
        <w:t xml:space="preserve"> (i) de forma general, al </w:t>
      </w:r>
      <w:r w:rsidRPr="0029329A">
        <w:rPr>
          <w:rFonts w:ascii="Times New Roman" w:hAnsi="Times New Roman" w:cs="Times New Roman"/>
          <w:bCs/>
          <w:sz w:val="28"/>
          <w:szCs w:val="28"/>
        </w:rPr>
        <w:t>principio de unidad</w:t>
      </w:r>
      <w:r w:rsidRPr="0029329A">
        <w:rPr>
          <w:rFonts w:ascii="Times New Roman" w:hAnsi="Times New Roman" w:cs="Times New Roman"/>
          <w:bCs/>
          <w:sz w:val="28"/>
          <w:szCs w:val="28"/>
        </w:rPr>
        <w:t xml:space="preserve"> de materia</w:t>
      </w:r>
      <w:r w:rsidRPr="0029329A">
        <w:rPr>
          <w:rFonts w:ascii="Times New Roman" w:hAnsi="Times New Roman" w:cs="Times New Roman"/>
          <w:bCs/>
          <w:sz w:val="28"/>
          <w:szCs w:val="28"/>
        </w:rPr>
        <w:t>, (ii) de manera específica, al</w:t>
      </w:r>
      <w:r w:rsidRPr="0029329A">
        <w:rPr>
          <w:rFonts w:ascii="Times New Roman" w:hAnsi="Times New Roman" w:cs="Times New Roman"/>
          <w:bCs/>
          <w:sz w:val="28"/>
          <w:szCs w:val="28"/>
        </w:rPr>
        <w:t xml:space="preserve"> principio de unidad de materia en los planes nacionales de desarrollo</w:t>
      </w:r>
      <w:r w:rsidRPr="0029329A">
        <w:rPr>
          <w:rFonts w:ascii="Times New Roman" w:hAnsi="Times New Roman" w:cs="Times New Roman"/>
          <w:bCs/>
          <w:sz w:val="28"/>
          <w:szCs w:val="28"/>
        </w:rPr>
        <w:t xml:space="preserve"> y (iii) a los principios </w:t>
      </w:r>
      <w:r w:rsidRPr="0029329A">
        <w:rPr>
          <w:rFonts w:ascii="Times New Roman" w:hAnsi="Times New Roman" w:cs="Times New Roman"/>
          <w:bCs/>
          <w:sz w:val="28"/>
          <w:szCs w:val="28"/>
        </w:rPr>
        <w:t xml:space="preserve">de legalidad y </w:t>
      </w:r>
      <w:r w:rsidRPr="0029329A">
        <w:rPr>
          <w:rFonts w:ascii="Times New Roman" w:hAnsi="Times New Roman" w:cs="Times New Roman"/>
          <w:bCs/>
          <w:sz w:val="28"/>
          <w:szCs w:val="28"/>
        </w:rPr>
        <w:t>c</w:t>
      </w:r>
      <w:r w:rsidRPr="0029329A">
        <w:rPr>
          <w:rFonts w:ascii="Times New Roman" w:hAnsi="Times New Roman" w:cs="Times New Roman"/>
          <w:bCs/>
          <w:sz w:val="28"/>
          <w:szCs w:val="28"/>
        </w:rPr>
        <w:t>erteza tributaria</w:t>
      </w:r>
      <w:r w:rsidRPr="0029329A">
        <w:rPr>
          <w:rFonts w:ascii="Times New Roman" w:hAnsi="Times New Roman" w:cs="Times New Roman"/>
          <w:bCs/>
          <w:sz w:val="28"/>
          <w:szCs w:val="28"/>
          <w:lang w:val="es-ES"/>
        </w:rPr>
        <w:t xml:space="preserve">. </w:t>
      </w:r>
      <w:r w:rsidRPr="0029329A">
        <w:rPr>
          <w:rFonts w:ascii="Times New Roman" w:hAnsi="Times New Roman" w:cs="Times New Roman"/>
          <w:bCs/>
          <w:sz w:val="28"/>
          <w:szCs w:val="28"/>
          <w:lang w:val="es-ES"/>
        </w:rPr>
        <w:t>Por último, con fundamento en esta</w:t>
      </w:r>
      <w:r w:rsidRPr="0029329A">
        <w:rPr>
          <w:rFonts w:ascii="Times New Roman" w:hAnsi="Times New Roman" w:cs="Times New Roman"/>
          <w:bCs/>
          <w:sz w:val="28"/>
          <w:szCs w:val="28"/>
          <w:lang w:val="es-ES"/>
        </w:rPr>
        <w:t xml:space="preserve">s consideraciones, resolverá los </w:t>
      </w:r>
      <w:r w:rsidRPr="0029329A">
        <w:rPr>
          <w:rFonts w:ascii="Times New Roman" w:hAnsi="Times New Roman" w:cs="Times New Roman"/>
          <w:bCs/>
          <w:sz w:val="28"/>
          <w:szCs w:val="28"/>
          <w:lang w:val="es-ES"/>
        </w:rPr>
        <w:t>problema</w:t>
      </w:r>
      <w:r w:rsidRPr="0029329A">
        <w:rPr>
          <w:rFonts w:ascii="Times New Roman" w:hAnsi="Times New Roman" w:cs="Times New Roman"/>
          <w:bCs/>
          <w:sz w:val="28"/>
          <w:szCs w:val="28"/>
          <w:lang w:val="es-ES"/>
        </w:rPr>
        <w:t>s</w:t>
      </w:r>
      <w:r w:rsidRPr="0029329A">
        <w:rPr>
          <w:rFonts w:ascii="Times New Roman" w:hAnsi="Times New Roman" w:cs="Times New Roman"/>
          <w:bCs/>
          <w:sz w:val="28"/>
          <w:szCs w:val="28"/>
          <w:lang w:val="es-ES"/>
        </w:rPr>
        <w:t xml:space="preserve"> jurídi</w:t>
      </w:r>
      <w:r w:rsidRPr="0029329A">
        <w:rPr>
          <w:rFonts w:ascii="Times New Roman" w:hAnsi="Times New Roman" w:cs="Times New Roman"/>
          <w:bCs/>
          <w:sz w:val="28"/>
          <w:szCs w:val="28"/>
          <w:lang w:val="es-ES"/>
        </w:rPr>
        <w:t>co</w:t>
      </w:r>
      <w:r w:rsidRPr="0029329A">
        <w:rPr>
          <w:rFonts w:ascii="Times New Roman" w:hAnsi="Times New Roman" w:cs="Times New Roman"/>
          <w:bCs/>
          <w:sz w:val="28"/>
          <w:szCs w:val="28"/>
          <w:lang w:val="es-ES"/>
        </w:rPr>
        <w:t>s</w:t>
      </w:r>
      <w:r w:rsidRPr="0029329A">
        <w:rPr>
          <w:rFonts w:ascii="Times New Roman" w:hAnsi="Times New Roman" w:cs="Times New Roman"/>
          <w:bCs/>
          <w:sz w:val="28"/>
          <w:szCs w:val="28"/>
          <w:lang w:val="es-ES"/>
        </w:rPr>
        <w:t xml:space="preserve"> y adoptará la decisión de fondo que corresponda</w:t>
      </w:r>
      <w:r w:rsidRPr="0029329A">
        <w:rPr>
          <w:rFonts w:ascii="Times New Roman" w:hAnsi="Times New Roman" w:cs="Times New Roman"/>
          <w:bCs/>
          <w:sz w:val="28"/>
          <w:szCs w:val="28"/>
          <w:lang w:val="es-ES"/>
        </w:rPr>
        <w:t>.</w:t>
      </w:r>
      <w:bookmarkEnd w:id="8"/>
      <w:bookmarkEnd w:id="9"/>
      <w:bookmarkEnd w:id="10"/>
    </w:p>
    <w:p w:rsidR="00F50827" w:rsidRPr="0029329A" w:rsidRDefault="0029329A" w:rsidP="00AF00D7">
      <w:pPr>
        <w:spacing w:after="0" w:line="360" w:lineRule="atLeast"/>
        <w:jc w:val="both"/>
        <w:rPr>
          <w:rFonts w:ascii="Times New Roman" w:hAnsi="Times New Roman" w:cs="Times New Roman"/>
          <w:bCs/>
          <w:sz w:val="28"/>
          <w:szCs w:val="28"/>
          <w:lang w:val="es-ES"/>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iCs/>
          <w:sz w:val="28"/>
          <w:szCs w:val="28"/>
          <w:vertAlign w:val="superscript"/>
        </w:rPr>
      </w:pPr>
      <w:r w:rsidRPr="0029329A">
        <w:rPr>
          <w:rFonts w:ascii="Times New Roman" w:hAnsi="Times New Roman" w:cs="Times New Roman"/>
          <w:b/>
          <w:bCs/>
          <w:iCs/>
          <w:sz w:val="28"/>
          <w:szCs w:val="28"/>
        </w:rPr>
        <w:t>El principio de unidad de materia. Reiteración de jurisprudencia</w:t>
      </w:r>
      <w:r w:rsidRPr="0029329A">
        <w:rPr>
          <w:rStyle w:val="Refdenotaalpie"/>
          <w:rFonts w:ascii="Times New Roman" w:hAnsi="Times New Roman"/>
          <w:bCs/>
          <w:iCs/>
          <w:sz w:val="28"/>
          <w:szCs w:val="28"/>
          <w:vertAlign w:val="superscript"/>
        </w:rPr>
        <w:footnoteReference w:id="30"/>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2AE5" w:rsidRPr="0029329A" w:rsidRDefault="0029329A" w:rsidP="00E300C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56. </w:t>
      </w:r>
      <w:r w:rsidRPr="0029329A">
        <w:rPr>
          <w:rFonts w:ascii="Times New Roman" w:hAnsi="Times New Roman" w:cs="Times New Roman"/>
          <w:sz w:val="28"/>
          <w:szCs w:val="28"/>
        </w:rPr>
        <w:t xml:space="preserve">El principio de unidad de materia encuentra fundamento en el artículo 158 de la Constitución Política, de acuerdo con el cual, </w:t>
      </w:r>
      <w:r w:rsidRPr="0029329A">
        <w:rPr>
          <w:rFonts w:ascii="Times New Roman" w:hAnsi="Times New Roman" w:cs="Times New Roman"/>
          <w:sz w:val="28"/>
          <w:szCs w:val="28"/>
        </w:rPr>
        <w:t>“</w:t>
      </w:r>
      <w:r w:rsidRPr="0029329A">
        <w:rPr>
          <w:rFonts w:ascii="Times New Roman" w:hAnsi="Times New Roman" w:cs="Times New Roman"/>
          <w:iCs/>
          <w:sz w:val="28"/>
          <w:szCs w:val="28"/>
        </w:rPr>
        <w:t>[t]odo proyecto de ley debe referirse a una misma materia</w:t>
      </w:r>
      <w:r w:rsidRPr="0029329A">
        <w:rPr>
          <w:rFonts w:ascii="Times New Roman" w:hAnsi="Times New Roman" w:cs="Times New Roman"/>
          <w:iCs/>
          <w:sz w:val="28"/>
          <w:szCs w:val="28"/>
        </w:rPr>
        <w:t>”</w:t>
      </w:r>
      <w:r w:rsidRPr="0029329A">
        <w:rPr>
          <w:rFonts w:ascii="Times New Roman" w:hAnsi="Times New Roman" w:cs="Times New Roman"/>
          <w:sz w:val="28"/>
          <w:szCs w:val="28"/>
          <w:vertAlign w:val="superscript"/>
        </w:rPr>
        <w:footnoteReference w:id="31"/>
      </w:r>
      <w:r w:rsidRPr="0029329A">
        <w:rPr>
          <w:rFonts w:ascii="Times New Roman" w:hAnsi="Times New Roman" w:cs="Times New Roman"/>
          <w:iCs/>
          <w:sz w:val="28"/>
          <w:szCs w:val="28"/>
        </w:rPr>
        <w:t>.</w:t>
      </w:r>
      <w:r w:rsidRPr="0029329A">
        <w:rPr>
          <w:rFonts w:ascii="Times New Roman" w:hAnsi="Times New Roman" w:cs="Times New Roman"/>
          <w:sz w:val="28"/>
          <w:szCs w:val="28"/>
        </w:rPr>
        <w:t xml:space="preserve"> Según la jurisprudencia constitucional, el propósito de este principio es asegurar que las leyes tengan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un contenido </w:t>
      </w:r>
      <w:r w:rsidRPr="0029329A">
        <w:rPr>
          <w:rFonts w:ascii="Times New Roman" w:hAnsi="Times New Roman" w:cs="Times New Roman"/>
          <w:iCs/>
          <w:sz w:val="28"/>
          <w:szCs w:val="28"/>
        </w:rPr>
        <w:t>sistemático</w:t>
      </w:r>
      <w:r w:rsidRPr="0029329A">
        <w:rPr>
          <w:rFonts w:ascii="Times New Roman" w:hAnsi="Times New Roman" w:cs="Times New Roman"/>
          <w:sz w:val="28"/>
          <w:szCs w:val="28"/>
        </w:rPr>
        <w:t xml:space="preserve"> e integrado, referido a un solo tema, o eventualmente, a varios t</w:t>
      </w:r>
      <w:r w:rsidRPr="0029329A">
        <w:rPr>
          <w:rFonts w:ascii="Times New Roman" w:hAnsi="Times New Roman" w:cs="Times New Roman"/>
          <w:sz w:val="28"/>
          <w:szCs w:val="28"/>
        </w:rPr>
        <w:t>emas relacionados entre sí</w:t>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32"/>
      </w:r>
      <w:r w:rsidRPr="0029329A">
        <w:rPr>
          <w:rFonts w:ascii="Times New Roman" w:hAnsi="Times New Roman" w:cs="Times New Roman"/>
          <w:sz w:val="28"/>
          <w:szCs w:val="28"/>
        </w:rPr>
        <w:t xml:space="preserve">. Con lo anterior, </w:t>
      </w:r>
      <w:r w:rsidRPr="0029329A">
        <w:rPr>
          <w:rFonts w:ascii="Times New Roman" w:hAnsi="Times New Roman" w:cs="Times New Roman"/>
          <w:sz w:val="28"/>
          <w:szCs w:val="28"/>
        </w:rPr>
        <w:t>“</w:t>
      </w:r>
      <w:r w:rsidRPr="0029329A">
        <w:rPr>
          <w:rFonts w:ascii="Times New Roman" w:hAnsi="Times New Roman" w:cs="Times New Roman"/>
          <w:iCs/>
          <w:sz w:val="28"/>
          <w:szCs w:val="28"/>
        </w:rPr>
        <w:t>se busca evitar que los legisladores, y también los ciudadanos, sean sorprendidos con la aprobación subrepticia de normas que nada tienen que ver con la(s) materia(s) que constituye(n) el eje temático de la l</w:t>
      </w:r>
      <w:r w:rsidRPr="0029329A">
        <w:rPr>
          <w:rFonts w:ascii="Times New Roman" w:hAnsi="Times New Roman" w:cs="Times New Roman"/>
          <w:iCs/>
          <w:sz w:val="28"/>
          <w:szCs w:val="28"/>
        </w:rPr>
        <w:t xml:space="preserve">ey aprobada, y </w:t>
      </w:r>
      <w:r w:rsidRPr="0029329A">
        <w:rPr>
          <w:rFonts w:ascii="Times New Roman" w:hAnsi="Times New Roman" w:cs="Times New Roman"/>
          <w:iCs/>
          <w:sz w:val="28"/>
          <w:szCs w:val="28"/>
        </w:rPr>
        <w:t>que,</w:t>
      </w:r>
      <w:r w:rsidRPr="0029329A">
        <w:rPr>
          <w:rFonts w:ascii="Times New Roman" w:hAnsi="Times New Roman" w:cs="Times New Roman"/>
          <w:iCs/>
          <w:sz w:val="28"/>
          <w:szCs w:val="28"/>
        </w:rPr>
        <w:t xml:space="preserve"> por ese mismo motivo, pudieran no haber sido objeto del necesario debate democrático al interior de las cámaras legislativas</w:t>
      </w:r>
      <w:r w:rsidRPr="0029329A">
        <w:rPr>
          <w:rFonts w:ascii="Times New Roman" w:hAnsi="Times New Roman" w:cs="Times New Roman"/>
          <w:iCs/>
          <w:sz w:val="28"/>
          <w:szCs w:val="28"/>
        </w:rPr>
        <w:t>”</w:t>
      </w:r>
      <w:r w:rsidRPr="0029329A">
        <w:rPr>
          <w:rFonts w:ascii="Times New Roman" w:hAnsi="Times New Roman" w:cs="Times New Roman"/>
          <w:sz w:val="28"/>
          <w:szCs w:val="28"/>
          <w:vertAlign w:val="superscript"/>
        </w:rPr>
        <w:footnoteReference w:id="33"/>
      </w:r>
      <w:r w:rsidRPr="0029329A">
        <w:rPr>
          <w:rFonts w:ascii="Times New Roman" w:hAnsi="Times New Roman" w:cs="Times New Roman"/>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57. </w:t>
      </w:r>
      <w:r w:rsidRPr="0029329A">
        <w:rPr>
          <w:rFonts w:ascii="Times New Roman" w:hAnsi="Times New Roman" w:cs="Times New Roman"/>
          <w:sz w:val="28"/>
          <w:szCs w:val="28"/>
        </w:rPr>
        <w:t xml:space="preserve">Para la Corte Constitucional, el desconocimiento del principio de unidad de materia constituye </w:t>
      </w:r>
      <w:r w:rsidRPr="0029329A">
        <w:rPr>
          <w:rFonts w:ascii="Times New Roman" w:hAnsi="Times New Roman" w:cs="Times New Roman"/>
          <w:sz w:val="28"/>
          <w:szCs w:val="28"/>
        </w:rPr>
        <w:t>“</w:t>
      </w:r>
      <w:r w:rsidRPr="0029329A">
        <w:rPr>
          <w:rFonts w:ascii="Times New Roman" w:hAnsi="Times New Roman" w:cs="Times New Roman"/>
          <w:sz w:val="28"/>
          <w:szCs w:val="28"/>
        </w:rPr>
        <w:t>un vici</w:t>
      </w:r>
      <w:r w:rsidRPr="0029329A">
        <w:rPr>
          <w:rFonts w:ascii="Times New Roman" w:hAnsi="Times New Roman" w:cs="Times New Roman"/>
          <w:sz w:val="28"/>
          <w:szCs w:val="28"/>
        </w:rPr>
        <w:t>o de competencia, que se proyecta sobre la materia de la regulación, pues su desconocimiento se sigue del contenido de la disposición acusada y no únicamente del procedimiento legislativo que llevó a su aprobación</w:t>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34"/>
      </w:r>
      <w:r w:rsidRPr="0029329A">
        <w:rPr>
          <w:rFonts w:ascii="Times New Roman" w:hAnsi="Times New Roman" w:cs="Times New Roman"/>
          <w:sz w:val="28"/>
          <w:szCs w:val="28"/>
        </w:rPr>
        <w:t>. En esa medida, esta corporación ha indi</w:t>
      </w:r>
      <w:r w:rsidRPr="0029329A">
        <w:rPr>
          <w:rFonts w:ascii="Times New Roman" w:hAnsi="Times New Roman" w:cs="Times New Roman"/>
          <w:sz w:val="28"/>
          <w:szCs w:val="28"/>
        </w:rPr>
        <w:t xml:space="preserve">cado que, aun cuando el trámite de su formación se haya adelantado </w:t>
      </w:r>
      <w:r w:rsidRPr="0029329A">
        <w:rPr>
          <w:rFonts w:ascii="Times New Roman" w:hAnsi="Times New Roman" w:cs="Times New Roman"/>
          <w:sz w:val="28"/>
          <w:szCs w:val="28"/>
        </w:rPr>
        <w:t>“</w:t>
      </w:r>
      <w:r w:rsidRPr="0029329A">
        <w:rPr>
          <w:rFonts w:ascii="Times New Roman" w:hAnsi="Times New Roman" w:cs="Times New Roman"/>
          <w:sz w:val="28"/>
          <w:szCs w:val="28"/>
        </w:rPr>
        <w:t>de forma completamente ajustada a las reglas constitucionales y legales aplicables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si no guarda afinidad con la temática del cuerpo normativo en el que se enc</w:t>
      </w:r>
      <w:r w:rsidRPr="0029329A">
        <w:rPr>
          <w:rFonts w:ascii="Times New Roman" w:hAnsi="Times New Roman" w:cs="Times New Roman"/>
          <w:sz w:val="28"/>
          <w:szCs w:val="28"/>
        </w:rPr>
        <w:t>u</w:t>
      </w:r>
      <w:r w:rsidRPr="0029329A">
        <w:rPr>
          <w:rFonts w:ascii="Times New Roman" w:hAnsi="Times New Roman" w:cs="Times New Roman"/>
          <w:sz w:val="28"/>
          <w:szCs w:val="28"/>
        </w:rPr>
        <w:t>entra inserta, el vicio pr</w:t>
      </w:r>
      <w:r w:rsidRPr="0029329A">
        <w:rPr>
          <w:rFonts w:ascii="Times New Roman" w:hAnsi="Times New Roman" w:cs="Times New Roman"/>
          <w:sz w:val="28"/>
          <w:szCs w:val="28"/>
        </w:rPr>
        <w:t>oviene de la prohibición, la obligación, el permiso o la competencia creada</w:t>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35"/>
      </w:r>
      <w:r w:rsidRPr="0029329A">
        <w:rPr>
          <w:rFonts w:ascii="Times New Roman" w:hAnsi="Times New Roman" w:cs="Times New Roman"/>
          <w:sz w:val="28"/>
          <w:szCs w:val="28"/>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58. </w:t>
      </w:r>
      <w:r w:rsidRPr="0029329A">
        <w:rPr>
          <w:rFonts w:ascii="Times New Roman" w:hAnsi="Times New Roman" w:cs="Times New Roman"/>
          <w:sz w:val="28"/>
          <w:szCs w:val="28"/>
        </w:rPr>
        <w:t xml:space="preserve">Finalmente, la </w:t>
      </w:r>
      <w:r w:rsidRPr="0029329A">
        <w:rPr>
          <w:rFonts w:ascii="Times New Roman" w:hAnsi="Times New Roman" w:cs="Times New Roman"/>
          <w:bCs/>
          <w:sz w:val="28"/>
          <w:szCs w:val="28"/>
          <w:lang w:val="es-ES_tradnl"/>
        </w:rPr>
        <w:t xml:space="preserve">Corte ha reiterado que </w:t>
      </w:r>
      <w:r w:rsidRPr="0029329A">
        <w:rPr>
          <w:rFonts w:ascii="Times New Roman" w:hAnsi="Times New Roman" w:cs="Times New Roman"/>
          <w:bCs/>
          <w:sz w:val="28"/>
          <w:szCs w:val="28"/>
          <w:lang w:val="es-ES_tradnl"/>
        </w:rPr>
        <w:t>“</w:t>
      </w:r>
      <w:r w:rsidRPr="0029329A">
        <w:rPr>
          <w:rFonts w:ascii="Times New Roman" w:hAnsi="Times New Roman" w:cs="Times New Roman"/>
          <w:sz w:val="28"/>
          <w:szCs w:val="28"/>
        </w:rPr>
        <w:t>el análisis de la unidad de materia no puede ser emprendido de forma tan rígida que conduzca a desconocer un margen razonable de acc</w:t>
      </w:r>
      <w:r w:rsidRPr="0029329A">
        <w:rPr>
          <w:rFonts w:ascii="Times New Roman" w:hAnsi="Times New Roman" w:cs="Times New Roman"/>
          <w:sz w:val="28"/>
          <w:szCs w:val="28"/>
        </w:rPr>
        <w:t>ión al Legislador, para abordar en una misma ley temas relacionados entre sí.</w:t>
      </w:r>
      <w:r w:rsidRPr="0029329A">
        <w:rPr>
          <w:rFonts w:ascii="Times New Roman" w:hAnsi="Times New Roman" w:cs="Times New Roman"/>
          <w:sz w:val="28"/>
          <w:szCs w:val="28"/>
          <w:vertAlign w:val="superscript"/>
        </w:rPr>
        <w:footnoteReference w:id="36"/>
      </w:r>
      <w:r w:rsidRPr="0029329A">
        <w:rPr>
          <w:rFonts w:ascii="Times New Roman" w:hAnsi="Times New Roman" w:cs="Times New Roman"/>
          <w:sz w:val="28"/>
          <w:szCs w:val="28"/>
        </w:rPr>
        <w:t xml:space="preserve"> Por lo tanto, como orientación básica, las disposiciones que hacen parte de una misma ley deben guardar con su contenido transversal una conexión causal, teleológica, temática o</w:t>
      </w:r>
      <w:r w:rsidRPr="0029329A">
        <w:rPr>
          <w:rFonts w:ascii="Times New Roman" w:hAnsi="Times New Roman" w:cs="Times New Roman"/>
          <w:sz w:val="28"/>
          <w:szCs w:val="28"/>
        </w:rPr>
        <w:t xml:space="preserve"> sistemática</w:t>
      </w:r>
      <w:r w:rsidRPr="0029329A">
        <w:rPr>
          <w:rFonts w:ascii="Times New Roman" w:hAnsi="Times New Roman" w:cs="Times New Roman"/>
          <w:sz w:val="28"/>
          <w:szCs w:val="28"/>
          <w:vertAlign w:val="superscript"/>
        </w:rPr>
        <w:footnoteReference w:id="37"/>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38"/>
      </w:r>
      <w:r w:rsidRPr="0029329A">
        <w:rPr>
          <w:rFonts w:ascii="Times New Roman" w:hAnsi="Times New Roman" w:cs="Times New Roman"/>
          <w:sz w:val="28"/>
          <w:szCs w:val="28"/>
        </w:rPr>
        <w:t xml:space="preserve">. Aunado a lo anterior, esta corporación ha aclarado que </w:t>
      </w:r>
      <w:r w:rsidRPr="0029329A">
        <w:rPr>
          <w:rFonts w:ascii="Times New Roman" w:hAnsi="Times New Roman" w:cs="Times New Roman"/>
          <w:sz w:val="28"/>
          <w:szCs w:val="28"/>
        </w:rPr>
        <w:t>“</w:t>
      </w:r>
      <w:r w:rsidRPr="0029329A">
        <w:rPr>
          <w:rFonts w:ascii="Times New Roman" w:hAnsi="Times New Roman" w:cs="Times New Roman"/>
          <w:sz w:val="28"/>
          <w:szCs w:val="28"/>
        </w:rPr>
        <w:t>al menos en relación con las leyes ordinarias, se garantiza un control constitucional flexible y, al mismo tiempo, que sean retiradas del sistema jurídico reglas que en efecto no</w:t>
      </w:r>
      <w:r w:rsidRPr="0029329A">
        <w:rPr>
          <w:rFonts w:ascii="Times New Roman" w:hAnsi="Times New Roman" w:cs="Times New Roman"/>
          <w:sz w:val="28"/>
          <w:szCs w:val="28"/>
          <w:lang w:val="es-ES_tradnl"/>
        </w:rPr>
        <w:t xml:space="preserve"> guar</w:t>
      </w:r>
      <w:r w:rsidRPr="0029329A">
        <w:rPr>
          <w:rFonts w:ascii="Times New Roman" w:hAnsi="Times New Roman" w:cs="Times New Roman"/>
          <w:sz w:val="28"/>
          <w:szCs w:val="28"/>
          <w:lang w:val="es-ES_tradnl"/>
        </w:rPr>
        <w:t>da</w:t>
      </w:r>
      <w:r w:rsidRPr="0029329A">
        <w:rPr>
          <w:rFonts w:ascii="Times New Roman" w:hAnsi="Times New Roman" w:cs="Times New Roman"/>
          <w:sz w:val="28"/>
          <w:szCs w:val="28"/>
          <w:lang w:val="es-ES_tradnl"/>
        </w:rPr>
        <w:t>n</w:t>
      </w:r>
      <w:r w:rsidRPr="0029329A">
        <w:rPr>
          <w:rFonts w:ascii="Times New Roman" w:hAnsi="Times New Roman" w:cs="Times New Roman"/>
          <w:sz w:val="28"/>
          <w:szCs w:val="28"/>
          <w:lang w:val="es-ES_tradnl"/>
        </w:rPr>
        <w:t xml:space="preserve"> ninguna relación con la materia dominante de la regulación correspondiente.</w:t>
      </w:r>
      <w:r w:rsidRPr="0029329A">
        <w:rPr>
          <w:rFonts w:ascii="Times New Roman" w:hAnsi="Times New Roman" w:cs="Times New Roman"/>
          <w:sz w:val="28"/>
          <w:szCs w:val="28"/>
          <w:vertAlign w:val="superscript"/>
          <w:lang w:val="es-ES_tradnl"/>
        </w:rPr>
        <w:footnoteReference w:id="39"/>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rPr>
        <w:t>La situación, sin embargo, es distinta tratándose de las leyes aprobatorias de los planes nacionales de desarrollo</w:t>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40"/>
      </w:r>
      <w:r w:rsidRPr="0029329A">
        <w:rPr>
          <w:rFonts w:ascii="Times New Roman" w:hAnsi="Times New Roman" w:cs="Times New Roman"/>
          <w:sz w:val="28"/>
          <w:szCs w:val="28"/>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bCs/>
          <w:i/>
          <w:i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
          <w:bCs/>
          <w:iCs/>
          <w:sz w:val="28"/>
          <w:szCs w:val="28"/>
        </w:rPr>
      </w:pPr>
      <w:r w:rsidRPr="0029329A">
        <w:rPr>
          <w:rFonts w:ascii="Times New Roman" w:hAnsi="Times New Roman" w:cs="Times New Roman"/>
          <w:b/>
          <w:bCs/>
          <w:iCs/>
          <w:sz w:val="28"/>
          <w:szCs w:val="28"/>
        </w:rPr>
        <w:t xml:space="preserve">El principio de unidad de materia en los planes </w:t>
      </w:r>
      <w:r w:rsidRPr="0029329A">
        <w:rPr>
          <w:rFonts w:ascii="Times New Roman" w:hAnsi="Times New Roman" w:cs="Times New Roman"/>
          <w:b/>
          <w:bCs/>
          <w:iCs/>
          <w:sz w:val="28"/>
          <w:szCs w:val="28"/>
        </w:rPr>
        <w:t>nacionales de desarrollo. Reiteración de jurisprudencia</w:t>
      </w:r>
      <w:r w:rsidRPr="0029329A">
        <w:rPr>
          <w:rStyle w:val="Refdenotaalpie"/>
          <w:rFonts w:ascii="Times New Roman" w:hAnsi="Times New Roman"/>
          <w:bCs/>
          <w:iCs/>
          <w:sz w:val="28"/>
          <w:szCs w:val="28"/>
          <w:vertAlign w:val="superscript"/>
        </w:rPr>
        <w:footnoteReference w:id="41"/>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 xml:space="preserve">59. </w:t>
      </w:r>
      <w:r w:rsidRPr="0029329A">
        <w:rPr>
          <w:rFonts w:ascii="Times New Roman" w:hAnsi="Times New Roman" w:cs="Times New Roman"/>
          <w:sz w:val="28"/>
          <w:szCs w:val="28"/>
          <w:lang w:val="es-ES_tradnl"/>
        </w:rPr>
        <w:t xml:space="preserve">En la sentencia C-493 de 2020, la Corte Constitucional reiteró que, por definición, los planes nacionales de desarrollo son </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heterogéneos y abarcan un amplio espectro de temas</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A su vez, record</w:t>
      </w:r>
      <w:r w:rsidRPr="0029329A">
        <w:rPr>
          <w:rFonts w:ascii="Times New Roman" w:hAnsi="Times New Roman" w:cs="Times New Roman"/>
          <w:sz w:val="28"/>
          <w:szCs w:val="28"/>
          <w:lang w:val="es-ES_tradnl"/>
        </w:rPr>
        <w:t>ó que</w:t>
      </w:r>
      <w:r w:rsidRPr="0029329A">
        <w:rPr>
          <w:rFonts w:ascii="Times New Roman" w:hAnsi="Times New Roman" w:cs="Times New Roman"/>
          <w:sz w:val="28"/>
          <w:szCs w:val="28"/>
          <w:lang w:val="es-MX"/>
        </w:rPr>
        <w:t xml:space="preserve"> los planes nacionales de desarrollo son leyes </w:t>
      </w:r>
      <w:r w:rsidRPr="0029329A">
        <w:rPr>
          <w:rFonts w:ascii="Times New Roman" w:hAnsi="Times New Roman" w:cs="Times New Roman"/>
          <w:sz w:val="28"/>
          <w:szCs w:val="28"/>
          <w:lang w:val="es-MX"/>
        </w:rPr>
        <w:t>“</w:t>
      </w:r>
      <w:r w:rsidRPr="0029329A">
        <w:rPr>
          <w:rFonts w:ascii="Times New Roman" w:hAnsi="Times New Roman" w:cs="Times New Roman"/>
          <w:iCs/>
          <w:sz w:val="28"/>
          <w:szCs w:val="28"/>
          <w:lang w:val="es-MX"/>
        </w:rPr>
        <w:t>multitemáticas</w:t>
      </w:r>
      <w:r w:rsidRPr="0029329A">
        <w:rPr>
          <w:rFonts w:ascii="Times New Roman" w:hAnsi="Times New Roman" w:cs="Times New Roman"/>
          <w:sz w:val="28"/>
          <w:szCs w:val="28"/>
          <w:lang w:val="es-MX"/>
        </w:rPr>
        <w:t xml:space="preserve"> y </w:t>
      </w:r>
      <w:r w:rsidRPr="0029329A">
        <w:rPr>
          <w:rFonts w:ascii="Times New Roman" w:hAnsi="Times New Roman" w:cs="Times New Roman"/>
          <w:iCs/>
          <w:sz w:val="28"/>
          <w:szCs w:val="28"/>
          <w:lang w:val="es-MX"/>
        </w:rPr>
        <w:t>heterogéneas</w:t>
      </w:r>
      <w:r w:rsidRPr="0029329A">
        <w:rPr>
          <w:rFonts w:ascii="Times New Roman" w:hAnsi="Times New Roman" w:cs="Times New Roman"/>
          <w:iCs/>
          <w:sz w:val="28"/>
          <w:szCs w:val="28"/>
          <w:lang w:val="es-MX"/>
        </w:rPr>
        <w:t>”</w:t>
      </w:r>
      <w:r w:rsidRPr="0029329A">
        <w:rPr>
          <w:rFonts w:ascii="Times New Roman" w:hAnsi="Times New Roman" w:cs="Times New Roman"/>
          <w:sz w:val="28"/>
          <w:szCs w:val="28"/>
          <w:vertAlign w:val="superscript"/>
          <w:lang w:val="es-MX"/>
        </w:rPr>
        <w:footnoteReference w:id="42"/>
      </w:r>
      <w:r w:rsidRPr="0029329A">
        <w:rPr>
          <w:rFonts w:ascii="Times New Roman" w:hAnsi="Times New Roman" w:cs="Times New Roman"/>
          <w:iCs/>
          <w:sz w:val="28"/>
          <w:szCs w:val="28"/>
          <w:lang w:val="es-MX"/>
        </w:rPr>
        <w:t>, pues contienen</w:t>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lang w:val="es-ES_tradnl"/>
        </w:rPr>
        <w:t>“</w:t>
      </w:r>
      <w:r w:rsidRPr="0029329A">
        <w:rPr>
          <w:rFonts w:ascii="Times New Roman" w:hAnsi="Times New Roman" w:cs="Times New Roman"/>
          <w:i/>
          <w:iCs/>
          <w:sz w:val="28"/>
          <w:szCs w:val="28"/>
          <w:lang w:val="es-ES_tradnl"/>
        </w:rPr>
        <w:t>(i)</w:t>
      </w:r>
      <w:r w:rsidRPr="0029329A">
        <w:rPr>
          <w:rFonts w:ascii="Times New Roman" w:hAnsi="Times New Roman" w:cs="Times New Roman"/>
          <w:sz w:val="28"/>
          <w:szCs w:val="28"/>
          <w:lang w:val="es-ES_tradnl"/>
        </w:rPr>
        <w:t xml:space="preserve"> los propósitos y objetivos nacionales de largo plazo; </w:t>
      </w:r>
      <w:r w:rsidRPr="0029329A">
        <w:rPr>
          <w:rFonts w:ascii="Times New Roman" w:hAnsi="Times New Roman" w:cs="Times New Roman"/>
          <w:i/>
          <w:iCs/>
          <w:sz w:val="28"/>
          <w:szCs w:val="28"/>
          <w:lang w:val="es-ES_tradnl"/>
        </w:rPr>
        <w:t>(ii)</w:t>
      </w:r>
      <w:r w:rsidRPr="0029329A">
        <w:rPr>
          <w:rFonts w:ascii="Times New Roman" w:hAnsi="Times New Roman" w:cs="Times New Roman"/>
          <w:sz w:val="28"/>
          <w:szCs w:val="28"/>
          <w:lang w:val="es-ES_tradnl"/>
        </w:rPr>
        <w:t xml:space="preserve"> las metas y prioridades de la acción estatal a mediano plazo; </w:t>
      </w:r>
      <w:r w:rsidRPr="0029329A">
        <w:rPr>
          <w:rFonts w:ascii="Times New Roman" w:hAnsi="Times New Roman" w:cs="Times New Roman"/>
          <w:i/>
          <w:iCs/>
          <w:sz w:val="28"/>
          <w:szCs w:val="28"/>
          <w:lang w:val="es-ES_tradnl"/>
        </w:rPr>
        <w:t>(iii)</w:t>
      </w:r>
      <w:r w:rsidRPr="0029329A">
        <w:rPr>
          <w:rFonts w:ascii="Times New Roman" w:hAnsi="Times New Roman" w:cs="Times New Roman"/>
          <w:sz w:val="28"/>
          <w:szCs w:val="28"/>
          <w:lang w:val="es-ES_tradnl"/>
        </w:rPr>
        <w:t xml:space="preserve"> las estrategias y orientaciones generales de la política económica, social y ambiental que serán adoptadas por el gobierno; </w:t>
      </w:r>
      <w:r w:rsidRPr="0029329A">
        <w:rPr>
          <w:rFonts w:ascii="Times New Roman" w:hAnsi="Times New Roman" w:cs="Times New Roman"/>
          <w:i/>
          <w:iCs/>
          <w:sz w:val="28"/>
          <w:szCs w:val="28"/>
          <w:lang w:val="es-ES_tradnl"/>
        </w:rPr>
        <w:t>(</w:t>
      </w:r>
      <w:r w:rsidRPr="0029329A">
        <w:rPr>
          <w:rFonts w:ascii="Times New Roman" w:hAnsi="Times New Roman" w:cs="Times New Roman"/>
          <w:sz w:val="28"/>
          <w:szCs w:val="28"/>
        </w:rPr>
        <w:t>iv</w:t>
      </w:r>
      <w:r w:rsidRPr="0029329A">
        <w:rPr>
          <w:rFonts w:ascii="Times New Roman" w:hAnsi="Times New Roman" w:cs="Times New Roman"/>
          <w:i/>
          <w:iCs/>
          <w:sz w:val="28"/>
          <w:szCs w:val="28"/>
          <w:lang w:val="es-ES_tradnl"/>
        </w:rPr>
        <w:t>)</w:t>
      </w:r>
      <w:r w:rsidRPr="0029329A">
        <w:rPr>
          <w:rFonts w:ascii="Times New Roman" w:hAnsi="Times New Roman" w:cs="Times New Roman"/>
          <w:sz w:val="28"/>
          <w:szCs w:val="28"/>
          <w:lang w:val="es-ES_tradnl"/>
        </w:rPr>
        <w:t xml:space="preserve"> los presupuestos plurianuales de los principales programas y proyectos de inversión pública nacional; </w:t>
      </w:r>
      <w:r w:rsidRPr="0029329A">
        <w:rPr>
          <w:rFonts w:ascii="Times New Roman" w:hAnsi="Times New Roman" w:cs="Times New Roman"/>
          <w:i/>
          <w:iCs/>
          <w:sz w:val="28"/>
          <w:szCs w:val="28"/>
          <w:lang w:val="es-ES_tradnl"/>
        </w:rPr>
        <w:t>(v)</w:t>
      </w:r>
      <w:r w:rsidRPr="0029329A">
        <w:rPr>
          <w:rFonts w:ascii="Times New Roman" w:hAnsi="Times New Roman" w:cs="Times New Roman"/>
          <w:sz w:val="28"/>
          <w:szCs w:val="28"/>
          <w:lang w:val="es-ES_tradnl"/>
        </w:rPr>
        <w:t xml:space="preserve"> la especificación de</w:t>
      </w:r>
      <w:r w:rsidRPr="0029329A">
        <w:rPr>
          <w:rFonts w:ascii="Times New Roman" w:hAnsi="Times New Roman" w:cs="Times New Roman"/>
          <w:sz w:val="28"/>
          <w:szCs w:val="28"/>
          <w:lang w:val="es-ES_tradnl"/>
        </w:rPr>
        <w:t xml:space="preserve"> los recursos financieros requeridos para su ejecución; y </w:t>
      </w:r>
      <w:r w:rsidRPr="0029329A">
        <w:rPr>
          <w:rFonts w:ascii="Times New Roman" w:hAnsi="Times New Roman" w:cs="Times New Roman"/>
          <w:i/>
          <w:iCs/>
          <w:sz w:val="28"/>
          <w:szCs w:val="28"/>
          <w:lang w:val="es-ES_tradnl"/>
        </w:rPr>
        <w:t>(vi)</w:t>
      </w:r>
      <w:r w:rsidRPr="0029329A">
        <w:rPr>
          <w:rFonts w:ascii="Times New Roman" w:hAnsi="Times New Roman" w:cs="Times New Roman"/>
          <w:sz w:val="28"/>
          <w:szCs w:val="28"/>
          <w:lang w:val="es-ES_tradnl"/>
        </w:rPr>
        <w:t xml:space="preserve"> las normas jurídicas necesarias para la ejecución del plan</w:t>
      </w:r>
      <w:r w:rsidRPr="0029329A">
        <w:rPr>
          <w:rFonts w:ascii="Times New Roman" w:hAnsi="Times New Roman" w:cs="Times New Roman"/>
          <w:sz w:val="28"/>
          <w:szCs w:val="28"/>
          <w:vertAlign w:val="superscript"/>
          <w:lang w:val="es-ES_tradnl"/>
        </w:rPr>
        <w:footnoteReference w:id="43"/>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lang w:val="es-ES_tradnl"/>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lang w:val="es-ES_tradnl"/>
        </w:rPr>
        <w:t xml:space="preserve">60. </w:t>
      </w:r>
      <w:r w:rsidRPr="0029329A">
        <w:rPr>
          <w:rFonts w:ascii="Times New Roman" w:hAnsi="Times New Roman" w:cs="Times New Roman"/>
          <w:sz w:val="28"/>
          <w:szCs w:val="28"/>
          <w:lang w:val="es-ES_tradnl"/>
        </w:rPr>
        <w:t>Seguidamente, en la citada sentencia C-493 de 2020, esta corporación resaltó que e</w:t>
      </w:r>
      <w:r w:rsidRPr="0029329A">
        <w:rPr>
          <w:rFonts w:ascii="Times New Roman" w:hAnsi="Times New Roman" w:cs="Times New Roman"/>
          <w:sz w:val="28"/>
          <w:szCs w:val="28"/>
        </w:rPr>
        <w:t xml:space="preserve">l principal objetivo de la ley del Plan es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planificar y priorizar las acciones del Estado y la ejecución del presupuesto público durante cuatro años. No obstante, conforme al artículo 150.3 de la Constitución, también habrá de incluir las apropiaciones para su ejecución y, en general, las medidas </w:t>
      </w:r>
      <w:r w:rsidRPr="0029329A">
        <w:rPr>
          <w:rFonts w:ascii="Times New Roman" w:hAnsi="Times New Roman" w:cs="Times New Roman"/>
          <w:sz w:val="28"/>
          <w:szCs w:val="28"/>
        </w:rPr>
        <w:t>necesarias para materializar e impulsar el cumplimiento de las metas trazadas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Así, la Corte indicó que todo </w:t>
      </w:r>
      <w:r w:rsidRPr="0029329A">
        <w:rPr>
          <w:rFonts w:ascii="Times New Roman" w:hAnsi="Times New Roman" w:cs="Times New Roman"/>
          <w:sz w:val="28"/>
          <w:szCs w:val="28"/>
        </w:rPr>
        <w:t>P</w:t>
      </w:r>
      <w:r w:rsidRPr="0029329A">
        <w:rPr>
          <w:rFonts w:ascii="Times New Roman" w:hAnsi="Times New Roman" w:cs="Times New Roman"/>
          <w:sz w:val="28"/>
          <w:szCs w:val="28"/>
        </w:rPr>
        <w:t xml:space="preserve">lan </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acional de </w:t>
      </w:r>
      <w:r w:rsidRPr="0029329A">
        <w:rPr>
          <w:rFonts w:ascii="Times New Roman" w:hAnsi="Times New Roman" w:cs="Times New Roman"/>
          <w:sz w:val="28"/>
          <w:szCs w:val="28"/>
        </w:rPr>
        <w:t>D</w:t>
      </w:r>
      <w:r w:rsidRPr="0029329A">
        <w:rPr>
          <w:rFonts w:ascii="Times New Roman" w:hAnsi="Times New Roman" w:cs="Times New Roman"/>
          <w:sz w:val="28"/>
          <w:szCs w:val="28"/>
        </w:rPr>
        <w:t xml:space="preserve">esarrollo debe </w:t>
      </w:r>
      <w:r w:rsidRPr="0029329A">
        <w:rPr>
          <w:rFonts w:ascii="Times New Roman" w:hAnsi="Times New Roman" w:cs="Times New Roman"/>
          <w:sz w:val="28"/>
          <w:szCs w:val="28"/>
          <w:lang w:val="es-ES_tradnl"/>
        </w:rPr>
        <w:t>incorpora</w:t>
      </w:r>
      <w:r w:rsidRPr="0029329A">
        <w:rPr>
          <w:rFonts w:ascii="Times New Roman" w:hAnsi="Times New Roman" w:cs="Times New Roman"/>
          <w:sz w:val="28"/>
          <w:szCs w:val="28"/>
          <w:lang w:val="es-ES_tradnl"/>
        </w:rPr>
        <w:t>r</w:t>
      </w:r>
      <w:r w:rsidRPr="0029329A">
        <w:rPr>
          <w:rFonts w:ascii="Times New Roman" w:hAnsi="Times New Roman" w:cs="Times New Roman"/>
          <w:sz w:val="28"/>
          <w:szCs w:val="28"/>
        </w:rPr>
        <w:t xml:space="preserve"> instrumentos o estrategias sobre </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el </w:t>
      </w:r>
      <w:r w:rsidRPr="0029329A">
        <w:rPr>
          <w:rFonts w:ascii="Times New Roman" w:hAnsi="Times New Roman" w:cs="Times New Roman"/>
          <w:bCs/>
          <w:sz w:val="28"/>
          <w:szCs w:val="28"/>
          <w:lang w:val="es-ES"/>
        </w:rPr>
        <w:t>cálculo de ingresos públicos proyectados y la correspondiente asi</w:t>
      </w:r>
      <w:r w:rsidRPr="0029329A">
        <w:rPr>
          <w:rFonts w:ascii="Times New Roman" w:hAnsi="Times New Roman" w:cs="Times New Roman"/>
          <w:bCs/>
          <w:sz w:val="28"/>
          <w:szCs w:val="28"/>
          <w:lang w:val="es-ES"/>
        </w:rPr>
        <w:t>gnación de recursos fiscales con destino a la financiación de programas</w:t>
      </w:r>
      <w:r w:rsidRPr="0029329A">
        <w:rPr>
          <w:rFonts w:ascii="Times New Roman" w:hAnsi="Times New Roman" w:cs="Times New Roman"/>
          <w:bCs/>
          <w:sz w:val="28"/>
          <w:szCs w:val="28"/>
          <w:vertAlign w:val="superscript"/>
          <w:lang w:val="es-ES"/>
        </w:rPr>
        <w:footnoteReference w:id="44"/>
      </w:r>
      <w:r w:rsidRPr="0029329A">
        <w:rPr>
          <w:rFonts w:ascii="Times New Roman" w:hAnsi="Times New Roman" w:cs="Times New Roman"/>
          <w:bCs/>
          <w:sz w:val="28"/>
          <w:szCs w:val="28"/>
          <w:lang w:val="es-ES"/>
        </w:rPr>
        <w:t xml:space="preserve">, así como todo el conjunto de reglas de cuyo cumplimiento se siga la consecución de los objetivos </w:t>
      </w:r>
      <w:r w:rsidRPr="0029329A">
        <w:rPr>
          <w:rFonts w:ascii="Times New Roman" w:hAnsi="Times New Roman" w:cs="Times New Roman"/>
          <w:sz w:val="28"/>
          <w:szCs w:val="28"/>
        </w:rPr>
        <w:t>económicos, sociales o ambientales que se ha estimado deseable alcanzar</w:t>
      </w:r>
      <w:r w:rsidRPr="0029329A">
        <w:rPr>
          <w:rFonts w:ascii="Times New Roman" w:hAnsi="Times New Roman" w:cs="Times New Roman"/>
          <w:sz w:val="28"/>
          <w:szCs w:val="28"/>
          <w:vertAlign w:val="superscript"/>
        </w:rPr>
        <w:footnoteReference w:id="45"/>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46"/>
      </w:r>
      <w:r w:rsidRPr="0029329A">
        <w:rPr>
          <w:rFonts w:ascii="Times New Roman" w:hAnsi="Times New Roman" w:cs="Times New Roman"/>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61. </w:t>
      </w:r>
      <w:r w:rsidRPr="0029329A">
        <w:rPr>
          <w:rFonts w:ascii="Times New Roman" w:hAnsi="Times New Roman" w:cs="Times New Roman"/>
          <w:sz w:val="28"/>
          <w:szCs w:val="28"/>
        </w:rPr>
        <w:t xml:space="preserve">Aunando a lo anterior, en la citada oportunidad, la Corte manifestó que </w:t>
      </w:r>
      <w:r w:rsidRPr="0029329A">
        <w:rPr>
          <w:rFonts w:ascii="Times New Roman" w:hAnsi="Times New Roman" w:cs="Times New Roman"/>
          <w:sz w:val="28"/>
          <w:szCs w:val="28"/>
          <w:lang w:val="es-ES_tradnl"/>
        </w:rPr>
        <w:t xml:space="preserve">la naturaleza de la Ley del Plan implica </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un “desafío normativo” al principio de unidad de materia</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toda vez que, </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además de tratarse de un instrumento complejo de planeación macro, co</w:t>
      </w:r>
      <w:r w:rsidRPr="0029329A">
        <w:rPr>
          <w:rFonts w:ascii="Times New Roman" w:hAnsi="Times New Roman" w:cs="Times New Roman"/>
          <w:sz w:val="28"/>
          <w:szCs w:val="28"/>
          <w:lang w:val="es-ES_tradnl"/>
        </w:rPr>
        <w:t>n articulaciones a nivel de política públicas, diseño presupuestal y política jurídica, parece serle extrañ</w:t>
      </w:r>
      <w:r w:rsidRPr="0029329A">
        <w:rPr>
          <w:rFonts w:ascii="Times New Roman" w:hAnsi="Times New Roman" w:cs="Times New Roman"/>
          <w:sz w:val="28"/>
          <w:szCs w:val="28"/>
          <w:lang w:val="es-ES_tradnl"/>
        </w:rPr>
        <w:t>a</w:t>
      </w:r>
      <w:r w:rsidRPr="0029329A">
        <w:rPr>
          <w:rFonts w:ascii="Times New Roman" w:hAnsi="Times New Roman" w:cs="Times New Roman"/>
          <w:sz w:val="28"/>
          <w:szCs w:val="28"/>
          <w:lang w:val="es-ES_tradnl"/>
        </w:rPr>
        <w:t xml:space="preserve"> la idea de una temática única o nítidamente definida. En su carácter de ley </w:t>
      </w:r>
      <w:r w:rsidRPr="0029329A">
        <w:rPr>
          <w:rFonts w:ascii="Times New Roman" w:hAnsi="Times New Roman" w:cs="Times New Roman"/>
          <w:bCs/>
          <w:sz w:val="28"/>
          <w:szCs w:val="28"/>
        </w:rPr>
        <w:t>dirigida a trazar los lineamientos y políticas en los asuntos en que se</w:t>
      </w:r>
      <w:r w:rsidRPr="0029329A">
        <w:rPr>
          <w:rFonts w:ascii="Times New Roman" w:hAnsi="Times New Roman" w:cs="Times New Roman"/>
          <w:bCs/>
          <w:sz w:val="28"/>
          <w:szCs w:val="28"/>
        </w:rPr>
        <w:t xml:space="preserve"> desenvuelve la realidad económica, social y ambiental del país, en </w:t>
      </w:r>
      <w:r w:rsidRPr="0029329A">
        <w:rPr>
          <w:rFonts w:ascii="Times New Roman" w:hAnsi="Times New Roman" w:cs="Times New Roman"/>
          <w:sz w:val="28"/>
          <w:szCs w:val="28"/>
          <w:lang w:val="es-ES_tradnl"/>
        </w:rPr>
        <w:t>variadas áreas y sectores de la vida estatal y comunitaria</w:t>
      </w:r>
      <w:r w:rsidRPr="0029329A">
        <w:rPr>
          <w:rFonts w:ascii="Times New Roman" w:hAnsi="Times New Roman" w:cs="Times New Roman"/>
          <w:bCs/>
          <w:sz w:val="28"/>
          <w:szCs w:val="28"/>
        </w:rPr>
        <w:t>, no permite, en principio, ser identificada con una materia o tema dominante, más allá del elemento básico de la planeación.</w:t>
      </w:r>
      <w:r w:rsidRPr="0029329A">
        <w:rPr>
          <w:rFonts w:ascii="Times New Roman" w:hAnsi="Times New Roman" w:cs="Times New Roman"/>
          <w:bCs/>
          <w:sz w:val="28"/>
          <w:szCs w:val="28"/>
          <w:vertAlign w:val="superscript"/>
        </w:rPr>
        <w:footnoteReference w:id="47"/>
      </w:r>
      <w:r w:rsidRPr="0029329A">
        <w:rPr>
          <w:rFonts w:ascii="Times New Roman" w:hAnsi="Times New Roman" w:cs="Times New Roman"/>
          <w:bCs/>
          <w:sz w:val="28"/>
          <w:szCs w:val="28"/>
        </w:rPr>
        <w:t xml:space="preserve"> Con</w:t>
      </w:r>
      <w:r w:rsidRPr="0029329A">
        <w:rPr>
          <w:rFonts w:ascii="Times New Roman" w:hAnsi="Times New Roman" w:cs="Times New Roman"/>
          <w:bCs/>
          <w:sz w:val="28"/>
          <w:szCs w:val="28"/>
        </w:rPr>
        <w:t xml:space="preserve"> todo, la Corte ha clarificado que lo anterior en modo alguno debilita la obligación constitucional de sujeción al principio de unidad de materia</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48"/>
      </w:r>
      <w:r w:rsidRPr="0029329A">
        <w:rPr>
          <w:rFonts w:ascii="Times New Roman" w:hAnsi="Times New Roman" w:cs="Times New Roman"/>
          <w:bCs/>
          <w:sz w:val="28"/>
          <w:szCs w:val="28"/>
        </w:rPr>
        <w:t xml:space="preserve">. </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585A99">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62. </w:t>
      </w:r>
      <w:r w:rsidRPr="0029329A">
        <w:rPr>
          <w:rFonts w:ascii="Times New Roman" w:hAnsi="Times New Roman" w:cs="Times New Roman"/>
          <w:bCs/>
          <w:sz w:val="28"/>
          <w:szCs w:val="28"/>
        </w:rPr>
        <w:t>En la sentencia C-493 de 2020, la Sala Plena recordó que la jurisprudencia constitucional ha señalado</w:t>
      </w:r>
      <w:r w:rsidRPr="0029329A">
        <w:rPr>
          <w:rFonts w:ascii="Times New Roman" w:hAnsi="Times New Roman" w:cs="Times New Roman"/>
          <w:bCs/>
          <w:sz w:val="28"/>
          <w:szCs w:val="28"/>
        </w:rPr>
        <w:t xml:space="preserve"> que, de considerarse una flexibilización de dicha garantía democrática</w:t>
      </w:r>
      <w:r w:rsidRPr="0029329A">
        <w:rPr>
          <w:rFonts w:ascii="Times New Roman" w:hAnsi="Times New Roman" w:cs="Times New Roman"/>
          <w:bCs/>
          <w:sz w:val="28"/>
          <w:szCs w:val="28"/>
          <w:vertAlign w:val="superscript"/>
        </w:rPr>
        <w:footnoteReference w:id="49"/>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se habilitaría una </w:t>
      </w:r>
      <w:r w:rsidRPr="0029329A">
        <w:rPr>
          <w:rFonts w:ascii="Times New Roman" w:hAnsi="Times New Roman" w:cs="Times New Roman"/>
          <w:sz w:val="28"/>
          <w:szCs w:val="28"/>
          <w:lang w:val="es-MX"/>
        </w:rPr>
        <w:t>vía para incorporar al ordenamiento jurídico disposiciones que no guarden relación entre sí</w:t>
      </w:r>
      <w:r w:rsidRPr="0029329A">
        <w:rPr>
          <w:rFonts w:ascii="Times New Roman" w:hAnsi="Times New Roman" w:cs="Times New Roman"/>
          <w:sz w:val="28"/>
          <w:szCs w:val="28"/>
          <w:vertAlign w:val="superscript"/>
          <w:lang w:val="es-MX"/>
        </w:rPr>
        <w:footnoteReference w:id="50"/>
      </w:r>
      <w:r w:rsidRPr="0029329A">
        <w:rPr>
          <w:rFonts w:ascii="Times New Roman" w:hAnsi="Times New Roman" w:cs="Times New Roman"/>
          <w:sz w:val="28"/>
          <w:szCs w:val="28"/>
          <w:lang w:val="es-MX"/>
        </w:rPr>
        <w:t>”</w:t>
      </w:r>
      <w:r w:rsidRPr="0029329A">
        <w:rPr>
          <w:rFonts w:ascii="Times New Roman" w:hAnsi="Times New Roman" w:cs="Times New Roman"/>
          <w:sz w:val="28"/>
          <w:szCs w:val="28"/>
          <w:lang w:val="es-MX"/>
        </w:rPr>
        <w:t xml:space="preserve"> y se </w:t>
      </w:r>
      <w:r w:rsidRPr="0029329A">
        <w:rPr>
          <w:rFonts w:ascii="Times New Roman" w:hAnsi="Times New Roman" w:cs="Times New Roman"/>
          <w:sz w:val="28"/>
          <w:szCs w:val="28"/>
          <w:lang w:val="es-MX"/>
        </w:rPr>
        <w:t>“</w:t>
      </w:r>
      <w:r w:rsidRPr="0029329A">
        <w:rPr>
          <w:rFonts w:ascii="Times New Roman" w:hAnsi="Times New Roman" w:cs="Times New Roman"/>
          <w:sz w:val="28"/>
          <w:szCs w:val="28"/>
          <w:lang w:val="es-MX"/>
        </w:rPr>
        <w:t xml:space="preserve">permitiría la introducción de legislación ajena </w:t>
      </w:r>
      <w:r w:rsidRPr="0029329A">
        <w:rPr>
          <w:rFonts w:ascii="Times New Roman" w:hAnsi="Times New Roman" w:cs="Times New Roman"/>
          <w:bCs/>
          <w:sz w:val="28"/>
          <w:szCs w:val="28"/>
        </w:rPr>
        <w:t xml:space="preserve">a los </w:t>
      </w:r>
      <w:r w:rsidRPr="0029329A">
        <w:rPr>
          <w:rFonts w:ascii="Times New Roman" w:hAnsi="Times New Roman" w:cs="Times New Roman"/>
          <w:bCs/>
          <w:sz w:val="28"/>
          <w:szCs w:val="28"/>
        </w:rPr>
        <w:t>propósitos constitucionales que explican el rol de la planificación estatal</w:t>
      </w:r>
      <w:r w:rsidRPr="0029329A">
        <w:rPr>
          <w:rFonts w:ascii="Times New Roman" w:hAnsi="Times New Roman" w:cs="Times New Roman"/>
          <w:bCs/>
          <w:sz w:val="28"/>
          <w:szCs w:val="28"/>
          <w:vertAlign w:val="superscript"/>
        </w:rPr>
        <w:footnoteReference w:id="51"/>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p>
    <w:p w:rsidR="00F50827" w:rsidRPr="0029329A" w:rsidRDefault="0029329A" w:rsidP="00585A99">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585A99">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63. </w:t>
      </w:r>
      <w:r w:rsidRPr="0029329A">
        <w:rPr>
          <w:rFonts w:ascii="Times New Roman" w:hAnsi="Times New Roman" w:cs="Times New Roman"/>
          <w:bCs/>
          <w:sz w:val="28"/>
          <w:szCs w:val="28"/>
        </w:rPr>
        <w:t xml:space="preserve">En esa medida, la Corte reiteró que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tratándose de la legislación especial en mención, el principio de unidad de materia exige un examen más estricto, que no se identifica </w:t>
      </w:r>
      <w:r w:rsidRPr="0029329A">
        <w:rPr>
          <w:rFonts w:ascii="Times New Roman" w:hAnsi="Times New Roman" w:cs="Times New Roman"/>
          <w:bCs/>
          <w:sz w:val="28"/>
          <w:szCs w:val="28"/>
        </w:rPr>
        <w:t>con los análisis de conexidad regularmente aplicado a las leyes ordinarias</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pues se debe tener en consideración </w:t>
      </w:r>
      <w:r w:rsidRPr="0029329A">
        <w:rPr>
          <w:rFonts w:ascii="Times New Roman" w:hAnsi="Times New Roman" w:cs="Times New Roman"/>
          <w:bCs/>
          <w:sz w:val="28"/>
          <w:szCs w:val="28"/>
        </w:rPr>
        <w:t>“</w:t>
      </w:r>
      <w:r w:rsidRPr="0029329A">
        <w:rPr>
          <w:rFonts w:ascii="Times New Roman" w:hAnsi="Times New Roman" w:cs="Times New Roman"/>
          <w:bCs/>
          <w:sz w:val="28"/>
          <w:szCs w:val="28"/>
        </w:rPr>
        <w:t>la estructura de las leyes de planeación, pero también de las características de su trámite parlamentario (Art. 341 de la CP) y de su jerarquí</w:t>
      </w:r>
      <w:r w:rsidRPr="0029329A">
        <w:rPr>
          <w:rFonts w:ascii="Times New Roman" w:hAnsi="Times New Roman" w:cs="Times New Roman"/>
          <w:bCs/>
          <w:sz w:val="28"/>
          <w:szCs w:val="28"/>
        </w:rPr>
        <w:t>a normativa</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52"/>
      </w:r>
      <w:r w:rsidRPr="0029329A">
        <w:rPr>
          <w:rFonts w:ascii="Times New Roman" w:hAnsi="Times New Roman" w:cs="Times New Roman"/>
          <w:bCs/>
          <w:sz w:val="28"/>
          <w:szCs w:val="28"/>
        </w:rPr>
        <w:t xml:space="preserve">. </w:t>
      </w:r>
    </w:p>
    <w:p w:rsidR="00F52AE5" w:rsidRPr="0029329A" w:rsidRDefault="0029329A" w:rsidP="00585A99">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585A99">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64. </w:t>
      </w:r>
      <w:r w:rsidRPr="0029329A">
        <w:rPr>
          <w:rFonts w:ascii="Times New Roman" w:hAnsi="Times New Roman" w:cs="Times New Roman"/>
          <w:bCs/>
          <w:sz w:val="28"/>
          <w:szCs w:val="28"/>
        </w:rPr>
        <w:t xml:space="preserve">Más adelante, en la sentencia C-493 de 2020, la Corte manifestó que la ley del Plan es de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exclusiva </w:t>
      </w:r>
      <w:r w:rsidRPr="0029329A">
        <w:rPr>
          <w:rFonts w:ascii="Times New Roman" w:hAnsi="Times New Roman" w:cs="Times New Roman"/>
          <w:sz w:val="28"/>
          <w:szCs w:val="28"/>
        </w:rPr>
        <w:t>iniciativa gubernamental y es objeto de una deliberación democrática restringida, en la medida en que su trámite se estructura en apen</w:t>
      </w:r>
      <w:r w:rsidRPr="0029329A">
        <w:rPr>
          <w:rFonts w:ascii="Times New Roman" w:hAnsi="Times New Roman" w:cs="Times New Roman"/>
          <w:sz w:val="28"/>
          <w:szCs w:val="28"/>
        </w:rPr>
        <w:t>as tres debates y el Legislador cuenta únicamente con tres meses para su aprobación</w:t>
      </w:r>
      <w:r w:rsidRPr="0029329A">
        <w:rPr>
          <w:rFonts w:ascii="Times New Roman" w:hAnsi="Times New Roman" w:cs="Times New Roman"/>
          <w:sz w:val="28"/>
          <w:szCs w:val="28"/>
        </w:rPr>
        <w:t>”</w:t>
      </w:r>
      <w:r w:rsidRPr="0029329A">
        <w:rPr>
          <w:rFonts w:ascii="Times New Roman" w:hAnsi="Times New Roman" w:cs="Times New Roman"/>
          <w:bCs/>
          <w:sz w:val="28"/>
          <w:szCs w:val="28"/>
        </w:rPr>
        <w:t xml:space="preserve">. En ese contexto, para esta corporación, </w:t>
      </w:r>
      <w:r w:rsidRPr="0029329A">
        <w:rPr>
          <w:rFonts w:ascii="Times New Roman" w:hAnsi="Times New Roman" w:cs="Times New Roman"/>
          <w:bCs/>
          <w:sz w:val="28"/>
          <w:szCs w:val="28"/>
        </w:rPr>
        <w:t>“</w:t>
      </w:r>
      <w:r w:rsidRPr="0029329A">
        <w:rPr>
          <w:rFonts w:ascii="Times New Roman" w:hAnsi="Times New Roman" w:cs="Times New Roman"/>
          <w:bCs/>
          <w:sz w:val="28"/>
          <w:szCs w:val="28"/>
        </w:rPr>
        <w:t>existen limitaciones a las posibilidades de modificación de su contenido por parte del Congreso. Este solo podrá modificar el Pla</w:t>
      </w:r>
      <w:r w:rsidRPr="0029329A">
        <w:rPr>
          <w:rFonts w:ascii="Times New Roman" w:hAnsi="Times New Roman" w:cs="Times New Roman"/>
          <w:bCs/>
          <w:sz w:val="28"/>
          <w:szCs w:val="28"/>
        </w:rPr>
        <w:t xml:space="preserve">n de Inversiones Públicas siempre y cuando se mantenga el equilibrio financiero. Además, el incremento en las autorizaciones de endeudamiento solicitadas en el proyecto gubernamental o </w:t>
      </w:r>
      <w:r w:rsidRPr="0029329A">
        <w:rPr>
          <w:rFonts w:ascii="Times New Roman" w:hAnsi="Times New Roman" w:cs="Times New Roman"/>
          <w:bCs/>
          <w:sz w:val="28"/>
          <w:szCs w:val="28"/>
        </w:rPr>
        <w:t xml:space="preserve">la </w:t>
      </w:r>
      <w:r w:rsidRPr="0029329A">
        <w:rPr>
          <w:rFonts w:ascii="Times New Roman" w:hAnsi="Times New Roman" w:cs="Times New Roman"/>
          <w:bCs/>
          <w:sz w:val="28"/>
          <w:szCs w:val="28"/>
        </w:rPr>
        <w:t>inclusión de proyectos de inversión no contemplados en él, requerirá</w:t>
      </w:r>
      <w:r w:rsidRPr="0029329A">
        <w:rPr>
          <w:rFonts w:ascii="Times New Roman" w:hAnsi="Times New Roman" w:cs="Times New Roman"/>
          <w:bCs/>
          <w:sz w:val="28"/>
          <w:szCs w:val="28"/>
        </w:rPr>
        <w:t xml:space="preserve"> el visto bueno del Gobierno nacional</w:t>
      </w:r>
      <w:r w:rsidRPr="0029329A">
        <w:rPr>
          <w:rFonts w:ascii="Times New Roman" w:hAnsi="Times New Roman" w:cs="Times New Roman"/>
          <w:sz w:val="28"/>
          <w:szCs w:val="28"/>
          <w:vertAlign w:val="superscript"/>
        </w:rPr>
        <w:footnoteReference w:id="53"/>
      </w:r>
      <w:r w:rsidRPr="0029329A">
        <w:rPr>
          <w:rFonts w:ascii="Times New Roman" w:hAnsi="Times New Roman" w:cs="Times New Roman"/>
          <w:bCs/>
          <w:sz w:val="28"/>
          <w:szCs w:val="28"/>
        </w:rPr>
        <w:t xml:space="preserve">. Desde otro punto de vista, conforme a los artículos </w:t>
      </w:r>
      <w:r w:rsidRPr="0029329A">
        <w:rPr>
          <w:rFonts w:ascii="Times New Roman" w:hAnsi="Times New Roman" w:cs="Times New Roman"/>
          <w:sz w:val="28"/>
          <w:szCs w:val="28"/>
        </w:rPr>
        <w:t>150.3, 339 y 341 inciso tercero de la Constitución, específicamente el plan nacional de inversiones cuenta con prelación, lo cual, si bien no lo convierte en un par</w:t>
      </w:r>
      <w:r w:rsidRPr="0029329A">
        <w:rPr>
          <w:rFonts w:ascii="Times New Roman" w:hAnsi="Times New Roman" w:cs="Times New Roman"/>
          <w:sz w:val="28"/>
          <w:szCs w:val="28"/>
        </w:rPr>
        <w:t>ámetro de constitucionalidad, involucra un estándar de preferencia</w:t>
      </w:r>
      <w:r w:rsidRPr="0029329A">
        <w:rPr>
          <w:rFonts w:ascii="Times New Roman" w:hAnsi="Times New Roman" w:cs="Times New Roman"/>
          <w:sz w:val="28"/>
          <w:szCs w:val="28"/>
          <w:vertAlign w:val="superscript"/>
        </w:rPr>
        <w:footnoteReference w:id="54"/>
      </w:r>
      <w:r w:rsidRPr="0029329A">
        <w:rPr>
          <w:rFonts w:ascii="Times New Roman" w:hAnsi="Times New Roman" w:cs="Times New Roman"/>
          <w:sz w:val="28"/>
          <w:szCs w:val="28"/>
        </w:rPr>
        <w:t>”</w:t>
      </w:r>
      <w:r w:rsidRPr="0029329A">
        <w:rPr>
          <w:rFonts w:ascii="Times New Roman" w:hAnsi="Times New Roman" w:cs="Times New Roman"/>
          <w:sz w:val="28"/>
          <w:szCs w:val="28"/>
          <w:vertAlign w:val="superscript"/>
        </w:rPr>
        <w:footnoteReference w:id="55"/>
      </w:r>
      <w:r w:rsidRPr="0029329A">
        <w:rPr>
          <w:rFonts w:ascii="Times New Roman" w:hAnsi="Times New Roman" w:cs="Times New Roman"/>
          <w:sz w:val="28"/>
          <w:szCs w:val="28"/>
        </w:rPr>
        <w:t>.</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65. </w:t>
      </w:r>
      <w:r w:rsidRPr="0029329A">
        <w:rPr>
          <w:rFonts w:ascii="Times New Roman" w:hAnsi="Times New Roman" w:cs="Times New Roman"/>
          <w:bCs/>
          <w:sz w:val="28"/>
          <w:szCs w:val="28"/>
        </w:rPr>
        <w:t>En</w:t>
      </w:r>
      <w:r w:rsidRPr="0029329A">
        <w:rPr>
          <w:rFonts w:ascii="Times New Roman" w:hAnsi="Times New Roman" w:cs="Times New Roman"/>
          <w:bCs/>
          <w:sz w:val="28"/>
          <w:szCs w:val="28"/>
        </w:rPr>
        <w:t xml:space="preserve"> la sentencia C-493 de 2020, esta corporación reiteró que el análisis del principio de unidad de materia en la ley del </w:t>
      </w:r>
      <w:r w:rsidRPr="0029329A">
        <w:rPr>
          <w:rFonts w:ascii="Times New Roman" w:hAnsi="Times New Roman" w:cs="Times New Roman"/>
          <w:bCs/>
          <w:sz w:val="28"/>
          <w:szCs w:val="28"/>
        </w:rPr>
        <w:t>P</w:t>
      </w:r>
      <w:r w:rsidRPr="0029329A">
        <w:rPr>
          <w:rFonts w:ascii="Times New Roman" w:hAnsi="Times New Roman" w:cs="Times New Roman"/>
          <w:bCs/>
          <w:sz w:val="28"/>
          <w:szCs w:val="28"/>
        </w:rPr>
        <w:t xml:space="preserve">lan </w:t>
      </w:r>
      <w:r w:rsidRPr="0029329A">
        <w:rPr>
          <w:rFonts w:ascii="Times New Roman" w:hAnsi="Times New Roman" w:cs="Times New Roman"/>
          <w:bCs/>
          <w:sz w:val="28"/>
          <w:szCs w:val="28"/>
        </w:rPr>
        <w:t>N</w:t>
      </w:r>
      <w:r w:rsidRPr="0029329A">
        <w:rPr>
          <w:rFonts w:ascii="Times New Roman" w:hAnsi="Times New Roman" w:cs="Times New Roman"/>
          <w:bCs/>
          <w:sz w:val="28"/>
          <w:szCs w:val="28"/>
        </w:rPr>
        <w:t xml:space="preserve">acional de </w:t>
      </w:r>
      <w:r w:rsidRPr="0029329A">
        <w:rPr>
          <w:rFonts w:ascii="Times New Roman" w:hAnsi="Times New Roman" w:cs="Times New Roman"/>
          <w:bCs/>
          <w:sz w:val="28"/>
          <w:szCs w:val="28"/>
        </w:rPr>
        <w:t>D</w:t>
      </w:r>
      <w:r w:rsidRPr="0029329A">
        <w:rPr>
          <w:rFonts w:ascii="Times New Roman" w:hAnsi="Times New Roman" w:cs="Times New Roman"/>
          <w:bCs/>
          <w:sz w:val="28"/>
          <w:szCs w:val="28"/>
        </w:rPr>
        <w:t xml:space="preserve">esarrollo es más estricto y está determinado por tres niveles diferenciados. A saber: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Su sentido y alcance se reconfigura, en tanto comporta la necesidad de una vinculación, únicamente de carácter teleológico, entre las reglas instrumentales y las </w:t>
      </w:r>
      <w:r w:rsidRPr="0029329A">
        <w:rPr>
          <w:rFonts w:ascii="Times New Roman" w:hAnsi="Times New Roman" w:cs="Times New Roman"/>
          <w:bCs/>
          <w:sz w:val="28"/>
          <w:szCs w:val="28"/>
        </w:rPr>
        <w:t>normas generales que contienen las metas del respectivo cuatrienio</w:t>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(ii) </w:t>
      </w:r>
      <w:r w:rsidRPr="0029329A">
        <w:rPr>
          <w:rFonts w:ascii="Times New Roman" w:hAnsi="Times New Roman" w:cs="Times New Roman"/>
          <w:bCs/>
          <w:sz w:val="28"/>
          <w:szCs w:val="28"/>
        </w:rPr>
        <w:t>“</w:t>
      </w:r>
      <w:r w:rsidRPr="0029329A">
        <w:rPr>
          <w:rFonts w:ascii="Times New Roman" w:hAnsi="Times New Roman" w:cs="Times New Roman"/>
          <w:bCs/>
          <w:sz w:val="28"/>
          <w:szCs w:val="28"/>
        </w:rPr>
        <w:t>Esa conexidad es calificada, pues debe ser directa e inmediata</w:t>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(iii) </w:t>
      </w:r>
      <w:r w:rsidRPr="0029329A">
        <w:rPr>
          <w:rFonts w:ascii="Times New Roman" w:hAnsi="Times New Roman" w:cs="Times New Roman"/>
          <w:bCs/>
          <w:sz w:val="28"/>
          <w:szCs w:val="28"/>
        </w:rPr>
        <w:t>“</w:t>
      </w:r>
      <w:r w:rsidRPr="0029329A">
        <w:rPr>
          <w:rFonts w:ascii="Times New Roman" w:hAnsi="Times New Roman" w:cs="Times New Roman"/>
          <w:bCs/>
          <w:sz w:val="28"/>
          <w:szCs w:val="28"/>
        </w:rPr>
        <w:t>Como consecuencia de lo anterior, la Sala Plena ha establecido ciertos casos en los cuales el carácter de a</w:t>
      </w:r>
      <w:r w:rsidRPr="0029329A">
        <w:rPr>
          <w:rFonts w:ascii="Times New Roman" w:hAnsi="Times New Roman" w:cs="Times New Roman"/>
          <w:bCs/>
          <w:sz w:val="28"/>
          <w:szCs w:val="28"/>
        </w:rPr>
        <w:t>lgunas normas impediría, en sí mismo, que estas puedan tener una relación de conexidad con la parte general del plan nacional de desarrollo</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Al respecto, indicó: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“E</w:t>
      </w:r>
      <w:r w:rsidRPr="0029329A">
        <w:rPr>
          <w:rFonts w:ascii="Times New Roman" w:hAnsi="Times New Roman" w:cs="Times New Roman"/>
          <w:bCs/>
          <w:sz w:val="28"/>
          <w:szCs w:val="28"/>
        </w:rPr>
        <w:t>n primer lugar, la unidad de materia no se exige respecto de los diferentes objetivos, me</w:t>
      </w:r>
      <w:r w:rsidRPr="0029329A">
        <w:rPr>
          <w:rFonts w:ascii="Times New Roman" w:hAnsi="Times New Roman" w:cs="Times New Roman"/>
          <w:bCs/>
          <w:sz w:val="28"/>
          <w:szCs w:val="28"/>
        </w:rPr>
        <w:t xml:space="preserve">tas, estrategias y políticas enunciadas en la parte general de los planes de desarrollo. Solamente en relación con las disposiciones de carácter presupuestal y de aquellas otras en las que se señalan medidas para la ejecución del plan, incluso de carácter </w:t>
      </w:r>
      <w:r w:rsidRPr="0029329A">
        <w:rPr>
          <w:rFonts w:ascii="Times New Roman" w:hAnsi="Times New Roman" w:cs="Times New Roman"/>
          <w:bCs/>
          <w:sz w:val="28"/>
          <w:szCs w:val="28"/>
        </w:rPr>
        <w:t>normativo.</w:t>
      </w:r>
      <w:r w:rsidRPr="0029329A">
        <w:rPr>
          <w:rFonts w:ascii="Times New Roman" w:hAnsi="Times New Roman" w:cs="Times New Roman"/>
          <w:bCs/>
          <w:sz w:val="28"/>
          <w:szCs w:val="28"/>
          <w:vertAlign w:val="superscript"/>
        </w:rPr>
        <w:footnoteReference w:id="56"/>
      </w:r>
      <w:r w:rsidRPr="0029329A">
        <w:rPr>
          <w:rFonts w:ascii="Times New Roman" w:hAnsi="Times New Roman" w:cs="Times New Roman"/>
          <w:bCs/>
          <w:sz w:val="28"/>
          <w:szCs w:val="28"/>
        </w:rPr>
        <w:t xml:space="preserve"> Por lo tanto, para que una norma supere el principio de unidad de materia debe tener carácter instrumental (de medio a fin) con las metas previstas en la parte general del respectivo plan de desarrollo.</w:t>
      </w:r>
      <w:r w:rsidRPr="0029329A">
        <w:rPr>
          <w:rFonts w:ascii="Times New Roman" w:hAnsi="Times New Roman" w:cs="Times New Roman"/>
          <w:bCs/>
          <w:sz w:val="28"/>
          <w:szCs w:val="28"/>
          <w:vertAlign w:val="superscript"/>
        </w:rPr>
        <w:footnoteReference w:id="57"/>
      </w:r>
      <w:r w:rsidRPr="0029329A">
        <w:rPr>
          <w:rFonts w:ascii="Times New Roman" w:hAnsi="Times New Roman" w:cs="Times New Roman"/>
          <w:bCs/>
          <w:sz w:val="28"/>
          <w:szCs w:val="28"/>
        </w:rPr>
        <w:t xml:space="preserve"> </w:t>
      </w:r>
      <w:r w:rsidRPr="0029329A">
        <w:rPr>
          <w:rFonts w:ascii="Times New Roman" w:hAnsi="Times New Roman" w:cs="Times New Roman"/>
          <w:sz w:val="28"/>
          <w:szCs w:val="28"/>
        </w:rPr>
        <w:t>Esta exigencia se funda esencialmente en</w:t>
      </w:r>
      <w:r w:rsidRPr="0029329A">
        <w:rPr>
          <w:rFonts w:ascii="Times New Roman" w:hAnsi="Times New Roman" w:cs="Times New Roman"/>
          <w:sz w:val="28"/>
          <w:szCs w:val="28"/>
        </w:rPr>
        <w:t xml:space="preserve"> el denominado principio de coherencia acogido en la Ley Orgánica 152 de 1994, según el cual, “</w:t>
      </w:r>
      <w:r w:rsidRPr="0029329A">
        <w:rPr>
          <w:rFonts w:ascii="Times New Roman" w:hAnsi="Times New Roman" w:cs="Times New Roman"/>
          <w:i/>
          <w:sz w:val="28"/>
          <w:szCs w:val="28"/>
        </w:rPr>
        <w:t>los programas y proyectos del plan de desarrollo deben tener una relación efectiva con las estrategias y objetivos establecidos en éste (art. 3. Literal m</w:t>
      </w:r>
      <w:r w:rsidRPr="0029329A">
        <w:rPr>
          <w:rFonts w:ascii="Times New Roman" w:hAnsi="Times New Roman" w:cs="Times New Roman"/>
          <w:sz w:val="28"/>
          <w:szCs w:val="28"/>
        </w:rPr>
        <w:t>).</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58"/>
      </w:r>
    </w:p>
    <w:p w:rsidR="00F52AE5"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p>
    <w:p w:rsidR="00F50827" w:rsidRPr="0029329A" w:rsidRDefault="0029329A" w:rsidP="00F50827">
      <w:pPr>
        <w:overflowPunct w:val="0"/>
        <w:autoSpaceDE w:val="0"/>
        <w:autoSpaceDN w:val="0"/>
        <w:adjustRightInd w:val="0"/>
        <w:spacing w:after="0" w:line="360" w:lineRule="atLeast"/>
        <w:ind w:left="567" w:right="567"/>
        <w:jc w:val="both"/>
        <w:textAlignment w:val="baseline"/>
        <w:rPr>
          <w:rFonts w:ascii="Times New Roman" w:hAnsi="Times New Roman" w:cs="Times New Roman"/>
          <w:sz w:val="28"/>
          <w:szCs w:val="28"/>
        </w:rPr>
      </w:pPr>
      <w:r w:rsidRPr="0029329A">
        <w:rPr>
          <w:rFonts w:ascii="Times New Roman" w:hAnsi="Times New Roman" w:cs="Times New Roman"/>
          <w:bCs/>
          <w:sz w:val="28"/>
          <w:szCs w:val="28"/>
        </w:rPr>
        <w:t>E</w:t>
      </w:r>
      <w:r w:rsidRPr="0029329A">
        <w:rPr>
          <w:rFonts w:ascii="Times New Roman" w:hAnsi="Times New Roman" w:cs="Times New Roman"/>
          <w:bCs/>
          <w:sz w:val="28"/>
          <w:szCs w:val="28"/>
        </w:rPr>
        <w:t>n segundo lugar, la relación de conexidad instrumental debe ser directa e inmediata.</w:t>
      </w:r>
      <w:r w:rsidRPr="0029329A">
        <w:rPr>
          <w:rFonts w:ascii="Times New Roman" w:hAnsi="Times New Roman" w:cs="Times New Roman"/>
          <w:bCs/>
          <w:sz w:val="28"/>
          <w:szCs w:val="28"/>
          <w:vertAlign w:val="superscript"/>
        </w:rPr>
        <w:footnoteReference w:id="59"/>
      </w:r>
      <w:r w:rsidRPr="0029329A">
        <w:rPr>
          <w:rFonts w:ascii="Times New Roman" w:hAnsi="Times New Roman" w:cs="Times New Roman"/>
          <w:bCs/>
          <w:sz w:val="28"/>
          <w:szCs w:val="28"/>
        </w:rPr>
        <w:t xml:space="preserve"> Las disposiciones presupuestales o ejecutivas deben ser idóneas para garantizar la efectiva realización, ejecución o cumplimiento de una meta, un objetivo o una estrategi</w:t>
      </w:r>
      <w:r w:rsidRPr="0029329A">
        <w:rPr>
          <w:rFonts w:ascii="Times New Roman" w:hAnsi="Times New Roman" w:cs="Times New Roman"/>
          <w:bCs/>
          <w:sz w:val="28"/>
          <w:szCs w:val="28"/>
        </w:rPr>
        <w:t>a de la parte general del plan de desarrollo. En otros términos, las reglas instrumentales deben estar inequívoca y específicamente dirigidas a materializar un contenido concreto de esa parte general. La Corte ha explicado que la conexión de un precepto de</w:t>
      </w:r>
      <w:r w:rsidRPr="0029329A">
        <w:rPr>
          <w:rFonts w:ascii="Times New Roman" w:hAnsi="Times New Roman" w:cs="Times New Roman"/>
          <w:bCs/>
          <w:sz w:val="28"/>
          <w:szCs w:val="28"/>
        </w:rPr>
        <w:t xml:space="preserve"> ejecución no es directa ni inmediata en aquellos supuestos en los cuales, a partir de su aplicación</w:t>
      </w:r>
      <w:r w:rsidRPr="0029329A">
        <w:rPr>
          <w:rFonts w:ascii="Times New Roman" w:hAnsi="Times New Roman" w:cs="Times New Roman"/>
          <w:sz w:val="28"/>
          <w:szCs w:val="28"/>
        </w:rPr>
        <w:t>, no puede obtenerse inequívocamente los objetivos o metas del plan o el logro de estos es sólo hipotético, eventual o remoto.</w:t>
      </w:r>
      <w:r w:rsidRPr="0029329A">
        <w:rPr>
          <w:rFonts w:ascii="Times New Roman" w:hAnsi="Times New Roman" w:cs="Times New Roman"/>
          <w:sz w:val="28"/>
          <w:szCs w:val="28"/>
          <w:vertAlign w:val="superscript"/>
        </w:rPr>
        <w:footnoteReference w:id="60"/>
      </w:r>
      <w:r w:rsidRPr="0029329A">
        <w:rPr>
          <w:rFonts w:ascii="Times New Roman" w:hAnsi="Times New Roman" w:cs="Times New Roman"/>
          <w:sz w:val="28"/>
          <w:szCs w:val="28"/>
        </w:rPr>
        <w:t xml:space="preserve"> </w:t>
      </w:r>
    </w:p>
    <w:p w:rsidR="00F50827" w:rsidRPr="0029329A" w:rsidRDefault="0029329A" w:rsidP="00F50827">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p>
    <w:p w:rsidR="00F52AE5"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r w:rsidRPr="0029329A">
        <w:rPr>
          <w:rFonts w:ascii="Times New Roman" w:hAnsi="Times New Roman" w:cs="Times New Roman"/>
          <w:sz w:val="28"/>
          <w:szCs w:val="28"/>
        </w:rPr>
        <w:t xml:space="preserve">En el mismo sentido, ha </w:t>
      </w:r>
      <w:r w:rsidRPr="0029329A">
        <w:rPr>
          <w:rFonts w:ascii="Times New Roman" w:hAnsi="Times New Roman" w:cs="Times New Roman"/>
          <w:sz w:val="28"/>
          <w:szCs w:val="28"/>
        </w:rPr>
        <w:t>señalado que una disposición instrumental guarda una relación meramente mediata o indirecta con el objetivo o meta cuando la efectividad de estos no se sigue directamente de la ejecución de aquella, sino que requiere de una u otras condiciones adicionales.</w:t>
      </w:r>
      <w:r w:rsidRPr="0029329A">
        <w:rPr>
          <w:rFonts w:ascii="Times New Roman" w:hAnsi="Times New Roman" w:cs="Times New Roman"/>
          <w:sz w:val="28"/>
          <w:szCs w:val="28"/>
          <w:vertAlign w:val="superscript"/>
        </w:rPr>
        <w:footnoteReference w:id="61"/>
      </w:r>
      <w:r w:rsidRPr="0029329A">
        <w:rPr>
          <w:rFonts w:ascii="Times New Roman" w:hAnsi="Times New Roman" w:cs="Times New Roman"/>
          <w:sz w:val="28"/>
          <w:szCs w:val="28"/>
        </w:rPr>
        <w:t xml:space="preserve"> En suma, si la regla instrumental no fue concebida y diseñada como un medio específico que, con probabilidad, pueda eficazmente garantizar la materialización de un contenido de la parte general, aquella no supera el juicio de unidad de materia. </w:t>
      </w:r>
    </w:p>
    <w:p w:rsidR="0094384A"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sz w:val="28"/>
          <w:szCs w:val="28"/>
          <w:lang w:val="es-ES_tradnl"/>
        </w:rPr>
      </w:pPr>
    </w:p>
    <w:p w:rsidR="00F52AE5"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Por últ</w:t>
      </w:r>
      <w:r w:rsidRPr="0029329A">
        <w:rPr>
          <w:rFonts w:ascii="Times New Roman" w:hAnsi="Times New Roman" w:cs="Times New Roman"/>
          <w:bCs/>
          <w:sz w:val="28"/>
          <w:szCs w:val="28"/>
        </w:rPr>
        <w:t>imo, la jurisprudencia constitucional</w:t>
      </w:r>
      <w:r w:rsidRPr="0029329A">
        <w:rPr>
          <w:rStyle w:val="Refdenotaalpie"/>
          <w:rFonts w:ascii="Times New Roman" w:hAnsi="Times New Roman"/>
          <w:bCs/>
          <w:sz w:val="28"/>
          <w:szCs w:val="28"/>
          <w:vertAlign w:val="superscript"/>
        </w:rPr>
        <w:footnoteReference w:id="62"/>
      </w:r>
      <w:r w:rsidRPr="0029329A">
        <w:rPr>
          <w:rFonts w:ascii="Times New Roman" w:hAnsi="Times New Roman" w:cs="Times New Roman"/>
          <w:bCs/>
          <w:sz w:val="28"/>
          <w:szCs w:val="28"/>
          <w:vertAlign w:val="superscript"/>
        </w:rPr>
        <w:t xml:space="preserve"> </w:t>
      </w:r>
      <w:r w:rsidRPr="0029329A">
        <w:rPr>
          <w:rFonts w:ascii="Times New Roman" w:hAnsi="Times New Roman" w:cs="Times New Roman"/>
          <w:bCs/>
          <w:sz w:val="28"/>
          <w:szCs w:val="28"/>
        </w:rPr>
        <w:t xml:space="preserve">ha construido algunos criterios, relacionados con el carácter de ciertas normas, que conduciría a negar su conexidad directa y específica, concretamente con la parte general del plan.  De esta manera, ha señalado que </w:t>
      </w:r>
      <w:r w:rsidRPr="0029329A">
        <w:rPr>
          <w:rFonts w:ascii="Times New Roman" w:hAnsi="Times New Roman" w:cs="Times New Roman"/>
          <w:bCs/>
          <w:sz w:val="28"/>
          <w:szCs w:val="28"/>
        </w:rPr>
        <w:t>(i) las leyes de los planes de desarrollo no pueden ser empleadas para llenar vacíos e inconsistencias de regulaciones precedentes.</w:t>
      </w:r>
      <w:r w:rsidRPr="0029329A">
        <w:rPr>
          <w:rFonts w:ascii="Times New Roman" w:hAnsi="Times New Roman" w:cs="Times New Roman"/>
          <w:bCs/>
          <w:sz w:val="28"/>
          <w:szCs w:val="28"/>
          <w:vertAlign w:val="superscript"/>
        </w:rPr>
        <w:footnoteReference w:id="63"/>
      </w:r>
      <w:r w:rsidRPr="0029329A">
        <w:rPr>
          <w:rFonts w:ascii="Times New Roman" w:hAnsi="Times New Roman" w:cs="Times New Roman"/>
          <w:bCs/>
          <w:sz w:val="28"/>
          <w:szCs w:val="28"/>
        </w:rPr>
        <w:t xml:space="preserve"> Esto mostraría, en efecto, que la intención del Gobierno no fue materializar una meta del cuatrienio sino corregir un probl</w:t>
      </w:r>
      <w:r w:rsidRPr="0029329A">
        <w:rPr>
          <w:rFonts w:ascii="Times New Roman" w:hAnsi="Times New Roman" w:cs="Times New Roman"/>
          <w:bCs/>
          <w:sz w:val="28"/>
          <w:szCs w:val="28"/>
        </w:rPr>
        <w:t xml:space="preserve">ema normativo de legislación preexistente. Así mismo, ha considerado que (ii) los planes de desarrollo no pueden incorporar </w:t>
      </w:r>
      <w:r w:rsidRPr="0029329A">
        <w:rPr>
          <w:rFonts w:ascii="Times New Roman" w:hAnsi="Times New Roman" w:cs="Times New Roman"/>
          <w:sz w:val="28"/>
          <w:szCs w:val="28"/>
          <w:lang w:val="es-ES_tradnl"/>
        </w:rPr>
        <w:t>normas de contenido sancionatorio, salvo que, además de estar directamente y específicamente vinculadas con un objetivo o meta del p</w:t>
      </w:r>
      <w:r w:rsidRPr="0029329A">
        <w:rPr>
          <w:rFonts w:ascii="Times New Roman" w:hAnsi="Times New Roman" w:cs="Times New Roman"/>
          <w:sz w:val="28"/>
          <w:szCs w:val="28"/>
          <w:lang w:val="es-ES_tradnl"/>
        </w:rPr>
        <w:t>lan, se compruebe que, de forma estricta, se cumple el principio de legalidad, en todas sus facetas, de las normas de ese carácter</w:t>
      </w:r>
      <w:r w:rsidRPr="0029329A">
        <w:rPr>
          <w:rFonts w:ascii="Times New Roman" w:hAnsi="Times New Roman" w:cs="Times New Roman"/>
          <w:sz w:val="28"/>
          <w:szCs w:val="28"/>
          <w:vertAlign w:val="superscript"/>
          <w:lang w:val="es-ES_tradnl"/>
        </w:rPr>
        <w:footnoteReference w:id="64"/>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vertAlign w:val="superscript"/>
          <w:lang w:val="es-ES_tradnl"/>
        </w:rPr>
        <w:footnoteReference w:id="65"/>
      </w:r>
      <w:r w:rsidRPr="0029329A">
        <w:rPr>
          <w:rFonts w:ascii="Times New Roman" w:hAnsi="Times New Roman" w:cs="Times New Roman"/>
          <w:sz w:val="28"/>
          <w:szCs w:val="28"/>
          <w:lang w:val="es-ES_tradnl"/>
        </w:rPr>
        <w:t xml:space="preserve">. </w:t>
      </w:r>
      <w:r w:rsidRPr="0029329A">
        <w:rPr>
          <w:rFonts w:ascii="Times New Roman" w:hAnsi="Times New Roman" w:cs="Times New Roman"/>
          <w:bCs/>
          <w:sz w:val="28"/>
          <w:szCs w:val="28"/>
        </w:rPr>
        <w:t xml:space="preserve"> </w:t>
      </w:r>
    </w:p>
    <w:p w:rsidR="00F52AE5" w:rsidRPr="0029329A" w:rsidRDefault="0029329A" w:rsidP="00DA133F">
      <w:pPr>
        <w:overflowPunct w:val="0"/>
        <w:autoSpaceDE w:val="0"/>
        <w:autoSpaceDN w:val="0"/>
        <w:adjustRightInd w:val="0"/>
        <w:spacing w:after="0" w:line="360" w:lineRule="atLeast"/>
        <w:ind w:left="567" w:right="567"/>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6</w:t>
      </w:r>
      <w:r w:rsidRPr="0029329A">
        <w:rPr>
          <w:rFonts w:ascii="Times New Roman" w:hAnsi="Times New Roman" w:cs="Times New Roman"/>
          <w:bCs/>
          <w:sz w:val="28"/>
          <w:szCs w:val="28"/>
        </w:rPr>
        <w:t>6</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Adicional a los criterios anteriormente citados, en la sentencia C-493 de 2020, la Corte realizó un recuento juris</w:t>
      </w:r>
      <w:r w:rsidRPr="0029329A">
        <w:rPr>
          <w:rFonts w:ascii="Times New Roman" w:hAnsi="Times New Roman" w:cs="Times New Roman"/>
          <w:bCs/>
          <w:sz w:val="28"/>
          <w:szCs w:val="28"/>
        </w:rPr>
        <w:t xml:space="preserve">prudencial para recordar algunas subreglas de decisión, relacionadas con normas que </w:t>
      </w:r>
      <w:r w:rsidRPr="0029329A">
        <w:rPr>
          <w:rFonts w:ascii="Times New Roman" w:hAnsi="Times New Roman" w:cs="Times New Roman"/>
          <w:bCs/>
          <w:sz w:val="28"/>
          <w:szCs w:val="28"/>
        </w:rPr>
        <w:t>“</w:t>
      </w:r>
      <w:r w:rsidRPr="0029329A">
        <w:rPr>
          <w:rFonts w:ascii="Times New Roman" w:hAnsi="Times New Roman" w:cs="Times New Roman"/>
          <w:bCs/>
          <w:sz w:val="28"/>
          <w:szCs w:val="28"/>
        </w:rPr>
        <w:t>modifican legislación permanente o tienen dicho carácter y con regulaciones de carácter tributario</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A saber: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DA133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67</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 xml:space="preserve">En primer lugar, reiteró que, en la sentencia C-126 de 2020, la Corte señaló </w:t>
      </w:r>
      <w:r w:rsidRPr="0029329A">
        <w:rPr>
          <w:rFonts w:ascii="Times New Roman" w:hAnsi="Times New Roman" w:cs="Times New Roman"/>
          <w:bCs/>
          <w:sz w:val="28"/>
          <w:szCs w:val="28"/>
        </w:rPr>
        <w:t>“</w:t>
      </w:r>
      <w:r w:rsidRPr="0029329A">
        <w:rPr>
          <w:rFonts w:ascii="Times New Roman" w:hAnsi="Times New Roman" w:cs="Times New Roman"/>
          <w:bCs/>
          <w:sz w:val="28"/>
          <w:szCs w:val="28"/>
        </w:rPr>
        <w:t>que la ley del plan nacional de desarrollo tiene la finalidad de cumplir los objetivos que el gobierno en funciones desea promover, por lo cual su vigencia es temporal</w:t>
      </w:r>
      <w:r w:rsidRPr="0029329A">
        <w:rPr>
          <w:rFonts w:ascii="Times New Roman" w:hAnsi="Times New Roman" w:cs="Times New Roman"/>
          <w:bCs/>
          <w:sz w:val="28"/>
          <w:szCs w:val="28"/>
        </w:rPr>
        <w:t>”</w:t>
      </w:r>
      <w:r w:rsidRPr="0029329A">
        <w:rPr>
          <w:rFonts w:ascii="Times New Roman" w:hAnsi="Times New Roman" w:cs="Times New Roman"/>
          <w:bCs/>
          <w:sz w:val="28"/>
          <w:szCs w:val="28"/>
        </w:rPr>
        <w:t>. En esa m</w:t>
      </w:r>
      <w:r w:rsidRPr="0029329A">
        <w:rPr>
          <w:rFonts w:ascii="Times New Roman" w:hAnsi="Times New Roman" w:cs="Times New Roman"/>
          <w:bCs/>
          <w:sz w:val="28"/>
          <w:szCs w:val="28"/>
        </w:rPr>
        <w:t xml:space="preserve">edida, </w:t>
      </w:r>
      <w:r w:rsidRPr="0029329A">
        <w:rPr>
          <w:rFonts w:ascii="Times New Roman" w:hAnsi="Times New Roman" w:cs="Times New Roman"/>
          <w:bCs/>
          <w:sz w:val="28"/>
          <w:szCs w:val="28"/>
        </w:rPr>
        <w:t>“</w:t>
      </w:r>
      <w:r w:rsidRPr="0029329A">
        <w:rPr>
          <w:rFonts w:ascii="Times New Roman" w:hAnsi="Times New Roman" w:cs="Times New Roman"/>
          <w:bCs/>
          <w:sz w:val="28"/>
          <w:szCs w:val="28"/>
        </w:rPr>
        <w:t>debido a su propia naturaleza</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la ley del plan </w:t>
      </w:r>
      <w:r w:rsidRPr="0029329A">
        <w:rPr>
          <w:rFonts w:ascii="Times New Roman" w:hAnsi="Times New Roman" w:cs="Times New Roman"/>
          <w:bCs/>
          <w:sz w:val="28"/>
          <w:szCs w:val="28"/>
        </w:rPr>
        <w:t>“</w:t>
      </w:r>
      <w:r w:rsidRPr="0029329A">
        <w:rPr>
          <w:rFonts w:ascii="Times New Roman" w:hAnsi="Times New Roman" w:cs="Times New Roman"/>
          <w:bCs/>
          <w:sz w:val="28"/>
          <w:szCs w:val="28"/>
        </w:rPr>
        <w:t>no cuenta en general con la aptitud de modificar contenidos propios de leyes que se expiden con fundamento en otras facultades de las que también dispone el legislador en virtud del artículo 150 de la</w:t>
      </w:r>
      <w:r w:rsidRPr="0029329A">
        <w:rPr>
          <w:rFonts w:ascii="Times New Roman" w:hAnsi="Times New Roman" w:cs="Times New Roman"/>
          <w:bCs/>
          <w:sz w:val="28"/>
          <w:szCs w:val="28"/>
        </w:rPr>
        <w:t xml:space="preserve"> Constitución</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toda vez que las medidas normativas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deben tener la misión de </w:t>
      </w:r>
      <w:r w:rsidRPr="0029329A">
        <w:rPr>
          <w:rFonts w:ascii="Times New Roman" w:hAnsi="Times New Roman" w:cs="Times New Roman"/>
          <w:bCs/>
          <w:i/>
          <w:sz w:val="28"/>
          <w:szCs w:val="28"/>
        </w:rPr>
        <w:t>impulsar</w:t>
      </w:r>
      <w:r w:rsidRPr="0029329A">
        <w:rPr>
          <w:rFonts w:ascii="Times New Roman" w:hAnsi="Times New Roman" w:cs="Times New Roman"/>
          <w:bCs/>
          <w:sz w:val="28"/>
          <w:szCs w:val="28"/>
        </w:rPr>
        <w:t xml:space="preserve"> el cumplimiento de los fines del plan de desarrollo, pues de otro modo se afecta el principio democrático que rodea el trámite de la legislación ordinaria</w:t>
      </w:r>
      <w:r w:rsidRPr="0029329A">
        <w:rPr>
          <w:rFonts w:ascii="Times New Roman" w:hAnsi="Times New Roman" w:cs="Times New Roman"/>
          <w:bCs/>
          <w:sz w:val="28"/>
          <w:szCs w:val="28"/>
          <w:vertAlign w:val="superscript"/>
        </w:rPr>
        <w:footnoteReference w:id="66"/>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67"/>
      </w:r>
      <w:r w:rsidRPr="0029329A">
        <w:rPr>
          <w:rFonts w:ascii="Times New Roman" w:hAnsi="Times New Roman" w:cs="Times New Roman"/>
          <w:bCs/>
          <w:sz w:val="28"/>
          <w:szCs w:val="28"/>
        </w:rPr>
        <w:t xml:space="preserve">.  </w:t>
      </w:r>
    </w:p>
    <w:p w:rsidR="00DA133F"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68. </w:t>
      </w:r>
      <w:r w:rsidRPr="0029329A">
        <w:rPr>
          <w:rFonts w:ascii="Times New Roman" w:hAnsi="Times New Roman" w:cs="Times New Roman"/>
          <w:bCs/>
          <w:sz w:val="28"/>
          <w:szCs w:val="28"/>
        </w:rPr>
        <w:t>En s</w:t>
      </w:r>
      <w:r w:rsidRPr="0029329A">
        <w:rPr>
          <w:rFonts w:ascii="Times New Roman" w:hAnsi="Times New Roman" w:cs="Times New Roman"/>
          <w:bCs/>
          <w:sz w:val="28"/>
          <w:szCs w:val="28"/>
        </w:rPr>
        <w:t xml:space="preserve">egundo lugar, advirtió que, en la sentencia C-415 de 2020, la Corte indicó que: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 La temporalidad de la ley del plan </w:t>
      </w:r>
      <w:r w:rsidRPr="0029329A">
        <w:rPr>
          <w:rFonts w:ascii="Times New Roman" w:hAnsi="Times New Roman" w:cs="Times New Roman"/>
          <w:bCs/>
          <w:sz w:val="28"/>
          <w:szCs w:val="28"/>
        </w:rPr>
        <w:t>“</w:t>
      </w:r>
      <w:r w:rsidRPr="0029329A">
        <w:rPr>
          <w:rFonts w:ascii="Times New Roman" w:hAnsi="Times New Roman" w:cs="Times New Roman"/>
          <w:bCs/>
          <w:sz w:val="28"/>
          <w:szCs w:val="28"/>
        </w:rPr>
        <w:t>no debe interpretarse de manera absoluta, pero la prórroga indefinida de disposiciones plasmadas en los diversos planes nacionales de</w:t>
      </w:r>
      <w:r w:rsidRPr="0029329A">
        <w:rPr>
          <w:rFonts w:ascii="Times New Roman" w:hAnsi="Times New Roman" w:cs="Times New Roman"/>
          <w:bCs/>
          <w:sz w:val="28"/>
          <w:szCs w:val="28"/>
        </w:rPr>
        <w:t xml:space="preserve"> desarrollo o el hecho de comprometer competencias legislativas ordinarias puede llevar a su inexequibilidad</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A su vez, en esa oportunidad, la Sala determinó que el Gobierno </w:t>
      </w:r>
      <w:r w:rsidRPr="0029329A">
        <w:rPr>
          <w:rFonts w:ascii="Times New Roman" w:hAnsi="Times New Roman" w:cs="Times New Roman"/>
          <w:bCs/>
          <w:sz w:val="28"/>
          <w:szCs w:val="28"/>
        </w:rPr>
        <w:t>“</w:t>
      </w:r>
      <w:r w:rsidRPr="0029329A">
        <w:rPr>
          <w:rFonts w:ascii="Times New Roman" w:hAnsi="Times New Roman" w:cs="Times New Roman"/>
          <w:bCs/>
          <w:sz w:val="28"/>
          <w:szCs w:val="28"/>
        </w:rPr>
        <w:t>tiene la carga de justificar en estos casos que la norma en cuestión: (i) es una</w:t>
      </w:r>
      <w:r w:rsidRPr="0029329A">
        <w:rPr>
          <w:rFonts w:ascii="Times New Roman" w:hAnsi="Times New Roman" w:cs="Times New Roman"/>
          <w:bCs/>
          <w:sz w:val="28"/>
          <w:szCs w:val="28"/>
        </w:rPr>
        <w:t xml:space="preserve"> expresión de la función de planeación; (ii) favorece la consecución de los objetivos, naturaleza y espíritu de la ley del plan; y (iii) constituye un mecanismo para la ejecución del plan nacional de inversiones o una medida necesaria para impulsar el cump</w:t>
      </w:r>
      <w:r w:rsidRPr="0029329A">
        <w:rPr>
          <w:rFonts w:ascii="Times New Roman" w:hAnsi="Times New Roman" w:cs="Times New Roman"/>
          <w:bCs/>
          <w:sz w:val="28"/>
          <w:szCs w:val="28"/>
        </w:rPr>
        <w:t>limiento del Plan de Desarrollo</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68"/>
      </w:r>
      <w:r w:rsidRPr="0029329A">
        <w:rPr>
          <w:rFonts w:ascii="Times New Roman" w:hAnsi="Times New Roman" w:cs="Times New Roman"/>
          <w:bCs/>
          <w:sz w:val="28"/>
          <w:szCs w:val="28"/>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(ii) La ley del plan no puede ser empleada para </w:t>
      </w:r>
      <w:r w:rsidRPr="0029329A">
        <w:rPr>
          <w:rFonts w:ascii="Times New Roman" w:hAnsi="Times New Roman" w:cs="Times New Roman"/>
          <w:bCs/>
          <w:sz w:val="28"/>
          <w:szCs w:val="28"/>
        </w:rPr>
        <w:t>“</w:t>
      </w:r>
      <w:r w:rsidRPr="0029329A">
        <w:rPr>
          <w:rFonts w:ascii="Times New Roman" w:hAnsi="Times New Roman" w:cs="Times New Roman"/>
          <w:bCs/>
          <w:sz w:val="28"/>
          <w:szCs w:val="28"/>
        </w:rPr>
        <w:t>llenar vacíos e inconsistencias de otro tipo de disposiciones. Por la misma razón, tampoco “</w:t>
      </w:r>
      <w:r w:rsidRPr="0029329A">
        <w:rPr>
          <w:rFonts w:ascii="Times New Roman" w:hAnsi="Times New Roman" w:cs="Times New Roman"/>
          <w:bCs/>
          <w:i/>
          <w:sz w:val="28"/>
          <w:szCs w:val="28"/>
        </w:rPr>
        <w:t>puede contener cualquier tipología de normatividad legal, ni convertirse en u</w:t>
      </w:r>
      <w:r w:rsidRPr="0029329A">
        <w:rPr>
          <w:rFonts w:ascii="Times New Roman" w:hAnsi="Times New Roman" w:cs="Times New Roman"/>
          <w:bCs/>
          <w:i/>
          <w:sz w:val="28"/>
          <w:szCs w:val="28"/>
        </w:rPr>
        <w:t>na colcha de retazos que lleve a un limbo normativo, pues, de no hacerse esta distinción cualquier medida de política económica tendría siempre relación –así fuera remota- con el PND</w:t>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pues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el diseño de políticas ordinarias de largo aliento exige acudir </w:t>
      </w:r>
      <w:r w:rsidRPr="0029329A">
        <w:rPr>
          <w:rFonts w:ascii="Times New Roman" w:hAnsi="Times New Roman" w:cs="Times New Roman"/>
          <w:bCs/>
          <w:sz w:val="28"/>
          <w:szCs w:val="28"/>
        </w:rPr>
        <w:t>a la agenda legislativa del Gobierno y su consiguiente propuesta e impulso ante el Congreso de la República, en respeto del principio democrático</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69"/>
      </w:r>
      <w:r w:rsidRPr="0029329A">
        <w:rPr>
          <w:rFonts w:ascii="Times New Roman" w:hAnsi="Times New Roman" w:cs="Times New Roman"/>
          <w:bCs/>
          <w:sz w:val="28"/>
          <w:szCs w:val="28"/>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 xml:space="preserve">(iii) Las normas sobre vigencia y derogatorias contenidas en las leyes aprobatorias de planes nacionales </w:t>
      </w:r>
      <w:r w:rsidRPr="0029329A">
        <w:rPr>
          <w:rFonts w:ascii="Times New Roman" w:hAnsi="Times New Roman" w:cs="Times New Roman"/>
          <w:bCs/>
          <w:sz w:val="28"/>
          <w:szCs w:val="28"/>
        </w:rPr>
        <w:t xml:space="preserve">de desarrollo deben </w:t>
      </w:r>
      <w:r w:rsidRPr="0029329A">
        <w:rPr>
          <w:rFonts w:ascii="Times New Roman" w:hAnsi="Times New Roman" w:cs="Times New Roman"/>
          <w:bCs/>
          <w:sz w:val="28"/>
          <w:szCs w:val="28"/>
        </w:rPr>
        <w:t>“</w:t>
      </w:r>
      <w:r w:rsidRPr="0029329A">
        <w:rPr>
          <w:rFonts w:ascii="Times New Roman" w:hAnsi="Times New Roman" w:cs="Times New Roman"/>
          <w:bCs/>
          <w:sz w:val="28"/>
          <w:szCs w:val="28"/>
        </w:rPr>
        <w:t>respetar la legislación permanente ordinaria y hacerse congruente con la temporalidad de la ley del plan</w:t>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(iv) Es necesario que en cada normatividad legal que se afecte deb</w:t>
      </w:r>
      <w:r w:rsidRPr="0029329A">
        <w:rPr>
          <w:rFonts w:ascii="Times New Roman" w:hAnsi="Times New Roman" w:cs="Times New Roman"/>
          <w:bCs/>
          <w:sz w:val="28"/>
          <w:szCs w:val="28"/>
        </w:rPr>
        <w:t>a</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existir una carga de argumentación suficiente acerca de </w:t>
      </w:r>
      <w:r w:rsidRPr="0029329A">
        <w:rPr>
          <w:rFonts w:ascii="Times New Roman" w:hAnsi="Times New Roman" w:cs="Times New Roman"/>
          <w:bCs/>
          <w:sz w:val="28"/>
          <w:szCs w:val="28"/>
        </w:rPr>
        <w:t>por qué es necesario e imprescindible su modificación de cara a los objetivos generales del Plan Nacional de Desarrollo y a sus bases. Indicó que tampoco deben crearse instituciones u organismos con vocación de permanencia</w:t>
      </w:r>
      <w:r w:rsidRPr="0029329A">
        <w:rPr>
          <w:rFonts w:ascii="Times New Roman" w:hAnsi="Times New Roman" w:cs="Times New Roman"/>
          <w:bCs/>
          <w:sz w:val="28"/>
          <w:szCs w:val="28"/>
          <w:vertAlign w:val="superscript"/>
        </w:rPr>
        <w:footnoteReference w:id="70"/>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71"/>
      </w:r>
      <w:r w:rsidRPr="0029329A">
        <w:rPr>
          <w:rFonts w:ascii="Times New Roman" w:hAnsi="Times New Roman" w:cs="Times New Roman"/>
          <w:bCs/>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69</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En tercer lugar, hizo re</w:t>
      </w:r>
      <w:r w:rsidRPr="0029329A">
        <w:rPr>
          <w:rFonts w:ascii="Times New Roman" w:hAnsi="Times New Roman" w:cs="Times New Roman"/>
          <w:bCs/>
          <w:sz w:val="28"/>
          <w:szCs w:val="28"/>
        </w:rPr>
        <w:t xml:space="preserve">ferencia a la sentencia C-440 de 2020, para anotar que en esa oportunidad la Corte concluyó que </w:t>
      </w:r>
      <w:r w:rsidRPr="0029329A">
        <w:rPr>
          <w:rFonts w:ascii="Times New Roman" w:hAnsi="Times New Roman" w:cs="Times New Roman"/>
          <w:bCs/>
          <w:sz w:val="28"/>
          <w:szCs w:val="28"/>
        </w:rPr>
        <w:t>“</w:t>
      </w:r>
      <w:r w:rsidRPr="0029329A">
        <w:rPr>
          <w:rFonts w:ascii="Times New Roman" w:hAnsi="Times New Roman" w:cs="Times New Roman"/>
          <w:bCs/>
          <w:sz w:val="28"/>
          <w:szCs w:val="28"/>
        </w:rPr>
        <w:t>una norma con vocación de permanencia desconoce la potestad legislativa general reconocida al Congreso de la República</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72"/>
      </w:r>
      <w:r w:rsidRPr="0029329A">
        <w:rPr>
          <w:rFonts w:ascii="Times New Roman" w:hAnsi="Times New Roman" w:cs="Times New Roman"/>
          <w:bCs/>
          <w:sz w:val="28"/>
          <w:szCs w:val="28"/>
        </w:rPr>
        <w:t>.</w:t>
      </w:r>
    </w:p>
    <w:p w:rsidR="00AF00D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70</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En cuarto lugar, la Sala Plena r</w:t>
      </w:r>
      <w:r w:rsidRPr="0029329A">
        <w:rPr>
          <w:rFonts w:ascii="Times New Roman" w:hAnsi="Times New Roman" w:cs="Times New Roman"/>
          <w:bCs/>
          <w:sz w:val="28"/>
          <w:szCs w:val="28"/>
        </w:rPr>
        <w:t>ecordó que, en la sentencia C</w:t>
      </w:r>
      <w:r w:rsidRPr="0029329A">
        <w:rPr>
          <w:rFonts w:ascii="Times New Roman" w:hAnsi="Times New Roman" w:cs="Times New Roman"/>
          <w:bCs/>
          <w:sz w:val="28"/>
          <w:szCs w:val="28"/>
        </w:rPr>
        <w:t xml:space="preserve">-464 de 2020, esta corporación </w:t>
      </w:r>
      <w:r w:rsidRPr="0029329A">
        <w:rPr>
          <w:rFonts w:ascii="Times New Roman" w:hAnsi="Times New Roman" w:cs="Times New Roman"/>
          <w:bCs/>
          <w:sz w:val="28"/>
          <w:szCs w:val="28"/>
        </w:rPr>
        <w:t xml:space="preserve">ratificó </w:t>
      </w:r>
      <w:r w:rsidRPr="0029329A">
        <w:rPr>
          <w:rFonts w:ascii="Times New Roman" w:hAnsi="Times New Roman" w:cs="Times New Roman"/>
          <w:bCs/>
          <w:sz w:val="28"/>
          <w:szCs w:val="28"/>
        </w:rPr>
        <w:t>“</w:t>
      </w:r>
      <w:r w:rsidRPr="0029329A">
        <w:rPr>
          <w:rFonts w:ascii="Times New Roman" w:hAnsi="Times New Roman" w:cs="Times New Roman"/>
          <w:bCs/>
          <w:sz w:val="28"/>
          <w:szCs w:val="28"/>
        </w:rPr>
        <w:t>la carga de justificación que debe asumir el Gobierno nacional tratándose de legislación con vocación de permanencia</w:t>
      </w:r>
      <w:r w:rsidRPr="0029329A">
        <w:rPr>
          <w:rFonts w:ascii="Times New Roman" w:hAnsi="Times New Roman" w:cs="Times New Roman"/>
          <w:bCs/>
          <w:sz w:val="28"/>
          <w:szCs w:val="28"/>
        </w:rPr>
        <w:t>”</w:t>
      </w:r>
      <w:r w:rsidRPr="0029329A">
        <w:rPr>
          <w:rFonts w:ascii="Times New Roman" w:hAnsi="Times New Roman" w:cs="Times New Roman"/>
          <w:bCs/>
          <w:sz w:val="28"/>
          <w:szCs w:val="28"/>
        </w:rPr>
        <w:t>, según la jurisprudencia constitucional</w:t>
      </w:r>
      <w:r w:rsidRPr="0029329A">
        <w:rPr>
          <w:rFonts w:ascii="Times New Roman" w:hAnsi="Times New Roman" w:cs="Times New Roman"/>
          <w:bCs/>
          <w:sz w:val="28"/>
          <w:szCs w:val="28"/>
          <w:vertAlign w:val="superscript"/>
        </w:rPr>
        <w:footnoteReference w:id="73"/>
      </w:r>
      <w:r w:rsidRPr="0029329A">
        <w:rPr>
          <w:rFonts w:ascii="Times New Roman" w:hAnsi="Times New Roman" w:cs="Times New Roman"/>
          <w:bCs/>
          <w:sz w:val="28"/>
          <w:szCs w:val="28"/>
        </w:rPr>
        <w:t xml:space="preserve"> que determina  dicha </w:t>
      </w:r>
      <w:r w:rsidRPr="0029329A">
        <w:rPr>
          <w:rFonts w:ascii="Times New Roman" w:hAnsi="Times New Roman" w:cs="Times New Roman"/>
          <w:bCs/>
          <w:sz w:val="28"/>
          <w:szCs w:val="28"/>
        </w:rPr>
        <w:t>“</w:t>
      </w:r>
      <w:r w:rsidRPr="0029329A">
        <w:rPr>
          <w:rFonts w:ascii="Times New Roman" w:hAnsi="Times New Roman" w:cs="Times New Roman"/>
          <w:bCs/>
          <w:sz w:val="28"/>
          <w:szCs w:val="28"/>
        </w:rPr>
        <w:t>norma</w:t>
      </w:r>
      <w:r w:rsidRPr="0029329A">
        <w:rPr>
          <w:rFonts w:ascii="Times New Roman" w:hAnsi="Times New Roman" w:cs="Times New Roman"/>
          <w:bCs/>
          <w:sz w:val="28"/>
          <w:szCs w:val="28"/>
        </w:rPr>
        <w:t xml:space="preserve"> tiene un contenido asociado a la función de planeación, que permite alcanzar los objetivos perseguidos mediante la ley del plan y constituye un mecanismo para la ejecución del plan nacional de inversiones o una medida necesaria para impulsar el cumplimien</w:t>
      </w:r>
      <w:r w:rsidRPr="0029329A">
        <w:rPr>
          <w:rFonts w:ascii="Times New Roman" w:hAnsi="Times New Roman" w:cs="Times New Roman"/>
          <w:bCs/>
          <w:sz w:val="28"/>
          <w:szCs w:val="28"/>
        </w:rPr>
        <w:t>to del plan de desarrollo</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71</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 xml:space="preserve">De forma adicional, en la sentencia C-493 de 2020, la Corte reiteró, por una parte, que la carga justificativa resulta particularmente relevante en aquellos casos en que la ley del plan </w:t>
      </w:r>
      <w:r w:rsidRPr="0029329A">
        <w:rPr>
          <w:rFonts w:ascii="Times New Roman" w:hAnsi="Times New Roman" w:cs="Times New Roman"/>
          <w:bCs/>
          <w:sz w:val="28"/>
          <w:szCs w:val="28"/>
        </w:rPr>
        <w:t>“</w:t>
      </w:r>
      <w:r w:rsidRPr="0029329A">
        <w:rPr>
          <w:rFonts w:ascii="Times New Roman" w:hAnsi="Times New Roman" w:cs="Times New Roman"/>
          <w:bCs/>
          <w:sz w:val="28"/>
          <w:szCs w:val="28"/>
        </w:rPr>
        <w:t>(i) adopte normas de contenido trib</w:t>
      </w:r>
      <w:r w:rsidRPr="0029329A">
        <w:rPr>
          <w:rFonts w:ascii="Times New Roman" w:hAnsi="Times New Roman" w:cs="Times New Roman"/>
          <w:bCs/>
          <w:sz w:val="28"/>
          <w:szCs w:val="28"/>
        </w:rPr>
        <w:t>utario, o (ii) modifique regímenes cuya regulación se ha asignado de forma ordinaria al Legislador en los términos del artículo 150 de la Constitución</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Por otra, que, respecto de las disposiciones tributarias, </w:t>
      </w:r>
      <w:r w:rsidRPr="0029329A">
        <w:rPr>
          <w:rFonts w:ascii="Times New Roman" w:hAnsi="Times New Roman" w:cs="Times New Roman"/>
          <w:bCs/>
          <w:sz w:val="28"/>
          <w:szCs w:val="28"/>
        </w:rPr>
        <w:t>“</w:t>
      </w:r>
      <w:r w:rsidRPr="0029329A">
        <w:rPr>
          <w:rFonts w:ascii="Times New Roman" w:hAnsi="Times New Roman" w:cs="Times New Roman"/>
          <w:bCs/>
          <w:sz w:val="28"/>
          <w:szCs w:val="28"/>
        </w:rPr>
        <w:t>la relevancia de la premisa según la cual no</w:t>
      </w:r>
      <w:r w:rsidRPr="0029329A">
        <w:rPr>
          <w:rFonts w:ascii="Times New Roman" w:hAnsi="Times New Roman" w:cs="Times New Roman"/>
          <w:bCs/>
          <w:sz w:val="28"/>
          <w:szCs w:val="28"/>
        </w:rPr>
        <w:t xml:space="preserve"> puede haber tributo sin re</w:t>
      </w:r>
      <w:r w:rsidRPr="0029329A">
        <w:rPr>
          <w:rFonts w:ascii="Times New Roman" w:hAnsi="Times New Roman" w:cs="Times New Roman"/>
          <w:bCs/>
          <w:sz w:val="28"/>
          <w:szCs w:val="28"/>
        </w:rPr>
        <w:t>pre</w:t>
      </w:r>
      <w:r w:rsidRPr="0029329A">
        <w:rPr>
          <w:rFonts w:ascii="Times New Roman" w:hAnsi="Times New Roman" w:cs="Times New Roman"/>
          <w:bCs/>
          <w:sz w:val="28"/>
          <w:szCs w:val="28"/>
        </w:rPr>
        <w:t>sentación</w:t>
      </w:r>
      <w:r w:rsidRPr="0029329A">
        <w:rPr>
          <w:rFonts w:ascii="Times New Roman" w:hAnsi="Times New Roman" w:cs="Times New Roman"/>
          <w:bCs/>
          <w:sz w:val="28"/>
          <w:szCs w:val="28"/>
        </w:rPr>
        <w:t xml:space="preserve"> (sic)</w:t>
      </w:r>
      <w:r w:rsidRPr="0029329A">
        <w:rPr>
          <w:rFonts w:ascii="Times New Roman" w:hAnsi="Times New Roman" w:cs="Times New Roman"/>
          <w:bCs/>
          <w:sz w:val="28"/>
          <w:szCs w:val="28"/>
        </w:rPr>
        <w:t>, la cual implica que las decisiones en materia impositiva sean objeto de un amplio debate democrático</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74"/>
      </w:r>
      <w:r w:rsidRPr="0029329A">
        <w:rPr>
          <w:rFonts w:ascii="Times New Roman" w:hAnsi="Times New Roman" w:cs="Times New Roman"/>
          <w:bCs/>
          <w:sz w:val="28"/>
          <w:szCs w:val="28"/>
        </w:rPr>
        <w:t>.</w:t>
      </w: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72</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 xml:space="preserve">Así mismo, en la sentencia C-493 de 2020, esta corporación insistió en que, según la jurisprudencia constitucional: (i) </w:t>
      </w:r>
      <w:r w:rsidRPr="0029329A">
        <w:rPr>
          <w:rFonts w:ascii="Times New Roman" w:hAnsi="Times New Roman" w:cs="Times New Roman"/>
          <w:bCs/>
          <w:sz w:val="28"/>
          <w:szCs w:val="28"/>
        </w:rPr>
        <w:t>“</w:t>
      </w:r>
      <w:r w:rsidRPr="0029329A">
        <w:rPr>
          <w:rFonts w:ascii="Times New Roman" w:hAnsi="Times New Roman" w:cs="Times New Roman"/>
          <w:bCs/>
          <w:sz w:val="28"/>
          <w:szCs w:val="28"/>
        </w:rPr>
        <w:t>si la ley del plan acude a la imposición de medidas de carácter tributario dentro de un procedimiento en el que se encuentra reducido e</w:t>
      </w:r>
      <w:r w:rsidRPr="0029329A">
        <w:rPr>
          <w:rFonts w:ascii="Times New Roman" w:hAnsi="Times New Roman" w:cs="Times New Roman"/>
          <w:bCs/>
          <w:sz w:val="28"/>
          <w:szCs w:val="28"/>
        </w:rPr>
        <w:t xml:space="preserve">l principio democrático, </w:t>
      </w:r>
      <w:r w:rsidRPr="0029329A">
        <w:rPr>
          <w:rFonts w:ascii="Times New Roman" w:hAnsi="Times New Roman" w:cs="Times New Roman"/>
          <w:bCs/>
          <w:iCs/>
          <w:sz w:val="28"/>
          <w:szCs w:val="28"/>
        </w:rPr>
        <w:t>“</w:t>
      </w:r>
      <w:r w:rsidRPr="0029329A">
        <w:rPr>
          <w:rFonts w:ascii="Times New Roman" w:hAnsi="Times New Roman" w:cs="Times New Roman"/>
          <w:bCs/>
          <w:i/>
          <w:sz w:val="28"/>
          <w:szCs w:val="28"/>
        </w:rPr>
        <w:t>mayor deberá ser la justificación en la necesidad de su adopción a través de este instrumento de planeación con vocación de temporalidad</w:t>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 xml:space="preserve"> y (ii) </w:t>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l</w:t>
      </w:r>
      <w:r w:rsidRPr="0029329A">
        <w:rPr>
          <w:rFonts w:ascii="Times New Roman" w:hAnsi="Times New Roman" w:cs="Times New Roman"/>
          <w:bCs/>
          <w:sz w:val="28"/>
          <w:szCs w:val="28"/>
        </w:rPr>
        <w:t>as actuaciones de las Comisiones Económicas conjuntas tampoco deben vaciar de cont</w:t>
      </w:r>
      <w:r w:rsidRPr="0029329A">
        <w:rPr>
          <w:rFonts w:ascii="Times New Roman" w:hAnsi="Times New Roman" w:cs="Times New Roman"/>
          <w:bCs/>
          <w:sz w:val="28"/>
          <w:szCs w:val="28"/>
        </w:rPr>
        <w:t>enido las funciones especializadas de las otras Comisiones Constitucionales permanentes del Congreso, en los términos de la Ley 3ª de 1992</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y (iii) </w:t>
      </w:r>
      <w:r w:rsidRPr="0029329A">
        <w:rPr>
          <w:rFonts w:ascii="Times New Roman" w:hAnsi="Times New Roman" w:cs="Times New Roman"/>
          <w:bCs/>
          <w:sz w:val="28"/>
          <w:szCs w:val="28"/>
        </w:rPr>
        <w:t>“</w:t>
      </w:r>
      <w:r w:rsidRPr="0029329A">
        <w:rPr>
          <w:rFonts w:ascii="Times New Roman" w:hAnsi="Times New Roman" w:cs="Times New Roman"/>
          <w:bCs/>
          <w:sz w:val="28"/>
          <w:szCs w:val="28"/>
        </w:rPr>
        <w:t>serán factores relevantes de valoración (i) la temporalidad de la medida; (ii) su conexidad temática con el</w:t>
      </w:r>
      <w:r w:rsidRPr="0029329A">
        <w:rPr>
          <w:rFonts w:ascii="Times New Roman" w:hAnsi="Times New Roman" w:cs="Times New Roman"/>
          <w:bCs/>
          <w:sz w:val="28"/>
          <w:szCs w:val="28"/>
        </w:rPr>
        <w:t xml:space="preserve"> Plan y (iii) su finalidad</w:t>
      </w:r>
      <w:r w:rsidRPr="0029329A">
        <w:rPr>
          <w:rFonts w:ascii="Times New Roman" w:hAnsi="Times New Roman" w:cs="Times New Roman"/>
          <w:bCs/>
          <w:sz w:val="28"/>
          <w:szCs w:val="28"/>
        </w:rPr>
        <w:t>”</w:t>
      </w:r>
      <w:r w:rsidRPr="0029329A">
        <w:rPr>
          <w:rFonts w:ascii="Times New Roman" w:hAnsi="Times New Roman" w:cs="Times New Roman"/>
          <w:bCs/>
          <w:sz w:val="28"/>
          <w:szCs w:val="28"/>
        </w:rPr>
        <w:t>.</w:t>
      </w:r>
    </w:p>
    <w:p w:rsidR="002F497E"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F52AE5"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r w:rsidRPr="0029329A">
        <w:rPr>
          <w:rFonts w:ascii="Times New Roman" w:hAnsi="Times New Roman" w:cs="Times New Roman"/>
          <w:bCs/>
          <w:sz w:val="28"/>
          <w:szCs w:val="28"/>
        </w:rPr>
        <w:t>73</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Por último, en la sentencia C-493 de 2020, la Corte reiteró que la jurisprudencia constitucional</w:t>
      </w:r>
      <w:r w:rsidRPr="0029329A">
        <w:rPr>
          <w:rFonts w:ascii="Times New Roman" w:hAnsi="Times New Roman" w:cs="Times New Roman"/>
          <w:bCs/>
          <w:sz w:val="28"/>
          <w:szCs w:val="28"/>
          <w:vertAlign w:val="superscript"/>
        </w:rPr>
        <w:footnoteReference w:id="75"/>
      </w:r>
      <w:r w:rsidRPr="0029329A">
        <w:rPr>
          <w:rFonts w:ascii="Times New Roman" w:hAnsi="Times New Roman" w:cs="Times New Roman"/>
          <w:bCs/>
          <w:sz w:val="28"/>
          <w:szCs w:val="28"/>
        </w:rPr>
        <w:t xml:space="preserve"> ha establecido tres niveles a partir de los cuales se realiza el análisis sobre el principio de unidad de materia en las ley</w:t>
      </w:r>
      <w:r w:rsidRPr="0029329A">
        <w:rPr>
          <w:rFonts w:ascii="Times New Roman" w:hAnsi="Times New Roman" w:cs="Times New Roman"/>
          <w:bCs/>
          <w:sz w:val="28"/>
          <w:szCs w:val="28"/>
        </w:rPr>
        <w:t xml:space="preserve">es de los planes nacionales de desarrollo. Lo anterior, para determinar (i) </w:t>
      </w:r>
      <w:r w:rsidRPr="0029329A">
        <w:rPr>
          <w:rFonts w:ascii="Times New Roman" w:hAnsi="Times New Roman" w:cs="Times New Roman"/>
          <w:bCs/>
          <w:sz w:val="28"/>
          <w:szCs w:val="28"/>
        </w:rPr>
        <w:t>“</w:t>
      </w:r>
      <w:r w:rsidRPr="0029329A">
        <w:rPr>
          <w:rFonts w:ascii="Times New Roman" w:hAnsi="Times New Roman" w:cs="Times New Roman"/>
          <w:bCs/>
          <w:sz w:val="28"/>
          <w:szCs w:val="28"/>
        </w:rPr>
        <w:t>la ubicación y el alcance de la norma demandada, con el fin de establecer si tiene o no naturaleza instrumental</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(ii) </w:t>
      </w:r>
      <w:r w:rsidRPr="0029329A">
        <w:rPr>
          <w:rFonts w:ascii="Times New Roman" w:hAnsi="Times New Roman" w:cs="Times New Roman"/>
          <w:bCs/>
          <w:sz w:val="28"/>
          <w:szCs w:val="28"/>
        </w:rPr>
        <w:t>“</w:t>
      </w:r>
      <w:r w:rsidRPr="0029329A">
        <w:rPr>
          <w:rFonts w:ascii="Times New Roman" w:hAnsi="Times New Roman" w:cs="Times New Roman"/>
          <w:bCs/>
          <w:sz w:val="28"/>
          <w:szCs w:val="28"/>
        </w:rPr>
        <w:t>si en la parte general del Plan Nacional de Desarrollo exis</w:t>
      </w:r>
      <w:r w:rsidRPr="0029329A">
        <w:rPr>
          <w:rFonts w:ascii="Times New Roman" w:hAnsi="Times New Roman" w:cs="Times New Roman"/>
          <w:bCs/>
          <w:sz w:val="28"/>
          <w:szCs w:val="28"/>
        </w:rPr>
        <w:t xml:space="preserve">ten </w:t>
      </w:r>
      <w:r w:rsidRPr="0029329A">
        <w:rPr>
          <w:rFonts w:ascii="Times New Roman" w:hAnsi="Times New Roman" w:cs="Times New Roman"/>
          <w:bCs/>
          <w:sz w:val="28"/>
          <w:szCs w:val="28"/>
        </w:rPr>
        <w:t>“</w:t>
      </w:r>
      <w:r w:rsidRPr="0029329A">
        <w:rPr>
          <w:rFonts w:ascii="Times New Roman" w:hAnsi="Times New Roman" w:cs="Times New Roman"/>
          <w:bCs/>
          <w:sz w:val="28"/>
          <w:szCs w:val="28"/>
        </w:rPr>
        <w:t>objetivos, metas, planes o estrategias que puedan tener relación con la disposición acusada</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y (iii) </w:t>
      </w:r>
      <w:r w:rsidRPr="0029329A">
        <w:rPr>
          <w:rFonts w:ascii="Times New Roman" w:hAnsi="Times New Roman" w:cs="Times New Roman"/>
          <w:bCs/>
          <w:sz w:val="28"/>
          <w:szCs w:val="28"/>
        </w:rPr>
        <w:t>“</w:t>
      </w:r>
      <w:r w:rsidRPr="0029329A">
        <w:rPr>
          <w:rFonts w:ascii="Times New Roman" w:hAnsi="Times New Roman" w:cs="Times New Roman"/>
          <w:bCs/>
          <w:sz w:val="28"/>
          <w:szCs w:val="28"/>
        </w:rPr>
        <w:t>una conexidad directa e inmediata entre la norma demandada y los objetivos, metas o estrategias de la parte general del plan</w:t>
      </w:r>
      <w:r w:rsidRPr="0029329A">
        <w:rPr>
          <w:rFonts w:ascii="Times New Roman" w:hAnsi="Times New Roman" w:cs="Times New Roman"/>
          <w:bCs/>
          <w:sz w:val="28"/>
          <w:szCs w:val="28"/>
        </w:rPr>
        <w:t>””</w:t>
      </w:r>
      <w:r w:rsidRPr="0029329A">
        <w:rPr>
          <w:rFonts w:ascii="Times New Roman" w:hAnsi="Times New Roman" w:cs="Times New Roman"/>
          <w:bCs/>
          <w:sz w:val="28"/>
          <w:szCs w:val="28"/>
          <w:vertAlign w:val="superscript"/>
        </w:rPr>
        <w:footnoteReference w:id="76"/>
      </w:r>
      <w:r w:rsidRPr="0029329A">
        <w:rPr>
          <w:rFonts w:ascii="Times New Roman" w:hAnsi="Times New Roman" w:cs="Times New Roman"/>
          <w:bCs/>
          <w:sz w:val="28"/>
          <w:szCs w:val="28"/>
        </w:rPr>
        <w:t>.</w:t>
      </w:r>
    </w:p>
    <w:p w:rsidR="00F5082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bCs/>
          <w:sz w:val="28"/>
          <w:szCs w:val="28"/>
        </w:rPr>
      </w:pPr>
    </w:p>
    <w:p w:rsidR="0090783C" w:rsidRPr="0029329A" w:rsidRDefault="0029329A" w:rsidP="00773A7F">
      <w:pPr>
        <w:widowControl w:val="0"/>
        <w:tabs>
          <w:tab w:val="left" w:pos="567"/>
        </w:tabs>
        <w:spacing w:after="0" w:line="360" w:lineRule="atLeast"/>
        <w:contextualSpacing/>
        <w:jc w:val="both"/>
        <w:rPr>
          <w:rFonts w:ascii="Times New Roman" w:hAnsi="Times New Roman" w:cs="Times New Roman"/>
          <w:sz w:val="28"/>
        </w:rPr>
      </w:pPr>
      <w:r w:rsidRPr="0029329A">
        <w:rPr>
          <w:rFonts w:ascii="Times New Roman" w:hAnsi="Times New Roman" w:cs="Times New Roman"/>
          <w:b/>
          <w:sz w:val="28"/>
        </w:rPr>
        <w:t>Los p</w:t>
      </w:r>
      <w:r w:rsidRPr="0029329A">
        <w:rPr>
          <w:rFonts w:ascii="Times New Roman" w:hAnsi="Times New Roman" w:cs="Times New Roman"/>
          <w:b/>
          <w:sz w:val="28"/>
        </w:rPr>
        <w:t>rincipio</w:t>
      </w:r>
      <w:r w:rsidRPr="0029329A">
        <w:rPr>
          <w:rFonts w:ascii="Times New Roman" w:hAnsi="Times New Roman" w:cs="Times New Roman"/>
          <w:b/>
          <w:sz w:val="28"/>
        </w:rPr>
        <w:t>s</w:t>
      </w:r>
      <w:r w:rsidRPr="0029329A">
        <w:rPr>
          <w:rFonts w:ascii="Times New Roman" w:hAnsi="Times New Roman" w:cs="Times New Roman"/>
          <w:b/>
          <w:sz w:val="28"/>
        </w:rPr>
        <w:t xml:space="preserve"> de legalidad</w:t>
      </w:r>
      <w:r w:rsidRPr="0029329A">
        <w:rPr>
          <w:rFonts w:ascii="Times New Roman" w:hAnsi="Times New Roman" w:cs="Times New Roman"/>
          <w:b/>
          <w:sz w:val="28"/>
        </w:rPr>
        <w:t xml:space="preserve"> y certeza tributaria.</w:t>
      </w:r>
      <w:r w:rsidRPr="0029329A">
        <w:rPr>
          <w:rFonts w:ascii="Times New Roman" w:hAnsi="Times New Roman" w:cs="Times New Roman"/>
          <w:b/>
          <w:sz w:val="28"/>
        </w:rPr>
        <w:t xml:space="preserve"> Reiteración de jurisprudencia</w:t>
      </w:r>
      <w:r w:rsidRPr="0029329A">
        <w:rPr>
          <w:rStyle w:val="Refdenotaalpie"/>
          <w:rFonts w:ascii="Times New Roman" w:hAnsi="Times New Roman"/>
          <w:sz w:val="28"/>
          <w:vertAlign w:val="superscript"/>
        </w:rPr>
        <w:footnoteReference w:id="77"/>
      </w:r>
      <w:r w:rsidRPr="0029329A">
        <w:rPr>
          <w:rFonts w:ascii="Times New Roman" w:hAnsi="Times New Roman" w:cs="Times New Roman"/>
          <w:sz w:val="28"/>
        </w:rPr>
        <w:t xml:space="preserve">. </w:t>
      </w:r>
    </w:p>
    <w:p w:rsidR="0090783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p>
    <w:p w:rsidR="0090783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i/>
          <w:sz w:val="28"/>
        </w:rPr>
      </w:pPr>
      <w:r w:rsidRPr="0029329A">
        <w:rPr>
          <w:rFonts w:ascii="Times New Roman" w:hAnsi="Times New Roman" w:cs="Times New Roman"/>
          <w:i/>
          <w:sz w:val="28"/>
        </w:rPr>
        <w:t>Principio de legalidad</w:t>
      </w:r>
    </w:p>
    <w:p w:rsidR="00EC33B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i/>
          <w:sz w:val="28"/>
        </w:rPr>
      </w:pPr>
    </w:p>
    <w:p w:rsidR="004D492A"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r w:rsidRPr="0029329A">
        <w:rPr>
          <w:rFonts w:ascii="Times New Roman" w:hAnsi="Times New Roman" w:cs="Times New Roman"/>
          <w:sz w:val="28"/>
        </w:rPr>
        <w:t>7</w:t>
      </w:r>
      <w:r w:rsidRPr="0029329A">
        <w:rPr>
          <w:rFonts w:ascii="Times New Roman" w:hAnsi="Times New Roman" w:cs="Times New Roman"/>
          <w:sz w:val="28"/>
        </w:rPr>
        <w:t>4</w:t>
      </w:r>
      <w:r w:rsidRPr="0029329A">
        <w:rPr>
          <w:rFonts w:ascii="Times New Roman" w:hAnsi="Times New Roman" w:cs="Times New Roman"/>
          <w:sz w:val="28"/>
        </w:rPr>
        <w:t xml:space="preserve">. </w:t>
      </w:r>
      <w:r w:rsidRPr="0029329A">
        <w:rPr>
          <w:rFonts w:ascii="Times New Roman" w:hAnsi="Times New Roman" w:cs="Times New Roman"/>
          <w:sz w:val="28"/>
        </w:rPr>
        <w:t>Los artículos 338 y 150.12 de la Constitución establece</w:t>
      </w:r>
      <w:r w:rsidRPr="0029329A">
        <w:rPr>
          <w:rFonts w:ascii="Times New Roman" w:hAnsi="Times New Roman" w:cs="Times New Roman"/>
          <w:sz w:val="28"/>
        </w:rPr>
        <w:t>n</w:t>
      </w:r>
      <w:r w:rsidRPr="0029329A">
        <w:rPr>
          <w:rFonts w:ascii="Times New Roman" w:hAnsi="Times New Roman" w:cs="Times New Roman"/>
          <w:sz w:val="28"/>
        </w:rPr>
        <w:t xml:space="preserve"> el </w:t>
      </w:r>
      <w:r w:rsidRPr="0029329A">
        <w:rPr>
          <w:rFonts w:ascii="Times New Roman" w:hAnsi="Times New Roman" w:cs="Times New Roman"/>
          <w:sz w:val="28"/>
        </w:rPr>
        <w:t>principio de legalidad en materia tributaria, en virtud del cual no existe tributo sin ley –“</w:t>
      </w:r>
      <w:r w:rsidRPr="0029329A">
        <w:rPr>
          <w:rFonts w:ascii="Times New Roman" w:hAnsi="Times New Roman" w:cs="Times New Roman"/>
          <w:i/>
          <w:iCs/>
          <w:sz w:val="28"/>
        </w:rPr>
        <w:t>nullum tributum sine legem</w:t>
      </w:r>
      <w:r w:rsidRPr="0029329A">
        <w:rPr>
          <w:rFonts w:ascii="Times New Roman" w:hAnsi="Times New Roman" w:cs="Times New Roman"/>
          <w:sz w:val="28"/>
        </w:rPr>
        <w:t>”-</w:t>
      </w:r>
      <w:r w:rsidRPr="0029329A">
        <w:rPr>
          <w:rFonts w:ascii="Times New Roman" w:hAnsi="Times New Roman" w:cs="Times New Roman"/>
          <w:sz w:val="28"/>
          <w:vertAlign w:val="superscript"/>
        </w:rPr>
        <w:footnoteReference w:id="78"/>
      </w:r>
      <w:r w:rsidRPr="0029329A">
        <w:rPr>
          <w:rFonts w:ascii="Times New Roman" w:hAnsi="Times New Roman" w:cs="Times New Roman"/>
          <w:sz w:val="28"/>
        </w:rPr>
        <w:t>. Así, los preceptos superiores determinan que,</w:t>
      </w:r>
      <w:r w:rsidRPr="0029329A">
        <w:rPr>
          <w:rFonts w:ascii="Times New Roman" w:hAnsi="Times New Roman" w:cs="Times New Roman"/>
          <w:sz w:val="28"/>
        </w:rPr>
        <w:t xml:space="preserve"> en tiempos de paz, los tributos </w:t>
      </w:r>
      <w:r w:rsidRPr="0029329A">
        <w:rPr>
          <w:rFonts w:ascii="Times New Roman" w:hAnsi="Times New Roman" w:cs="Times New Roman"/>
          <w:sz w:val="28"/>
        </w:rPr>
        <w:t>sólo pueden ser</w:t>
      </w:r>
      <w:r w:rsidRPr="0029329A">
        <w:rPr>
          <w:rFonts w:ascii="Times New Roman" w:hAnsi="Times New Roman" w:cs="Times New Roman"/>
          <w:sz w:val="28"/>
        </w:rPr>
        <w:t xml:space="preserve"> </w:t>
      </w:r>
      <w:r w:rsidRPr="0029329A">
        <w:rPr>
          <w:rFonts w:ascii="Times New Roman" w:hAnsi="Times New Roman" w:cs="Times New Roman"/>
          <w:sz w:val="28"/>
        </w:rPr>
        <w:t>creados, modificados y eliminados por una ley en sentido material</w:t>
      </w:r>
      <w:r w:rsidRPr="0029329A">
        <w:rPr>
          <w:rFonts w:ascii="Times New Roman" w:hAnsi="Times New Roman" w:cs="Times New Roman"/>
          <w:sz w:val="28"/>
          <w:vertAlign w:val="superscript"/>
        </w:rPr>
        <w:footnoteReference w:id="79"/>
      </w:r>
      <w:r w:rsidRPr="0029329A">
        <w:rPr>
          <w:rFonts w:ascii="Times New Roman" w:hAnsi="Times New Roman" w:cs="Times New Roman"/>
          <w:sz w:val="28"/>
        </w:rPr>
        <w:t xml:space="preserve"> expedida por </w:t>
      </w:r>
      <w:r w:rsidRPr="0029329A">
        <w:rPr>
          <w:rFonts w:ascii="Times New Roman" w:hAnsi="Times New Roman" w:cs="Times New Roman"/>
          <w:sz w:val="28"/>
        </w:rPr>
        <w:t xml:space="preserve">el </w:t>
      </w:r>
      <w:r w:rsidRPr="0029329A">
        <w:rPr>
          <w:rFonts w:ascii="Times New Roman" w:hAnsi="Times New Roman" w:cs="Times New Roman"/>
          <w:sz w:val="28"/>
        </w:rPr>
        <w:t>Congreso de la República</w:t>
      </w:r>
      <w:r w:rsidRPr="0029329A">
        <w:rPr>
          <w:rFonts w:ascii="Times New Roman" w:hAnsi="Times New Roman" w:cs="Times New Roman"/>
          <w:sz w:val="28"/>
          <w:vertAlign w:val="superscript"/>
        </w:rPr>
        <w:footnoteReference w:id="80"/>
      </w:r>
      <w:r w:rsidRPr="0029329A">
        <w:rPr>
          <w:rFonts w:ascii="Times New Roman" w:hAnsi="Times New Roman" w:cs="Times New Roman"/>
          <w:sz w:val="28"/>
        </w:rPr>
        <w:t xml:space="preserve">, </w:t>
      </w:r>
      <w:r w:rsidRPr="0029329A">
        <w:rPr>
          <w:rFonts w:ascii="Times New Roman" w:hAnsi="Times New Roman" w:cs="Times New Roman"/>
          <w:sz w:val="28"/>
        </w:rPr>
        <w:t>asambleas departament</w:t>
      </w:r>
      <w:r w:rsidRPr="0029329A">
        <w:rPr>
          <w:rFonts w:ascii="Times New Roman" w:hAnsi="Times New Roman" w:cs="Times New Roman"/>
          <w:sz w:val="28"/>
        </w:rPr>
        <w:t>ales</w:t>
      </w:r>
      <w:r w:rsidRPr="0029329A">
        <w:rPr>
          <w:rFonts w:ascii="Times New Roman" w:hAnsi="Times New Roman" w:cs="Times New Roman"/>
          <w:sz w:val="28"/>
          <w:vertAlign w:val="superscript"/>
        </w:rPr>
        <w:footnoteReference w:id="81"/>
      </w:r>
      <w:r w:rsidRPr="0029329A">
        <w:rPr>
          <w:rFonts w:ascii="Times New Roman" w:hAnsi="Times New Roman" w:cs="Times New Roman"/>
          <w:sz w:val="28"/>
        </w:rPr>
        <w:t xml:space="preserve"> y</w:t>
      </w:r>
      <w:r w:rsidRPr="0029329A">
        <w:rPr>
          <w:rFonts w:ascii="Times New Roman" w:hAnsi="Times New Roman" w:cs="Times New Roman"/>
          <w:sz w:val="28"/>
        </w:rPr>
        <w:t>/o</w:t>
      </w:r>
      <w:r w:rsidRPr="0029329A">
        <w:rPr>
          <w:rFonts w:ascii="Times New Roman" w:hAnsi="Times New Roman" w:cs="Times New Roman"/>
          <w:sz w:val="28"/>
        </w:rPr>
        <w:t xml:space="preserve"> concejos municipales</w:t>
      </w:r>
      <w:r w:rsidRPr="0029329A">
        <w:rPr>
          <w:rFonts w:ascii="Times New Roman" w:hAnsi="Times New Roman" w:cs="Times New Roman"/>
          <w:sz w:val="28"/>
        </w:rPr>
        <w:t>, corporaciones pública</w:t>
      </w:r>
      <w:r w:rsidRPr="0029329A">
        <w:rPr>
          <w:rFonts w:ascii="Times New Roman" w:hAnsi="Times New Roman" w:cs="Times New Roman"/>
          <w:sz w:val="28"/>
        </w:rPr>
        <w:t>s</w:t>
      </w:r>
      <w:r w:rsidRPr="0029329A">
        <w:rPr>
          <w:rFonts w:ascii="Times New Roman" w:hAnsi="Times New Roman" w:cs="Times New Roman"/>
          <w:sz w:val="28"/>
        </w:rPr>
        <w:t xml:space="preserve"> competentes para imponer obligaciones tributarias por expreso mandado de la </w:t>
      </w:r>
      <w:r w:rsidRPr="0029329A">
        <w:rPr>
          <w:rFonts w:ascii="Times New Roman" w:hAnsi="Times New Roman" w:cs="Times New Roman"/>
          <w:sz w:val="28"/>
        </w:rPr>
        <w:t>Constitución</w:t>
      </w:r>
      <w:r w:rsidRPr="0029329A">
        <w:rPr>
          <w:rFonts w:ascii="Times New Roman" w:hAnsi="Times New Roman" w:cs="Times New Roman"/>
          <w:sz w:val="28"/>
          <w:vertAlign w:val="superscript"/>
        </w:rPr>
        <w:footnoteReference w:id="82"/>
      </w:r>
      <w:r w:rsidRPr="0029329A">
        <w:rPr>
          <w:rFonts w:ascii="Times New Roman" w:hAnsi="Times New Roman" w:cs="Times New Roman"/>
          <w:sz w:val="28"/>
        </w:rPr>
        <w:t xml:space="preserve">. </w:t>
      </w:r>
    </w:p>
    <w:p w:rsidR="004D492A"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p>
    <w:p w:rsidR="00EC33B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r w:rsidRPr="0029329A">
        <w:rPr>
          <w:rFonts w:ascii="Times New Roman" w:hAnsi="Times New Roman" w:cs="Times New Roman"/>
          <w:sz w:val="28"/>
        </w:rPr>
        <w:t>75</w:t>
      </w:r>
      <w:r w:rsidRPr="0029329A">
        <w:rPr>
          <w:rFonts w:ascii="Times New Roman" w:hAnsi="Times New Roman" w:cs="Times New Roman"/>
          <w:sz w:val="28"/>
        </w:rPr>
        <w:t xml:space="preserve">. </w:t>
      </w:r>
      <w:r w:rsidRPr="0029329A">
        <w:rPr>
          <w:rFonts w:ascii="Times New Roman" w:hAnsi="Times New Roman" w:cs="Times New Roman"/>
          <w:sz w:val="28"/>
        </w:rPr>
        <w:t>Para la jurisprudencia constitucional, el p</w:t>
      </w:r>
      <w:r w:rsidRPr="0029329A">
        <w:rPr>
          <w:rFonts w:ascii="Times New Roman" w:hAnsi="Times New Roman" w:cs="Times New Roman"/>
          <w:sz w:val="28"/>
        </w:rPr>
        <w:t xml:space="preserve">rincipio de legalidad en materia tributaria </w:t>
      </w:r>
      <w:r w:rsidRPr="0029329A">
        <w:rPr>
          <w:rFonts w:ascii="Times New Roman" w:hAnsi="Times New Roman" w:cs="Times New Roman"/>
          <w:sz w:val="28"/>
        </w:rPr>
        <w:t xml:space="preserve">es </w:t>
      </w:r>
      <w:r w:rsidRPr="0029329A">
        <w:rPr>
          <w:rFonts w:ascii="Times New Roman" w:hAnsi="Times New Roman" w:cs="Times New Roman"/>
          <w:sz w:val="28"/>
        </w:rPr>
        <w:t xml:space="preserve">un elemento </w:t>
      </w:r>
      <w:r w:rsidRPr="0029329A">
        <w:rPr>
          <w:rFonts w:ascii="Times New Roman" w:hAnsi="Times New Roman" w:cs="Times New Roman"/>
          <w:sz w:val="28"/>
        </w:rPr>
        <w:t>definitorio del Estado Constitucional</w:t>
      </w:r>
      <w:r w:rsidRPr="0029329A">
        <w:rPr>
          <w:rFonts w:ascii="Times New Roman" w:hAnsi="Times New Roman" w:cs="Times New Roman"/>
          <w:sz w:val="28"/>
          <w:vertAlign w:val="superscript"/>
        </w:rPr>
        <w:footnoteReference w:id="83"/>
      </w:r>
      <w:r w:rsidRPr="0029329A">
        <w:rPr>
          <w:rFonts w:ascii="Times New Roman" w:hAnsi="Times New Roman" w:cs="Times New Roman"/>
          <w:sz w:val="28"/>
        </w:rPr>
        <w:t xml:space="preserve"> que </w:t>
      </w:r>
      <w:r w:rsidRPr="0029329A">
        <w:rPr>
          <w:rFonts w:ascii="Times New Roman" w:hAnsi="Times New Roman" w:cs="Times New Roman"/>
          <w:sz w:val="28"/>
        </w:rPr>
        <w:t>“</w:t>
      </w:r>
      <w:r w:rsidRPr="0029329A">
        <w:rPr>
          <w:rFonts w:ascii="Times New Roman" w:hAnsi="Times New Roman" w:cs="Times New Roman"/>
          <w:sz w:val="28"/>
        </w:rPr>
        <w:t>salvaguarda la legitimidad democrática de las normas de índole fiscal. Lo anterior, debido a que condiciona la validez de la obligación tributaria a la existencia de un procedimiento democrático participativo, su</w:t>
      </w:r>
      <w:r w:rsidRPr="0029329A">
        <w:rPr>
          <w:rFonts w:ascii="Times New Roman" w:hAnsi="Times New Roman" w:cs="Times New Roman"/>
          <w:sz w:val="28"/>
        </w:rPr>
        <w:t>ficiente y plural en el que estén representados “</w:t>
      </w:r>
      <w:r w:rsidRPr="0029329A">
        <w:rPr>
          <w:rFonts w:ascii="Times New Roman" w:hAnsi="Times New Roman" w:cs="Times New Roman"/>
          <w:i/>
          <w:iCs/>
          <w:sz w:val="28"/>
        </w:rPr>
        <w:t>los sujetos destinatarios de los impuestos</w:t>
      </w:r>
      <w:r w:rsidRPr="0029329A">
        <w:rPr>
          <w:rFonts w:ascii="Times New Roman" w:hAnsi="Times New Roman" w:cs="Times New Roman"/>
          <w:sz w:val="28"/>
        </w:rPr>
        <w:t>”</w:t>
      </w:r>
      <w:r w:rsidRPr="0029329A">
        <w:rPr>
          <w:rFonts w:ascii="Times New Roman" w:hAnsi="Times New Roman" w:cs="Times New Roman"/>
          <w:sz w:val="28"/>
          <w:vertAlign w:val="superscript"/>
        </w:rPr>
        <w:footnoteReference w:id="84"/>
      </w:r>
      <w:r w:rsidRPr="0029329A">
        <w:rPr>
          <w:rFonts w:ascii="Times New Roman" w:hAnsi="Times New Roman" w:cs="Times New Roman"/>
          <w:sz w:val="28"/>
        </w:rPr>
        <w:t>”</w:t>
      </w:r>
      <w:r w:rsidRPr="0029329A">
        <w:rPr>
          <w:rStyle w:val="Refdenotaalpie"/>
          <w:rFonts w:ascii="Times New Roman" w:hAnsi="Times New Roman"/>
          <w:sz w:val="28"/>
          <w:vertAlign w:val="superscript"/>
        </w:rPr>
        <w:footnoteReference w:id="85"/>
      </w:r>
      <w:r w:rsidRPr="0029329A">
        <w:rPr>
          <w:rFonts w:ascii="Times New Roman" w:hAnsi="Times New Roman" w:cs="Times New Roman"/>
          <w:sz w:val="28"/>
        </w:rPr>
        <w:t>.</w:t>
      </w:r>
      <w:r w:rsidRPr="0029329A">
        <w:rPr>
          <w:rFonts w:ascii="Times New Roman" w:hAnsi="Times New Roman" w:cs="Times New Roman"/>
          <w:sz w:val="28"/>
        </w:rPr>
        <w:t xml:space="preserve"> A su vez, la misma jurisprudencia ha determinado que el referido </w:t>
      </w:r>
      <w:r w:rsidRPr="0029329A">
        <w:rPr>
          <w:rFonts w:ascii="Times New Roman" w:hAnsi="Times New Roman" w:cs="Times New Roman"/>
          <w:sz w:val="28"/>
        </w:rPr>
        <w:t>principio comprende cuatro</w:t>
      </w:r>
      <w:r w:rsidRPr="0029329A">
        <w:rPr>
          <w:rFonts w:ascii="Times New Roman" w:hAnsi="Times New Roman" w:cs="Times New Roman"/>
          <w:sz w:val="28"/>
        </w:rPr>
        <w:t xml:space="preserve"> </w:t>
      </w:r>
      <w:r w:rsidRPr="0029329A">
        <w:rPr>
          <w:rFonts w:ascii="Times New Roman" w:hAnsi="Times New Roman" w:cs="Times New Roman"/>
          <w:sz w:val="28"/>
        </w:rPr>
        <w:t xml:space="preserve">subprincipios. </w:t>
      </w:r>
      <w:r w:rsidRPr="0029329A">
        <w:rPr>
          <w:rFonts w:ascii="Times New Roman" w:hAnsi="Times New Roman" w:cs="Times New Roman"/>
          <w:sz w:val="28"/>
        </w:rPr>
        <w:t xml:space="preserve">A saber: </w:t>
      </w:r>
    </w:p>
    <w:p w:rsidR="00EC33B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color w:val="000000"/>
          <w:sz w:val="28"/>
          <w:szCs w:val="28"/>
        </w:rPr>
      </w:pPr>
      <w:r w:rsidRPr="0029329A">
        <w:rPr>
          <w:rFonts w:ascii="Times New Roman" w:hAnsi="Times New Roman" w:cs="Times New Roman"/>
          <w:iCs/>
          <w:color w:val="000000"/>
          <w:sz w:val="28"/>
          <w:szCs w:val="28"/>
        </w:rPr>
        <w:t>“</w:t>
      </w:r>
      <w:r w:rsidRPr="0029329A">
        <w:rPr>
          <w:rFonts w:ascii="Times New Roman" w:hAnsi="Times New Roman" w:cs="Times New Roman"/>
          <w:iCs/>
          <w:color w:val="000000"/>
          <w:sz w:val="28"/>
          <w:szCs w:val="28"/>
        </w:rPr>
        <w:t>P</w:t>
      </w:r>
      <w:r w:rsidRPr="0029329A">
        <w:rPr>
          <w:rFonts w:ascii="Times New Roman" w:hAnsi="Times New Roman" w:cs="Times New Roman"/>
          <w:color w:val="000000"/>
          <w:sz w:val="28"/>
          <w:szCs w:val="28"/>
        </w:rPr>
        <w:t xml:space="preserve">rimero, el principio de legalidad como </w:t>
      </w:r>
      <w:r w:rsidRPr="0029329A">
        <w:rPr>
          <w:rFonts w:ascii="Times New Roman" w:hAnsi="Times New Roman" w:cs="Times New Roman"/>
          <w:color w:val="000000"/>
          <w:sz w:val="28"/>
          <w:szCs w:val="28"/>
        </w:rPr>
        <w:t>representación</w:t>
      </w:r>
      <w:r w:rsidRPr="0029329A">
        <w:rPr>
          <w:rFonts w:ascii="Times New Roman" w:hAnsi="Times New Roman" w:cs="Times New Roman"/>
          <w:color w:val="000000"/>
          <w:sz w:val="28"/>
          <w:szCs w:val="28"/>
          <w:vertAlign w:val="superscript"/>
        </w:rPr>
        <w:footnoteReference w:id="86"/>
      </w:r>
      <w:r w:rsidRPr="0029329A">
        <w:rPr>
          <w:rFonts w:ascii="Times New Roman" w:hAnsi="Times New Roman" w:cs="Times New Roman"/>
          <w:color w:val="000000"/>
          <w:sz w:val="28"/>
          <w:szCs w:val="28"/>
        </w:rPr>
        <w:t xml:space="preserve"> (“</w:t>
      </w:r>
      <w:r w:rsidRPr="0029329A">
        <w:rPr>
          <w:rFonts w:ascii="Times New Roman" w:hAnsi="Times New Roman" w:cs="Times New Roman"/>
          <w:i/>
          <w:color w:val="000000"/>
          <w:sz w:val="28"/>
          <w:szCs w:val="28"/>
        </w:rPr>
        <w:t>no taxation without representation</w:t>
      </w:r>
      <w:r w:rsidRPr="0029329A">
        <w:rPr>
          <w:rFonts w:ascii="Times New Roman" w:hAnsi="Times New Roman" w:cs="Times New Roman"/>
          <w:color w:val="000000"/>
          <w:sz w:val="28"/>
          <w:szCs w:val="28"/>
        </w:rPr>
        <w:t xml:space="preserve">”), que </w:t>
      </w:r>
      <w:r w:rsidRPr="0029329A">
        <w:rPr>
          <w:rFonts w:ascii="Times New Roman" w:hAnsi="Times New Roman" w:cs="Times New Roman"/>
          <w:i/>
          <w:color w:val="000000"/>
          <w:sz w:val="28"/>
          <w:szCs w:val="28"/>
        </w:rPr>
        <w:t>(i)</w:t>
      </w:r>
      <w:r w:rsidRPr="0029329A">
        <w:rPr>
          <w:rFonts w:ascii="Times New Roman" w:hAnsi="Times New Roman" w:cs="Times New Roman"/>
          <w:color w:val="000000"/>
          <w:sz w:val="28"/>
          <w:szCs w:val="28"/>
        </w:rPr>
        <w:t xml:space="preserve"> exige que los tributos sean adoptados por órganos plurales y ampliamente representativos</w:t>
      </w:r>
      <w:r w:rsidRPr="0029329A">
        <w:rPr>
          <w:rFonts w:ascii="Times New Roman" w:hAnsi="Times New Roman" w:cs="Times New Roman"/>
          <w:color w:val="000000"/>
          <w:sz w:val="28"/>
          <w:szCs w:val="28"/>
          <w:vertAlign w:val="superscript"/>
        </w:rPr>
        <w:footnoteReference w:id="87"/>
      </w:r>
      <w:r w:rsidRPr="0029329A">
        <w:rPr>
          <w:rFonts w:ascii="Times New Roman" w:hAnsi="Times New Roman" w:cs="Times New Roman"/>
          <w:color w:val="000000"/>
          <w:sz w:val="28"/>
          <w:szCs w:val="28"/>
        </w:rPr>
        <w:t xml:space="preserve"> y, además, </w:t>
      </w:r>
      <w:r w:rsidRPr="0029329A">
        <w:rPr>
          <w:rFonts w:ascii="Times New Roman" w:hAnsi="Times New Roman" w:cs="Times New Roman"/>
          <w:i/>
          <w:color w:val="000000"/>
          <w:sz w:val="28"/>
          <w:szCs w:val="28"/>
        </w:rPr>
        <w:t>(ii)</w:t>
      </w:r>
      <w:r w:rsidRPr="0029329A">
        <w:rPr>
          <w:rFonts w:ascii="Times New Roman" w:hAnsi="Times New Roman" w:cs="Times New Roman"/>
          <w:color w:val="000000"/>
          <w:sz w:val="28"/>
          <w:szCs w:val="28"/>
        </w:rPr>
        <w:t xml:space="preserve"> impide delegar su creación a las autoridades administrativas</w:t>
      </w:r>
      <w:r w:rsidRPr="0029329A">
        <w:rPr>
          <w:rFonts w:ascii="Times New Roman" w:hAnsi="Times New Roman" w:cs="Times New Roman"/>
          <w:color w:val="000000"/>
          <w:sz w:val="28"/>
          <w:szCs w:val="28"/>
          <w:vertAlign w:val="superscript"/>
        </w:rPr>
        <w:footnoteReference w:id="88"/>
      </w:r>
      <w:r w:rsidRPr="0029329A">
        <w:rPr>
          <w:rFonts w:ascii="Times New Roman" w:hAnsi="Times New Roman" w:cs="Times New Roman"/>
          <w:color w:val="000000"/>
          <w:sz w:val="28"/>
          <w:szCs w:val="28"/>
        </w:rPr>
        <w:t>.</w:t>
      </w:r>
    </w:p>
    <w:p w:rsidR="00E270BA"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color w:val="000000"/>
          <w:sz w:val="28"/>
          <w:szCs w:val="28"/>
        </w:rPr>
      </w:pP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i/>
          <w:iCs/>
          <w:color w:val="000000"/>
          <w:sz w:val="28"/>
          <w:szCs w:val="28"/>
        </w:rPr>
      </w:pPr>
      <w:r w:rsidRPr="0029329A">
        <w:rPr>
          <w:rFonts w:ascii="Times New Roman" w:hAnsi="Times New Roman" w:cs="Times New Roman"/>
          <w:color w:val="000000"/>
          <w:sz w:val="28"/>
          <w:szCs w:val="28"/>
        </w:rPr>
        <w:t xml:space="preserve">Segundo, el principio </w:t>
      </w:r>
      <w:r w:rsidRPr="0029329A">
        <w:rPr>
          <w:rFonts w:ascii="Times New Roman" w:hAnsi="Times New Roman" w:cs="Times New Roman"/>
          <w:color w:val="000000"/>
          <w:sz w:val="28"/>
          <w:szCs w:val="28"/>
        </w:rPr>
        <w:t>de irretroactividad de la ley tributaria</w:t>
      </w:r>
      <w:r w:rsidRPr="0029329A">
        <w:rPr>
          <w:rFonts w:ascii="Times New Roman" w:hAnsi="Times New Roman" w:cs="Times New Roman"/>
          <w:color w:val="000000"/>
          <w:sz w:val="28"/>
          <w:szCs w:val="28"/>
          <w:vertAlign w:val="superscript"/>
        </w:rPr>
        <w:footnoteReference w:id="89"/>
      </w:r>
      <w:r w:rsidRPr="0029329A">
        <w:rPr>
          <w:rFonts w:ascii="Times New Roman" w:hAnsi="Times New Roman" w:cs="Times New Roman"/>
          <w:color w:val="000000"/>
          <w:sz w:val="28"/>
          <w:szCs w:val="28"/>
        </w:rPr>
        <w:t xml:space="preserve">, en virtud </w:t>
      </w:r>
      <w:r w:rsidRPr="0029329A">
        <w:rPr>
          <w:rFonts w:ascii="Times New Roman" w:hAnsi="Times New Roman" w:cs="Times New Roman"/>
          <w:color w:val="000000"/>
          <w:sz w:val="28"/>
          <w:szCs w:val="28"/>
          <w:lang w:val="es-ES_tradnl"/>
        </w:rPr>
        <w:t>del cual “</w:t>
      </w:r>
      <w:r w:rsidRPr="0029329A">
        <w:rPr>
          <w:rFonts w:ascii="Times New Roman" w:hAnsi="Times New Roman" w:cs="Times New Roman"/>
          <w:i/>
          <w:color w:val="000000"/>
          <w:sz w:val="28"/>
          <w:szCs w:val="28"/>
        </w:rPr>
        <w:t>la obligación de pagar los tributos solo es exigible cuando ha sido establecida previamente al hecho que da lugar a su nacimiento</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90"/>
      </w:r>
      <w:r w:rsidRPr="0029329A">
        <w:rPr>
          <w:rFonts w:ascii="Times New Roman" w:hAnsi="Times New Roman" w:cs="Times New Roman"/>
          <w:color w:val="000000"/>
          <w:sz w:val="28"/>
          <w:szCs w:val="28"/>
        </w:rPr>
        <w:t>. Por lo tanto, el legislador</w:t>
      </w:r>
      <w:r w:rsidRPr="0029329A">
        <w:rPr>
          <w:rFonts w:ascii="Times New Roman" w:hAnsi="Times New Roman" w:cs="Times New Roman"/>
          <w:i/>
          <w:iCs/>
          <w:color w:val="000000"/>
          <w:sz w:val="28"/>
          <w:szCs w:val="28"/>
        </w:rPr>
        <w:t xml:space="preserve"> </w:t>
      </w:r>
      <w:r w:rsidRPr="0029329A">
        <w:rPr>
          <w:rFonts w:ascii="Times New Roman" w:hAnsi="Times New Roman" w:cs="Times New Roman"/>
          <w:color w:val="000000"/>
          <w:sz w:val="28"/>
          <w:szCs w:val="28"/>
        </w:rPr>
        <w:t>únicamente está autorizado const</w:t>
      </w:r>
      <w:r w:rsidRPr="0029329A">
        <w:rPr>
          <w:rFonts w:ascii="Times New Roman" w:hAnsi="Times New Roman" w:cs="Times New Roman"/>
          <w:color w:val="000000"/>
          <w:sz w:val="28"/>
          <w:szCs w:val="28"/>
        </w:rPr>
        <w:t>itucionalmente para crear, modificar o derogar leyes tributarias</w:t>
      </w:r>
      <w:r w:rsidRPr="0029329A">
        <w:rPr>
          <w:rFonts w:ascii="Times New Roman" w:hAnsi="Times New Roman" w:cs="Times New Roman"/>
          <w:i/>
          <w:iCs/>
          <w:color w:val="000000"/>
          <w:sz w:val="28"/>
          <w:szCs w:val="28"/>
        </w:rPr>
        <w:t xml:space="preserve"> </w:t>
      </w:r>
      <w:r w:rsidRPr="0029329A">
        <w:rPr>
          <w:rFonts w:ascii="Times New Roman" w:hAnsi="Times New Roman" w:cs="Times New Roman"/>
          <w:color w:val="000000"/>
          <w:sz w:val="28"/>
          <w:szCs w:val="28"/>
        </w:rPr>
        <w:t>“</w:t>
      </w:r>
      <w:r w:rsidRPr="0029329A">
        <w:rPr>
          <w:rFonts w:ascii="Times New Roman" w:hAnsi="Times New Roman" w:cs="Times New Roman"/>
          <w:i/>
          <w:iCs/>
          <w:color w:val="000000"/>
          <w:sz w:val="28"/>
          <w:szCs w:val="28"/>
        </w:rPr>
        <w:t>con efectos hacia el futuro, a fin de que sus decisiones no desconozcan situaciones jurídicas consolidadas en virtud de la legislación reformada</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91"/>
      </w:r>
      <w:r w:rsidRPr="0029329A">
        <w:rPr>
          <w:rFonts w:ascii="Times New Roman" w:hAnsi="Times New Roman" w:cs="Times New Roman"/>
          <w:i/>
          <w:iCs/>
          <w:color w:val="000000"/>
          <w:sz w:val="28"/>
          <w:szCs w:val="28"/>
        </w:rPr>
        <w:t xml:space="preserve">. </w:t>
      </w: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i/>
          <w:iCs/>
          <w:color w:val="000000"/>
          <w:sz w:val="28"/>
          <w:szCs w:val="28"/>
        </w:rPr>
      </w:pP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i/>
          <w:iCs/>
          <w:color w:val="000000"/>
          <w:sz w:val="28"/>
          <w:szCs w:val="28"/>
        </w:rPr>
      </w:pPr>
      <w:r w:rsidRPr="0029329A">
        <w:rPr>
          <w:rFonts w:ascii="Times New Roman" w:hAnsi="Times New Roman" w:cs="Times New Roman"/>
          <w:color w:val="000000"/>
          <w:sz w:val="28"/>
          <w:szCs w:val="28"/>
        </w:rPr>
        <w:t>Tercero, una faceta “</w:t>
      </w:r>
      <w:r w:rsidRPr="0029329A">
        <w:rPr>
          <w:rFonts w:ascii="Times New Roman" w:hAnsi="Times New Roman" w:cs="Times New Roman"/>
          <w:i/>
          <w:iCs/>
          <w:color w:val="000000"/>
          <w:sz w:val="28"/>
          <w:szCs w:val="28"/>
        </w:rPr>
        <w:t>vinculada al repart</w:t>
      </w:r>
      <w:r w:rsidRPr="0029329A">
        <w:rPr>
          <w:rFonts w:ascii="Times New Roman" w:hAnsi="Times New Roman" w:cs="Times New Roman"/>
          <w:i/>
          <w:iCs/>
          <w:color w:val="000000"/>
          <w:sz w:val="28"/>
          <w:szCs w:val="28"/>
        </w:rPr>
        <w:t>o de competencias normativas</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92"/>
      </w:r>
      <w:r w:rsidRPr="0029329A">
        <w:rPr>
          <w:rFonts w:ascii="Times New Roman" w:hAnsi="Times New Roman" w:cs="Times New Roman"/>
          <w:color w:val="000000"/>
          <w:sz w:val="28"/>
          <w:szCs w:val="28"/>
        </w:rPr>
        <w:t xml:space="preserve"> entre el Congreso de la República, de un lado, y las asambleas departamentales y los concejos municipales y distritales, de otro. Esta faceta busca garantizar que las entidades territoriales ejerzan sus potestades tributarias</w:t>
      </w:r>
      <w:r w:rsidRPr="0029329A">
        <w:rPr>
          <w:rFonts w:ascii="Times New Roman" w:hAnsi="Times New Roman" w:cs="Times New Roman"/>
          <w:color w:val="000000"/>
          <w:sz w:val="28"/>
          <w:szCs w:val="28"/>
        </w:rPr>
        <w:t xml:space="preserve"> con la autonomía fiscal que la Constitución les reconoce, pero de conformidad con Ley que crea o autoriza la creación de tributos territoriales</w:t>
      </w:r>
      <w:r w:rsidRPr="0029329A">
        <w:rPr>
          <w:rFonts w:ascii="Times New Roman" w:hAnsi="Times New Roman" w:cs="Times New Roman"/>
          <w:color w:val="000000"/>
          <w:sz w:val="28"/>
          <w:szCs w:val="28"/>
          <w:vertAlign w:val="superscript"/>
        </w:rPr>
        <w:footnoteReference w:id="93"/>
      </w:r>
      <w:r w:rsidRPr="0029329A">
        <w:rPr>
          <w:rFonts w:ascii="Times New Roman" w:hAnsi="Times New Roman" w:cs="Times New Roman"/>
          <w:color w:val="000000"/>
          <w:sz w:val="28"/>
          <w:szCs w:val="28"/>
        </w:rPr>
        <w:t>.</w:t>
      </w:r>
      <w:r w:rsidRPr="0029329A">
        <w:rPr>
          <w:rFonts w:ascii="Times New Roman" w:hAnsi="Times New Roman" w:cs="Times New Roman"/>
          <w:i/>
          <w:iCs/>
          <w:color w:val="000000"/>
          <w:sz w:val="28"/>
          <w:szCs w:val="28"/>
        </w:rPr>
        <w:t> </w:t>
      </w: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i/>
          <w:iCs/>
          <w:color w:val="000000"/>
          <w:sz w:val="28"/>
          <w:szCs w:val="28"/>
        </w:rPr>
      </w:pPr>
    </w:p>
    <w:p w:rsidR="00EC33BC"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color w:val="000000"/>
          <w:sz w:val="28"/>
          <w:szCs w:val="28"/>
        </w:rPr>
      </w:pPr>
      <w:r w:rsidRPr="0029329A">
        <w:rPr>
          <w:rFonts w:ascii="Times New Roman" w:hAnsi="Times New Roman" w:cs="Times New Roman"/>
          <w:color w:val="000000"/>
          <w:sz w:val="28"/>
          <w:szCs w:val="28"/>
        </w:rPr>
        <w:t>Cuarto, el principio de certeza tributaria o “</w:t>
      </w:r>
      <w:r w:rsidRPr="0029329A">
        <w:rPr>
          <w:rFonts w:ascii="Times New Roman" w:hAnsi="Times New Roman" w:cs="Times New Roman"/>
          <w:i/>
          <w:iCs/>
          <w:color w:val="000000"/>
          <w:sz w:val="28"/>
          <w:szCs w:val="28"/>
        </w:rPr>
        <w:t>predeterminación del tributo</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94"/>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rPr>
        <w:footnoteReference w:id="95"/>
      </w:r>
      <w:r w:rsidRPr="0029329A">
        <w:rPr>
          <w:rFonts w:ascii="Times New Roman" w:hAnsi="Times New Roman" w:cs="Times New Roman"/>
          <w:color w:val="000000"/>
          <w:sz w:val="28"/>
          <w:szCs w:val="28"/>
        </w:rPr>
        <w:t xml:space="preserve">. </w:t>
      </w:r>
    </w:p>
    <w:p w:rsidR="009672F3"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i/>
          <w:iCs/>
          <w:color w:val="000000"/>
          <w:sz w:val="28"/>
          <w:szCs w:val="28"/>
        </w:rPr>
      </w:pPr>
    </w:p>
    <w:p w:rsidR="00EC33BC" w:rsidRPr="0029329A" w:rsidRDefault="0029329A" w:rsidP="00773A7F">
      <w:pPr>
        <w:widowControl w:val="0"/>
        <w:tabs>
          <w:tab w:val="left" w:pos="567"/>
        </w:tabs>
        <w:spacing w:after="0" w:line="360" w:lineRule="atLeast"/>
        <w:contextualSpacing/>
        <w:jc w:val="both"/>
        <w:rPr>
          <w:rFonts w:ascii="Times New Roman" w:hAnsi="Times New Roman" w:cs="Times New Roman"/>
          <w:iCs/>
          <w:color w:val="000000"/>
          <w:sz w:val="28"/>
          <w:szCs w:val="28"/>
        </w:rPr>
      </w:pPr>
      <w:r w:rsidRPr="0029329A">
        <w:rPr>
          <w:rFonts w:ascii="Times New Roman" w:hAnsi="Times New Roman" w:cs="Times New Roman"/>
          <w:i/>
          <w:iCs/>
          <w:sz w:val="28"/>
        </w:rPr>
        <w:t xml:space="preserve">El principio de certeza </w:t>
      </w:r>
      <w:r w:rsidRPr="0029329A">
        <w:rPr>
          <w:rFonts w:ascii="Times New Roman" w:hAnsi="Times New Roman" w:cs="Times New Roman"/>
          <w:i/>
          <w:iCs/>
          <w:sz w:val="28"/>
        </w:rPr>
        <w:t>tributaria</w:t>
      </w:r>
    </w:p>
    <w:p w:rsidR="00EC33BC"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sz w:val="28"/>
        </w:rPr>
      </w:pPr>
    </w:p>
    <w:p w:rsidR="008C0F4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r w:rsidRPr="0029329A">
        <w:rPr>
          <w:rFonts w:ascii="Times New Roman" w:hAnsi="Times New Roman" w:cs="Times New Roman"/>
          <w:sz w:val="28"/>
        </w:rPr>
        <w:t>76</w:t>
      </w:r>
      <w:r w:rsidRPr="0029329A">
        <w:rPr>
          <w:rFonts w:ascii="Times New Roman" w:hAnsi="Times New Roman" w:cs="Times New Roman"/>
          <w:sz w:val="28"/>
        </w:rPr>
        <w:t xml:space="preserve">. </w:t>
      </w:r>
      <w:r w:rsidRPr="0029329A">
        <w:rPr>
          <w:rFonts w:ascii="Times New Roman" w:hAnsi="Times New Roman" w:cs="Times New Roman"/>
          <w:sz w:val="28"/>
        </w:rPr>
        <w:t>En la sentencia C-019 de 2022, la Corte Constitucional se refirió a l</w:t>
      </w:r>
      <w:r w:rsidRPr="0029329A">
        <w:rPr>
          <w:rFonts w:ascii="Times New Roman" w:hAnsi="Times New Roman" w:cs="Times New Roman"/>
          <w:sz w:val="28"/>
        </w:rPr>
        <w:t xml:space="preserve">a certeza tributaria </w:t>
      </w:r>
      <w:r w:rsidRPr="0029329A">
        <w:rPr>
          <w:rFonts w:ascii="Times New Roman" w:hAnsi="Times New Roman" w:cs="Times New Roman"/>
          <w:sz w:val="28"/>
        </w:rPr>
        <w:t xml:space="preserve">como </w:t>
      </w:r>
      <w:r w:rsidRPr="0029329A">
        <w:rPr>
          <w:rFonts w:ascii="Times New Roman" w:hAnsi="Times New Roman" w:cs="Times New Roman"/>
          <w:sz w:val="28"/>
        </w:rPr>
        <w:t>“</w:t>
      </w:r>
      <w:r w:rsidRPr="0029329A">
        <w:rPr>
          <w:rFonts w:ascii="Times New Roman" w:hAnsi="Times New Roman" w:cs="Times New Roman"/>
          <w:sz w:val="28"/>
        </w:rPr>
        <w:t>una faceta del principio de legalidad que impone a las corporaciones públicas de representación popular la</w:t>
      </w:r>
      <w:r w:rsidRPr="0029329A">
        <w:rPr>
          <w:rFonts w:ascii="Times New Roman" w:hAnsi="Times New Roman" w:cs="Times New Roman"/>
          <w:i/>
          <w:iCs/>
          <w:sz w:val="28"/>
        </w:rPr>
        <w:t xml:space="preserve"> </w:t>
      </w:r>
      <w:r w:rsidRPr="0029329A">
        <w:rPr>
          <w:rFonts w:ascii="Times New Roman" w:hAnsi="Times New Roman" w:cs="Times New Roman"/>
          <w:sz w:val="28"/>
        </w:rPr>
        <w:t>obligación de</w:t>
      </w:r>
      <w:r w:rsidRPr="0029329A">
        <w:rPr>
          <w:rFonts w:ascii="Times New Roman" w:hAnsi="Times New Roman" w:cs="Times New Roman"/>
          <w:i/>
          <w:iCs/>
          <w:sz w:val="28"/>
        </w:rPr>
        <w:t xml:space="preserve"> </w:t>
      </w:r>
      <w:r w:rsidRPr="0029329A">
        <w:rPr>
          <w:rFonts w:ascii="Times New Roman" w:hAnsi="Times New Roman" w:cs="Times New Roman"/>
          <w:sz w:val="28"/>
        </w:rPr>
        <w:t>definir con razonable</w:t>
      </w:r>
      <w:r w:rsidRPr="0029329A">
        <w:rPr>
          <w:rFonts w:ascii="Times New Roman" w:hAnsi="Times New Roman" w:cs="Times New Roman"/>
          <w:i/>
          <w:iCs/>
          <w:sz w:val="28"/>
        </w:rPr>
        <w:t xml:space="preserve"> </w:t>
      </w:r>
      <w:r w:rsidRPr="0029329A">
        <w:rPr>
          <w:rFonts w:ascii="Times New Roman" w:hAnsi="Times New Roman" w:cs="Times New Roman"/>
          <w:sz w:val="28"/>
        </w:rPr>
        <w:t>“</w:t>
      </w:r>
      <w:r w:rsidRPr="0029329A">
        <w:rPr>
          <w:rFonts w:ascii="Times New Roman" w:hAnsi="Times New Roman" w:cs="Times New Roman"/>
          <w:i/>
          <w:iCs/>
          <w:sz w:val="28"/>
        </w:rPr>
        <w:t>claridad y precisión los elementos esenciales del impuesto, la tasa o la contribución</w:t>
      </w:r>
      <w:r w:rsidRPr="0029329A">
        <w:rPr>
          <w:rFonts w:ascii="Times New Roman" w:hAnsi="Times New Roman" w:cs="Times New Roman"/>
          <w:sz w:val="28"/>
        </w:rPr>
        <w:t>”</w:t>
      </w:r>
      <w:r w:rsidRPr="0029329A">
        <w:rPr>
          <w:rFonts w:ascii="Times New Roman" w:hAnsi="Times New Roman" w:cs="Times New Roman"/>
          <w:sz w:val="28"/>
          <w:vertAlign w:val="superscript"/>
        </w:rPr>
        <w:footnoteReference w:id="96"/>
      </w:r>
      <w:r w:rsidRPr="0029329A">
        <w:rPr>
          <w:rFonts w:ascii="Times New Roman" w:hAnsi="Times New Roman" w:cs="Times New Roman"/>
          <w:i/>
          <w:iCs/>
          <w:sz w:val="28"/>
        </w:rPr>
        <w:t xml:space="preserve"> </w:t>
      </w:r>
      <w:r w:rsidRPr="0029329A">
        <w:rPr>
          <w:rFonts w:ascii="Times New Roman" w:hAnsi="Times New Roman" w:cs="Times New Roman"/>
          <w:sz w:val="28"/>
        </w:rPr>
        <w:t>a saber:</w:t>
      </w:r>
      <w:r w:rsidRPr="0029329A">
        <w:rPr>
          <w:rFonts w:ascii="Times New Roman" w:hAnsi="Times New Roman" w:cs="Times New Roman"/>
          <w:i/>
          <w:iCs/>
          <w:sz w:val="28"/>
        </w:rPr>
        <w:t xml:space="preserve"> </w:t>
      </w:r>
      <w:r w:rsidRPr="0029329A">
        <w:rPr>
          <w:rFonts w:ascii="Times New Roman" w:hAnsi="Times New Roman" w:cs="Times New Roman"/>
          <w:sz w:val="28"/>
        </w:rPr>
        <w:t>sujeto activo, sujeto pasivo, hecho generador, base gravable y tarifa</w:t>
      </w:r>
      <w:r w:rsidRPr="0029329A">
        <w:rPr>
          <w:rFonts w:ascii="Times New Roman" w:hAnsi="Times New Roman" w:cs="Times New Roman"/>
          <w:sz w:val="28"/>
        </w:rPr>
        <w:t>”</w:t>
      </w:r>
      <w:r w:rsidRPr="0029329A">
        <w:rPr>
          <w:rFonts w:ascii="Times New Roman" w:hAnsi="Times New Roman" w:cs="Times New Roman"/>
          <w:sz w:val="28"/>
        </w:rPr>
        <w:t>.</w:t>
      </w:r>
      <w:r w:rsidRPr="0029329A">
        <w:rPr>
          <w:rFonts w:ascii="Times New Roman" w:hAnsi="Times New Roman" w:cs="Times New Roman"/>
          <w:sz w:val="28"/>
        </w:rPr>
        <w:t xml:space="preserve"> Así las cosas, para esta corporación, toda norma que pretenda </w:t>
      </w:r>
      <w:r w:rsidRPr="0029329A">
        <w:rPr>
          <w:rFonts w:ascii="Times New Roman" w:hAnsi="Times New Roman" w:cs="Times New Roman"/>
          <w:sz w:val="28"/>
        </w:rPr>
        <w:t>establecer una obligación</w:t>
      </w:r>
      <w:r w:rsidRPr="0029329A">
        <w:rPr>
          <w:rFonts w:ascii="Times New Roman" w:hAnsi="Times New Roman" w:cs="Times New Roman"/>
          <w:sz w:val="28"/>
        </w:rPr>
        <w:t xml:space="preserve"> tributaria </w:t>
      </w:r>
      <w:r w:rsidRPr="0029329A">
        <w:rPr>
          <w:rFonts w:ascii="Times New Roman" w:hAnsi="Times New Roman" w:cs="Times New Roman"/>
          <w:sz w:val="28"/>
        </w:rPr>
        <w:t xml:space="preserve">debe </w:t>
      </w:r>
      <w:r w:rsidRPr="0029329A">
        <w:rPr>
          <w:rFonts w:ascii="Times New Roman" w:hAnsi="Times New Roman" w:cs="Times New Roman"/>
          <w:sz w:val="28"/>
        </w:rPr>
        <w:t>defin</w:t>
      </w:r>
      <w:r w:rsidRPr="0029329A">
        <w:rPr>
          <w:rFonts w:ascii="Times New Roman" w:hAnsi="Times New Roman" w:cs="Times New Roman"/>
          <w:sz w:val="28"/>
        </w:rPr>
        <w:t>ir tales</w:t>
      </w:r>
      <w:r w:rsidRPr="0029329A">
        <w:rPr>
          <w:rFonts w:ascii="Times New Roman" w:hAnsi="Times New Roman" w:cs="Times New Roman"/>
          <w:sz w:val="28"/>
        </w:rPr>
        <w:t xml:space="preserve"> elementos</w:t>
      </w:r>
      <w:r w:rsidRPr="0029329A">
        <w:rPr>
          <w:rFonts w:ascii="Times New Roman" w:hAnsi="Times New Roman" w:cs="Times New Roman"/>
          <w:sz w:val="28"/>
        </w:rPr>
        <w:t>, de no hacerlo, se deberá entender que el tributo no existe</w:t>
      </w:r>
      <w:r w:rsidRPr="0029329A">
        <w:rPr>
          <w:rFonts w:ascii="Times New Roman" w:hAnsi="Times New Roman" w:cs="Times New Roman"/>
          <w:sz w:val="28"/>
          <w:vertAlign w:val="superscript"/>
        </w:rPr>
        <w:footnoteReference w:id="97"/>
      </w:r>
      <w:r w:rsidRPr="0029329A">
        <w:rPr>
          <w:rFonts w:ascii="Times New Roman" w:hAnsi="Times New Roman" w:cs="Times New Roman"/>
          <w:sz w:val="28"/>
        </w:rPr>
        <w:t xml:space="preserve">. </w:t>
      </w:r>
    </w:p>
    <w:p w:rsidR="008C0F47"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rPr>
      </w:pPr>
    </w:p>
    <w:p w:rsidR="004C7B02"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rPr>
      </w:pPr>
      <w:r w:rsidRPr="0029329A">
        <w:rPr>
          <w:rFonts w:ascii="Times New Roman" w:hAnsi="Times New Roman" w:cs="Times New Roman"/>
          <w:sz w:val="28"/>
        </w:rPr>
        <w:t>77</w:t>
      </w:r>
      <w:r w:rsidRPr="0029329A">
        <w:rPr>
          <w:rFonts w:ascii="Times New Roman" w:hAnsi="Times New Roman" w:cs="Times New Roman"/>
          <w:sz w:val="28"/>
        </w:rPr>
        <w:t xml:space="preserve">. </w:t>
      </w:r>
      <w:r w:rsidRPr="0029329A">
        <w:rPr>
          <w:rFonts w:ascii="Times New Roman" w:hAnsi="Times New Roman" w:cs="Times New Roman"/>
          <w:sz w:val="28"/>
        </w:rPr>
        <w:t>A su vez, la Corte explicó que e</w:t>
      </w:r>
      <w:r w:rsidRPr="0029329A">
        <w:rPr>
          <w:rFonts w:ascii="Times New Roman" w:hAnsi="Times New Roman" w:cs="Times New Roman"/>
          <w:sz w:val="28"/>
        </w:rPr>
        <w:t xml:space="preserve">l principio de certeza tributaria tiene </w:t>
      </w:r>
      <w:r w:rsidRPr="0029329A">
        <w:rPr>
          <w:rFonts w:ascii="Times New Roman" w:hAnsi="Times New Roman" w:cs="Times New Roman"/>
          <w:sz w:val="28"/>
        </w:rPr>
        <w:t xml:space="preserve">la </w:t>
      </w:r>
      <w:r w:rsidRPr="0029329A">
        <w:rPr>
          <w:rFonts w:ascii="Times New Roman" w:hAnsi="Times New Roman" w:cs="Times New Roman"/>
          <w:sz w:val="28"/>
        </w:rPr>
        <w:t>finalidad</w:t>
      </w:r>
      <w:r w:rsidRPr="0029329A">
        <w:rPr>
          <w:rFonts w:ascii="Times New Roman" w:hAnsi="Times New Roman" w:cs="Times New Roman"/>
          <w:sz w:val="28"/>
        </w:rPr>
        <w:t xml:space="preserve"> de</w:t>
      </w:r>
      <w:r w:rsidRPr="0029329A">
        <w:rPr>
          <w:rFonts w:ascii="Times New Roman" w:hAnsi="Times New Roman" w:cs="Times New Roman"/>
          <w:sz w:val="28"/>
        </w:rPr>
        <w:t xml:space="preserve"> </w:t>
      </w:r>
      <w:r w:rsidRPr="0029329A">
        <w:rPr>
          <w:rFonts w:ascii="Times New Roman" w:hAnsi="Times New Roman" w:cs="Times New Roman"/>
          <w:sz w:val="28"/>
        </w:rPr>
        <w:t>“</w:t>
      </w:r>
      <w:r w:rsidRPr="0029329A">
        <w:rPr>
          <w:rFonts w:ascii="Times New Roman" w:hAnsi="Times New Roman" w:cs="Times New Roman"/>
          <w:sz w:val="28"/>
        </w:rPr>
        <w:t xml:space="preserve">preservar la seguridad jurídica, pues permite que los ciudadanos conozcan </w:t>
      </w:r>
      <w:r w:rsidRPr="0029329A">
        <w:rPr>
          <w:rFonts w:ascii="Times New Roman" w:hAnsi="Times New Roman" w:cs="Times New Roman"/>
          <w:iCs/>
          <w:sz w:val="28"/>
        </w:rPr>
        <w:t>“</w:t>
      </w:r>
      <w:r w:rsidRPr="0029329A">
        <w:rPr>
          <w:rFonts w:ascii="Times New Roman" w:hAnsi="Times New Roman" w:cs="Times New Roman"/>
          <w:i/>
          <w:iCs/>
          <w:sz w:val="28"/>
        </w:rPr>
        <w:t>el contenido de sus deberes económicos para con el Estado</w:t>
      </w:r>
      <w:r w:rsidRPr="0029329A">
        <w:rPr>
          <w:rFonts w:ascii="Times New Roman" w:hAnsi="Times New Roman" w:cs="Times New Roman"/>
          <w:sz w:val="28"/>
        </w:rPr>
        <w:t>”</w:t>
      </w:r>
      <w:r w:rsidRPr="0029329A">
        <w:rPr>
          <w:rFonts w:ascii="Times New Roman" w:hAnsi="Times New Roman" w:cs="Times New Roman"/>
          <w:sz w:val="28"/>
          <w:vertAlign w:val="superscript"/>
        </w:rPr>
        <w:footnoteReference w:id="98"/>
      </w:r>
      <w:r w:rsidRPr="0029329A">
        <w:rPr>
          <w:rFonts w:ascii="Times New Roman" w:hAnsi="Times New Roman" w:cs="Times New Roman"/>
          <w:sz w:val="28"/>
        </w:rPr>
        <w:t>. Así mismo, busca incrementar la eficiencia tributaria en tanto la claridad de los elementos de la obligación fiscal cont</w:t>
      </w:r>
      <w:r w:rsidRPr="0029329A">
        <w:rPr>
          <w:rFonts w:ascii="Times New Roman" w:hAnsi="Times New Roman" w:cs="Times New Roman"/>
          <w:sz w:val="28"/>
        </w:rPr>
        <w:t>ribuye a facilitar el recaudo de los tributos y prevenir la evasión</w:t>
      </w:r>
      <w:r w:rsidRPr="0029329A">
        <w:rPr>
          <w:rFonts w:ascii="Times New Roman" w:hAnsi="Times New Roman" w:cs="Times New Roman"/>
          <w:color w:val="000000"/>
          <w:sz w:val="28"/>
          <w:szCs w:val="28"/>
        </w:rPr>
        <w:t xml:space="preserve"> fiscal</w:t>
      </w:r>
      <w:r w:rsidRPr="0029329A">
        <w:rPr>
          <w:rFonts w:ascii="Times New Roman" w:hAnsi="Times New Roman" w:cs="Times New Roman"/>
          <w:color w:val="000000"/>
          <w:sz w:val="28"/>
          <w:szCs w:val="28"/>
          <w:vertAlign w:val="superscript"/>
        </w:rPr>
        <w:footnoteReference w:id="99"/>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00"/>
      </w:r>
      <w:r w:rsidRPr="0029329A">
        <w:rPr>
          <w:rFonts w:ascii="Times New Roman" w:hAnsi="Times New Roman" w:cs="Times New Roman"/>
          <w:color w:val="000000"/>
          <w:sz w:val="28"/>
          <w:szCs w:val="28"/>
        </w:rPr>
        <w:t xml:space="preserve">. </w:t>
      </w:r>
      <w:r w:rsidRPr="0029329A">
        <w:rPr>
          <w:rFonts w:ascii="Times New Roman" w:hAnsi="Times New Roman" w:cs="Times New Roman"/>
          <w:color w:val="000000"/>
          <w:sz w:val="28"/>
          <w:szCs w:val="28"/>
        </w:rPr>
        <w:t>S</w:t>
      </w:r>
      <w:r w:rsidRPr="0029329A">
        <w:rPr>
          <w:rFonts w:ascii="Times New Roman" w:hAnsi="Times New Roman" w:cs="Times New Roman"/>
          <w:color w:val="000000"/>
          <w:sz w:val="28"/>
          <w:szCs w:val="28"/>
        </w:rPr>
        <w:t>obre las caract</w:t>
      </w:r>
      <w:r w:rsidRPr="0029329A">
        <w:rPr>
          <w:rFonts w:ascii="Times New Roman" w:hAnsi="Times New Roman" w:cs="Times New Roman"/>
          <w:color w:val="000000"/>
          <w:sz w:val="28"/>
          <w:szCs w:val="28"/>
        </w:rPr>
        <w:t>erísticas del principio de certeza tributaria</w:t>
      </w:r>
      <w:r w:rsidRPr="0029329A">
        <w:rPr>
          <w:rFonts w:ascii="Times New Roman" w:hAnsi="Times New Roman" w:cs="Times New Roman"/>
          <w:color w:val="000000"/>
          <w:sz w:val="28"/>
          <w:szCs w:val="28"/>
        </w:rPr>
        <w:t xml:space="preserve">, la jurisprudencia constitucional ha reiterado que: </w:t>
      </w:r>
    </w:p>
    <w:p w:rsidR="004C7B02"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rPr>
      </w:pPr>
    </w:p>
    <w:p w:rsidR="004C7B02"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rPr>
      </w:pPr>
      <w:r w:rsidRPr="0029329A">
        <w:rPr>
          <w:rFonts w:ascii="Times New Roman" w:hAnsi="Times New Roman" w:cs="Times New Roman"/>
          <w:color w:val="000000"/>
          <w:sz w:val="28"/>
          <w:szCs w:val="28"/>
        </w:rPr>
        <w:t>(i) N</w:t>
      </w:r>
      <w:r w:rsidRPr="0029329A">
        <w:rPr>
          <w:rFonts w:ascii="Times New Roman" w:hAnsi="Times New Roman" w:cs="Times New Roman"/>
          <w:color w:val="000000"/>
          <w:sz w:val="28"/>
          <w:szCs w:val="28"/>
        </w:rPr>
        <w:t>o es absoluto</w:t>
      </w:r>
      <w:r w:rsidRPr="0029329A">
        <w:rPr>
          <w:rFonts w:ascii="Times New Roman" w:hAnsi="Times New Roman" w:cs="Times New Roman"/>
          <w:color w:val="000000"/>
          <w:sz w:val="28"/>
          <w:szCs w:val="28"/>
        </w:rPr>
        <w:t xml:space="preserve">, pues </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lang w:val="es-ES"/>
        </w:rPr>
        <w:t xml:space="preserve">no exige que los elementos </w:t>
      </w:r>
      <w:r w:rsidRPr="0029329A">
        <w:rPr>
          <w:rFonts w:ascii="Times New Roman" w:hAnsi="Times New Roman" w:cs="Times New Roman"/>
          <w:color w:val="000000"/>
          <w:sz w:val="28"/>
          <w:szCs w:val="28"/>
          <w:lang w:val="es-ES"/>
        </w:rPr>
        <w:t>esenciales del tributo sean definidos de manera completamente inequívoca en la ley, ordenanza o acuerdo</w:t>
      </w:r>
      <w:r w:rsidRPr="0029329A">
        <w:rPr>
          <w:rFonts w:ascii="Times New Roman" w:hAnsi="Times New Roman" w:cs="Times New Roman"/>
          <w:color w:val="000000"/>
          <w:sz w:val="28"/>
          <w:szCs w:val="28"/>
          <w:vertAlign w:val="superscript"/>
          <w:lang w:val="es-ES"/>
        </w:rPr>
        <w:footnoteReference w:id="101"/>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 xml:space="preserve"> Para la Corte, u</w:t>
      </w:r>
      <w:r w:rsidRPr="0029329A">
        <w:rPr>
          <w:rFonts w:ascii="Times New Roman" w:hAnsi="Times New Roman" w:cs="Times New Roman"/>
          <w:color w:val="000000"/>
          <w:sz w:val="28"/>
          <w:szCs w:val="28"/>
          <w:lang w:val="es-ES"/>
        </w:rPr>
        <w:t xml:space="preserve">na obligación de esta naturaleza </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rPr>
        <w:t xml:space="preserve">reduciría drásticamente la competencia de los órganos colegiados de elección popular para crear </w:t>
      </w:r>
      <w:r w:rsidRPr="0029329A">
        <w:rPr>
          <w:rFonts w:ascii="Times New Roman" w:hAnsi="Times New Roman" w:cs="Times New Roman"/>
          <w:color w:val="000000"/>
          <w:sz w:val="28"/>
          <w:szCs w:val="28"/>
        </w:rPr>
        <w:t>tributos, “</w:t>
      </w:r>
      <w:r w:rsidRPr="0029329A">
        <w:rPr>
          <w:rFonts w:ascii="Times New Roman" w:hAnsi="Times New Roman" w:cs="Times New Roman"/>
          <w:iCs/>
          <w:color w:val="000000"/>
          <w:sz w:val="28"/>
          <w:szCs w:val="28"/>
        </w:rPr>
        <w:t>al exigirles un grado de exactitud frecuentemente irrealizable en el lenguaje</w:t>
      </w:r>
      <w:r w:rsidRPr="0029329A">
        <w:rPr>
          <w:rFonts w:ascii="Times New Roman" w:hAnsi="Times New Roman" w:cs="Times New Roman"/>
          <w:i/>
          <w:iCs/>
          <w:color w:val="000000"/>
          <w:sz w:val="28"/>
          <w:szCs w:val="28"/>
        </w:rPr>
        <w:t xml:space="preserve"> ordinario</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02"/>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03"/>
      </w:r>
      <w:r w:rsidRPr="0029329A">
        <w:rPr>
          <w:rFonts w:ascii="Times New Roman" w:hAnsi="Times New Roman" w:cs="Times New Roman"/>
          <w:color w:val="000000"/>
          <w:sz w:val="28"/>
          <w:szCs w:val="28"/>
        </w:rPr>
        <w:t>.</w:t>
      </w:r>
    </w:p>
    <w:p w:rsidR="004C7B02"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rPr>
      </w:pPr>
    </w:p>
    <w:p w:rsidR="001A0F94"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lang w:val="es-ES_tradnl"/>
        </w:rPr>
      </w:pP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ii) T</w:t>
      </w:r>
      <w:r w:rsidRPr="0029329A">
        <w:rPr>
          <w:rFonts w:ascii="Times New Roman" w:hAnsi="Times New Roman" w:cs="Times New Roman"/>
          <w:sz w:val="28"/>
          <w:szCs w:val="28"/>
        </w:rPr>
        <w:t xml:space="preserve">iene un contenido </w:t>
      </w:r>
      <w:r w:rsidRPr="0029329A">
        <w:rPr>
          <w:rFonts w:ascii="Times New Roman" w:hAnsi="Times New Roman" w:cs="Times New Roman"/>
          <w:sz w:val="28"/>
          <w:szCs w:val="28"/>
        </w:rPr>
        <w:t>“</w:t>
      </w:r>
      <w:r w:rsidRPr="0029329A">
        <w:rPr>
          <w:rFonts w:ascii="Times New Roman" w:hAnsi="Times New Roman" w:cs="Times New Roman"/>
          <w:sz w:val="28"/>
          <w:szCs w:val="28"/>
        </w:rPr>
        <w:t>relativo o “flexible”</w:t>
      </w:r>
      <w:r w:rsidRPr="0029329A">
        <w:rPr>
          <w:rFonts w:ascii="Times New Roman" w:hAnsi="Times New Roman" w:cs="Times New Roman"/>
          <w:sz w:val="28"/>
          <w:szCs w:val="28"/>
          <w:vertAlign w:val="superscript"/>
        </w:rPr>
        <w:footnoteReference w:id="104"/>
      </w:r>
      <w:r w:rsidRPr="0029329A">
        <w:rPr>
          <w:rFonts w:ascii="Times New Roman" w:hAnsi="Times New Roman" w:cs="Times New Roman"/>
          <w:sz w:val="28"/>
          <w:szCs w:val="28"/>
        </w:rPr>
        <w:t>”</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porque, por una parte, </w:t>
      </w:r>
      <w:r w:rsidRPr="0029329A">
        <w:rPr>
          <w:rFonts w:ascii="Times New Roman" w:hAnsi="Times New Roman" w:cs="Times New Roman"/>
          <w:color w:val="000000"/>
          <w:sz w:val="28"/>
          <w:szCs w:val="28"/>
          <w:lang w:val="es-ES"/>
        </w:rPr>
        <w:t xml:space="preserve">la Constitución impone al legislador </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w:t>
      </w:r>
      <w:r w:rsidRPr="0029329A">
        <w:rPr>
          <w:rFonts w:ascii="Times New Roman" w:hAnsi="Times New Roman" w:cs="Times New Roman"/>
          <w:i/>
          <w:color w:val="000000"/>
          <w:sz w:val="28"/>
          <w:szCs w:val="28"/>
        </w:rPr>
        <w:t>niveles diferenciados</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vertAlign w:val="superscript"/>
        </w:rPr>
        <w:footnoteReference w:id="105"/>
      </w:r>
      <w:r w:rsidRPr="0029329A">
        <w:rPr>
          <w:rFonts w:ascii="Times New Roman" w:hAnsi="Times New Roman" w:cs="Times New Roman"/>
          <w:color w:val="000000"/>
          <w:sz w:val="28"/>
          <w:szCs w:val="28"/>
        </w:rPr>
        <w:t xml:space="preserve"> de precisión en el diseño del régimen jurídico de la obligación fiscal que dependen del tipo de tributo y del elemento esencial de que se </w:t>
      </w:r>
      <w:r w:rsidRPr="0029329A">
        <w:rPr>
          <w:rFonts w:ascii="Times New Roman" w:hAnsi="Times New Roman" w:cs="Times New Roman"/>
          <w:color w:val="000000"/>
          <w:sz w:val="28"/>
          <w:szCs w:val="28"/>
          <w:lang w:val="es-ES"/>
        </w:rPr>
        <w:t>trate</w:t>
      </w:r>
      <w:r w:rsidRPr="0029329A">
        <w:rPr>
          <w:rFonts w:ascii="Times New Roman" w:hAnsi="Times New Roman" w:cs="Times New Roman"/>
          <w:color w:val="000000"/>
          <w:sz w:val="28"/>
          <w:szCs w:val="28"/>
          <w:vertAlign w:val="superscript"/>
          <w:lang w:val="es-ES"/>
        </w:rPr>
        <w:footnoteReference w:id="106"/>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 xml:space="preserve"> En esa medida, </w:t>
      </w:r>
      <w:r w:rsidRPr="0029329A">
        <w:rPr>
          <w:rFonts w:ascii="Times New Roman" w:hAnsi="Times New Roman" w:cs="Times New Roman"/>
          <w:color w:val="000000"/>
          <w:sz w:val="28"/>
          <w:szCs w:val="28"/>
          <w:lang w:val="es-ES_tradnl"/>
        </w:rPr>
        <w:t xml:space="preserve">la Corte </w:t>
      </w:r>
      <w:r w:rsidRPr="0029329A">
        <w:rPr>
          <w:rFonts w:ascii="Times New Roman" w:hAnsi="Times New Roman" w:cs="Times New Roman"/>
          <w:color w:val="000000"/>
          <w:sz w:val="28"/>
          <w:szCs w:val="28"/>
          <w:lang w:val="es-ES_tradnl"/>
        </w:rPr>
        <w:t xml:space="preserve">reconoce </w:t>
      </w:r>
      <w:r w:rsidRPr="0029329A">
        <w:rPr>
          <w:rFonts w:ascii="Times New Roman" w:hAnsi="Times New Roman" w:cs="Times New Roman"/>
          <w:color w:val="000000"/>
          <w:sz w:val="28"/>
          <w:szCs w:val="28"/>
          <w:lang w:val="es-ES_tradnl"/>
        </w:rPr>
        <w:t xml:space="preserve">que, en el campo de las contribuciones parafiscales, </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rPr>
        <w:t xml:space="preserve">el legislador está </w:t>
      </w:r>
      <w:r w:rsidRPr="0029329A">
        <w:rPr>
          <w:rFonts w:ascii="Times New Roman" w:hAnsi="Times New Roman" w:cs="Times New Roman"/>
          <w:color w:val="000000"/>
          <w:sz w:val="28"/>
          <w:szCs w:val="28"/>
        </w:rPr>
        <w:t>obligado a definir con un alto grado de precisión y claridad el régimen de administración y recaudo, pues este usualmente se confía a particulares</w:t>
      </w:r>
      <w:r w:rsidRPr="0029329A">
        <w:rPr>
          <w:rFonts w:ascii="Times New Roman" w:hAnsi="Times New Roman" w:cs="Times New Roman"/>
          <w:color w:val="000000"/>
          <w:sz w:val="28"/>
          <w:szCs w:val="28"/>
          <w:vertAlign w:val="superscript"/>
        </w:rPr>
        <w:footnoteReference w:id="107"/>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 xml:space="preserve"> A su turno, ha explicado que</w:t>
      </w:r>
      <w:r w:rsidRPr="0029329A">
        <w:rPr>
          <w:rFonts w:ascii="Times New Roman" w:hAnsi="Times New Roman" w:cs="Times New Roman"/>
          <w:i/>
          <w:color w:val="000000"/>
          <w:sz w:val="28"/>
          <w:szCs w:val="28"/>
        </w:rPr>
        <w:t xml:space="preserve"> </w:t>
      </w:r>
      <w:r w:rsidRPr="0029329A">
        <w:rPr>
          <w:rFonts w:ascii="Times New Roman" w:hAnsi="Times New Roman" w:cs="Times New Roman"/>
          <w:color w:val="000000"/>
          <w:sz w:val="28"/>
          <w:szCs w:val="28"/>
          <w:lang w:val="es-ES_tradnl"/>
        </w:rPr>
        <w:t>el principio de legalidad en materia tributaria adquiere “</w:t>
      </w:r>
      <w:r w:rsidRPr="0029329A">
        <w:rPr>
          <w:rFonts w:ascii="Times New Roman" w:hAnsi="Times New Roman" w:cs="Times New Roman"/>
          <w:i/>
          <w:color w:val="000000"/>
          <w:sz w:val="28"/>
          <w:szCs w:val="28"/>
          <w:lang w:val="es-ES_tradnl"/>
        </w:rPr>
        <w:t>una dimensión especí</w:t>
      </w:r>
      <w:r w:rsidRPr="0029329A">
        <w:rPr>
          <w:rFonts w:ascii="Times New Roman" w:hAnsi="Times New Roman" w:cs="Times New Roman"/>
          <w:i/>
          <w:color w:val="000000"/>
          <w:sz w:val="28"/>
          <w:szCs w:val="28"/>
          <w:lang w:val="es-ES_tradnl"/>
        </w:rPr>
        <w:t>fica cuando de la determinación de la tarifa de tasas y contribuciones se trata</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vertAlign w:val="superscript"/>
          <w:lang w:val="es-ES_tradnl"/>
        </w:rPr>
        <w:footnoteReference w:id="108"/>
      </w:r>
    </w:p>
    <w:p w:rsidR="001A0F94"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lang w:val="es-ES_tradnl"/>
        </w:rPr>
      </w:pPr>
    </w:p>
    <w:p w:rsidR="001A0F94" w:rsidRPr="0029329A" w:rsidRDefault="0029329A" w:rsidP="00773A7F">
      <w:pPr>
        <w:pStyle w:val="Prrafodelista"/>
        <w:widowControl w:val="0"/>
        <w:tabs>
          <w:tab w:val="left" w:pos="567"/>
        </w:tabs>
        <w:spacing w:before="0" w:beforeAutospacing="0" w:after="0" w:afterAutospacing="0" w:line="360" w:lineRule="atLeast"/>
        <w:contextualSpacing/>
        <w:jc w:val="both"/>
        <w:rPr>
          <w:rFonts w:ascii="Times New Roman" w:hAnsi="Times New Roman" w:cs="Times New Roman"/>
          <w:color w:val="000000"/>
          <w:sz w:val="28"/>
          <w:szCs w:val="28"/>
          <w:lang w:val="es-ES"/>
        </w:rPr>
      </w:pPr>
      <w:r w:rsidRPr="0029329A">
        <w:rPr>
          <w:rFonts w:ascii="Times New Roman" w:hAnsi="Times New Roman" w:cs="Times New Roman"/>
          <w:color w:val="000000"/>
          <w:sz w:val="28"/>
          <w:szCs w:val="28"/>
          <w:lang w:val="es-ES_tradnl"/>
        </w:rPr>
        <w:t>78</w:t>
      </w:r>
      <w:r w:rsidRPr="0029329A">
        <w:rPr>
          <w:rFonts w:ascii="Times New Roman" w:hAnsi="Times New Roman" w:cs="Times New Roman"/>
          <w:color w:val="000000"/>
          <w:sz w:val="28"/>
          <w:szCs w:val="28"/>
          <w:lang w:val="es-ES_tradnl"/>
        </w:rPr>
        <w:t xml:space="preserve">. </w:t>
      </w:r>
      <w:r w:rsidRPr="0029329A">
        <w:rPr>
          <w:rFonts w:ascii="Times New Roman" w:hAnsi="Times New Roman" w:cs="Times New Roman"/>
          <w:color w:val="000000"/>
          <w:sz w:val="28"/>
          <w:szCs w:val="28"/>
          <w:lang w:val="es-ES_tradnl"/>
        </w:rPr>
        <w:t>Lo anterior</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lang w:val="es-ES_tradnl"/>
        </w:rPr>
        <w:t xml:space="preserve"> por cuanto, para esta corporación </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lang w:val="es-ES_tradnl"/>
        </w:rPr>
        <w:t>e</w:t>
      </w:r>
      <w:r w:rsidRPr="0029329A">
        <w:rPr>
          <w:rFonts w:ascii="Times New Roman" w:hAnsi="Times New Roman" w:cs="Times New Roman"/>
          <w:color w:val="000000"/>
          <w:sz w:val="28"/>
          <w:szCs w:val="28"/>
          <w:lang w:val="es-ES_tradnl"/>
        </w:rPr>
        <w:t xml:space="preserve">l inciso 2 del artículo 338 de la Constitución autoriza </w:t>
      </w:r>
      <w:r w:rsidRPr="0029329A">
        <w:rPr>
          <w:rFonts w:ascii="Times New Roman" w:hAnsi="Times New Roman" w:cs="Times New Roman"/>
          <w:iCs/>
          <w:color w:val="000000"/>
          <w:sz w:val="28"/>
          <w:szCs w:val="28"/>
          <w:lang w:val="es-ES_tradnl"/>
        </w:rPr>
        <w:t>excepcionalmente</w:t>
      </w:r>
      <w:r w:rsidRPr="0029329A">
        <w:rPr>
          <w:rFonts w:ascii="Times New Roman" w:hAnsi="Times New Roman" w:cs="Times New Roman"/>
          <w:i/>
          <w:iCs/>
          <w:color w:val="000000"/>
          <w:sz w:val="28"/>
          <w:szCs w:val="28"/>
          <w:lang w:val="es-ES_tradnl"/>
        </w:rPr>
        <w:t xml:space="preserve"> </w:t>
      </w:r>
      <w:r w:rsidRPr="0029329A">
        <w:rPr>
          <w:rFonts w:ascii="Times New Roman" w:hAnsi="Times New Roman" w:cs="Times New Roman"/>
          <w:color w:val="000000"/>
          <w:sz w:val="28"/>
          <w:szCs w:val="28"/>
          <w:lang w:val="es-ES_tradnl"/>
        </w:rPr>
        <w:t xml:space="preserve">que, por medio de la Ley, las ordenanzas y los acuerdos se permita que las </w:t>
      </w:r>
      <w:r w:rsidRPr="0029329A">
        <w:rPr>
          <w:rFonts w:ascii="Times New Roman" w:hAnsi="Times New Roman" w:cs="Times New Roman"/>
          <w:iCs/>
          <w:color w:val="000000"/>
          <w:sz w:val="28"/>
          <w:szCs w:val="28"/>
          <w:lang w:val="es-ES_tradnl"/>
        </w:rPr>
        <w:t xml:space="preserve">autoridades administrativas </w:t>
      </w:r>
      <w:r w:rsidRPr="0029329A">
        <w:rPr>
          <w:rFonts w:ascii="Times New Roman" w:hAnsi="Times New Roman" w:cs="Times New Roman"/>
          <w:color w:val="000000"/>
          <w:sz w:val="28"/>
          <w:szCs w:val="28"/>
          <w:lang w:val="es-ES_tradnl"/>
        </w:rPr>
        <w:t xml:space="preserve">fijen la tarifa de las </w:t>
      </w:r>
      <w:r w:rsidRPr="0029329A">
        <w:rPr>
          <w:rFonts w:ascii="Times New Roman" w:hAnsi="Times New Roman" w:cs="Times New Roman"/>
          <w:iCs/>
          <w:color w:val="000000"/>
          <w:sz w:val="28"/>
          <w:szCs w:val="28"/>
          <w:lang w:val="es-ES_tradnl"/>
        </w:rPr>
        <w:t>tasas</w:t>
      </w:r>
      <w:r w:rsidRPr="0029329A">
        <w:rPr>
          <w:rFonts w:ascii="Times New Roman" w:hAnsi="Times New Roman" w:cs="Times New Roman"/>
          <w:i/>
          <w:iCs/>
          <w:color w:val="000000"/>
          <w:sz w:val="28"/>
          <w:szCs w:val="28"/>
          <w:lang w:val="es-ES_tradnl"/>
        </w:rPr>
        <w:t xml:space="preserve"> </w:t>
      </w:r>
      <w:r w:rsidRPr="0029329A">
        <w:rPr>
          <w:rFonts w:ascii="Times New Roman" w:hAnsi="Times New Roman" w:cs="Times New Roman"/>
          <w:color w:val="000000"/>
          <w:sz w:val="28"/>
          <w:szCs w:val="28"/>
          <w:lang w:val="es-ES_tradnl"/>
        </w:rPr>
        <w:t>y contribuciones</w:t>
      </w:r>
      <w:r w:rsidRPr="0029329A">
        <w:rPr>
          <w:rFonts w:ascii="Times New Roman" w:hAnsi="Times New Roman" w:cs="Times New Roman"/>
          <w:color w:val="000000"/>
          <w:sz w:val="28"/>
          <w:szCs w:val="28"/>
          <w:lang w:val="es-ES_tradnl"/>
        </w:rPr>
        <w:t>”</w:t>
      </w:r>
      <w:r w:rsidRPr="0029329A">
        <w:rPr>
          <w:rStyle w:val="Refdenotaalpie"/>
          <w:rFonts w:ascii="Times New Roman" w:hAnsi="Times New Roman"/>
          <w:color w:val="000000"/>
          <w:sz w:val="28"/>
          <w:szCs w:val="28"/>
          <w:vertAlign w:val="superscript"/>
        </w:rPr>
        <w:footnoteReference w:id="109"/>
      </w:r>
      <w:r w:rsidRPr="0029329A">
        <w:rPr>
          <w:rFonts w:ascii="Times New Roman" w:hAnsi="Times New Roman" w:cs="Times New Roman"/>
          <w:color w:val="000000"/>
          <w:sz w:val="28"/>
          <w:szCs w:val="28"/>
          <w:lang w:val="es-ES_tradnl"/>
        </w:rPr>
        <w:t>.</w:t>
      </w:r>
    </w:p>
    <w:p w:rsidR="00120C68"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586371"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rPr>
      </w:pPr>
      <w:r w:rsidRPr="0029329A">
        <w:rPr>
          <w:rFonts w:ascii="Times New Roman" w:hAnsi="Times New Roman" w:cs="Times New Roman"/>
          <w:color w:val="000000"/>
          <w:sz w:val="28"/>
          <w:szCs w:val="28"/>
          <w:lang w:val="es-ES"/>
        </w:rPr>
        <w:t>79</w:t>
      </w:r>
      <w:r w:rsidRPr="0029329A">
        <w:rPr>
          <w:rFonts w:ascii="Times New Roman" w:hAnsi="Times New Roman" w:cs="Times New Roman"/>
          <w:color w:val="000000"/>
          <w:sz w:val="28"/>
          <w:szCs w:val="28"/>
          <w:lang w:val="es-ES"/>
        </w:rPr>
        <w:t xml:space="preserve">. </w:t>
      </w:r>
      <w:r w:rsidRPr="0029329A">
        <w:rPr>
          <w:rFonts w:ascii="Times New Roman" w:hAnsi="Times New Roman" w:cs="Times New Roman"/>
          <w:color w:val="000000"/>
          <w:sz w:val="28"/>
          <w:szCs w:val="28"/>
          <w:lang w:val="es-ES"/>
        </w:rPr>
        <w:t>En la citada sentencia C-019 de 2022, la Corte reiteró que</w:t>
      </w:r>
      <w:r w:rsidRPr="0029329A">
        <w:rPr>
          <w:rFonts w:ascii="Times New Roman" w:hAnsi="Times New Roman" w:cs="Times New Roman"/>
          <w:color w:val="000000"/>
          <w:sz w:val="28"/>
          <w:szCs w:val="28"/>
          <w:lang w:val="es-ES"/>
        </w:rPr>
        <w:t xml:space="preserve">, por una parte, </w:t>
      </w:r>
      <w:r w:rsidRPr="0029329A">
        <w:rPr>
          <w:rFonts w:ascii="Times New Roman" w:hAnsi="Times New Roman" w:cs="Times New Roman"/>
          <w:color w:val="000000"/>
          <w:sz w:val="28"/>
          <w:szCs w:val="28"/>
          <w:lang w:val="es-ES"/>
        </w:rPr>
        <w:t xml:space="preserve">el </w:t>
      </w:r>
      <w:r w:rsidRPr="0029329A">
        <w:rPr>
          <w:rFonts w:ascii="Times New Roman" w:hAnsi="Times New Roman" w:cs="Times New Roman"/>
          <w:color w:val="000000"/>
          <w:sz w:val="28"/>
          <w:szCs w:val="28"/>
          <w:lang w:val="es-ES_tradnl"/>
        </w:rPr>
        <w:t>principio de legalida</w:t>
      </w:r>
      <w:r w:rsidRPr="0029329A">
        <w:rPr>
          <w:rFonts w:ascii="Times New Roman" w:hAnsi="Times New Roman" w:cs="Times New Roman"/>
          <w:color w:val="000000"/>
          <w:sz w:val="28"/>
          <w:szCs w:val="28"/>
          <w:lang w:val="es-ES_tradnl"/>
        </w:rPr>
        <w:t xml:space="preserve">d en su faceta de certeza tributaria </w:t>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lang w:val="es-ES_tradnl"/>
        </w:rPr>
        <w:t>limita y enmarca, pero no anula la facultad reglamentaria de las autoridades administrativas en materia impositiva</w:t>
      </w:r>
      <w:r w:rsidRPr="0029329A">
        <w:rPr>
          <w:rFonts w:ascii="Times New Roman" w:hAnsi="Times New Roman" w:cs="Times New Roman"/>
          <w:color w:val="000000"/>
          <w:sz w:val="28"/>
          <w:szCs w:val="28"/>
          <w:vertAlign w:val="superscript"/>
          <w:lang w:val="es-ES"/>
        </w:rPr>
        <w:footnoteReference w:id="110"/>
      </w:r>
      <w:r w:rsidRPr="0029329A">
        <w:rPr>
          <w:rFonts w:ascii="Times New Roman" w:hAnsi="Times New Roman" w:cs="Times New Roman"/>
          <w:color w:val="000000"/>
          <w:sz w:val="28"/>
          <w:szCs w:val="28"/>
          <w:lang w:val="es-ES_tradnl"/>
        </w:rPr>
        <w:t>”</w:t>
      </w:r>
      <w:r w:rsidRPr="0029329A">
        <w:rPr>
          <w:rFonts w:ascii="Times New Roman" w:hAnsi="Times New Roman" w:cs="Times New Roman"/>
          <w:color w:val="000000"/>
          <w:sz w:val="28"/>
          <w:szCs w:val="28"/>
          <w:lang w:val="es-ES_tradnl"/>
        </w:rPr>
        <w:t xml:space="preserve">, pues </w:t>
      </w:r>
      <w:r w:rsidRPr="0029329A">
        <w:rPr>
          <w:rFonts w:ascii="Times New Roman" w:hAnsi="Times New Roman" w:cs="Times New Roman"/>
          <w:color w:val="000000"/>
          <w:sz w:val="28"/>
          <w:szCs w:val="28"/>
          <w:lang w:val="es-ES_tradnl"/>
        </w:rPr>
        <w:t>la Constitución no exige al</w:t>
      </w:r>
      <w:r w:rsidRPr="0029329A">
        <w:rPr>
          <w:rFonts w:ascii="Times New Roman" w:hAnsi="Times New Roman" w:cs="Times New Roman"/>
          <w:color w:val="000000"/>
          <w:sz w:val="28"/>
          <w:szCs w:val="28"/>
        </w:rPr>
        <w:t xml:space="preserve"> legislador </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 xml:space="preserve">llevar a cabo una regulación exhaustiva </w:t>
      </w:r>
      <w:r w:rsidRPr="0029329A">
        <w:rPr>
          <w:rFonts w:ascii="Times New Roman" w:hAnsi="Times New Roman" w:cs="Times New Roman"/>
          <w:color w:val="000000"/>
          <w:sz w:val="28"/>
          <w:szCs w:val="28"/>
          <w:lang w:val="es-ES_tradnl"/>
        </w:rPr>
        <w:t>del</w:t>
      </w:r>
      <w:r w:rsidRPr="0029329A">
        <w:rPr>
          <w:rFonts w:ascii="Times New Roman" w:hAnsi="Times New Roman" w:cs="Times New Roman"/>
          <w:color w:val="000000"/>
          <w:sz w:val="28"/>
          <w:szCs w:val="28"/>
        </w:rPr>
        <w:t xml:space="preserve"> régimen jurídico de la obligación tributaria</w:t>
      </w:r>
      <w:r w:rsidRPr="0029329A">
        <w:rPr>
          <w:rFonts w:ascii="Times New Roman" w:hAnsi="Times New Roman" w:cs="Times New Roman"/>
          <w:color w:val="000000"/>
          <w:sz w:val="28"/>
          <w:szCs w:val="28"/>
          <w:vertAlign w:val="superscript"/>
        </w:rPr>
        <w:footnoteReference w:id="111"/>
      </w:r>
      <w:r w:rsidRPr="0029329A">
        <w:rPr>
          <w:rFonts w:ascii="Times New Roman" w:hAnsi="Times New Roman" w:cs="Times New Roman"/>
          <w:color w:val="000000"/>
          <w:sz w:val="28"/>
          <w:szCs w:val="28"/>
        </w:rPr>
        <w:t xml:space="preserve"> y permite que la reglamentación de algunas materias sea delegada a la administración</w:t>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12"/>
      </w:r>
      <w:r w:rsidRPr="0029329A">
        <w:rPr>
          <w:rFonts w:ascii="Times New Roman" w:hAnsi="Times New Roman" w:cs="Times New Roman"/>
          <w:color w:val="000000"/>
          <w:sz w:val="28"/>
          <w:szCs w:val="28"/>
        </w:rPr>
        <w:t xml:space="preserve">. </w:t>
      </w:r>
    </w:p>
    <w:p w:rsidR="00586371"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rPr>
      </w:pPr>
    </w:p>
    <w:p w:rsidR="00D535F1"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lang w:val="es-ES"/>
        </w:rPr>
      </w:pPr>
      <w:r w:rsidRPr="0029329A">
        <w:rPr>
          <w:rFonts w:ascii="Times New Roman" w:hAnsi="Times New Roman" w:cs="Times New Roman"/>
          <w:color w:val="000000"/>
          <w:sz w:val="28"/>
          <w:szCs w:val="28"/>
        </w:rPr>
        <w:t>8</w:t>
      </w:r>
      <w:r w:rsidRPr="0029329A">
        <w:rPr>
          <w:rFonts w:ascii="Times New Roman" w:hAnsi="Times New Roman" w:cs="Times New Roman"/>
          <w:color w:val="000000"/>
          <w:sz w:val="28"/>
          <w:szCs w:val="28"/>
        </w:rPr>
        <w:t>0</w:t>
      </w:r>
      <w:r w:rsidRPr="0029329A">
        <w:rPr>
          <w:rFonts w:ascii="Times New Roman" w:hAnsi="Times New Roman" w:cs="Times New Roman"/>
          <w:color w:val="000000"/>
          <w:sz w:val="28"/>
          <w:szCs w:val="28"/>
        </w:rPr>
        <w:t xml:space="preserve">. </w:t>
      </w:r>
      <w:r w:rsidRPr="0029329A">
        <w:rPr>
          <w:rFonts w:ascii="Times New Roman" w:hAnsi="Times New Roman" w:cs="Times New Roman"/>
          <w:color w:val="000000"/>
          <w:sz w:val="28"/>
          <w:szCs w:val="28"/>
        </w:rPr>
        <w:t xml:space="preserve">Así las cosas, </w:t>
      </w:r>
      <w:r w:rsidRPr="0029329A">
        <w:rPr>
          <w:rFonts w:ascii="Times New Roman" w:hAnsi="Times New Roman" w:cs="Times New Roman"/>
          <w:color w:val="000000"/>
          <w:sz w:val="28"/>
          <w:szCs w:val="28"/>
          <w:lang w:val="es-ES_tradnl"/>
        </w:rPr>
        <w:t>la Corte Constitucional ha reconocido que las autoridades administrativas cuentan con potestad regla</w:t>
      </w:r>
      <w:r w:rsidRPr="0029329A">
        <w:rPr>
          <w:rFonts w:ascii="Times New Roman" w:hAnsi="Times New Roman" w:cs="Times New Roman"/>
          <w:color w:val="000000"/>
          <w:sz w:val="28"/>
          <w:szCs w:val="28"/>
          <w:lang w:val="es-ES_tradnl"/>
        </w:rPr>
        <w:t xml:space="preserve">mentaria en relación con: </w:t>
      </w:r>
      <w:r w:rsidRPr="0029329A">
        <w:rPr>
          <w:rFonts w:ascii="Times New Roman" w:hAnsi="Times New Roman" w:cs="Times New Roman"/>
          <w:color w:val="000000"/>
          <w:sz w:val="28"/>
          <w:szCs w:val="28"/>
          <w:lang w:val="es-ES_tradnl"/>
        </w:rPr>
        <w:t>“</w:t>
      </w:r>
      <w:r w:rsidRPr="0029329A">
        <w:rPr>
          <w:rFonts w:ascii="Times New Roman" w:hAnsi="Times New Roman" w:cs="Times New Roman"/>
          <w:i/>
          <w:color w:val="000000"/>
          <w:sz w:val="28"/>
          <w:szCs w:val="28"/>
          <w:lang w:val="es-ES_tradnl"/>
        </w:rPr>
        <w:t>(i)</w:t>
      </w:r>
      <w:r w:rsidRPr="0029329A">
        <w:rPr>
          <w:rFonts w:ascii="Times New Roman" w:hAnsi="Times New Roman" w:cs="Times New Roman"/>
          <w:color w:val="000000"/>
          <w:sz w:val="28"/>
          <w:szCs w:val="28"/>
          <w:lang w:val="es-ES_tradnl"/>
        </w:rPr>
        <w:t xml:space="preserve"> la concreción de variables económicas que inciden en los elementos esenciales de la obligación fiscal y </w:t>
      </w:r>
      <w:r w:rsidRPr="0029329A">
        <w:rPr>
          <w:rFonts w:ascii="Times New Roman" w:hAnsi="Times New Roman" w:cs="Times New Roman"/>
          <w:i/>
          <w:color w:val="000000"/>
          <w:sz w:val="28"/>
          <w:szCs w:val="28"/>
          <w:lang w:val="es-ES_tradnl"/>
        </w:rPr>
        <w:t xml:space="preserve">(ii) </w:t>
      </w:r>
      <w:r w:rsidRPr="0029329A">
        <w:rPr>
          <w:rFonts w:ascii="Times New Roman" w:hAnsi="Times New Roman" w:cs="Times New Roman"/>
          <w:color w:val="000000"/>
          <w:sz w:val="28"/>
          <w:szCs w:val="28"/>
          <w:lang w:val="es-ES_tradnl"/>
        </w:rPr>
        <w:t>la regulación de</w:t>
      </w:r>
      <w:r w:rsidRPr="0029329A">
        <w:rPr>
          <w:rFonts w:ascii="Times New Roman" w:hAnsi="Times New Roman" w:cs="Times New Roman"/>
          <w:i/>
          <w:color w:val="000000"/>
          <w:sz w:val="28"/>
          <w:szCs w:val="28"/>
          <w:lang w:val="es-ES_tradnl"/>
        </w:rPr>
        <w:t xml:space="preserve"> </w:t>
      </w:r>
      <w:r w:rsidRPr="0029329A">
        <w:rPr>
          <w:rFonts w:ascii="Times New Roman" w:hAnsi="Times New Roman" w:cs="Times New Roman"/>
          <w:color w:val="000000"/>
          <w:sz w:val="28"/>
          <w:szCs w:val="28"/>
          <w:lang w:val="es-ES_tradnl"/>
        </w:rPr>
        <w:t>a</w:t>
      </w:r>
      <w:r w:rsidRPr="0029329A">
        <w:rPr>
          <w:rFonts w:ascii="Times New Roman" w:hAnsi="Times New Roman" w:cs="Times New Roman"/>
          <w:color w:val="000000"/>
          <w:sz w:val="28"/>
          <w:szCs w:val="28"/>
        </w:rPr>
        <w:t>spectos</w:t>
      </w:r>
      <w:r w:rsidRPr="0029329A">
        <w:rPr>
          <w:rFonts w:ascii="Times New Roman" w:hAnsi="Times New Roman" w:cs="Times New Roman"/>
          <w:color w:val="000000"/>
          <w:sz w:val="28"/>
          <w:szCs w:val="28"/>
        </w:rPr>
        <w:t xml:space="preserve"> técnicos </w:t>
      </w:r>
      <w:r w:rsidRPr="0029329A">
        <w:rPr>
          <w:rFonts w:ascii="Times New Roman" w:hAnsi="Times New Roman" w:cs="Times New Roman"/>
          <w:iCs/>
          <w:color w:val="000000"/>
          <w:sz w:val="28"/>
          <w:szCs w:val="28"/>
        </w:rPr>
        <w:t>vinculados a la ejecución técnica y administrativa de los tributos</w:t>
      </w:r>
      <w:r w:rsidRPr="0029329A">
        <w:rPr>
          <w:rFonts w:ascii="Times New Roman" w:hAnsi="Times New Roman" w:cs="Times New Roman"/>
          <w:iCs/>
          <w:color w:val="000000"/>
          <w:sz w:val="28"/>
          <w:szCs w:val="28"/>
        </w:rPr>
        <w:t>”</w:t>
      </w:r>
      <w:r w:rsidRPr="0029329A">
        <w:rPr>
          <w:rStyle w:val="Refdenotaalpie"/>
          <w:rFonts w:ascii="Times New Roman" w:hAnsi="Times New Roman"/>
          <w:iCs/>
          <w:color w:val="000000"/>
          <w:sz w:val="28"/>
          <w:szCs w:val="28"/>
          <w:vertAlign w:val="superscript"/>
        </w:rPr>
        <w:footnoteReference w:id="113"/>
      </w:r>
      <w:r w:rsidRPr="0029329A">
        <w:rPr>
          <w:rFonts w:ascii="Times New Roman" w:hAnsi="Times New Roman" w:cs="Times New Roman"/>
          <w:iCs/>
          <w:color w:val="000000"/>
          <w:sz w:val="28"/>
          <w:szCs w:val="28"/>
        </w:rPr>
        <w:t xml:space="preserve">. </w:t>
      </w:r>
    </w:p>
    <w:p w:rsidR="00586371"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lang w:val="es-ES"/>
        </w:rPr>
      </w:pPr>
    </w:p>
    <w:p w:rsidR="00586371"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rPr>
      </w:pPr>
      <w:r w:rsidRPr="0029329A">
        <w:rPr>
          <w:rFonts w:ascii="Times New Roman" w:hAnsi="Times New Roman" w:cs="Times New Roman"/>
          <w:color w:val="000000"/>
          <w:sz w:val="28"/>
          <w:szCs w:val="28"/>
          <w:lang w:val="es-ES"/>
        </w:rPr>
        <w:t>81</w:t>
      </w:r>
      <w:r w:rsidRPr="0029329A">
        <w:rPr>
          <w:rFonts w:ascii="Times New Roman" w:hAnsi="Times New Roman" w:cs="Times New Roman"/>
          <w:color w:val="000000"/>
          <w:sz w:val="28"/>
          <w:szCs w:val="28"/>
          <w:lang w:val="es-ES"/>
        </w:rPr>
        <w:t xml:space="preserve">. </w:t>
      </w:r>
      <w:r w:rsidRPr="0029329A">
        <w:rPr>
          <w:rFonts w:ascii="Times New Roman" w:hAnsi="Times New Roman" w:cs="Times New Roman"/>
          <w:color w:val="000000"/>
          <w:sz w:val="28"/>
          <w:szCs w:val="28"/>
          <w:lang w:val="es-ES"/>
        </w:rPr>
        <w:t xml:space="preserve">Por </w:t>
      </w:r>
      <w:r w:rsidRPr="0029329A">
        <w:rPr>
          <w:rFonts w:ascii="Times New Roman" w:hAnsi="Times New Roman" w:cs="Times New Roman"/>
          <w:color w:val="000000"/>
          <w:sz w:val="28"/>
          <w:szCs w:val="28"/>
          <w:lang w:val="es-ES"/>
        </w:rPr>
        <w:t>otra parte, e</w:t>
      </w:r>
      <w:r w:rsidRPr="0029329A">
        <w:rPr>
          <w:rFonts w:ascii="Times New Roman" w:hAnsi="Times New Roman" w:cs="Times New Roman"/>
          <w:color w:val="000000"/>
          <w:sz w:val="28"/>
          <w:szCs w:val="28"/>
          <w:lang w:val="es-ES"/>
        </w:rPr>
        <w:t>l</w:t>
      </w:r>
      <w:r w:rsidRPr="0029329A">
        <w:rPr>
          <w:rFonts w:ascii="Times New Roman" w:hAnsi="Times New Roman" w:cs="Times New Roman"/>
          <w:color w:val="000000"/>
          <w:sz w:val="28"/>
          <w:szCs w:val="28"/>
        </w:rPr>
        <w:t xml:space="preserve"> principio de certeza tributaria </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 xml:space="preserve">prohíbe que el alcance de los elementos esenciales de la obligación fiscal sea determinado </w:t>
      </w:r>
      <w:r w:rsidRPr="0029329A">
        <w:rPr>
          <w:rFonts w:ascii="Times New Roman" w:hAnsi="Times New Roman" w:cs="Times New Roman"/>
          <w:i/>
          <w:color w:val="000000"/>
          <w:sz w:val="28"/>
          <w:szCs w:val="28"/>
        </w:rPr>
        <w:t>motu proprio</w:t>
      </w:r>
      <w:r w:rsidRPr="0029329A">
        <w:rPr>
          <w:rFonts w:ascii="Times New Roman" w:hAnsi="Times New Roman" w:cs="Times New Roman"/>
          <w:color w:val="000000"/>
          <w:sz w:val="28"/>
          <w:szCs w:val="28"/>
        </w:rPr>
        <w:t xml:space="preserve"> por la administración. Sin embargo, permite que el legislador delegue a las autoridades administrativas </w:t>
      </w:r>
      <w:r w:rsidRPr="0029329A">
        <w:rPr>
          <w:rFonts w:ascii="Times New Roman" w:hAnsi="Times New Roman" w:cs="Times New Roman"/>
          <w:color w:val="000000"/>
          <w:sz w:val="28"/>
          <w:szCs w:val="28"/>
        </w:rPr>
        <w:t>la función de delimitar las variables económicas (costos, precios, ingresos etc.) que “</w:t>
      </w:r>
      <w:r w:rsidRPr="0029329A">
        <w:rPr>
          <w:rFonts w:ascii="Times New Roman" w:hAnsi="Times New Roman" w:cs="Times New Roman"/>
          <w:i/>
          <w:color w:val="000000"/>
          <w:sz w:val="28"/>
          <w:szCs w:val="28"/>
        </w:rPr>
        <w:t>inciden en la definición concreta de los elementos estructurales del ingreso fiscal</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14"/>
      </w:r>
      <w:r w:rsidRPr="0029329A">
        <w:rPr>
          <w:rFonts w:ascii="Times New Roman" w:hAnsi="Times New Roman" w:cs="Times New Roman"/>
          <w:color w:val="000000"/>
          <w:sz w:val="28"/>
          <w:szCs w:val="28"/>
        </w:rPr>
        <w:t>. Estas variables son susceptibles de un “</w:t>
      </w:r>
      <w:r w:rsidRPr="0029329A">
        <w:rPr>
          <w:rFonts w:ascii="Times New Roman" w:hAnsi="Times New Roman" w:cs="Times New Roman"/>
          <w:i/>
          <w:color w:val="000000"/>
          <w:sz w:val="28"/>
          <w:szCs w:val="28"/>
        </w:rPr>
        <w:t>tratamiento menos restringido</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15"/>
      </w:r>
      <w:r w:rsidRPr="0029329A">
        <w:rPr>
          <w:rFonts w:ascii="Times New Roman" w:hAnsi="Times New Roman" w:cs="Times New Roman"/>
          <w:color w:val="000000"/>
          <w:sz w:val="28"/>
          <w:szCs w:val="28"/>
        </w:rPr>
        <w:t xml:space="preserve">, debido a </w:t>
      </w:r>
      <w:r w:rsidRPr="0029329A">
        <w:rPr>
          <w:rFonts w:ascii="Times New Roman" w:hAnsi="Times New Roman" w:cs="Times New Roman"/>
          <w:color w:val="000000"/>
          <w:sz w:val="28"/>
          <w:szCs w:val="28"/>
        </w:rPr>
        <w:t>que son difícilmente aprehensibles de forma definitiva e instantánea en un precepto legal y, por lo tanto, “</w:t>
      </w:r>
      <w:r w:rsidRPr="0029329A">
        <w:rPr>
          <w:rFonts w:ascii="Times New Roman" w:hAnsi="Times New Roman" w:cs="Times New Roman"/>
          <w:i/>
          <w:color w:val="000000"/>
          <w:sz w:val="28"/>
          <w:szCs w:val="28"/>
        </w:rPr>
        <w:t>deben ser diferidas a disposiciones reglamentarias</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16"/>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17"/>
      </w:r>
    </w:p>
    <w:p w:rsidR="001A0F94" w:rsidRPr="0029329A" w:rsidRDefault="0029329A" w:rsidP="00773A7F">
      <w:pPr>
        <w:widowControl w:val="0"/>
        <w:tabs>
          <w:tab w:val="left" w:pos="567"/>
        </w:tabs>
        <w:spacing w:after="0" w:line="360" w:lineRule="atLeast"/>
        <w:contextualSpacing/>
        <w:jc w:val="both"/>
        <w:rPr>
          <w:rFonts w:ascii="Times New Roman" w:hAnsi="Times New Roman" w:cs="Times New Roman"/>
          <w:sz w:val="28"/>
          <w:szCs w:val="28"/>
        </w:rPr>
      </w:pPr>
    </w:p>
    <w:p w:rsidR="00FD6F6A"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lang w:val="es-ES"/>
        </w:rPr>
      </w:pPr>
      <w:r w:rsidRPr="0029329A">
        <w:rPr>
          <w:rFonts w:ascii="Times New Roman" w:hAnsi="Times New Roman" w:cs="Times New Roman"/>
          <w:color w:val="000000"/>
          <w:sz w:val="28"/>
          <w:szCs w:val="28"/>
          <w:lang w:val="es-ES"/>
        </w:rPr>
        <w:t>82</w:t>
      </w:r>
      <w:r w:rsidRPr="0029329A">
        <w:rPr>
          <w:rFonts w:ascii="Times New Roman" w:hAnsi="Times New Roman" w:cs="Times New Roman"/>
          <w:color w:val="000000"/>
          <w:sz w:val="28"/>
          <w:szCs w:val="28"/>
          <w:lang w:val="es-ES"/>
        </w:rPr>
        <w:t xml:space="preserve">. </w:t>
      </w:r>
      <w:r w:rsidRPr="0029329A">
        <w:rPr>
          <w:rFonts w:ascii="Times New Roman" w:hAnsi="Times New Roman" w:cs="Times New Roman"/>
          <w:color w:val="000000"/>
          <w:sz w:val="28"/>
          <w:szCs w:val="28"/>
          <w:lang w:val="es-ES"/>
        </w:rPr>
        <w:t xml:space="preserve">Aunado a lo anterior, </w:t>
      </w:r>
      <w:r w:rsidRPr="0029329A">
        <w:rPr>
          <w:rFonts w:ascii="Times New Roman" w:hAnsi="Times New Roman" w:cs="Times New Roman"/>
          <w:color w:val="000000"/>
          <w:sz w:val="28"/>
          <w:szCs w:val="28"/>
          <w:lang w:val="es-ES"/>
        </w:rPr>
        <w:t xml:space="preserve">la Corte Constitucional </w:t>
      </w:r>
      <w:r w:rsidRPr="0029329A">
        <w:rPr>
          <w:rFonts w:ascii="Times New Roman" w:hAnsi="Times New Roman" w:cs="Times New Roman"/>
          <w:color w:val="000000"/>
          <w:sz w:val="28"/>
          <w:szCs w:val="28"/>
          <w:lang w:val="es-ES"/>
        </w:rPr>
        <w:t>ha reconocido la competencia de</w:t>
      </w:r>
      <w:r w:rsidRPr="0029329A">
        <w:rPr>
          <w:rFonts w:ascii="Times New Roman" w:hAnsi="Times New Roman" w:cs="Times New Roman"/>
          <w:color w:val="000000"/>
          <w:sz w:val="28"/>
          <w:szCs w:val="28"/>
          <w:lang w:val="es-ES"/>
        </w:rPr>
        <w:t xml:space="preserve"> </w:t>
      </w:r>
      <w:r w:rsidRPr="0029329A">
        <w:rPr>
          <w:rFonts w:ascii="Times New Roman" w:hAnsi="Times New Roman" w:cs="Times New Roman"/>
          <w:color w:val="000000"/>
          <w:sz w:val="28"/>
          <w:szCs w:val="28"/>
        </w:rPr>
        <w:t>las autori</w:t>
      </w:r>
      <w:r w:rsidRPr="0029329A">
        <w:rPr>
          <w:rFonts w:ascii="Times New Roman" w:hAnsi="Times New Roman" w:cs="Times New Roman"/>
          <w:color w:val="000000"/>
          <w:sz w:val="28"/>
          <w:szCs w:val="28"/>
        </w:rPr>
        <w:t xml:space="preserve">dades administrativas para definir mediante </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el reglamento aspectos técnicos “</w:t>
      </w:r>
      <w:r w:rsidRPr="0029329A">
        <w:rPr>
          <w:rFonts w:ascii="Times New Roman" w:hAnsi="Times New Roman" w:cs="Times New Roman"/>
          <w:i/>
          <w:iCs/>
          <w:color w:val="000000"/>
          <w:sz w:val="28"/>
          <w:szCs w:val="28"/>
        </w:rPr>
        <w:t>vinculados a la ejecución técnica y administrativa de los tributos</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18"/>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19"/>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rPr>
        <w:t xml:space="preserve"> En esa medida, </w:t>
      </w:r>
      <w:r w:rsidRPr="0029329A">
        <w:rPr>
          <w:rFonts w:ascii="Times New Roman" w:hAnsi="Times New Roman" w:cs="Times New Roman"/>
          <w:color w:val="000000"/>
          <w:sz w:val="28"/>
          <w:szCs w:val="28"/>
        </w:rPr>
        <w:t>l</w:t>
      </w:r>
      <w:r w:rsidRPr="0029329A">
        <w:rPr>
          <w:rFonts w:ascii="Times New Roman" w:hAnsi="Times New Roman" w:cs="Times New Roman"/>
          <w:color w:val="000000"/>
          <w:sz w:val="28"/>
          <w:szCs w:val="28"/>
        </w:rPr>
        <w:t>a administración puede regular</w:t>
      </w:r>
      <w:r w:rsidRPr="0029329A">
        <w:rPr>
          <w:rFonts w:ascii="Times New Roman" w:hAnsi="Times New Roman" w:cs="Times New Roman"/>
          <w:color w:val="000000"/>
          <w:sz w:val="28"/>
          <w:szCs w:val="28"/>
        </w:rPr>
        <w:t xml:space="preserve"> aspectos no esenciales del tributo</w:t>
      </w:r>
      <w:r w:rsidRPr="0029329A">
        <w:rPr>
          <w:rFonts w:ascii="Times New Roman" w:hAnsi="Times New Roman" w:cs="Times New Roman"/>
          <w:color w:val="000000"/>
          <w:sz w:val="28"/>
          <w:szCs w:val="28"/>
        </w:rPr>
        <w:t>, como</w:t>
      </w:r>
      <w:r w:rsidRPr="0029329A">
        <w:rPr>
          <w:rFonts w:ascii="Times New Roman" w:hAnsi="Times New Roman" w:cs="Times New Roman"/>
          <w:color w:val="000000"/>
          <w:sz w:val="28"/>
          <w:szCs w:val="28"/>
        </w:rPr>
        <w:t xml:space="preserve">: </w:t>
      </w:r>
      <w:r w:rsidRPr="0029329A">
        <w:rPr>
          <w:rFonts w:ascii="Times New Roman" w:hAnsi="Times New Roman" w:cs="Times New Roman"/>
          <w:color w:val="000000"/>
          <w:sz w:val="28"/>
          <w:szCs w:val="28"/>
        </w:rPr>
        <w:t>“</w:t>
      </w:r>
      <w:r w:rsidRPr="0029329A">
        <w:rPr>
          <w:rFonts w:ascii="Times New Roman" w:hAnsi="Times New Roman" w:cs="Times New Roman"/>
          <w:i/>
          <w:color w:val="000000"/>
          <w:sz w:val="28"/>
          <w:szCs w:val="28"/>
        </w:rPr>
        <w:t>(</w:t>
      </w:r>
      <w:r w:rsidRPr="0029329A">
        <w:rPr>
          <w:rFonts w:ascii="Times New Roman" w:hAnsi="Times New Roman" w:cs="Times New Roman"/>
          <w:i/>
          <w:iCs/>
          <w:color w:val="000000"/>
          <w:sz w:val="28"/>
          <w:szCs w:val="28"/>
        </w:rPr>
        <w:t>i)</w:t>
      </w:r>
      <w:r w:rsidRPr="0029329A">
        <w:rPr>
          <w:rFonts w:ascii="Times New Roman" w:hAnsi="Times New Roman" w:cs="Times New Roman"/>
          <w:color w:val="000000"/>
          <w:sz w:val="28"/>
          <w:szCs w:val="28"/>
        </w:rPr>
        <w:t xml:space="preserve"> las obligaciones formales “</w:t>
      </w:r>
      <w:r w:rsidRPr="0029329A">
        <w:rPr>
          <w:rFonts w:ascii="Times New Roman" w:hAnsi="Times New Roman" w:cs="Times New Roman"/>
          <w:i/>
          <w:color w:val="000000"/>
          <w:sz w:val="28"/>
          <w:szCs w:val="28"/>
        </w:rPr>
        <w:t>necesarias para hacer efectiva la obligación tributaria principal</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20"/>
      </w:r>
      <w:r w:rsidRPr="0029329A">
        <w:rPr>
          <w:rFonts w:ascii="Times New Roman" w:hAnsi="Times New Roman" w:cs="Times New Roman"/>
          <w:color w:val="000000"/>
          <w:sz w:val="28"/>
          <w:szCs w:val="28"/>
        </w:rPr>
        <w:t xml:space="preserve"> y</w:t>
      </w:r>
      <w:r w:rsidRPr="0029329A">
        <w:rPr>
          <w:rFonts w:ascii="Times New Roman" w:hAnsi="Times New Roman" w:cs="Times New Roman"/>
          <w:i/>
          <w:color w:val="000000"/>
          <w:sz w:val="28"/>
          <w:szCs w:val="28"/>
        </w:rPr>
        <w:t xml:space="preserve"> (</w:t>
      </w:r>
      <w:r w:rsidRPr="0029329A">
        <w:rPr>
          <w:rFonts w:ascii="Times New Roman" w:hAnsi="Times New Roman" w:cs="Times New Roman"/>
          <w:i/>
          <w:iCs/>
          <w:color w:val="000000"/>
          <w:sz w:val="28"/>
          <w:szCs w:val="28"/>
        </w:rPr>
        <w:t>ii)</w:t>
      </w:r>
      <w:r w:rsidRPr="0029329A">
        <w:rPr>
          <w:rFonts w:ascii="Times New Roman" w:hAnsi="Times New Roman" w:cs="Times New Roman"/>
          <w:color w:val="000000"/>
          <w:sz w:val="28"/>
          <w:szCs w:val="28"/>
        </w:rPr>
        <w:t xml:space="preserve"> los “</w:t>
      </w:r>
      <w:r w:rsidRPr="0029329A">
        <w:rPr>
          <w:rFonts w:ascii="Times New Roman" w:hAnsi="Times New Roman" w:cs="Times New Roman"/>
          <w:i/>
          <w:color w:val="000000"/>
          <w:sz w:val="28"/>
          <w:szCs w:val="28"/>
        </w:rPr>
        <w:t>trámites administrativos, siempre que no comprometan derechos fundamentales y sean excepcionales, relacionados con el recaudo, liquidación, determin</w:t>
      </w:r>
      <w:r w:rsidRPr="0029329A">
        <w:rPr>
          <w:rFonts w:ascii="Times New Roman" w:hAnsi="Times New Roman" w:cs="Times New Roman"/>
          <w:i/>
          <w:color w:val="000000"/>
          <w:sz w:val="28"/>
          <w:szCs w:val="28"/>
        </w:rPr>
        <w:t>ación, discusión y administración de ciertos tributos, y con sus circunstancias de recaudo</w:t>
      </w:r>
      <w:r w:rsidRPr="0029329A">
        <w:rPr>
          <w:rFonts w:ascii="Times New Roman" w:hAnsi="Times New Roman" w:cs="Times New Roman"/>
          <w:color w:val="000000"/>
          <w:sz w:val="28"/>
          <w:szCs w:val="28"/>
        </w:rPr>
        <w:t>”</w:t>
      </w:r>
      <w:r w:rsidRPr="0029329A">
        <w:rPr>
          <w:rFonts w:ascii="Times New Roman" w:hAnsi="Times New Roman" w:cs="Times New Roman"/>
          <w:color w:val="000000"/>
          <w:sz w:val="28"/>
          <w:szCs w:val="28"/>
          <w:vertAlign w:val="superscript"/>
        </w:rPr>
        <w:footnoteReference w:id="121"/>
      </w:r>
      <w:r w:rsidRPr="0029329A">
        <w:rPr>
          <w:rFonts w:ascii="Times New Roman" w:hAnsi="Times New Roman" w:cs="Times New Roman"/>
          <w:color w:val="000000"/>
          <w:sz w:val="28"/>
          <w:szCs w:val="28"/>
        </w:rPr>
        <w:t>”</w:t>
      </w:r>
      <w:r w:rsidRPr="0029329A">
        <w:rPr>
          <w:rStyle w:val="Refdenotaalpie"/>
          <w:rFonts w:ascii="Times New Roman" w:hAnsi="Times New Roman"/>
          <w:color w:val="000000"/>
          <w:sz w:val="28"/>
          <w:szCs w:val="28"/>
          <w:vertAlign w:val="superscript"/>
        </w:rPr>
        <w:footnoteReference w:id="122"/>
      </w:r>
      <w:r w:rsidRPr="0029329A">
        <w:rPr>
          <w:rFonts w:ascii="Times New Roman" w:hAnsi="Times New Roman" w:cs="Times New Roman"/>
          <w:color w:val="000000"/>
          <w:sz w:val="28"/>
          <w:szCs w:val="28"/>
        </w:rPr>
        <w:t xml:space="preserve">. </w:t>
      </w:r>
    </w:p>
    <w:p w:rsidR="00FD6F6A" w:rsidRPr="0029329A" w:rsidRDefault="0029329A" w:rsidP="00773A7F">
      <w:pPr>
        <w:spacing w:after="0" w:line="360" w:lineRule="atLeast"/>
        <w:jc w:val="both"/>
        <w:rPr>
          <w:rFonts w:ascii="Times New Roman" w:hAnsi="Times New Roman" w:cs="Times New Roman"/>
          <w:sz w:val="28"/>
          <w:szCs w:val="28"/>
          <w:lang w:eastAsia="es-MX"/>
        </w:rPr>
      </w:pPr>
    </w:p>
    <w:p w:rsidR="00631927" w:rsidRPr="0029329A" w:rsidRDefault="0029329A" w:rsidP="00773A7F">
      <w:pPr>
        <w:widowControl w:val="0"/>
        <w:tabs>
          <w:tab w:val="left" w:pos="567"/>
        </w:tabs>
        <w:spacing w:after="0" w:line="360" w:lineRule="atLeast"/>
        <w:contextualSpacing/>
        <w:jc w:val="both"/>
        <w:rPr>
          <w:rFonts w:ascii="Times New Roman" w:hAnsi="Times New Roman" w:cs="Times New Roman"/>
          <w:bCs/>
          <w:iCs/>
          <w:color w:val="000000"/>
          <w:sz w:val="28"/>
          <w:szCs w:val="28"/>
        </w:rPr>
      </w:pPr>
      <w:r w:rsidRPr="0029329A">
        <w:rPr>
          <w:rFonts w:ascii="Times New Roman" w:hAnsi="Times New Roman" w:cs="Times New Roman"/>
          <w:color w:val="000000"/>
          <w:sz w:val="28"/>
          <w:szCs w:val="28"/>
          <w:lang w:val="es-ES"/>
        </w:rPr>
        <w:t>83</w:t>
      </w:r>
      <w:r w:rsidRPr="0029329A">
        <w:rPr>
          <w:rFonts w:ascii="Times New Roman" w:hAnsi="Times New Roman" w:cs="Times New Roman"/>
          <w:color w:val="000000"/>
          <w:sz w:val="28"/>
          <w:szCs w:val="28"/>
          <w:lang w:val="es-ES"/>
        </w:rPr>
        <w:t xml:space="preserve">. </w:t>
      </w:r>
      <w:r w:rsidRPr="0029329A">
        <w:rPr>
          <w:rFonts w:ascii="Times New Roman" w:hAnsi="Times New Roman" w:cs="Times New Roman"/>
          <w:color w:val="000000"/>
          <w:sz w:val="28"/>
          <w:szCs w:val="28"/>
          <w:lang w:val="es-ES"/>
        </w:rPr>
        <w:t>O</w:t>
      </w:r>
      <w:r w:rsidRPr="0029329A">
        <w:rPr>
          <w:rFonts w:ascii="Times New Roman" w:hAnsi="Times New Roman" w:cs="Times New Roman"/>
          <w:color w:val="000000"/>
          <w:sz w:val="28"/>
          <w:szCs w:val="28"/>
          <w:lang w:val="es-ES"/>
        </w:rPr>
        <w:t>tro aspecto que se debe tener en cuenta al momento de referirse al</w:t>
      </w:r>
      <w:r w:rsidRPr="0029329A">
        <w:rPr>
          <w:rFonts w:ascii="Times New Roman" w:hAnsi="Times New Roman" w:cs="Times New Roman"/>
          <w:i/>
          <w:color w:val="000000"/>
          <w:sz w:val="28"/>
          <w:szCs w:val="28"/>
          <w:lang w:val="es-ES"/>
        </w:rPr>
        <w:t xml:space="preserve"> </w:t>
      </w:r>
      <w:r w:rsidRPr="0029329A">
        <w:rPr>
          <w:rFonts w:ascii="Times New Roman" w:hAnsi="Times New Roman" w:cs="Times New Roman"/>
          <w:color w:val="000000"/>
          <w:sz w:val="28"/>
          <w:szCs w:val="28"/>
          <w:lang w:val="es-ES"/>
        </w:rPr>
        <w:t>principio de certeza tributaria</w:t>
      </w:r>
      <w:r w:rsidRPr="0029329A">
        <w:rPr>
          <w:rFonts w:ascii="Times New Roman" w:hAnsi="Times New Roman" w:cs="Times New Roman"/>
          <w:i/>
          <w:color w:val="000000"/>
          <w:sz w:val="28"/>
          <w:szCs w:val="28"/>
          <w:lang w:val="es-ES"/>
        </w:rPr>
        <w:t xml:space="preserve"> </w:t>
      </w:r>
      <w:r w:rsidRPr="0029329A">
        <w:rPr>
          <w:rFonts w:ascii="Times New Roman" w:hAnsi="Times New Roman" w:cs="Times New Roman"/>
          <w:color w:val="000000"/>
          <w:sz w:val="28"/>
          <w:szCs w:val="28"/>
          <w:lang w:val="es-ES"/>
        </w:rPr>
        <w:t>es la</w:t>
      </w:r>
      <w:r w:rsidRPr="0029329A">
        <w:rPr>
          <w:rFonts w:ascii="Times New Roman" w:hAnsi="Times New Roman" w:cs="Times New Roman"/>
          <w:i/>
          <w:color w:val="000000"/>
          <w:sz w:val="28"/>
          <w:szCs w:val="28"/>
          <w:lang w:val="es-ES"/>
        </w:rPr>
        <w:t xml:space="preserve"> </w:t>
      </w:r>
      <w:r w:rsidRPr="0029329A">
        <w:rPr>
          <w:rFonts w:ascii="Times New Roman" w:hAnsi="Times New Roman" w:cs="Times New Roman"/>
          <w:color w:val="000000"/>
          <w:sz w:val="28"/>
          <w:szCs w:val="28"/>
          <w:lang w:val="es-ES"/>
        </w:rPr>
        <w:t>“</w:t>
      </w:r>
      <w:r w:rsidRPr="0029329A">
        <w:rPr>
          <w:rFonts w:ascii="Times New Roman" w:hAnsi="Times New Roman" w:cs="Times New Roman"/>
          <w:i/>
          <w:color w:val="000000"/>
          <w:sz w:val="28"/>
          <w:szCs w:val="28"/>
          <w:lang w:val="es-ES"/>
        </w:rPr>
        <w:t>definición de la base gravable de los tributos</w:t>
      </w:r>
      <w:r w:rsidRPr="0029329A">
        <w:rPr>
          <w:rFonts w:ascii="Times New Roman" w:hAnsi="Times New Roman" w:cs="Times New Roman"/>
          <w:color w:val="000000"/>
          <w:sz w:val="28"/>
          <w:szCs w:val="28"/>
          <w:lang w:val="es-ES"/>
        </w:rPr>
        <w:t>”</w:t>
      </w:r>
      <w:r w:rsidRPr="0029329A">
        <w:rPr>
          <w:rFonts w:ascii="Times New Roman" w:hAnsi="Times New Roman" w:cs="Times New Roman"/>
          <w:color w:val="000000"/>
          <w:sz w:val="28"/>
          <w:szCs w:val="28"/>
          <w:lang w:val="es-ES"/>
        </w:rPr>
        <w:t xml:space="preserve">, la cual se entiende como </w:t>
      </w:r>
      <w:r w:rsidRPr="0029329A">
        <w:rPr>
          <w:rFonts w:ascii="Times New Roman" w:hAnsi="Times New Roman" w:cs="Times New Roman"/>
          <w:color w:val="000000"/>
          <w:sz w:val="28"/>
          <w:szCs w:val="28"/>
          <w:lang w:val="es-ES"/>
        </w:rPr>
        <w:t>“</w:t>
      </w:r>
      <w:r w:rsidRPr="0029329A">
        <w:rPr>
          <w:rFonts w:ascii="Times New Roman" w:hAnsi="Times New Roman" w:cs="Times New Roman"/>
          <w:iCs/>
          <w:color w:val="000000"/>
          <w:sz w:val="28"/>
          <w:szCs w:val="28"/>
          <w:lang w:val="es-ES_tradnl"/>
        </w:rPr>
        <w:t>la magnitud o la medición del hecho gravado, a la cual se le aplica la correspondiente tarifa, para de esta manera liquidar el monto de la obligación tributaria</w:t>
      </w:r>
      <w:r w:rsidRPr="0029329A">
        <w:rPr>
          <w:rFonts w:ascii="Times New Roman" w:hAnsi="Times New Roman" w:cs="Times New Roman"/>
          <w:iCs/>
          <w:color w:val="000000"/>
          <w:sz w:val="28"/>
          <w:szCs w:val="28"/>
          <w:vertAlign w:val="superscript"/>
          <w:lang w:val="es-ES_tradnl"/>
        </w:rPr>
        <w:footnoteReference w:id="123"/>
      </w:r>
      <w:r w:rsidRPr="0029329A">
        <w:rPr>
          <w:rFonts w:ascii="Times New Roman" w:hAnsi="Times New Roman" w:cs="Times New Roman"/>
          <w:iCs/>
          <w:color w:val="000000"/>
          <w:sz w:val="28"/>
          <w:szCs w:val="28"/>
          <w:lang w:val="es-ES_tradnl"/>
        </w:rPr>
        <w:t>.</w:t>
      </w:r>
      <w:r w:rsidRPr="0029329A">
        <w:rPr>
          <w:rFonts w:ascii="Times New Roman" w:hAnsi="Times New Roman" w:cs="Times New Roman"/>
          <w:i/>
          <w:iCs/>
          <w:color w:val="000000"/>
          <w:sz w:val="28"/>
          <w:szCs w:val="28"/>
          <w:lang w:val="es-ES_tradnl"/>
        </w:rPr>
        <w:t xml:space="preserve"> </w:t>
      </w:r>
      <w:r w:rsidRPr="0029329A">
        <w:rPr>
          <w:rFonts w:ascii="Times New Roman" w:hAnsi="Times New Roman" w:cs="Times New Roman"/>
          <w:iCs/>
          <w:color w:val="000000"/>
          <w:sz w:val="28"/>
          <w:szCs w:val="28"/>
          <w:lang w:val="es-ES_tradnl"/>
        </w:rPr>
        <w:t>En otros términos,</w:t>
      </w:r>
      <w:r w:rsidRPr="0029329A">
        <w:rPr>
          <w:rFonts w:ascii="Times New Roman" w:hAnsi="Times New Roman" w:cs="Times New Roman"/>
          <w:i/>
          <w:iCs/>
          <w:color w:val="000000"/>
          <w:sz w:val="28"/>
          <w:szCs w:val="28"/>
          <w:lang w:val="es-ES_tradnl"/>
        </w:rPr>
        <w:t xml:space="preserve"> </w:t>
      </w:r>
      <w:r w:rsidRPr="0029329A">
        <w:rPr>
          <w:rFonts w:ascii="Times New Roman" w:hAnsi="Times New Roman" w:cs="Times New Roman"/>
          <w:iCs/>
          <w:color w:val="000000"/>
          <w:sz w:val="28"/>
          <w:szCs w:val="28"/>
          <w:lang w:val="es-ES_tradnl"/>
        </w:rPr>
        <w:t>“</w:t>
      </w:r>
      <w:r w:rsidRPr="0029329A">
        <w:rPr>
          <w:rFonts w:ascii="Times New Roman" w:hAnsi="Times New Roman" w:cs="Times New Roman"/>
          <w:i/>
          <w:color w:val="000000"/>
          <w:sz w:val="28"/>
          <w:szCs w:val="28"/>
          <w:lang w:val="es-ES_tradnl"/>
        </w:rPr>
        <w:t>se trata de la cuantificación del hecho grava</w:t>
      </w:r>
      <w:r w:rsidRPr="0029329A">
        <w:rPr>
          <w:rFonts w:ascii="Times New Roman" w:hAnsi="Times New Roman" w:cs="Times New Roman"/>
          <w:i/>
          <w:color w:val="000000"/>
          <w:sz w:val="28"/>
          <w:szCs w:val="28"/>
          <w:lang w:val="es-ES_tradnl"/>
        </w:rPr>
        <w:t>ble sobre el que se aplica la tarifa</w:t>
      </w:r>
      <w:r w:rsidRPr="0029329A">
        <w:rPr>
          <w:rFonts w:ascii="Times New Roman" w:hAnsi="Times New Roman" w:cs="Times New Roman"/>
          <w:iCs/>
          <w:color w:val="000000"/>
          <w:sz w:val="28"/>
          <w:szCs w:val="28"/>
          <w:lang w:val="es-ES_tradnl"/>
        </w:rPr>
        <w:t>”</w:t>
      </w:r>
      <w:r w:rsidRPr="0029329A">
        <w:rPr>
          <w:rFonts w:ascii="Times New Roman" w:hAnsi="Times New Roman" w:cs="Times New Roman"/>
          <w:iCs/>
          <w:color w:val="000000"/>
          <w:sz w:val="28"/>
          <w:szCs w:val="28"/>
          <w:vertAlign w:val="superscript"/>
          <w:lang w:val="es-ES_tradnl"/>
        </w:rPr>
        <w:footnoteReference w:id="124"/>
      </w:r>
      <w:r w:rsidRPr="0029329A">
        <w:rPr>
          <w:rFonts w:ascii="Times New Roman" w:hAnsi="Times New Roman" w:cs="Times New Roman"/>
          <w:iCs/>
          <w:color w:val="000000"/>
          <w:sz w:val="28"/>
          <w:szCs w:val="28"/>
          <w:lang w:val="es-ES_tradnl"/>
        </w:rPr>
        <w:t xml:space="preserve"> </w:t>
      </w:r>
      <w:r w:rsidRPr="0029329A">
        <w:rPr>
          <w:rFonts w:ascii="Times New Roman" w:hAnsi="Times New Roman" w:cs="Times New Roman"/>
          <w:bCs/>
          <w:iCs/>
          <w:color w:val="000000"/>
          <w:sz w:val="28"/>
          <w:szCs w:val="28"/>
        </w:rPr>
        <w:t>o los “</w:t>
      </w:r>
      <w:r w:rsidRPr="0029329A">
        <w:rPr>
          <w:rFonts w:ascii="Times New Roman" w:hAnsi="Times New Roman" w:cs="Times New Roman"/>
          <w:bCs/>
          <w:i/>
          <w:iCs/>
          <w:color w:val="000000"/>
          <w:sz w:val="28"/>
          <w:szCs w:val="28"/>
        </w:rPr>
        <w:t>ingresos</w:t>
      </w:r>
      <w:r w:rsidRPr="0029329A">
        <w:rPr>
          <w:rFonts w:ascii="Times New Roman" w:hAnsi="Times New Roman" w:cs="Times New Roman"/>
          <w:bCs/>
          <w:iCs/>
          <w:color w:val="000000"/>
          <w:sz w:val="28"/>
          <w:szCs w:val="28"/>
        </w:rPr>
        <w:t>” que un contribuyente obtiene por el desarrollo de una actividad económica</w:t>
      </w:r>
      <w:r w:rsidRPr="0029329A">
        <w:rPr>
          <w:rFonts w:ascii="Times New Roman" w:hAnsi="Times New Roman" w:cs="Times New Roman"/>
          <w:bCs/>
          <w:iCs/>
          <w:color w:val="000000"/>
          <w:sz w:val="28"/>
          <w:szCs w:val="28"/>
          <w:vertAlign w:val="superscript"/>
        </w:rPr>
        <w:footnoteReference w:id="125"/>
      </w:r>
      <w:r w:rsidRPr="0029329A">
        <w:rPr>
          <w:rFonts w:ascii="Times New Roman" w:hAnsi="Times New Roman" w:cs="Times New Roman"/>
          <w:bCs/>
          <w:iCs/>
          <w:color w:val="000000"/>
          <w:sz w:val="28"/>
          <w:szCs w:val="28"/>
        </w:rPr>
        <w:t>”</w:t>
      </w:r>
      <w:r w:rsidRPr="0029329A">
        <w:rPr>
          <w:rStyle w:val="Refdenotaalpie"/>
          <w:rFonts w:ascii="Times New Roman" w:hAnsi="Times New Roman"/>
          <w:bCs/>
          <w:iCs/>
          <w:color w:val="000000"/>
          <w:sz w:val="28"/>
          <w:szCs w:val="28"/>
          <w:vertAlign w:val="superscript"/>
        </w:rPr>
        <w:footnoteReference w:id="126"/>
      </w:r>
      <w:r w:rsidRPr="0029329A">
        <w:rPr>
          <w:rFonts w:ascii="Times New Roman" w:hAnsi="Times New Roman" w:cs="Times New Roman"/>
          <w:bCs/>
          <w:iCs/>
          <w:color w:val="000000"/>
          <w:sz w:val="28"/>
          <w:szCs w:val="28"/>
        </w:rPr>
        <w:t>.</w:t>
      </w:r>
    </w:p>
    <w:p w:rsidR="0000361F" w:rsidRPr="0029329A" w:rsidRDefault="0029329A" w:rsidP="00773A7F">
      <w:pPr>
        <w:widowControl w:val="0"/>
        <w:tabs>
          <w:tab w:val="left" w:pos="567"/>
        </w:tabs>
        <w:spacing w:after="0" w:line="360" w:lineRule="atLeast"/>
        <w:contextualSpacing/>
        <w:jc w:val="both"/>
        <w:rPr>
          <w:rFonts w:ascii="Times New Roman" w:hAnsi="Times New Roman" w:cs="Times New Roman"/>
          <w:bCs/>
          <w:iCs/>
          <w:color w:val="000000"/>
          <w:sz w:val="28"/>
          <w:szCs w:val="28"/>
        </w:rPr>
      </w:pPr>
    </w:p>
    <w:p w:rsidR="00631927" w:rsidRPr="0029329A" w:rsidRDefault="0029329A" w:rsidP="00773A7F">
      <w:pPr>
        <w:widowControl w:val="0"/>
        <w:tabs>
          <w:tab w:val="left" w:pos="567"/>
        </w:tabs>
        <w:spacing w:after="0" w:line="360" w:lineRule="atLeast"/>
        <w:contextualSpacing/>
        <w:jc w:val="both"/>
        <w:rPr>
          <w:rFonts w:ascii="Times New Roman" w:hAnsi="Times New Roman" w:cs="Times New Roman"/>
          <w:bCs/>
          <w:iCs/>
          <w:color w:val="000000"/>
          <w:sz w:val="28"/>
          <w:szCs w:val="28"/>
          <w:lang w:val="es-ES"/>
        </w:rPr>
      </w:pPr>
      <w:r w:rsidRPr="0029329A">
        <w:rPr>
          <w:rFonts w:ascii="Times New Roman" w:hAnsi="Times New Roman" w:cs="Times New Roman"/>
          <w:bCs/>
          <w:iCs/>
          <w:color w:val="000000"/>
          <w:sz w:val="28"/>
          <w:szCs w:val="28"/>
        </w:rPr>
        <w:t>84</w:t>
      </w:r>
      <w:r w:rsidRPr="0029329A">
        <w:rPr>
          <w:rFonts w:ascii="Times New Roman" w:hAnsi="Times New Roman" w:cs="Times New Roman"/>
          <w:bCs/>
          <w:iCs/>
          <w:color w:val="000000"/>
          <w:sz w:val="28"/>
          <w:szCs w:val="28"/>
        </w:rPr>
        <w:t xml:space="preserve">. </w:t>
      </w:r>
      <w:r w:rsidRPr="0029329A">
        <w:rPr>
          <w:rFonts w:ascii="Times New Roman" w:hAnsi="Times New Roman" w:cs="Times New Roman"/>
          <w:bCs/>
          <w:iCs/>
          <w:color w:val="000000"/>
          <w:sz w:val="28"/>
          <w:szCs w:val="28"/>
        </w:rPr>
        <w:t xml:space="preserve">En sentencia C-019 de 2022, esta corporación indicó que la </w:t>
      </w:r>
      <w:r w:rsidRPr="0029329A">
        <w:rPr>
          <w:rFonts w:ascii="Times New Roman" w:hAnsi="Times New Roman" w:cs="Times New Roman"/>
          <w:iCs/>
          <w:color w:val="000000"/>
          <w:sz w:val="28"/>
          <w:szCs w:val="28"/>
          <w:lang w:val="es-ES_tradnl"/>
        </w:rPr>
        <w:t xml:space="preserve">Constitución permite que los órganos colegiados de </w:t>
      </w:r>
      <w:r w:rsidRPr="0029329A">
        <w:rPr>
          <w:rFonts w:ascii="Times New Roman" w:hAnsi="Times New Roman" w:cs="Times New Roman"/>
          <w:iCs/>
          <w:color w:val="000000"/>
          <w:sz w:val="28"/>
          <w:szCs w:val="28"/>
          <w:lang w:val="es-ES_tradnl"/>
        </w:rPr>
        <w:t>elección popular</w:t>
      </w:r>
      <w:r w:rsidRPr="0029329A">
        <w:rPr>
          <w:rFonts w:ascii="Times New Roman" w:hAnsi="Times New Roman" w:cs="Times New Roman"/>
          <w:bCs/>
          <w:iCs/>
          <w:color w:val="000000"/>
          <w:sz w:val="28"/>
          <w:szCs w:val="28"/>
          <w:lang w:val="es-ES"/>
        </w:rPr>
        <w:t xml:space="preserve"> competentes para crear tributos </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lang w:val="es-ES"/>
        </w:rPr>
        <w:t>establezcan que la base gravable de un tributo es el “</w:t>
      </w:r>
      <w:r w:rsidRPr="0029329A">
        <w:rPr>
          <w:rFonts w:ascii="Times New Roman" w:hAnsi="Times New Roman" w:cs="Times New Roman"/>
          <w:bCs/>
          <w:i/>
          <w:iCs/>
          <w:color w:val="000000"/>
          <w:sz w:val="28"/>
          <w:szCs w:val="28"/>
          <w:lang w:val="es-ES"/>
        </w:rPr>
        <w:t>precio</w:t>
      </w:r>
      <w:r w:rsidRPr="0029329A">
        <w:rPr>
          <w:rFonts w:ascii="Times New Roman" w:hAnsi="Times New Roman" w:cs="Times New Roman"/>
          <w:bCs/>
          <w:iCs/>
          <w:color w:val="000000"/>
          <w:sz w:val="28"/>
          <w:szCs w:val="28"/>
          <w:lang w:val="es-ES"/>
        </w:rPr>
        <w:t xml:space="preserve">” (variable y no fijo) de un bien o servicio y deleguen a la administración la función de establecer el mecanismo para concretarlo o certificarlo </w:t>
      </w:r>
      <w:r w:rsidRPr="0029329A">
        <w:rPr>
          <w:rFonts w:ascii="Times New Roman" w:hAnsi="Times New Roman" w:cs="Times New Roman"/>
          <w:bCs/>
          <w:iCs/>
          <w:color w:val="000000"/>
          <w:sz w:val="28"/>
          <w:szCs w:val="28"/>
          <w:lang w:val="es-ES"/>
        </w:rPr>
        <w:t>de forma periódica</w:t>
      </w:r>
      <w:r w:rsidRPr="0029329A">
        <w:rPr>
          <w:rFonts w:ascii="Times New Roman" w:hAnsi="Times New Roman" w:cs="Times New Roman"/>
          <w:color w:val="000000"/>
          <w:sz w:val="28"/>
          <w:szCs w:val="28"/>
          <w:vertAlign w:val="superscript"/>
          <w:lang w:val="es-ES"/>
        </w:rPr>
        <w:footnoteReference w:id="127"/>
      </w:r>
      <w:r w:rsidRPr="0029329A">
        <w:rPr>
          <w:rFonts w:ascii="Times New Roman" w:hAnsi="Times New Roman" w:cs="Times New Roman"/>
          <w:bCs/>
          <w:iCs/>
          <w:color w:val="000000"/>
          <w:sz w:val="28"/>
          <w:szCs w:val="28"/>
          <w:lang w:val="es-ES"/>
        </w:rPr>
        <w:t xml:space="preserve">. Esta competencia se fundamenta, desde el punto de vista constitucional, en el amplio margen de configuración del legislador en materia tributaria y, desde el punto de vista económico, en la necesidad de que los importes finales de los </w:t>
      </w:r>
      <w:r w:rsidRPr="0029329A">
        <w:rPr>
          <w:rFonts w:ascii="Times New Roman" w:hAnsi="Times New Roman" w:cs="Times New Roman"/>
          <w:bCs/>
          <w:iCs/>
          <w:color w:val="000000"/>
          <w:sz w:val="28"/>
          <w:szCs w:val="28"/>
          <w:lang w:val="es-ES"/>
        </w:rPr>
        <w:t>impuestos respondan a las dinámicas de los mercados en los que operan los contribuyentes</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lang w:val="es-ES"/>
        </w:rPr>
        <w:t xml:space="preserve">. </w:t>
      </w:r>
    </w:p>
    <w:p w:rsidR="00631927" w:rsidRPr="0029329A" w:rsidRDefault="0029329A" w:rsidP="00773A7F">
      <w:pPr>
        <w:widowControl w:val="0"/>
        <w:tabs>
          <w:tab w:val="left" w:pos="567"/>
        </w:tabs>
        <w:spacing w:after="0" w:line="360" w:lineRule="atLeast"/>
        <w:contextualSpacing/>
        <w:jc w:val="both"/>
        <w:rPr>
          <w:rFonts w:ascii="Times New Roman" w:hAnsi="Times New Roman" w:cs="Times New Roman"/>
          <w:bCs/>
          <w:iCs/>
          <w:color w:val="000000"/>
          <w:sz w:val="28"/>
          <w:szCs w:val="28"/>
          <w:lang w:val="es-ES"/>
        </w:rPr>
      </w:pPr>
    </w:p>
    <w:p w:rsidR="00FD6F6A" w:rsidRPr="0029329A" w:rsidRDefault="0029329A" w:rsidP="00773A7F">
      <w:pPr>
        <w:widowControl w:val="0"/>
        <w:tabs>
          <w:tab w:val="left" w:pos="567"/>
        </w:tabs>
        <w:spacing w:after="0" w:line="360" w:lineRule="atLeast"/>
        <w:contextualSpacing/>
        <w:jc w:val="both"/>
        <w:rPr>
          <w:rFonts w:ascii="Times New Roman" w:hAnsi="Times New Roman" w:cs="Times New Roman"/>
          <w:color w:val="000000"/>
          <w:sz w:val="28"/>
          <w:szCs w:val="28"/>
          <w:lang w:val="es-ES"/>
        </w:rPr>
      </w:pPr>
      <w:r w:rsidRPr="0029329A">
        <w:rPr>
          <w:rFonts w:ascii="Times New Roman" w:hAnsi="Times New Roman" w:cs="Times New Roman"/>
          <w:bCs/>
          <w:iCs/>
          <w:color w:val="000000"/>
          <w:sz w:val="28"/>
          <w:szCs w:val="28"/>
          <w:lang w:val="es-ES"/>
        </w:rPr>
        <w:t>8</w:t>
      </w:r>
      <w:r w:rsidRPr="0029329A">
        <w:rPr>
          <w:rFonts w:ascii="Times New Roman" w:hAnsi="Times New Roman" w:cs="Times New Roman"/>
          <w:bCs/>
          <w:iCs/>
          <w:color w:val="000000"/>
          <w:sz w:val="28"/>
          <w:szCs w:val="28"/>
          <w:lang w:val="es-ES"/>
        </w:rPr>
        <w:t>5</w:t>
      </w:r>
      <w:r w:rsidRPr="0029329A">
        <w:rPr>
          <w:rFonts w:ascii="Times New Roman" w:hAnsi="Times New Roman" w:cs="Times New Roman"/>
          <w:bCs/>
          <w:iCs/>
          <w:color w:val="000000"/>
          <w:sz w:val="28"/>
          <w:szCs w:val="28"/>
          <w:lang w:val="es-ES"/>
        </w:rPr>
        <w:t xml:space="preserve">. </w:t>
      </w:r>
      <w:r w:rsidRPr="0029329A">
        <w:rPr>
          <w:rFonts w:ascii="Times New Roman" w:hAnsi="Times New Roman" w:cs="Times New Roman"/>
          <w:bCs/>
          <w:iCs/>
          <w:color w:val="000000"/>
          <w:sz w:val="28"/>
          <w:szCs w:val="28"/>
          <w:lang w:val="es-ES"/>
        </w:rPr>
        <w:t xml:space="preserve">Al respecto, la jurisprudencia constitucional </w:t>
      </w:r>
      <w:r w:rsidRPr="0029329A">
        <w:rPr>
          <w:rFonts w:ascii="Times New Roman" w:hAnsi="Times New Roman" w:cs="Times New Roman"/>
          <w:bCs/>
          <w:iCs/>
          <w:color w:val="000000"/>
          <w:sz w:val="28"/>
          <w:szCs w:val="28"/>
          <w:lang w:val="es-ES"/>
        </w:rPr>
        <w:t xml:space="preserve">ha precisado que el principio de legalidad, en su faceta de certeza, </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lang w:val="es-ES"/>
        </w:rPr>
        <w:t>condiciona la constitucionalidad de esta fo</w:t>
      </w:r>
      <w:r w:rsidRPr="0029329A">
        <w:rPr>
          <w:rFonts w:ascii="Times New Roman" w:hAnsi="Times New Roman" w:cs="Times New Roman"/>
          <w:bCs/>
          <w:iCs/>
          <w:color w:val="000000"/>
          <w:sz w:val="28"/>
          <w:szCs w:val="28"/>
          <w:lang w:val="es-ES"/>
        </w:rPr>
        <w:t>rma de fijar la base gravable al cumplimiento de dos requisitos</w:t>
      </w:r>
      <w:r w:rsidRPr="0029329A">
        <w:rPr>
          <w:rFonts w:ascii="Times New Roman" w:hAnsi="Times New Roman" w:cs="Times New Roman"/>
          <w:bCs/>
          <w:iCs/>
          <w:color w:val="000000"/>
          <w:sz w:val="28"/>
          <w:szCs w:val="28"/>
          <w:vertAlign w:val="superscript"/>
        </w:rPr>
        <w:footnoteReference w:id="128"/>
      </w:r>
      <w:r w:rsidRPr="0029329A">
        <w:rPr>
          <w:rFonts w:ascii="Times New Roman" w:hAnsi="Times New Roman" w:cs="Times New Roman"/>
          <w:bCs/>
          <w:iCs/>
          <w:color w:val="000000"/>
          <w:sz w:val="28"/>
          <w:szCs w:val="28"/>
          <w:lang w:val="es-ES"/>
        </w:rPr>
        <w:t xml:space="preserve">, los cuales buscan garantizar que las autoridades administrativas efectivamente ejerzan una competencia reglamentaria de </w:t>
      </w:r>
      <w:r w:rsidRPr="0029329A">
        <w:rPr>
          <w:rFonts w:ascii="Times New Roman" w:hAnsi="Times New Roman" w:cs="Times New Roman"/>
          <w:bCs/>
          <w:i/>
          <w:iCs/>
          <w:color w:val="000000"/>
          <w:sz w:val="28"/>
          <w:szCs w:val="28"/>
          <w:lang w:val="es-ES"/>
        </w:rPr>
        <w:t>certificación</w:t>
      </w:r>
      <w:r w:rsidRPr="0029329A">
        <w:rPr>
          <w:rFonts w:ascii="Times New Roman" w:hAnsi="Times New Roman" w:cs="Times New Roman"/>
          <w:bCs/>
          <w:iCs/>
          <w:color w:val="000000"/>
          <w:sz w:val="28"/>
          <w:szCs w:val="28"/>
          <w:lang w:val="es-ES"/>
        </w:rPr>
        <w:t xml:space="preserve"> o </w:t>
      </w:r>
      <w:r w:rsidRPr="0029329A">
        <w:rPr>
          <w:rFonts w:ascii="Times New Roman" w:hAnsi="Times New Roman" w:cs="Times New Roman"/>
          <w:bCs/>
          <w:i/>
          <w:iCs/>
          <w:color w:val="000000"/>
          <w:sz w:val="28"/>
          <w:szCs w:val="28"/>
          <w:lang w:val="es-ES"/>
        </w:rPr>
        <w:t>concreción</w:t>
      </w:r>
      <w:r w:rsidRPr="0029329A">
        <w:rPr>
          <w:rFonts w:ascii="Times New Roman" w:hAnsi="Times New Roman" w:cs="Times New Roman"/>
          <w:bCs/>
          <w:iCs/>
          <w:color w:val="000000"/>
          <w:sz w:val="28"/>
          <w:szCs w:val="28"/>
          <w:lang w:val="es-ES"/>
        </w:rPr>
        <w:t xml:space="preserve"> del precio, y no una función legislativa de</w:t>
      </w:r>
      <w:r w:rsidRPr="0029329A">
        <w:rPr>
          <w:rFonts w:ascii="Times New Roman" w:hAnsi="Times New Roman" w:cs="Times New Roman"/>
          <w:bCs/>
          <w:iCs/>
          <w:color w:val="000000"/>
          <w:sz w:val="28"/>
          <w:szCs w:val="28"/>
          <w:lang w:val="es-ES"/>
        </w:rPr>
        <w:t xml:space="preserve"> </w:t>
      </w:r>
      <w:r w:rsidRPr="0029329A">
        <w:rPr>
          <w:rFonts w:ascii="Times New Roman" w:hAnsi="Times New Roman" w:cs="Times New Roman"/>
          <w:bCs/>
          <w:i/>
          <w:iCs/>
          <w:color w:val="000000"/>
          <w:sz w:val="28"/>
          <w:szCs w:val="28"/>
          <w:lang w:val="es-ES"/>
        </w:rPr>
        <w:t>fijación</w:t>
      </w:r>
      <w:r w:rsidRPr="0029329A">
        <w:rPr>
          <w:rFonts w:ascii="Times New Roman" w:hAnsi="Times New Roman" w:cs="Times New Roman"/>
          <w:bCs/>
          <w:iCs/>
          <w:color w:val="000000"/>
          <w:sz w:val="28"/>
          <w:szCs w:val="28"/>
          <w:lang w:val="es-ES"/>
        </w:rPr>
        <w:t xml:space="preserve"> de la base gravable</w:t>
      </w:r>
      <w:r w:rsidRPr="0029329A">
        <w:rPr>
          <w:rFonts w:ascii="Times New Roman" w:hAnsi="Times New Roman" w:cs="Times New Roman"/>
          <w:bCs/>
          <w:iCs/>
          <w:color w:val="000000"/>
          <w:sz w:val="28"/>
          <w:szCs w:val="28"/>
          <w:lang w:val="es-ES"/>
        </w:rPr>
        <w:t>”</w:t>
      </w:r>
      <w:r w:rsidRPr="0029329A">
        <w:rPr>
          <w:rStyle w:val="Refdenotaalpie"/>
          <w:rFonts w:ascii="Times New Roman" w:hAnsi="Times New Roman"/>
          <w:bCs/>
          <w:iCs/>
          <w:color w:val="000000"/>
          <w:sz w:val="28"/>
          <w:szCs w:val="28"/>
          <w:vertAlign w:val="superscript"/>
        </w:rPr>
        <w:footnoteReference w:id="129"/>
      </w:r>
      <w:r w:rsidRPr="0029329A">
        <w:rPr>
          <w:rFonts w:ascii="Times New Roman" w:hAnsi="Times New Roman" w:cs="Times New Roman"/>
          <w:bCs/>
          <w:iCs/>
          <w:color w:val="000000"/>
          <w:sz w:val="28"/>
          <w:szCs w:val="28"/>
          <w:lang w:val="es-ES"/>
        </w:rPr>
        <w:t xml:space="preserve">. Específicamente, en la sentencia C-019 de 2022, la Corte precisó:  </w:t>
      </w:r>
    </w:p>
    <w:p w:rsidR="001A0F94" w:rsidRPr="0029329A" w:rsidRDefault="0029329A" w:rsidP="00773A7F">
      <w:pPr>
        <w:overflowPunct w:val="0"/>
        <w:autoSpaceDE w:val="0"/>
        <w:autoSpaceDN w:val="0"/>
        <w:adjustRightInd w:val="0"/>
        <w:spacing w:after="0" w:line="360" w:lineRule="atLeast"/>
        <w:jc w:val="both"/>
        <w:textAlignment w:val="baseline"/>
        <w:rPr>
          <w:rFonts w:ascii="Times New Roman" w:hAnsi="Times New Roman" w:cs="Times New Roman"/>
          <w:sz w:val="28"/>
          <w:szCs w:val="28"/>
        </w:rPr>
      </w:pPr>
    </w:p>
    <w:p w:rsidR="006D0286"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bCs/>
          <w:iCs/>
          <w:color w:val="000000"/>
          <w:sz w:val="28"/>
          <w:szCs w:val="28"/>
          <w:lang w:val="es-ES"/>
        </w:rPr>
      </w:pP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lang w:val="es-ES"/>
        </w:rPr>
        <w:t xml:space="preserve">Primero, el objeto de la delegación debe ser la concreción administrativa de precios que </w:t>
      </w:r>
      <w:r w:rsidRPr="0029329A">
        <w:rPr>
          <w:rFonts w:ascii="Times New Roman" w:hAnsi="Times New Roman" w:cs="Times New Roman"/>
          <w:bCs/>
          <w:iCs/>
          <w:color w:val="000000"/>
          <w:sz w:val="28"/>
          <w:szCs w:val="28"/>
        </w:rPr>
        <w:t>tengan una contrapartida cierta</w:t>
      </w:r>
      <w:r w:rsidRPr="0029329A">
        <w:rPr>
          <w:rFonts w:ascii="Times New Roman" w:hAnsi="Times New Roman" w:cs="Times New Roman"/>
          <w:bCs/>
          <w:i/>
          <w:iCs/>
          <w:color w:val="000000"/>
          <w:sz w:val="28"/>
          <w:szCs w:val="28"/>
        </w:rPr>
        <w:t xml:space="preserve"> </w:t>
      </w:r>
      <w:r w:rsidRPr="0029329A">
        <w:rPr>
          <w:rFonts w:ascii="Times New Roman" w:hAnsi="Times New Roman" w:cs="Times New Roman"/>
          <w:bCs/>
          <w:iCs/>
          <w:color w:val="000000"/>
          <w:sz w:val="28"/>
          <w:szCs w:val="28"/>
        </w:rPr>
        <w:t>“</w:t>
      </w:r>
      <w:r w:rsidRPr="0029329A">
        <w:rPr>
          <w:rFonts w:ascii="Times New Roman" w:hAnsi="Times New Roman" w:cs="Times New Roman"/>
          <w:bCs/>
          <w:i/>
          <w:iCs/>
          <w:color w:val="000000"/>
          <w:sz w:val="28"/>
          <w:szCs w:val="28"/>
        </w:rPr>
        <w:t>en la realidad económica</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vertAlign w:val="superscript"/>
        </w:rPr>
        <w:footnoteReference w:id="130"/>
      </w:r>
      <w:r w:rsidRPr="0029329A">
        <w:rPr>
          <w:rFonts w:ascii="Times New Roman" w:hAnsi="Times New Roman" w:cs="Times New Roman"/>
          <w:bCs/>
          <w:iCs/>
          <w:color w:val="000000"/>
          <w:sz w:val="28"/>
          <w:szCs w:val="28"/>
        </w:rPr>
        <w:t xml:space="preserve"> y que, </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
          <w:iCs/>
          <w:color w:val="000000"/>
          <w:sz w:val="28"/>
          <w:szCs w:val="28"/>
          <w:lang w:val="es-ES"/>
        </w:rPr>
        <w:t>por su naturaleza o por su necesidad de continua actualización</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vertAlign w:val="superscript"/>
        </w:rPr>
        <w:footnoteReference w:id="131"/>
      </w:r>
      <w:r w:rsidRPr="0029329A">
        <w:rPr>
          <w:rFonts w:ascii="Times New Roman" w:hAnsi="Times New Roman" w:cs="Times New Roman"/>
          <w:bCs/>
          <w:iCs/>
          <w:color w:val="000000"/>
          <w:sz w:val="28"/>
          <w:szCs w:val="28"/>
          <w:lang w:val="es-ES"/>
        </w:rPr>
        <w:t>, no puedan ser previstos de antemano y de manera precisa por la ley</w:t>
      </w:r>
      <w:r w:rsidRPr="0029329A">
        <w:rPr>
          <w:rFonts w:ascii="Times New Roman" w:hAnsi="Times New Roman" w:cs="Times New Roman"/>
          <w:bCs/>
          <w:iCs/>
          <w:color w:val="000000"/>
          <w:sz w:val="28"/>
          <w:szCs w:val="28"/>
          <w:lang w:val="es-ES"/>
        </w:rPr>
        <w:t>”</w:t>
      </w:r>
      <w:r w:rsidRPr="0029329A">
        <w:rPr>
          <w:rFonts w:ascii="Times New Roman" w:hAnsi="Times New Roman" w:cs="Times New Roman"/>
          <w:bCs/>
          <w:iCs/>
          <w:color w:val="000000"/>
          <w:sz w:val="28"/>
          <w:szCs w:val="28"/>
          <w:lang w:val="es-ES"/>
        </w:rPr>
        <w:t xml:space="preserve">. </w:t>
      </w:r>
    </w:p>
    <w:p w:rsidR="006D0286"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bCs/>
          <w:iCs/>
          <w:color w:val="000000"/>
          <w:sz w:val="28"/>
          <w:szCs w:val="28"/>
          <w:lang w:val="es-ES"/>
        </w:rPr>
      </w:pPr>
    </w:p>
    <w:p w:rsidR="009F7A07" w:rsidRPr="0029329A" w:rsidRDefault="0029329A" w:rsidP="00773A7F">
      <w:pPr>
        <w:widowControl w:val="0"/>
        <w:tabs>
          <w:tab w:val="left" w:pos="567"/>
        </w:tabs>
        <w:spacing w:after="0" w:line="360" w:lineRule="atLeast"/>
        <w:ind w:left="567" w:right="567"/>
        <w:contextualSpacing/>
        <w:jc w:val="both"/>
        <w:rPr>
          <w:rFonts w:ascii="Times New Roman" w:hAnsi="Times New Roman" w:cs="Times New Roman"/>
          <w:color w:val="000000"/>
          <w:sz w:val="28"/>
          <w:szCs w:val="28"/>
          <w:lang w:val="es-ES"/>
        </w:rPr>
      </w:pPr>
      <w:r w:rsidRPr="0029329A">
        <w:rPr>
          <w:rFonts w:ascii="Times New Roman" w:hAnsi="Times New Roman" w:cs="Times New Roman"/>
          <w:bCs/>
          <w:iCs/>
          <w:color w:val="000000"/>
          <w:sz w:val="28"/>
          <w:szCs w:val="28"/>
        </w:rPr>
        <w:t xml:space="preserve">Segundo, </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rPr>
        <w:t>el legislador no está obligado a fijar de manera directa y exhaustiva el “</w:t>
      </w:r>
      <w:r w:rsidRPr="0029329A">
        <w:rPr>
          <w:rFonts w:ascii="Times New Roman" w:hAnsi="Times New Roman" w:cs="Times New Roman"/>
          <w:bCs/>
          <w:i/>
          <w:iCs/>
          <w:color w:val="000000"/>
          <w:sz w:val="28"/>
          <w:szCs w:val="28"/>
        </w:rPr>
        <w:t>mecanismo</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vertAlign w:val="superscript"/>
        </w:rPr>
        <w:footnoteReference w:id="132"/>
      </w:r>
      <w:r w:rsidRPr="0029329A">
        <w:rPr>
          <w:rFonts w:ascii="Times New Roman" w:hAnsi="Times New Roman" w:cs="Times New Roman"/>
          <w:bCs/>
          <w:iCs/>
          <w:color w:val="000000"/>
          <w:sz w:val="28"/>
          <w:szCs w:val="28"/>
        </w:rPr>
        <w:t xml:space="preserve"> o “</w:t>
      </w:r>
      <w:r w:rsidRPr="0029329A">
        <w:rPr>
          <w:rFonts w:ascii="Times New Roman" w:hAnsi="Times New Roman" w:cs="Times New Roman"/>
          <w:bCs/>
          <w:i/>
          <w:iCs/>
          <w:color w:val="000000"/>
          <w:sz w:val="28"/>
          <w:szCs w:val="28"/>
        </w:rPr>
        <w:t>metodología</w:t>
      </w:r>
      <w:r w:rsidRPr="0029329A">
        <w:rPr>
          <w:rFonts w:ascii="Times New Roman" w:hAnsi="Times New Roman" w:cs="Times New Roman"/>
          <w:bCs/>
          <w:i/>
          <w:iCs/>
          <w:color w:val="000000"/>
          <w:sz w:val="28"/>
          <w:szCs w:val="28"/>
        </w:rPr>
        <w:t xml:space="preserve"> de cálculo</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vertAlign w:val="superscript"/>
        </w:rPr>
        <w:footnoteReference w:id="133"/>
      </w:r>
      <w:r w:rsidRPr="0029329A">
        <w:rPr>
          <w:rFonts w:ascii="Times New Roman" w:hAnsi="Times New Roman" w:cs="Times New Roman"/>
          <w:bCs/>
          <w:iCs/>
          <w:color w:val="000000"/>
          <w:sz w:val="28"/>
          <w:szCs w:val="28"/>
        </w:rPr>
        <w:t xml:space="preserve"> del precio. Esta metodología puede ser diseñada por la administración mediante reglamento. Sin embargo, deben existir criterios o pautas generales </w:t>
      </w:r>
      <w:bookmarkStart w:id="12" w:name="_Hlk96522653"/>
      <w:r w:rsidRPr="0029329A">
        <w:rPr>
          <w:rFonts w:ascii="Times New Roman" w:hAnsi="Times New Roman" w:cs="Times New Roman"/>
          <w:bCs/>
          <w:iCs/>
          <w:color w:val="000000"/>
          <w:sz w:val="28"/>
          <w:szCs w:val="28"/>
        </w:rPr>
        <w:t>que orienten la forma en que la administración debe regular el mecanismo de cálculo para concre</w:t>
      </w:r>
      <w:r w:rsidRPr="0029329A">
        <w:rPr>
          <w:rFonts w:ascii="Times New Roman" w:hAnsi="Times New Roman" w:cs="Times New Roman"/>
          <w:bCs/>
          <w:iCs/>
          <w:color w:val="000000"/>
          <w:sz w:val="28"/>
          <w:szCs w:val="28"/>
        </w:rPr>
        <w:t>tar y certificar dicho precio</w:t>
      </w:r>
      <w:bookmarkEnd w:id="12"/>
      <w:r w:rsidRPr="0029329A">
        <w:rPr>
          <w:rFonts w:ascii="Times New Roman" w:hAnsi="Times New Roman" w:cs="Times New Roman"/>
          <w:bCs/>
          <w:iCs/>
          <w:color w:val="000000"/>
          <w:sz w:val="28"/>
          <w:szCs w:val="28"/>
          <w:vertAlign w:val="superscript"/>
        </w:rPr>
        <w:footnoteReference w:id="134"/>
      </w:r>
      <w:r w:rsidRPr="0029329A">
        <w:rPr>
          <w:rFonts w:ascii="Times New Roman" w:hAnsi="Times New Roman" w:cs="Times New Roman"/>
          <w:bCs/>
          <w:iCs/>
          <w:color w:val="000000"/>
          <w:sz w:val="28"/>
          <w:szCs w:val="28"/>
        </w:rPr>
        <w:t xml:space="preserve">. Estos criterios pueden </w:t>
      </w:r>
      <w:r w:rsidRPr="0029329A">
        <w:rPr>
          <w:rFonts w:ascii="Times New Roman" w:hAnsi="Times New Roman" w:cs="Times New Roman"/>
          <w:bCs/>
          <w:i/>
          <w:iCs/>
          <w:color w:val="000000"/>
          <w:sz w:val="28"/>
          <w:szCs w:val="28"/>
        </w:rPr>
        <w:t>(i)</w:t>
      </w:r>
      <w:r w:rsidRPr="0029329A">
        <w:rPr>
          <w:rFonts w:ascii="Times New Roman" w:hAnsi="Times New Roman" w:cs="Times New Roman"/>
          <w:bCs/>
          <w:iCs/>
          <w:color w:val="000000"/>
          <w:sz w:val="28"/>
          <w:szCs w:val="28"/>
        </w:rPr>
        <w:t xml:space="preserve"> ser fijados directamente por la ley que crea el tributo, </w:t>
      </w:r>
      <w:r w:rsidRPr="0029329A">
        <w:rPr>
          <w:rFonts w:ascii="Times New Roman" w:hAnsi="Times New Roman" w:cs="Times New Roman"/>
          <w:bCs/>
          <w:i/>
          <w:iCs/>
          <w:color w:val="000000"/>
          <w:sz w:val="28"/>
          <w:szCs w:val="28"/>
        </w:rPr>
        <w:t>(ii)</w:t>
      </w:r>
      <w:r w:rsidRPr="0029329A">
        <w:rPr>
          <w:rFonts w:ascii="Times New Roman" w:hAnsi="Times New Roman" w:cs="Times New Roman"/>
          <w:bCs/>
          <w:iCs/>
          <w:color w:val="000000"/>
          <w:sz w:val="28"/>
          <w:szCs w:val="28"/>
        </w:rPr>
        <w:t xml:space="preserve"> estar previstos en alguna otra norma de rango legal que sea aplicable</w:t>
      </w:r>
      <w:r w:rsidRPr="0029329A">
        <w:rPr>
          <w:rFonts w:ascii="Times New Roman" w:hAnsi="Times New Roman" w:cs="Times New Roman"/>
          <w:bCs/>
          <w:iCs/>
          <w:color w:val="000000"/>
          <w:sz w:val="28"/>
          <w:szCs w:val="28"/>
          <w:vertAlign w:val="superscript"/>
        </w:rPr>
        <w:footnoteReference w:id="135"/>
      </w:r>
      <w:r w:rsidRPr="0029329A">
        <w:rPr>
          <w:rFonts w:ascii="Times New Roman" w:hAnsi="Times New Roman" w:cs="Times New Roman"/>
          <w:bCs/>
          <w:iCs/>
          <w:color w:val="000000"/>
          <w:sz w:val="28"/>
          <w:szCs w:val="28"/>
        </w:rPr>
        <w:t xml:space="preserve"> o </w:t>
      </w:r>
      <w:r w:rsidRPr="0029329A">
        <w:rPr>
          <w:rFonts w:ascii="Times New Roman" w:hAnsi="Times New Roman" w:cs="Times New Roman"/>
          <w:bCs/>
          <w:i/>
          <w:iCs/>
          <w:color w:val="000000"/>
          <w:sz w:val="28"/>
          <w:szCs w:val="28"/>
        </w:rPr>
        <w:t>(iii)</w:t>
      </w:r>
      <w:r w:rsidRPr="0029329A">
        <w:rPr>
          <w:rFonts w:ascii="Times New Roman" w:hAnsi="Times New Roman" w:cs="Times New Roman"/>
          <w:bCs/>
          <w:iCs/>
          <w:color w:val="000000"/>
          <w:sz w:val="28"/>
          <w:szCs w:val="28"/>
        </w:rPr>
        <w:t xml:space="preserve"> derivarse de “</w:t>
      </w:r>
      <w:r w:rsidRPr="0029329A">
        <w:rPr>
          <w:rFonts w:ascii="Times New Roman" w:hAnsi="Times New Roman" w:cs="Times New Roman"/>
          <w:bCs/>
          <w:i/>
          <w:iCs/>
          <w:color w:val="000000"/>
          <w:sz w:val="28"/>
          <w:szCs w:val="28"/>
        </w:rPr>
        <w:t>un parámetro objetivo y verificable, gener</w:t>
      </w:r>
      <w:r w:rsidRPr="0029329A">
        <w:rPr>
          <w:rFonts w:ascii="Times New Roman" w:hAnsi="Times New Roman" w:cs="Times New Roman"/>
          <w:bCs/>
          <w:i/>
          <w:iCs/>
          <w:color w:val="000000"/>
          <w:sz w:val="28"/>
          <w:szCs w:val="28"/>
        </w:rPr>
        <w:t>almente obtenido de la ciencia económica</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vertAlign w:val="superscript"/>
        </w:rPr>
        <w:footnoteReference w:id="136"/>
      </w:r>
      <w:r w:rsidRPr="0029329A">
        <w:rPr>
          <w:rFonts w:ascii="Times New Roman" w:hAnsi="Times New Roman" w:cs="Times New Roman"/>
          <w:bCs/>
          <w:iCs/>
          <w:color w:val="000000"/>
          <w:sz w:val="28"/>
          <w:szCs w:val="28"/>
        </w:rPr>
        <w:t xml:space="preserve">, que </w:t>
      </w:r>
      <w:r w:rsidRPr="0029329A">
        <w:rPr>
          <w:rFonts w:ascii="Times New Roman" w:hAnsi="Times New Roman" w:cs="Times New Roman"/>
          <w:bCs/>
          <w:iCs/>
          <w:color w:val="000000"/>
          <w:sz w:val="28"/>
          <w:szCs w:val="28"/>
          <w:lang w:val="es-ES_tradnl"/>
        </w:rPr>
        <w:t xml:space="preserve">permitan a las autoridades aplicar los conceptos y variables económicas </w:t>
      </w:r>
      <w:r w:rsidRPr="0029329A">
        <w:rPr>
          <w:rFonts w:ascii="Times New Roman" w:hAnsi="Times New Roman" w:cs="Times New Roman"/>
          <w:bCs/>
          <w:iCs/>
          <w:color w:val="000000"/>
          <w:sz w:val="28"/>
          <w:szCs w:val="28"/>
        </w:rPr>
        <w:t>con un “</w:t>
      </w:r>
      <w:r w:rsidRPr="0029329A">
        <w:rPr>
          <w:rFonts w:ascii="Times New Roman" w:hAnsi="Times New Roman" w:cs="Times New Roman"/>
          <w:bCs/>
          <w:i/>
          <w:color w:val="000000"/>
          <w:sz w:val="28"/>
          <w:szCs w:val="28"/>
        </w:rPr>
        <w:t>alto nivel de certeza</w:t>
      </w:r>
      <w:r w:rsidRPr="0029329A">
        <w:rPr>
          <w:rFonts w:ascii="Times New Roman" w:hAnsi="Times New Roman" w:cs="Times New Roman"/>
          <w:bCs/>
          <w:iCs/>
          <w:color w:val="000000"/>
          <w:sz w:val="28"/>
          <w:szCs w:val="28"/>
        </w:rPr>
        <w:t>”</w:t>
      </w:r>
      <w:r w:rsidRPr="0029329A">
        <w:rPr>
          <w:rFonts w:ascii="Times New Roman" w:hAnsi="Times New Roman" w:cs="Times New Roman"/>
          <w:bCs/>
          <w:iCs/>
          <w:color w:val="000000"/>
          <w:sz w:val="28"/>
          <w:szCs w:val="28"/>
          <w:vertAlign w:val="superscript"/>
        </w:rPr>
        <w:footnoteReference w:id="137"/>
      </w:r>
      <w:r w:rsidRPr="0029329A">
        <w:rPr>
          <w:rFonts w:ascii="Times New Roman" w:hAnsi="Times New Roman" w:cs="Times New Roman"/>
          <w:bCs/>
          <w:iCs/>
          <w:color w:val="000000"/>
          <w:sz w:val="28"/>
          <w:szCs w:val="28"/>
        </w:rPr>
        <w:t>”</w:t>
      </w:r>
      <w:r w:rsidRPr="0029329A">
        <w:rPr>
          <w:rStyle w:val="Refdenotaalpie"/>
          <w:rFonts w:ascii="Times New Roman" w:hAnsi="Times New Roman"/>
          <w:bCs/>
          <w:iCs/>
          <w:color w:val="000000"/>
          <w:sz w:val="28"/>
          <w:szCs w:val="28"/>
          <w:vertAlign w:val="superscript"/>
        </w:rPr>
        <w:footnoteReference w:id="138"/>
      </w:r>
      <w:r w:rsidRPr="0029329A">
        <w:rPr>
          <w:rFonts w:ascii="Times New Roman" w:hAnsi="Times New Roman" w:cs="Times New Roman"/>
          <w:bCs/>
          <w:iCs/>
          <w:color w:val="000000"/>
          <w:sz w:val="28"/>
          <w:szCs w:val="28"/>
        </w:rPr>
        <w:t>.</w:t>
      </w:r>
    </w:p>
    <w:p w:rsidR="00F50827" w:rsidRPr="0029329A" w:rsidRDefault="0029329A" w:rsidP="00C125B9">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sz w:val="28"/>
          <w:szCs w:val="28"/>
          <w:lang w:val="es-ES"/>
        </w:rPr>
      </w:pPr>
    </w:p>
    <w:p w:rsidR="0000361F" w:rsidRPr="0029329A" w:rsidRDefault="0029329A" w:rsidP="00C125B9">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i/>
          <w:sz w:val="28"/>
          <w:szCs w:val="28"/>
          <w:lang w:val="es-ES"/>
        </w:rPr>
      </w:pPr>
      <w:r w:rsidRPr="0029329A">
        <w:rPr>
          <w:rFonts w:ascii="Times New Roman" w:hAnsi="Times New Roman" w:cs="Times New Roman"/>
          <w:b/>
          <w:bCs/>
          <w:i/>
          <w:sz w:val="28"/>
          <w:szCs w:val="28"/>
          <w:lang w:val="es-ES"/>
        </w:rPr>
        <w:t>Análisis primer cargo</w:t>
      </w:r>
    </w:p>
    <w:p w:rsidR="0000361F" w:rsidRPr="0029329A" w:rsidRDefault="0029329A" w:rsidP="00C125B9">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i/>
          <w:sz w:val="28"/>
          <w:szCs w:val="28"/>
          <w:lang w:val="es-ES"/>
        </w:rPr>
      </w:pPr>
    </w:p>
    <w:p w:rsidR="00B079DB" w:rsidRPr="0029329A" w:rsidRDefault="0029329A" w:rsidP="00B079DB">
      <w:pPr>
        <w:tabs>
          <w:tab w:val="left" w:pos="426"/>
        </w:tabs>
        <w:ind w:right="-46"/>
        <w:contextualSpacing/>
        <w:jc w:val="both"/>
        <w:rPr>
          <w:rFonts w:ascii="Times New Roman" w:hAnsi="Times New Roman" w:cs="Times New Roman"/>
          <w:sz w:val="28"/>
          <w:szCs w:val="28"/>
        </w:rPr>
      </w:pPr>
      <w:r w:rsidRPr="0029329A">
        <w:rPr>
          <w:rFonts w:ascii="Times New Roman" w:hAnsi="Times New Roman" w:cs="Times New Roman"/>
          <w:sz w:val="28"/>
          <w:szCs w:val="28"/>
        </w:rPr>
        <w:t xml:space="preserve">87. El principio de unidad de materia que se encuentra previsto en los </w:t>
      </w:r>
      <w:r w:rsidRPr="0029329A">
        <w:rPr>
          <w:rFonts w:ascii="Times New Roman" w:hAnsi="Times New Roman" w:cs="Times New Roman"/>
          <w:sz w:val="28"/>
          <w:szCs w:val="28"/>
        </w:rPr>
        <w:t>artículos 158 y 169 de la Carta Política, busca evitar que en el trámite legislativo se introduzcan normas que no tienen conexión con la materia del proyecto de ley. En el caso de las Leyes que aprueban el Plan Nacional de Desarrollo -PND- debe considerars</w:t>
      </w:r>
      <w:r w:rsidRPr="0029329A">
        <w:rPr>
          <w:rFonts w:ascii="Times New Roman" w:hAnsi="Times New Roman" w:cs="Times New Roman"/>
          <w:sz w:val="28"/>
          <w:szCs w:val="28"/>
        </w:rPr>
        <w:t>e que se trata de un cuerpo normativo compuesto por: (i) una parte general de propósitos y objetivos gubernamentales, desarrollada en detalle en el documento anexo a la ley denominado “bases del PND”, (ii) el plan de inversiones para el cuatrienio; y (iii)</w:t>
      </w:r>
      <w:r w:rsidRPr="0029329A">
        <w:rPr>
          <w:rFonts w:ascii="Times New Roman" w:hAnsi="Times New Roman" w:cs="Times New Roman"/>
          <w:sz w:val="28"/>
          <w:szCs w:val="28"/>
        </w:rPr>
        <w:t xml:space="preserve"> las medidas para ejecutar dichas metas y recursos.</w:t>
      </w:r>
    </w:p>
    <w:p w:rsidR="00B079DB" w:rsidRPr="0029329A" w:rsidRDefault="0029329A" w:rsidP="00B079DB">
      <w:pPr>
        <w:tabs>
          <w:tab w:val="left" w:pos="426"/>
        </w:tabs>
        <w:ind w:right="-46"/>
        <w:contextualSpacing/>
        <w:jc w:val="both"/>
        <w:rPr>
          <w:rFonts w:ascii="Times New Roman" w:hAnsi="Times New Roman" w:cs="Times New Roman"/>
          <w:sz w:val="28"/>
          <w:szCs w:val="28"/>
          <w:lang w:val="es-ES_tradnl"/>
        </w:rPr>
      </w:pPr>
    </w:p>
    <w:p w:rsidR="00B079DB" w:rsidRPr="0029329A" w:rsidRDefault="0029329A" w:rsidP="00B079DB">
      <w:pPr>
        <w:tabs>
          <w:tab w:val="left" w:pos="426"/>
        </w:tabs>
        <w:ind w:right="-46"/>
        <w:contextualSpacing/>
        <w:jc w:val="both"/>
        <w:rPr>
          <w:rFonts w:ascii="Times New Roman" w:hAnsi="Times New Roman" w:cs="Times New Roman"/>
          <w:sz w:val="28"/>
          <w:szCs w:val="28"/>
        </w:rPr>
      </w:pPr>
      <w:r w:rsidRPr="0029329A">
        <w:rPr>
          <w:rFonts w:ascii="Times New Roman" w:hAnsi="Times New Roman" w:cs="Times New Roman"/>
          <w:sz w:val="28"/>
          <w:szCs w:val="28"/>
        </w:rPr>
        <w:t>88. Por consiguiente, el juicio de constitucionalidad que exige el principio de unidad de materia consiste en verificar la conexión estrecha entre: (i) las metas de la parte general y las destinaciones d</w:t>
      </w:r>
      <w:r w:rsidRPr="0029329A">
        <w:rPr>
          <w:rFonts w:ascii="Times New Roman" w:hAnsi="Times New Roman" w:cs="Times New Roman"/>
          <w:sz w:val="28"/>
          <w:szCs w:val="28"/>
        </w:rPr>
        <w:t>el plan de inversiones, y (b) las disposiciones instrumentales contenidas en la ley. Es por ello que para que una norma puede considerarse acorde con la Constitución:</w:t>
      </w:r>
    </w:p>
    <w:p w:rsidR="00B079DB" w:rsidRPr="0029329A" w:rsidRDefault="0029329A" w:rsidP="00B079DB">
      <w:pPr>
        <w:tabs>
          <w:tab w:val="left" w:pos="426"/>
        </w:tabs>
        <w:ind w:right="-46"/>
        <w:contextualSpacing/>
        <w:jc w:val="both"/>
        <w:rPr>
          <w:rFonts w:ascii="Times New Roman" w:hAnsi="Times New Roman" w:cs="Times New Roman"/>
          <w:sz w:val="28"/>
          <w:szCs w:val="28"/>
        </w:rPr>
      </w:pPr>
    </w:p>
    <w:p w:rsidR="00B079DB" w:rsidRPr="0029329A" w:rsidRDefault="0029329A" w:rsidP="00B079DB">
      <w:pPr>
        <w:numPr>
          <w:ilvl w:val="0"/>
          <w:numId w:val="2"/>
        </w:numPr>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iCs/>
          <w:color w:val="000000"/>
          <w:sz w:val="28"/>
          <w:szCs w:val="28"/>
          <w:lang w:val="es-ES_tradnl" w:eastAsia="en-US"/>
        </w:rPr>
        <w:t>La norma objeto de control debe tener un carácter instrumental, es decir, de medio a fin</w:t>
      </w:r>
      <w:r w:rsidRPr="0029329A">
        <w:rPr>
          <w:rFonts w:ascii="Times New Roman" w:eastAsiaTheme="minorHAnsi" w:hAnsi="Times New Roman" w:cs="Times New Roman"/>
          <w:iCs/>
          <w:color w:val="000000"/>
          <w:sz w:val="28"/>
          <w:szCs w:val="28"/>
          <w:lang w:val="es-ES_tradnl" w:eastAsia="en-US"/>
        </w:rPr>
        <w:t xml:space="preserve"> con las metas previstas en la parte general del Plan Nacional de Desarrollo</w:t>
      </w:r>
      <w:r w:rsidRPr="0029329A">
        <w:rPr>
          <w:rFonts w:ascii="Times New Roman" w:eastAsiaTheme="minorHAnsi" w:hAnsi="Times New Roman" w:cs="Times New Roman"/>
          <w:iCs/>
          <w:color w:val="000000"/>
          <w:sz w:val="28"/>
          <w:szCs w:val="28"/>
          <w:vertAlign w:val="superscript"/>
          <w:lang w:val="es-ES_tradnl" w:eastAsia="en-US"/>
        </w:rPr>
        <w:footnoteReference w:id="139"/>
      </w:r>
      <w:r w:rsidRPr="0029329A">
        <w:rPr>
          <w:rFonts w:ascii="Times New Roman" w:eastAsiaTheme="minorHAnsi" w:hAnsi="Times New Roman" w:cs="Times New Roman"/>
          <w:iCs/>
          <w:color w:val="000000"/>
          <w:sz w:val="28"/>
          <w:szCs w:val="28"/>
          <w:lang w:val="es-ES_tradnl" w:eastAsia="en-US"/>
        </w:rPr>
        <w:t xml:space="preserve">.  </w:t>
      </w:r>
    </w:p>
    <w:p w:rsidR="00B079DB" w:rsidRPr="0029329A" w:rsidRDefault="0029329A" w:rsidP="00B079DB">
      <w:pPr>
        <w:ind w:left="1080"/>
        <w:contextualSpacing/>
        <w:jc w:val="both"/>
        <w:rPr>
          <w:rFonts w:ascii="Times New Roman" w:eastAsiaTheme="minorHAnsi" w:hAnsi="Times New Roman" w:cs="Times New Roman"/>
          <w:iCs/>
          <w:sz w:val="28"/>
          <w:szCs w:val="28"/>
          <w:lang w:val="es-ES" w:eastAsia="en-US"/>
        </w:rPr>
      </w:pPr>
    </w:p>
    <w:p w:rsidR="00B079DB" w:rsidRPr="0029329A" w:rsidRDefault="0029329A" w:rsidP="00B079DB">
      <w:pPr>
        <w:numPr>
          <w:ilvl w:val="0"/>
          <w:numId w:val="2"/>
        </w:numPr>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iCs/>
          <w:sz w:val="28"/>
          <w:szCs w:val="28"/>
          <w:lang w:val="es-ES" w:eastAsia="en-US"/>
        </w:rPr>
        <w:t xml:space="preserve">Debe establecerse si en </w:t>
      </w:r>
      <w:bookmarkStart w:id="13" w:name="_Hlk169181396"/>
      <w:r w:rsidRPr="0029329A">
        <w:rPr>
          <w:rFonts w:ascii="Times New Roman" w:eastAsiaTheme="minorHAnsi" w:hAnsi="Times New Roman" w:cs="Times New Roman"/>
          <w:iCs/>
          <w:sz w:val="28"/>
          <w:szCs w:val="28"/>
          <w:lang w:val="es-ES" w:eastAsia="en-US"/>
        </w:rPr>
        <w:t xml:space="preserve">la parte general del plan existen objetivos, metas, planes o estrategias que puedan relacionarse con las normas acusadas. </w:t>
      </w:r>
    </w:p>
    <w:bookmarkEnd w:id="13"/>
    <w:p w:rsidR="00B079DB" w:rsidRPr="0029329A" w:rsidRDefault="0029329A" w:rsidP="00B079DB">
      <w:pPr>
        <w:ind w:left="720"/>
        <w:contextualSpacing/>
        <w:rPr>
          <w:rFonts w:ascii="Times New Roman" w:eastAsiaTheme="minorHAnsi" w:hAnsi="Times New Roman" w:cs="Times New Roman"/>
          <w:iCs/>
          <w:sz w:val="28"/>
          <w:szCs w:val="28"/>
          <w:lang w:val="es-ES" w:eastAsia="en-US"/>
        </w:rPr>
      </w:pPr>
    </w:p>
    <w:p w:rsidR="00B079DB" w:rsidRPr="0029329A" w:rsidRDefault="0029329A" w:rsidP="00B079DB">
      <w:pPr>
        <w:numPr>
          <w:ilvl w:val="0"/>
          <w:numId w:val="2"/>
        </w:numPr>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iCs/>
          <w:sz w:val="28"/>
          <w:szCs w:val="28"/>
          <w:lang w:val="es-ES" w:eastAsia="en-US"/>
        </w:rPr>
        <w:t>Debe verificarse si existe</w:t>
      </w:r>
      <w:r w:rsidRPr="0029329A">
        <w:rPr>
          <w:rFonts w:ascii="Times New Roman" w:eastAsiaTheme="minorHAnsi" w:hAnsi="Times New Roman" w:cs="Times New Roman"/>
          <w:iCs/>
          <w:sz w:val="28"/>
          <w:szCs w:val="28"/>
          <w:lang w:val="es-ES" w:eastAsia="en-US"/>
        </w:rPr>
        <w:t xml:space="preserve"> una conexión directa e inmediata (estrecha y verificable) entre las normas que hacen parte de los objetivos generales del plan y las disposiciones demandadas.</w:t>
      </w:r>
    </w:p>
    <w:p w:rsidR="00B079DB" w:rsidRPr="0029329A" w:rsidRDefault="0029329A" w:rsidP="00B079DB">
      <w:pPr>
        <w:contextualSpacing/>
        <w:jc w:val="both"/>
        <w:rPr>
          <w:rFonts w:ascii="Times New Roman" w:eastAsiaTheme="minorHAnsi" w:hAnsi="Times New Roman" w:cs="Times New Roman"/>
          <w:iCs/>
          <w:sz w:val="28"/>
          <w:szCs w:val="28"/>
          <w:lang w:val="es-ES" w:eastAsia="en-US"/>
        </w:rPr>
      </w:pPr>
    </w:p>
    <w:p w:rsidR="00B079DB" w:rsidRPr="0029329A" w:rsidRDefault="0029329A" w:rsidP="00B079DB">
      <w:pPr>
        <w:ind w:left="1134"/>
        <w:contextualSpacing/>
        <w:jc w:val="both"/>
        <w:rPr>
          <w:rFonts w:ascii="Times New Roman" w:eastAsiaTheme="minorHAnsi" w:hAnsi="Times New Roman" w:cs="Times New Roman"/>
          <w:i/>
          <w:iCs/>
          <w:sz w:val="28"/>
          <w:szCs w:val="28"/>
          <w:vertAlign w:val="superscript"/>
          <w:lang w:val="es-ES" w:eastAsia="en-US"/>
        </w:rPr>
      </w:pPr>
      <w:r w:rsidRPr="0029329A">
        <w:rPr>
          <w:rFonts w:ascii="Times New Roman" w:eastAsiaTheme="minorHAnsi" w:hAnsi="Times New Roman" w:cs="Times New Roman"/>
          <w:iCs/>
          <w:sz w:val="28"/>
          <w:szCs w:val="28"/>
          <w:lang w:val="es-ES" w:eastAsia="en-US"/>
        </w:rPr>
        <w:t>Esta tercera etapa del juicio fue precisada por la Sentencia C-063 de 2021</w:t>
      </w:r>
      <w:r w:rsidRPr="0029329A">
        <w:rPr>
          <w:rFonts w:ascii="Times New Roman" w:eastAsiaTheme="minorHAnsi" w:hAnsi="Times New Roman" w:cs="Times New Roman"/>
          <w:iCs/>
          <w:sz w:val="28"/>
          <w:szCs w:val="28"/>
          <w:vertAlign w:val="superscript"/>
          <w:lang w:val="es-ES" w:eastAsia="en-US"/>
        </w:rPr>
        <w:footnoteReference w:id="140"/>
      </w:r>
      <w:r w:rsidRPr="0029329A">
        <w:rPr>
          <w:rFonts w:ascii="Times New Roman" w:eastAsiaTheme="minorHAnsi" w:hAnsi="Times New Roman" w:cs="Times New Roman"/>
          <w:iCs/>
          <w:sz w:val="28"/>
          <w:szCs w:val="28"/>
          <w:lang w:val="es-ES" w:eastAsia="en-US"/>
        </w:rPr>
        <w:t xml:space="preserve">, </w:t>
      </w:r>
      <w:r w:rsidRPr="0029329A">
        <w:rPr>
          <w:rFonts w:ascii="Times New Roman" w:eastAsiaTheme="minorHAnsi" w:hAnsi="Times New Roman" w:cs="Times New Roman"/>
          <w:sz w:val="28"/>
          <w:szCs w:val="28"/>
          <w:lang w:val="es-ES" w:eastAsia="en-US"/>
        </w:rPr>
        <w:t xml:space="preserve">y se exige, además que </w:t>
      </w:r>
      <w:r w:rsidRPr="0029329A">
        <w:rPr>
          <w:rFonts w:ascii="Times New Roman" w:eastAsiaTheme="minorHAnsi" w:hAnsi="Times New Roman" w:cs="Times New Roman"/>
          <w:i/>
          <w:iCs/>
          <w:sz w:val="28"/>
          <w:szCs w:val="28"/>
          <w:lang w:val="es-ES" w:eastAsia="en-US"/>
        </w:rPr>
        <w:t>“las disposiciones instrumentales incorporadas en tales leyes deben guardar conexidad directa e inmediata con los programas y proyectos de inversión pública nacional descritos de manera específica y detallada y los presupuestos pluri</w:t>
      </w:r>
      <w:r w:rsidRPr="0029329A">
        <w:rPr>
          <w:rFonts w:ascii="Times New Roman" w:eastAsiaTheme="minorHAnsi" w:hAnsi="Times New Roman" w:cs="Times New Roman"/>
          <w:i/>
          <w:iCs/>
          <w:sz w:val="28"/>
          <w:szCs w:val="28"/>
          <w:lang w:val="es-ES" w:eastAsia="en-US"/>
        </w:rPr>
        <w:t>anuales de los mismos, junto con la determinación o especificación concreta de los recursos financieros y apropiaciones requeridos que se autoricen para su ejecución definidos en la Ley del Plan Nacional de Inversiones”</w:t>
      </w:r>
    </w:p>
    <w:p w:rsidR="00B079DB" w:rsidRPr="0029329A" w:rsidRDefault="0029329A" w:rsidP="00B079DB">
      <w:pPr>
        <w:ind w:left="1134"/>
        <w:contextualSpacing/>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 xml:space="preserve"> </w:t>
      </w:r>
    </w:p>
    <w:p w:rsidR="00B079DB" w:rsidRPr="0029329A" w:rsidRDefault="0029329A" w:rsidP="00B079DB">
      <w:pPr>
        <w:ind w:left="1134"/>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sz w:val="28"/>
          <w:szCs w:val="28"/>
          <w:lang w:val="es-ES" w:eastAsia="en-US"/>
        </w:rPr>
        <w:t xml:space="preserve">De igual manera, debe recordarse que </w:t>
      </w:r>
      <w:r w:rsidRPr="0029329A">
        <w:rPr>
          <w:rFonts w:ascii="Times New Roman" w:eastAsiaTheme="minorHAnsi" w:hAnsi="Times New Roman" w:cs="Times New Roman"/>
          <w:iCs/>
          <w:sz w:val="28"/>
          <w:szCs w:val="28"/>
          <w:lang w:val="es-ES" w:eastAsia="en-US"/>
        </w:rPr>
        <w:t xml:space="preserve">la conexidad directa e inmediata significa comprobar que </w:t>
      </w:r>
      <w:r w:rsidRPr="0029329A">
        <w:rPr>
          <w:rFonts w:ascii="Times New Roman" w:eastAsiaTheme="minorHAnsi" w:hAnsi="Times New Roman" w:cs="Times New Roman"/>
          <w:i/>
          <w:sz w:val="28"/>
          <w:szCs w:val="28"/>
          <w:lang w:val="es-ES" w:eastAsia="en-US"/>
        </w:rPr>
        <w:t>“el cumplimiento de las normas instrumentales lleve inequívocamente a la realización de las metas generales del plan”</w:t>
      </w:r>
      <w:r w:rsidRPr="0029329A">
        <w:rPr>
          <w:rFonts w:ascii="Times New Roman" w:eastAsiaTheme="minorHAnsi" w:hAnsi="Times New Roman" w:cs="Times New Roman"/>
          <w:i/>
          <w:sz w:val="28"/>
          <w:szCs w:val="28"/>
          <w:vertAlign w:val="superscript"/>
          <w:lang w:val="es-ES" w:eastAsia="en-US"/>
        </w:rPr>
        <w:footnoteReference w:id="141"/>
      </w:r>
      <w:r w:rsidRPr="0029329A">
        <w:rPr>
          <w:rFonts w:ascii="Times New Roman" w:eastAsiaTheme="minorHAnsi" w:hAnsi="Times New Roman" w:cs="Times New Roman"/>
          <w:iCs/>
          <w:sz w:val="28"/>
          <w:szCs w:val="28"/>
          <w:lang w:val="es-ES" w:eastAsia="en-US"/>
        </w:rPr>
        <w:t>(negrillas originales). Lo que lleva a concl</w:t>
      </w:r>
      <w:r w:rsidRPr="0029329A">
        <w:rPr>
          <w:rFonts w:ascii="Times New Roman" w:eastAsiaTheme="minorHAnsi" w:hAnsi="Times New Roman" w:cs="Times New Roman"/>
          <w:iCs/>
          <w:sz w:val="28"/>
          <w:szCs w:val="28"/>
          <w:lang w:val="es-ES" w:eastAsia="en-US"/>
        </w:rPr>
        <w:t>uir que está proscrito que la conexidad sea eventual o mediata, lo cual ocurre cuando del cumplimiento de la norma instrumental no se obtiene concreta y directamente la efectividad de los objetivos y metas generales del plan, de sus principales programas o</w:t>
      </w:r>
      <w:r w:rsidRPr="0029329A">
        <w:rPr>
          <w:rFonts w:ascii="Times New Roman" w:eastAsiaTheme="minorHAnsi" w:hAnsi="Times New Roman" w:cs="Times New Roman"/>
          <w:iCs/>
          <w:sz w:val="28"/>
          <w:szCs w:val="28"/>
          <w:lang w:val="es-ES" w:eastAsia="en-US"/>
        </w:rPr>
        <w:t xml:space="preserve"> de los proyectos de inversión, o se trata de una efectividad meramente conjetural e hipotética</w:t>
      </w:r>
      <w:r w:rsidRPr="0029329A">
        <w:rPr>
          <w:rFonts w:ascii="Times New Roman" w:eastAsiaTheme="minorHAnsi" w:hAnsi="Times New Roman" w:cs="Times New Roman"/>
          <w:iCs/>
          <w:sz w:val="28"/>
          <w:szCs w:val="28"/>
          <w:vertAlign w:val="superscript"/>
          <w:lang w:val="es-ES" w:eastAsia="en-US"/>
        </w:rPr>
        <w:footnoteReference w:id="142"/>
      </w:r>
      <w:r w:rsidRPr="0029329A">
        <w:rPr>
          <w:rFonts w:ascii="Times New Roman" w:eastAsiaTheme="minorHAnsi" w:hAnsi="Times New Roman" w:cs="Times New Roman"/>
          <w:iCs/>
          <w:sz w:val="28"/>
          <w:szCs w:val="28"/>
          <w:lang w:val="es-ES" w:eastAsia="en-US"/>
        </w:rPr>
        <w:t>.</w:t>
      </w:r>
    </w:p>
    <w:p w:rsidR="00B079DB" w:rsidRPr="0029329A" w:rsidRDefault="0029329A" w:rsidP="00B079DB">
      <w:pPr>
        <w:ind w:left="1134"/>
        <w:contextualSpacing/>
        <w:jc w:val="both"/>
        <w:rPr>
          <w:rFonts w:ascii="Times New Roman" w:eastAsiaTheme="minorHAnsi" w:hAnsi="Times New Roman" w:cs="Times New Roman"/>
          <w:iCs/>
          <w:sz w:val="28"/>
          <w:szCs w:val="28"/>
          <w:lang w:val="es-ES" w:eastAsia="en-US"/>
        </w:rPr>
      </w:pPr>
    </w:p>
    <w:p w:rsidR="00B079DB" w:rsidRPr="0029329A" w:rsidRDefault="0029329A" w:rsidP="00B079DB">
      <w:pPr>
        <w:ind w:left="1134"/>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iCs/>
          <w:sz w:val="28"/>
          <w:szCs w:val="28"/>
          <w:lang w:val="es-ES" w:eastAsia="en-US"/>
        </w:rPr>
        <w:t>En línea con lo anterior, la jurisprudencia constitucional ha precisado que el vínculo es eventual o mediato si se comprueba que la ley del plan es usada</w:t>
      </w:r>
      <w:bookmarkStart w:id="14" w:name="_Hlk150275004"/>
      <w:r w:rsidRPr="0029329A">
        <w:rPr>
          <w:rFonts w:ascii="Times New Roman" w:eastAsiaTheme="minorHAnsi" w:hAnsi="Times New Roman" w:cs="Times New Roman"/>
          <w:iCs/>
          <w:sz w:val="28"/>
          <w:szCs w:val="28"/>
          <w:lang w:val="es-ES" w:eastAsia="en-US"/>
        </w:rPr>
        <w:t xml:space="preserve"> </w:t>
      </w:r>
      <w:r w:rsidRPr="0029329A">
        <w:rPr>
          <w:rFonts w:ascii="Times New Roman" w:eastAsiaTheme="minorHAnsi" w:hAnsi="Times New Roman" w:cs="Times New Roman"/>
          <w:i/>
          <w:sz w:val="28"/>
          <w:szCs w:val="28"/>
          <w:lang w:val="es-ES" w:eastAsia="en-US"/>
        </w:rPr>
        <w:t>“</w:t>
      </w:r>
      <w:r w:rsidRPr="0029329A">
        <w:rPr>
          <w:rFonts w:ascii="Times New Roman" w:eastAsiaTheme="minorHAnsi" w:hAnsi="Times New Roman" w:cs="Times New Roman"/>
          <w:i/>
          <w:sz w:val="28"/>
          <w:szCs w:val="28"/>
          <w:lang w:eastAsia="en-US"/>
        </w:rPr>
        <w:t>pa</w:t>
      </w:r>
      <w:r w:rsidRPr="0029329A">
        <w:rPr>
          <w:rFonts w:ascii="Times New Roman" w:eastAsiaTheme="minorHAnsi" w:hAnsi="Times New Roman" w:cs="Times New Roman"/>
          <w:i/>
          <w:sz w:val="28"/>
          <w:szCs w:val="28"/>
          <w:lang w:eastAsia="en-US"/>
        </w:rPr>
        <w:t>ra incorporar normas que tengan como objetivo el (…) llenar vacíos e inconsistencias que se presenten en leyes anteriores, o para ejercer la potestad legislativa general reconocida al Congreso de la República, sin ninguna relación con los objetivos y metas</w:t>
      </w:r>
      <w:r w:rsidRPr="0029329A">
        <w:rPr>
          <w:rFonts w:ascii="Times New Roman" w:eastAsiaTheme="minorHAnsi" w:hAnsi="Times New Roman" w:cs="Times New Roman"/>
          <w:i/>
          <w:sz w:val="28"/>
          <w:szCs w:val="28"/>
          <w:lang w:eastAsia="en-US"/>
        </w:rPr>
        <w:t xml:space="preserve"> de la función de planificación”</w:t>
      </w:r>
      <w:r w:rsidRPr="0029329A">
        <w:rPr>
          <w:rFonts w:ascii="Times New Roman" w:eastAsiaTheme="minorHAnsi" w:hAnsi="Times New Roman" w:cs="Times New Roman"/>
          <w:i/>
          <w:sz w:val="28"/>
          <w:szCs w:val="28"/>
          <w:vertAlign w:val="superscript"/>
          <w:lang w:eastAsia="en-US"/>
        </w:rPr>
        <w:footnoteReference w:id="143"/>
      </w:r>
      <w:r w:rsidRPr="0029329A">
        <w:rPr>
          <w:rFonts w:ascii="Times New Roman" w:eastAsiaTheme="minorHAnsi" w:hAnsi="Times New Roman" w:cs="Times New Roman"/>
          <w:sz w:val="28"/>
          <w:szCs w:val="28"/>
          <w:lang w:eastAsia="en-US"/>
        </w:rPr>
        <w:t>.</w:t>
      </w:r>
    </w:p>
    <w:p w:rsidR="00B079DB" w:rsidRPr="0029329A" w:rsidRDefault="0029329A" w:rsidP="00B079DB">
      <w:pPr>
        <w:contextualSpacing/>
        <w:rPr>
          <w:rFonts w:ascii="Times New Roman" w:eastAsiaTheme="minorHAnsi" w:hAnsi="Times New Roman" w:cs="Times New Roman"/>
          <w:sz w:val="28"/>
          <w:szCs w:val="28"/>
          <w:lang w:eastAsia="en-US"/>
        </w:rPr>
      </w:pPr>
    </w:p>
    <w:p w:rsidR="00B079DB" w:rsidRPr="0029329A" w:rsidRDefault="0029329A" w:rsidP="00B079DB">
      <w:pPr>
        <w:contextualSpacing/>
        <w:jc w:val="both"/>
        <w:rPr>
          <w:rFonts w:ascii="Times New Roman" w:hAnsi="Times New Roman" w:cs="Times New Roman"/>
          <w:sz w:val="28"/>
          <w:szCs w:val="28"/>
        </w:rPr>
      </w:pPr>
      <w:r w:rsidRPr="0029329A">
        <w:rPr>
          <w:rFonts w:ascii="Times New Roman" w:eastAsiaTheme="minorHAnsi" w:hAnsi="Times New Roman" w:cs="Times New Roman"/>
          <w:sz w:val="28"/>
          <w:szCs w:val="28"/>
          <w:lang w:eastAsia="en-US"/>
        </w:rPr>
        <w:t>89. Se procede entonces a analizar cada un</w:t>
      </w:r>
      <w:r w:rsidRPr="0029329A">
        <w:rPr>
          <w:rFonts w:ascii="Times New Roman" w:eastAsiaTheme="minorHAnsi" w:hAnsi="Times New Roman" w:cs="Times New Roman"/>
          <w:sz w:val="28"/>
          <w:szCs w:val="28"/>
          <w:lang w:eastAsia="en-US"/>
        </w:rPr>
        <w:t>a</w:t>
      </w:r>
      <w:r w:rsidRPr="0029329A">
        <w:rPr>
          <w:rFonts w:ascii="Times New Roman" w:eastAsiaTheme="minorHAnsi" w:hAnsi="Times New Roman" w:cs="Times New Roman"/>
          <w:sz w:val="28"/>
          <w:szCs w:val="28"/>
          <w:lang w:eastAsia="en-US"/>
        </w:rPr>
        <w:t xml:space="preserve"> de las etapas del juicio, con el fin de determinar si la norma es acorde con las particularidades del principio de unidad de materia de las leyes que aprueban el </w:t>
      </w:r>
      <w:r w:rsidRPr="0029329A">
        <w:rPr>
          <w:rFonts w:ascii="Times New Roman" w:eastAsiaTheme="minorHAnsi" w:hAnsi="Times New Roman" w:cs="Times New Roman"/>
          <w:sz w:val="28"/>
          <w:szCs w:val="28"/>
          <w:lang w:eastAsia="en-US"/>
        </w:rPr>
        <w:t>P</w:t>
      </w:r>
      <w:r w:rsidRPr="0029329A">
        <w:rPr>
          <w:rFonts w:ascii="Times New Roman" w:eastAsiaTheme="minorHAnsi" w:hAnsi="Times New Roman" w:cs="Times New Roman"/>
          <w:sz w:val="28"/>
          <w:szCs w:val="28"/>
          <w:lang w:eastAsia="en-US"/>
        </w:rPr>
        <w:t xml:space="preserve">lan </w:t>
      </w:r>
      <w:r w:rsidRPr="0029329A">
        <w:rPr>
          <w:rFonts w:ascii="Times New Roman" w:eastAsiaTheme="minorHAnsi" w:hAnsi="Times New Roman" w:cs="Times New Roman"/>
          <w:sz w:val="28"/>
          <w:szCs w:val="28"/>
          <w:lang w:eastAsia="en-US"/>
        </w:rPr>
        <w:t>N</w:t>
      </w:r>
      <w:r w:rsidRPr="0029329A">
        <w:rPr>
          <w:rFonts w:ascii="Times New Roman" w:eastAsiaTheme="minorHAnsi" w:hAnsi="Times New Roman" w:cs="Times New Roman"/>
          <w:sz w:val="28"/>
          <w:szCs w:val="28"/>
          <w:lang w:eastAsia="en-US"/>
        </w:rPr>
        <w:t xml:space="preserve">acional de </w:t>
      </w:r>
      <w:r w:rsidRPr="0029329A">
        <w:rPr>
          <w:rFonts w:ascii="Times New Roman" w:eastAsiaTheme="minorHAnsi" w:hAnsi="Times New Roman" w:cs="Times New Roman"/>
          <w:sz w:val="28"/>
          <w:szCs w:val="28"/>
          <w:lang w:eastAsia="en-US"/>
        </w:rPr>
        <w:t>D</w:t>
      </w:r>
      <w:r w:rsidRPr="0029329A">
        <w:rPr>
          <w:rFonts w:ascii="Times New Roman" w:eastAsiaTheme="minorHAnsi" w:hAnsi="Times New Roman" w:cs="Times New Roman"/>
          <w:sz w:val="28"/>
          <w:szCs w:val="28"/>
          <w:lang w:eastAsia="en-US"/>
        </w:rPr>
        <w:t xml:space="preserve">esarrollo. En primer lugar, se hará referencia a </w:t>
      </w:r>
      <w:bookmarkEnd w:id="14"/>
      <w:r w:rsidRPr="0029329A">
        <w:rPr>
          <w:rFonts w:ascii="Times New Roman" w:hAnsi="Times New Roman" w:cs="Times New Roman"/>
          <w:sz w:val="28"/>
          <w:szCs w:val="28"/>
          <w:lang w:val="es-ES_tradnl"/>
        </w:rPr>
        <w:t xml:space="preserve">la </w:t>
      </w:r>
      <w:r w:rsidRPr="0029329A">
        <w:rPr>
          <w:rFonts w:ascii="Times New Roman" w:hAnsi="Times New Roman" w:cs="Times New Roman"/>
          <w:sz w:val="28"/>
          <w:szCs w:val="28"/>
          <w:lang w:val="es-ES" w:eastAsia="en-US"/>
        </w:rPr>
        <w:t>Ley 2294 de 2023</w:t>
      </w:r>
      <w:r w:rsidRPr="0029329A">
        <w:rPr>
          <w:rFonts w:ascii="Times New Roman" w:hAnsi="Times New Roman" w:cs="Times New Roman"/>
          <w:sz w:val="28"/>
          <w:szCs w:val="28"/>
          <w:lang w:val="es-ES_tradnl"/>
        </w:rPr>
        <w:t xml:space="preserve">, mediante la cual se adopta </w:t>
      </w:r>
      <w:r w:rsidRPr="0029329A">
        <w:rPr>
          <w:rFonts w:ascii="Times New Roman" w:hAnsi="Times New Roman" w:cs="Times New Roman"/>
          <w:sz w:val="28"/>
          <w:szCs w:val="28"/>
        </w:rPr>
        <w:t>el Plan Nacional de Desarrollo correspondiente al período 2022-2026 denominado “</w:t>
      </w:r>
      <w:r w:rsidRPr="0029329A">
        <w:rPr>
          <w:rFonts w:ascii="Times New Roman" w:hAnsi="Times New Roman" w:cs="Times New Roman"/>
          <w:i/>
          <w:sz w:val="28"/>
          <w:szCs w:val="28"/>
        </w:rPr>
        <w:t>Colombia Potencia Mundial de la Vida</w:t>
      </w:r>
      <w:r w:rsidRPr="0029329A">
        <w:rPr>
          <w:rFonts w:ascii="Times New Roman" w:hAnsi="Times New Roman" w:cs="Times New Roman"/>
          <w:sz w:val="28"/>
          <w:szCs w:val="28"/>
        </w:rPr>
        <w:t xml:space="preserve">”. </w:t>
      </w:r>
    </w:p>
    <w:p w:rsidR="00B079DB" w:rsidRPr="0029329A" w:rsidRDefault="0029329A" w:rsidP="00B079DB">
      <w:pPr>
        <w:contextualSpacing/>
        <w:jc w:val="both"/>
        <w:rPr>
          <w:rFonts w:ascii="Times New Roman" w:hAnsi="Times New Roman" w:cs="Times New Roman"/>
          <w:sz w:val="28"/>
          <w:szCs w:val="28"/>
        </w:rPr>
      </w:pPr>
    </w:p>
    <w:p w:rsidR="00B079DB" w:rsidRPr="0029329A" w:rsidRDefault="0029329A" w:rsidP="00B079DB">
      <w:pPr>
        <w:contextualSpacing/>
        <w:jc w:val="both"/>
        <w:rPr>
          <w:rFonts w:ascii="Times New Roman" w:eastAsiaTheme="minorHAnsi" w:hAnsi="Times New Roman" w:cs="Times New Roman"/>
          <w:sz w:val="28"/>
          <w:szCs w:val="28"/>
          <w:lang w:eastAsia="en-US"/>
        </w:rPr>
      </w:pPr>
      <w:r w:rsidRPr="0029329A">
        <w:rPr>
          <w:rFonts w:ascii="Times New Roman" w:hAnsi="Times New Roman" w:cs="Times New Roman"/>
          <w:sz w:val="28"/>
          <w:szCs w:val="28"/>
        </w:rPr>
        <w:t>90. El Título I correspond</w:t>
      </w:r>
      <w:r w:rsidRPr="0029329A">
        <w:rPr>
          <w:rFonts w:ascii="Times New Roman" w:hAnsi="Times New Roman" w:cs="Times New Roman"/>
          <w:sz w:val="28"/>
          <w:szCs w:val="28"/>
        </w:rPr>
        <w:t xml:space="preserve">e a las disposiciones generales y contiene 3 artículos. El artículo 1º prevé los objetivos del Plan Nacional de Desarrollo de la siguiente forma: </w:t>
      </w:r>
      <w:r w:rsidRPr="0029329A">
        <w:rPr>
          <w:rFonts w:ascii="Times New Roman" w:hAnsi="Times New Roman" w:cs="Times New Roman"/>
          <w:iCs/>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i/>
          <w:sz w:val="28"/>
          <w:szCs w:val="28"/>
        </w:rPr>
        <w:t>sentar las bases para que el país se convierta en un líder de la protección de la vida a partir de la con</w:t>
      </w:r>
      <w:r w:rsidRPr="0029329A">
        <w:rPr>
          <w:rFonts w:ascii="Times New Roman" w:hAnsi="Times New Roman" w:cs="Times New Roman"/>
          <w:i/>
          <w:sz w:val="28"/>
          <w:szCs w:val="28"/>
        </w:rPr>
        <w:t xml:space="preserve">strucción de un nuevo contrato social que propicie la superación de injusticias y exclusiones históricas, la no repetición del conflicto, el cambio de nuestro relacionamiento con el ambiente y una transformación productiva sustentada en </w:t>
      </w:r>
      <w:r w:rsidRPr="0029329A">
        <w:rPr>
          <w:rFonts w:ascii="Times New Roman" w:hAnsi="Times New Roman" w:cs="Times New Roman"/>
          <w:i/>
          <w:sz w:val="28"/>
          <w:szCs w:val="28"/>
        </w:rPr>
        <w:t>e</w:t>
      </w:r>
      <w:r w:rsidRPr="0029329A">
        <w:rPr>
          <w:rFonts w:ascii="Times New Roman" w:hAnsi="Times New Roman" w:cs="Times New Roman"/>
          <w:i/>
          <w:sz w:val="28"/>
          <w:szCs w:val="28"/>
        </w:rPr>
        <w:t>l conocimiento y e</w:t>
      </w:r>
      <w:r w:rsidRPr="0029329A">
        <w:rPr>
          <w:rFonts w:ascii="Times New Roman" w:hAnsi="Times New Roman" w:cs="Times New Roman"/>
          <w:i/>
          <w:sz w:val="28"/>
          <w:szCs w:val="28"/>
        </w:rPr>
        <w:t xml:space="preserve">n armonía con la naturaleza. </w:t>
      </w:r>
      <w:r w:rsidRPr="0029329A">
        <w:rPr>
          <w:rFonts w:ascii="Times New Roman" w:hAnsi="Times New Roman" w:cs="Times New Roman"/>
          <w:sz w:val="28"/>
          <w:szCs w:val="28"/>
        </w:rPr>
        <w:t>(…)”.</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91. El artículo 2º establece que el documento denominado “</w:t>
      </w:r>
      <w:r w:rsidRPr="0029329A">
        <w:rPr>
          <w:rFonts w:ascii="Times New Roman" w:hAnsi="Times New Roman" w:cs="Times New Roman"/>
          <w:i/>
          <w:sz w:val="28"/>
          <w:szCs w:val="28"/>
        </w:rPr>
        <w:t>Bases del Plan Nacional de Desarrollo 2022 – 2026 Colombia Potencia Mundial de la Vida</w:t>
      </w:r>
      <w:r w:rsidRPr="0029329A">
        <w:rPr>
          <w:rFonts w:ascii="Times New Roman" w:hAnsi="Times New Roman" w:cs="Times New Roman"/>
          <w:sz w:val="28"/>
          <w:szCs w:val="28"/>
        </w:rPr>
        <w:t>”, elaborado por el Gobierno nacional con la participación del Consejo Super</w:t>
      </w:r>
      <w:r w:rsidRPr="0029329A">
        <w:rPr>
          <w:rFonts w:ascii="Times New Roman" w:hAnsi="Times New Roman" w:cs="Times New Roman"/>
          <w:sz w:val="28"/>
          <w:szCs w:val="28"/>
        </w:rPr>
        <w:t xml:space="preserve">ior de la Judicatura y del Consejo Nacional de Planeación, con las modificaciones realizadas en el trámite legislativo: </w:t>
      </w:r>
      <w:r w:rsidRPr="0029329A">
        <w:rPr>
          <w:rFonts w:ascii="Times New Roman" w:hAnsi="Times New Roman" w:cs="Times New Roman"/>
          <w:i/>
          <w:iCs/>
          <w:sz w:val="28"/>
          <w:szCs w:val="28"/>
        </w:rPr>
        <w:t>“</w:t>
      </w:r>
      <w:r w:rsidRPr="0029329A">
        <w:rPr>
          <w:rFonts w:ascii="Times New Roman" w:hAnsi="Times New Roman" w:cs="Times New Roman"/>
          <w:i/>
          <w:sz w:val="28"/>
          <w:szCs w:val="28"/>
        </w:rPr>
        <w:t>(…) es parte integral del Plan Nacional de Desarrollo y se incorpora a la presente ley como anexo</w:t>
      </w:r>
      <w:r w:rsidRPr="0029329A">
        <w:rPr>
          <w:rFonts w:ascii="Times New Roman" w:hAnsi="Times New Roman" w:cs="Times New Roman"/>
          <w:sz w:val="28"/>
          <w:szCs w:val="28"/>
        </w:rPr>
        <w:t>”</w:t>
      </w:r>
      <w:r w:rsidRPr="0029329A">
        <w:rPr>
          <w:rFonts w:ascii="Times New Roman" w:hAnsi="Times New Roman" w:cs="Times New Roman"/>
          <w:iCs/>
          <w:sz w:val="28"/>
          <w:szCs w:val="28"/>
          <w:vertAlign w:val="superscript"/>
        </w:rPr>
        <w:footnoteReference w:id="144"/>
      </w:r>
      <w:r w:rsidRPr="0029329A">
        <w:rPr>
          <w:rFonts w:ascii="Times New Roman" w:hAnsi="Times New Roman" w:cs="Times New Roman"/>
          <w:sz w:val="28"/>
          <w:szCs w:val="28"/>
        </w:rPr>
        <w:t>.</w:t>
      </w:r>
      <w:r w:rsidRPr="0029329A">
        <w:rPr>
          <w:rFonts w:ascii="Times New Roman" w:hAnsi="Times New Roman" w:cs="Times New Roman"/>
          <w:iCs/>
          <w:sz w:val="28"/>
          <w:szCs w:val="28"/>
          <w:vertAlign w:val="superscript"/>
        </w:rPr>
        <w:t xml:space="preserve"> </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 xml:space="preserve">92. El artículo 3º de la Ley </w:t>
      </w:r>
      <w:r w:rsidRPr="0029329A">
        <w:rPr>
          <w:rFonts w:ascii="Times New Roman" w:hAnsi="Times New Roman" w:cs="Times New Roman"/>
          <w:sz w:val="28"/>
          <w:szCs w:val="28"/>
          <w:lang w:val="es-ES"/>
        </w:rPr>
        <w:t xml:space="preserve">2294 de 2023 </w:t>
      </w:r>
      <w:r w:rsidRPr="0029329A">
        <w:rPr>
          <w:rFonts w:ascii="Times New Roman" w:hAnsi="Times New Roman" w:cs="Times New Roman"/>
          <w:sz w:val="28"/>
          <w:szCs w:val="28"/>
        </w:rPr>
        <w:t>define los cinco “</w:t>
      </w:r>
      <w:r w:rsidRPr="0029329A">
        <w:rPr>
          <w:rFonts w:ascii="Times New Roman" w:hAnsi="Times New Roman" w:cs="Times New Roman"/>
          <w:i/>
          <w:sz w:val="28"/>
          <w:szCs w:val="28"/>
        </w:rPr>
        <w:t>ejes de transformación</w:t>
      </w:r>
      <w:r w:rsidRPr="0029329A">
        <w:rPr>
          <w:rFonts w:ascii="Times New Roman" w:hAnsi="Times New Roman" w:cs="Times New Roman"/>
          <w:sz w:val="28"/>
          <w:szCs w:val="28"/>
        </w:rPr>
        <w:t xml:space="preserve">” del Plan Nacional de Desarrollo, en los siguientes términos: </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iCs/>
          <w:sz w:val="28"/>
          <w:szCs w:val="24"/>
        </w:rPr>
        <w:t>“</w:t>
      </w:r>
      <w:r w:rsidRPr="0029329A">
        <w:rPr>
          <w:rFonts w:ascii="Times New Roman" w:hAnsi="Times New Roman" w:cs="Times New Roman"/>
          <w:iCs/>
          <w:sz w:val="28"/>
          <w:szCs w:val="24"/>
        </w:rPr>
        <w:t>1.</w:t>
      </w:r>
      <w:r w:rsidRPr="0029329A">
        <w:rPr>
          <w:rFonts w:ascii="Times New Roman" w:hAnsi="Times New Roman" w:cs="Times New Roman"/>
          <w:sz w:val="28"/>
          <w:szCs w:val="24"/>
        </w:rPr>
        <w:t xml:space="preserve"> Ordenamiento del territorio alrededor del agua. Busca un cambio en la planificación del ordenamiento y del desarrollo del territorio, </w:t>
      </w:r>
      <w:r w:rsidRPr="0029329A">
        <w:rPr>
          <w:rFonts w:ascii="Times New Roman" w:hAnsi="Times New Roman" w:cs="Times New Roman"/>
          <w:sz w:val="28"/>
          <w:szCs w:val="24"/>
        </w:rPr>
        <w:t>donde la protección de los determinantes ambientales y de las áreas de especial interés para garantizar el derecho a la alimentación sean objetivos centrales que, desde un enfoque funcional del ordenamiento, orienten procesos de planificación territorial p</w:t>
      </w:r>
      <w:r w:rsidRPr="0029329A">
        <w:rPr>
          <w:rFonts w:ascii="Times New Roman" w:hAnsi="Times New Roman" w:cs="Times New Roman"/>
          <w:sz w:val="28"/>
          <w:szCs w:val="24"/>
        </w:rPr>
        <w:t xml:space="preserve">articipativos, donde las voces de las y los que habitan los territorios sean escuchadas e incorporadas.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 xml:space="preserve">2. </w:t>
      </w:r>
      <w:r w:rsidRPr="0029329A">
        <w:rPr>
          <w:rFonts w:ascii="Times New Roman" w:hAnsi="Times New Roman" w:cs="Times New Roman"/>
          <w:sz w:val="28"/>
          <w:szCs w:val="24"/>
        </w:rPr>
        <w:t>Seguridad humana y justicia social. Transformación de la política social para la adaptación y mitigación del riesgo, que integra la protección de l</w:t>
      </w:r>
      <w:r w:rsidRPr="0029329A">
        <w:rPr>
          <w:rFonts w:ascii="Times New Roman" w:hAnsi="Times New Roman" w:cs="Times New Roman"/>
          <w:sz w:val="28"/>
          <w:szCs w:val="24"/>
        </w:rPr>
        <w:t>a vida con la seguridad jurídica e institucional, así como la seguridad económica y social. Parte de un conjunto de habilitadores estructurales como un sistema de protección social universal y adaptativo; una infraestructura física y digital para la vida y</w:t>
      </w:r>
      <w:r w:rsidRPr="0029329A">
        <w:rPr>
          <w:rFonts w:ascii="Times New Roman" w:hAnsi="Times New Roman" w:cs="Times New Roman"/>
          <w:sz w:val="28"/>
          <w:szCs w:val="24"/>
        </w:rPr>
        <w:t xml:space="preserve"> el buen vivir; la justicia como bien y servicio que asegure la universalidad y primacía de un conjunto de derechos y libertades fundamentales; y la seguridad y defensa integral de los territorios, las comunidades y las poblaciones. Estos habilitadores est</w:t>
      </w:r>
      <w:r w:rsidRPr="0029329A">
        <w:rPr>
          <w:rFonts w:ascii="Times New Roman" w:hAnsi="Times New Roman" w:cs="Times New Roman"/>
          <w:sz w:val="28"/>
          <w:szCs w:val="24"/>
        </w:rPr>
        <w:t>ructurales brindan las condiciones para la superación de las privaciones y la expansión de las capacidades en medio de la diversidad y la pluralidad.</w:t>
      </w:r>
      <w:r w:rsidRPr="0029329A">
        <w:rPr>
          <w:rFonts w:ascii="Times New Roman" w:hAnsi="Times New Roman" w:cs="Times New Roman"/>
          <w:sz w:val="28"/>
          <w:szCs w:val="24"/>
        </w:rPr>
        <w:t xml:space="preserve">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 xml:space="preserve">3. </w:t>
      </w:r>
      <w:r w:rsidRPr="0029329A">
        <w:rPr>
          <w:rFonts w:ascii="Times New Roman" w:hAnsi="Times New Roman" w:cs="Times New Roman"/>
          <w:sz w:val="28"/>
          <w:szCs w:val="24"/>
        </w:rPr>
        <w:t>Derecho humano a la alimentación. Busca que las personas puedan acceder, en todo momento, a una alime</w:t>
      </w:r>
      <w:r w:rsidRPr="0029329A">
        <w:rPr>
          <w:rFonts w:ascii="Times New Roman" w:hAnsi="Times New Roman" w:cs="Times New Roman"/>
          <w:sz w:val="28"/>
          <w:szCs w:val="24"/>
        </w:rPr>
        <w:t>ntación adecuada. Se desarrolla a través de tres pilares principales: disponibilidad, acceso y adecuación de alimentos. Bajo este contexto, se establecen las bases para que progresivamente se logre la soberanía alimentaria y para que todas las personas ten</w:t>
      </w:r>
      <w:r w:rsidRPr="0029329A">
        <w:rPr>
          <w:rFonts w:ascii="Times New Roman" w:hAnsi="Times New Roman" w:cs="Times New Roman"/>
          <w:sz w:val="28"/>
          <w:szCs w:val="24"/>
        </w:rPr>
        <w:t xml:space="preserve">gan una alimentación adecuada y saludable, que reconozca las dietas y gastronomías locales y que les permita tener una vida activa y sana.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4. Transformación productiva, internacionalización y acción climática. Apunta a la diversificación de las actividad</w:t>
      </w:r>
      <w:r w:rsidRPr="0029329A">
        <w:rPr>
          <w:rFonts w:ascii="Times New Roman" w:hAnsi="Times New Roman" w:cs="Times New Roman"/>
          <w:sz w:val="28"/>
          <w:szCs w:val="24"/>
        </w:rPr>
        <w:t>es productivas que aprovechen el capital natural y profundicen en el uso de energías limpias, que sean intensivas en conocimiento e innovación, que respeten y garanticen los derechos humanos, y que aporten a la construcción de la resiliencia ante los choqu</w:t>
      </w:r>
      <w:r w:rsidRPr="0029329A">
        <w:rPr>
          <w:rFonts w:ascii="Times New Roman" w:hAnsi="Times New Roman" w:cs="Times New Roman"/>
          <w:sz w:val="28"/>
          <w:szCs w:val="24"/>
        </w:rPr>
        <w:t>es climáticos. Con ello, se espera una productividad que propicie el desarrollo sostenible y la competitividad del país, aumentando la riqueza al tiempo que es incluyente, dejando atrás de manera progresiva la dependencia de actividades extractivas y dando</w:t>
      </w:r>
      <w:r w:rsidRPr="0029329A">
        <w:rPr>
          <w:rFonts w:ascii="Times New Roman" w:hAnsi="Times New Roman" w:cs="Times New Roman"/>
          <w:sz w:val="28"/>
          <w:szCs w:val="24"/>
        </w:rPr>
        <w:t xml:space="preserve"> paso a una economía reindustrializada con nuevos sectores soportados en las potencialidades territoriales en armonía con la naturaleza.</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 xml:space="preserve">5. Convergencia regional. Es el proceso de reducción de brechas sociales y económicas entre hogares y regiones en el </w:t>
      </w:r>
      <w:r w:rsidRPr="0029329A">
        <w:rPr>
          <w:rFonts w:ascii="Times New Roman" w:hAnsi="Times New Roman" w:cs="Times New Roman"/>
          <w:sz w:val="28"/>
          <w:szCs w:val="24"/>
        </w:rPr>
        <w:t>país, que se logra al garantizar un acceso adecuado a oportunidades, bienes y servicios. Para garantizar esta convergencia, es necesario fortalecer los vínculos intra e interregionales, y aumentar la productividad, competitividad e innovación en los territ</w:t>
      </w:r>
      <w:r w:rsidRPr="0029329A">
        <w:rPr>
          <w:rFonts w:ascii="Times New Roman" w:hAnsi="Times New Roman" w:cs="Times New Roman"/>
          <w:sz w:val="28"/>
          <w:szCs w:val="24"/>
        </w:rPr>
        <w:t>orios. Así mismo, se requiere transformar las instituciones y la gestión de lo público, poniendo al ciudadano en el centro de su accionar y construyendo un relacionamiento estrecho, mediado por la confianza, entre las comunidades y entre éstas y las instit</w:t>
      </w:r>
      <w:r w:rsidRPr="0029329A">
        <w:rPr>
          <w:rFonts w:ascii="Times New Roman" w:hAnsi="Times New Roman" w:cs="Times New Roman"/>
          <w:sz w:val="28"/>
          <w:szCs w:val="24"/>
        </w:rPr>
        <w:t>uciones, para responder de manera acertada a sus necesidades y atender debidamente sus expectativas, a partir de marcos regulatorios consistentes</w:t>
      </w:r>
      <w:r w:rsidRPr="0029329A">
        <w:rPr>
          <w:rFonts w:ascii="Times New Roman" w:hAnsi="Times New Roman" w:cs="Times New Roman"/>
          <w:sz w:val="28"/>
          <w:szCs w:val="24"/>
        </w:rPr>
        <w:t>”</w:t>
      </w:r>
      <w:r w:rsidRPr="0029329A">
        <w:rPr>
          <w:rFonts w:ascii="Times New Roman" w:hAnsi="Times New Roman" w:cs="Times New Roman"/>
          <w:sz w:val="28"/>
          <w:szCs w:val="24"/>
        </w:rPr>
        <w:t>.</w:t>
      </w:r>
    </w:p>
    <w:p w:rsidR="00B079DB" w:rsidRPr="0029329A" w:rsidRDefault="0029329A" w:rsidP="00B079DB">
      <w:pPr>
        <w:widowControl w:val="0"/>
        <w:spacing w:line="360" w:lineRule="atLeast"/>
        <w:contextualSpacing/>
        <w:jc w:val="both"/>
        <w:rPr>
          <w:rFonts w:ascii="Times New Roman" w:hAnsi="Times New Roman" w:cs="Times New Roman"/>
          <w:i/>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93. Seguidamente, en el artículo 4°, se definen los ejes transversales del Plan Nacional de Desarrollo, par</w:t>
      </w:r>
      <w:r w:rsidRPr="0029329A">
        <w:rPr>
          <w:rFonts w:ascii="Times New Roman" w:hAnsi="Times New Roman" w:cs="Times New Roman"/>
          <w:sz w:val="28"/>
          <w:szCs w:val="28"/>
        </w:rPr>
        <w:t xml:space="preserve">a la consolidación de los cinco ejes de transformación referidos previamente. En lo relacionado con los ejes transversales prosigue definiéndolos así: </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w:t>
      </w:r>
      <w:r w:rsidRPr="0029329A">
        <w:rPr>
          <w:rFonts w:ascii="Times New Roman" w:hAnsi="Times New Roman" w:cs="Times New Roman"/>
          <w:sz w:val="28"/>
          <w:szCs w:val="24"/>
        </w:rPr>
        <w:t>1. Paz total. Entendida como una apuesta participativa, amplia, incluyente e integral para el logro de</w:t>
      </w:r>
      <w:r w:rsidRPr="0029329A">
        <w:rPr>
          <w:rFonts w:ascii="Times New Roman" w:hAnsi="Times New Roman" w:cs="Times New Roman"/>
          <w:sz w:val="28"/>
          <w:szCs w:val="24"/>
        </w:rPr>
        <w:t xml:space="preserve"> la paz estable y duradera, con garantías de no repetición y de seguridad para todos los colombianos; con estándares que eviten la impunidad y garanticen en el mayor nivel posible los derechos de las víctimas a la verdad, la justicia y la reparación. Esto </w:t>
      </w:r>
      <w:r w:rsidRPr="0029329A">
        <w:rPr>
          <w:rFonts w:ascii="Times New Roman" w:hAnsi="Times New Roman" w:cs="Times New Roman"/>
          <w:sz w:val="28"/>
          <w:szCs w:val="24"/>
        </w:rPr>
        <w:t>implica que el centro de todas las decisiones de política pública sea la vida digna, de tal manera que los humanos y los ecosistemas sean respetados y protegidos. Busca transformar los territorios, superar el déficit de derechos económicos, sociales, cultu</w:t>
      </w:r>
      <w:r w:rsidRPr="0029329A">
        <w:rPr>
          <w:rFonts w:ascii="Times New Roman" w:hAnsi="Times New Roman" w:cs="Times New Roman"/>
          <w:sz w:val="28"/>
          <w:szCs w:val="24"/>
        </w:rPr>
        <w:t xml:space="preserve">rales, ambientales, y acabar con las violencias armadas, tanto aquellas de origen sociopolítico como las que están marcadas por el lucro, la acumulación y el aseguramiento de riqueza. Este eje tendrá presente los enfoques de derechos de género, cultural y </w:t>
      </w:r>
      <w:r w:rsidRPr="0029329A">
        <w:rPr>
          <w:rFonts w:ascii="Times New Roman" w:hAnsi="Times New Roman" w:cs="Times New Roman"/>
          <w:sz w:val="28"/>
          <w:szCs w:val="24"/>
        </w:rPr>
        <w:t xml:space="preserve">territorial.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2. Los actores diferenciales para el cambio. El cambio que propone es con la población colombiana en todas sus diversidades para lograr transformaciones que nos lleven a una sociedad inclusiva, libre de estereotipos y estigmas, que supera la</w:t>
      </w:r>
      <w:r w:rsidRPr="0029329A">
        <w:rPr>
          <w:rFonts w:ascii="Times New Roman" w:hAnsi="Times New Roman" w:cs="Times New Roman"/>
          <w:sz w:val="28"/>
          <w:szCs w:val="24"/>
        </w:rPr>
        <w:t>s discriminaciones de tipo económico, social, religioso, cultural y político, así como las basadas en género, étnicoracial, generacionales, capacidades físicas, de identidad y orientación sexual, donde la diversidad será fuente de desarrollo sostenible y n</w:t>
      </w:r>
      <w:r w:rsidRPr="0029329A">
        <w:rPr>
          <w:rFonts w:ascii="Times New Roman" w:hAnsi="Times New Roman" w:cs="Times New Roman"/>
          <w:sz w:val="28"/>
          <w:szCs w:val="24"/>
        </w:rPr>
        <w:t xml:space="preserve">o de exclusión. De igual forma busca superar las brechas ocasionadas por el conflicto armado y por las divisiones entre lo urbano y lo rural. Actores como las mujeres, la comunidad LGBTIQ+, las víctimas, las niñas y los niños, las comunidades étnicas, los </w:t>
      </w:r>
      <w:r w:rsidRPr="0029329A">
        <w:rPr>
          <w:rFonts w:ascii="Times New Roman" w:hAnsi="Times New Roman" w:cs="Times New Roman"/>
          <w:sz w:val="28"/>
          <w:szCs w:val="24"/>
        </w:rPr>
        <w:t xml:space="preserve">jóvenes, las personas con discapacidad y la comunidad campesina son parte integral de las transformaciones propuestas por este Plan.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3. Estabilidad macroeconómica. Tiene como objetivo definir un conjunto de apuestas en materia económica para garantizar l</w:t>
      </w:r>
      <w:r w:rsidRPr="0029329A">
        <w:rPr>
          <w:rFonts w:ascii="Times New Roman" w:hAnsi="Times New Roman" w:cs="Times New Roman"/>
          <w:sz w:val="28"/>
          <w:szCs w:val="24"/>
        </w:rPr>
        <w:t xml:space="preserve">a disponibilidad de los recursos públicos que permitirán financiar las transformaciones, las cuales están enmarcadas en la actual coyuntura económica global, regional y nacional. </w:t>
      </w: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p>
    <w:p w:rsidR="00B079DB" w:rsidRPr="0029329A" w:rsidRDefault="0029329A" w:rsidP="00B079DB">
      <w:pPr>
        <w:widowControl w:val="0"/>
        <w:spacing w:line="360" w:lineRule="atLeast"/>
        <w:ind w:left="567" w:right="567"/>
        <w:contextualSpacing/>
        <w:jc w:val="both"/>
        <w:rPr>
          <w:rFonts w:ascii="Times New Roman" w:hAnsi="Times New Roman" w:cs="Times New Roman"/>
          <w:sz w:val="28"/>
          <w:szCs w:val="24"/>
        </w:rPr>
      </w:pPr>
      <w:r w:rsidRPr="0029329A">
        <w:rPr>
          <w:rFonts w:ascii="Times New Roman" w:hAnsi="Times New Roman" w:cs="Times New Roman"/>
          <w:sz w:val="28"/>
          <w:szCs w:val="24"/>
        </w:rPr>
        <w:t>4. Política Exterior con enfoque de género: El Gobierno Nacional, bajo la c</w:t>
      </w:r>
      <w:r w:rsidRPr="0029329A">
        <w:rPr>
          <w:rFonts w:ascii="Times New Roman" w:hAnsi="Times New Roman" w:cs="Times New Roman"/>
          <w:sz w:val="28"/>
          <w:szCs w:val="24"/>
        </w:rPr>
        <w:t>oordinación del Ministerio de Relaciones Exteriores, formulará e implementará una Política Exterior con enfoque de género como política de Estado, orientada a promover y garantizar la igualdad de género en la política bilateral y multilateral</w:t>
      </w:r>
      <w:r w:rsidRPr="0029329A">
        <w:rPr>
          <w:rFonts w:ascii="Times New Roman" w:hAnsi="Times New Roman" w:cs="Times New Roman"/>
          <w:sz w:val="28"/>
          <w:szCs w:val="24"/>
        </w:rPr>
        <w:t>”</w:t>
      </w:r>
      <w:r w:rsidRPr="0029329A">
        <w:rPr>
          <w:rFonts w:ascii="Times New Roman" w:hAnsi="Times New Roman" w:cs="Times New Roman"/>
          <w:sz w:val="28"/>
          <w:szCs w:val="24"/>
        </w:rPr>
        <w:t>.</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94. El Tít</w:t>
      </w:r>
      <w:r w:rsidRPr="0029329A">
        <w:rPr>
          <w:rFonts w:ascii="Times New Roman" w:hAnsi="Times New Roman" w:cs="Times New Roman"/>
          <w:sz w:val="28"/>
          <w:szCs w:val="28"/>
        </w:rPr>
        <w:t>ulo II de la ley contiene el “Plan de Inversiones y Presupuestos Plurianuales”. En ese título se establecen (i) las fuentes que financian el Plan de Inversiones Públicas, (ii) la distribución de las fuentes públicas por transformación y (iii) el componente</w:t>
      </w:r>
      <w:r w:rsidRPr="0029329A">
        <w:rPr>
          <w:rFonts w:ascii="Times New Roman" w:hAnsi="Times New Roman" w:cs="Times New Roman"/>
          <w:sz w:val="28"/>
          <w:szCs w:val="28"/>
        </w:rPr>
        <w:t xml:space="preserve"> de Paz en el Plan Nacional de Inversiones 2023- 2026. </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jc w:val="both"/>
        <w:rPr>
          <w:rFonts w:ascii="Times New Roman" w:hAnsi="Times New Roman" w:cs="Times New Roman"/>
          <w:b/>
          <w:bCs/>
          <w:i/>
          <w:sz w:val="28"/>
          <w:szCs w:val="28"/>
        </w:rPr>
      </w:pPr>
      <w:r w:rsidRPr="0029329A">
        <w:rPr>
          <w:rFonts w:ascii="Times New Roman" w:hAnsi="Times New Roman" w:cs="Times New Roman"/>
          <w:b/>
          <w:bCs/>
          <w:i/>
          <w:sz w:val="28"/>
          <w:szCs w:val="28"/>
        </w:rPr>
        <w:t>(i) Ubicación y alcance de las disposiciones normativas acusadas</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 xml:space="preserve">95. Las disposiciones demandadas, artículos 135 y 169, se encuentran </w:t>
      </w:r>
      <w:bookmarkStart w:id="15" w:name="SECCIÓN_III-II-II"/>
      <w:bookmarkEnd w:id="15"/>
      <w:r w:rsidRPr="0029329A">
        <w:rPr>
          <w:rFonts w:ascii="Times New Roman" w:hAnsi="Times New Roman" w:cs="Times New Roman"/>
          <w:sz w:val="28"/>
          <w:szCs w:val="28"/>
        </w:rPr>
        <w:t>en la Sección III “</w:t>
      </w:r>
      <w:r w:rsidRPr="0029329A">
        <w:rPr>
          <w:rFonts w:ascii="Times New Roman" w:hAnsi="Times New Roman" w:cs="Times New Roman"/>
          <w:i/>
          <w:sz w:val="28"/>
          <w:szCs w:val="28"/>
        </w:rPr>
        <w:t xml:space="preserve">Garantía de derechos como fundamento de la </w:t>
      </w:r>
      <w:r w:rsidRPr="0029329A">
        <w:rPr>
          <w:rFonts w:ascii="Times New Roman" w:hAnsi="Times New Roman" w:cs="Times New Roman"/>
          <w:i/>
          <w:sz w:val="28"/>
          <w:szCs w:val="28"/>
        </w:rPr>
        <w:t>dignidad humana” y “condiciones para el bienestar</w:t>
      </w:r>
      <w:r w:rsidRPr="0029329A">
        <w:rPr>
          <w:rFonts w:ascii="Times New Roman" w:hAnsi="Times New Roman" w:cs="Times New Roman"/>
          <w:sz w:val="28"/>
          <w:szCs w:val="28"/>
        </w:rPr>
        <w:t>”.</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 xml:space="preserve">96. Como se puso de presente, las </w:t>
      </w:r>
      <w:r w:rsidRPr="0029329A">
        <w:rPr>
          <w:rFonts w:ascii="Times New Roman" w:hAnsi="Times New Roman" w:cs="Times New Roman"/>
          <w:iCs/>
          <w:sz w:val="28"/>
          <w:szCs w:val="28"/>
        </w:rPr>
        <w:t xml:space="preserve">disposiciones demandadas establecen regulaciones de </w:t>
      </w:r>
      <w:r w:rsidRPr="0029329A">
        <w:rPr>
          <w:rFonts w:ascii="Times New Roman" w:hAnsi="Times New Roman" w:cs="Times New Roman"/>
          <w:sz w:val="28"/>
          <w:szCs w:val="28"/>
        </w:rPr>
        <w:t>carácter</w:t>
      </w:r>
      <w:r w:rsidRPr="0029329A">
        <w:rPr>
          <w:rFonts w:ascii="Times New Roman" w:hAnsi="Times New Roman" w:cs="Times New Roman"/>
          <w:iCs/>
          <w:sz w:val="28"/>
          <w:szCs w:val="28"/>
        </w:rPr>
        <w:t xml:space="preserve"> </w:t>
      </w:r>
      <w:r w:rsidRPr="0029329A">
        <w:rPr>
          <w:rFonts w:ascii="Times New Roman" w:hAnsi="Times New Roman" w:cs="Times New Roman"/>
          <w:sz w:val="28"/>
          <w:szCs w:val="28"/>
        </w:rPr>
        <w:t>tributario; por una parte, el artículo 135 crea una tasa de cobro por los servicios que actualmente presta</w:t>
      </w:r>
      <w:r w:rsidRPr="0029329A">
        <w:rPr>
          <w:rFonts w:ascii="Times New Roman" w:hAnsi="Times New Roman" w:cs="Times New Roman"/>
          <w:sz w:val="28"/>
          <w:szCs w:val="28"/>
        </w:rPr>
        <w:t xml:space="preserve"> e</w:t>
      </w:r>
      <w:r w:rsidRPr="0029329A">
        <w:rPr>
          <w:rFonts w:ascii="Times New Roman" w:hAnsi="Times New Roman" w:cs="Times New Roman"/>
          <w:sz w:val="28"/>
          <w:szCs w:val="28"/>
        </w:rPr>
        <w:t xml:space="preserve">l Instituto Colombiano de Antropología e Historia –ICANH, </w:t>
      </w:r>
      <w:r w:rsidRPr="0029329A">
        <w:rPr>
          <w:rFonts w:ascii="Times New Roman" w:hAnsi="Times New Roman" w:cs="Times New Roman"/>
          <w:sz w:val="28"/>
          <w:szCs w:val="28"/>
        </w:rPr>
        <w:t xml:space="preserve">relacionados con el Programa de Arqueología Preventiva – PAP y las respectivas gestiones para el posterior otorgamiento de las Autorizaciones de Intervención Arqueológica y demás proyectos, obras o </w:t>
      </w:r>
      <w:r w:rsidRPr="0029329A">
        <w:rPr>
          <w:rFonts w:ascii="Times New Roman" w:hAnsi="Times New Roman" w:cs="Times New Roman"/>
          <w:sz w:val="28"/>
          <w:szCs w:val="28"/>
        </w:rPr>
        <w:t>actividades que requieran licencia ambiental, registros o autorizaciones equivalentes ante las autoridades competentes.</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iCs/>
          <w:sz w:val="28"/>
          <w:szCs w:val="28"/>
        </w:rPr>
        <w:t xml:space="preserve">97. El sujeto activo de la tasa contenida en el artículo 135 demandado es el </w:t>
      </w:r>
      <w:bookmarkStart w:id="16" w:name="_Hlk169208022"/>
      <w:r w:rsidRPr="0029329A">
        <w:rPr>
          <w:rFonts w:ascii="Times New Roman" w:hAnsi="Times New Roman" w:cs="Times New Roman"/>
          <w:sz w:val="28"/>
          <w:szCs w:val="28"/>
        </w:rPr>
        <w:t xml:space="preserve">Instituto Colombiano de Antropología e Historia </w:t>
      </w:r>
      <w:bookmarkEnd w:id="16"/>
      <w:r w:rsidRPr="0029329A">
        <w:rPr>
          <w:rFonts w:ascii="Times New Roman" w:hAnsi="Times New Roman" w:cs="Times New Roman"/>
          <w:sz w:val="28"/>
          <w:szCs w:val="28"/>
        </w:rPr>
        <w:t>–ICANH y e</w:t>
      </w:r>
      <w:r w:rsidRPr="0029329A">
        <w:rPr>
          <w:rFonts w:ascii="Times New Roman" w:hAnsi="Times New Roman" w:cs="Times New Roman"/>
          <w:sz w:val="28"/>
          <w:szCs w:val="28"/>
        </w:rPr>
        <w:t xml:space="preserve">l sujeto pasivo es todo interesado en el servicio de </w:t>
      </w:r>
      <w:r w:rsidRPr="0029329A">
        <w:rPr>
          <w:rFonts w:ascii="Times New Roman" w:hAnsi="Times New Roman" w:cs="Times New Roman"/>
          <w:sz w:val="28"/>
          <w:szCs w:val="28"/>
        </w:rPr>
        <w:t>“</w:t>
      </w:r>
      <w:r w:rsidRPr="0029329A">
        <w:rPr>
          <w:rFonts w:ascii="Times New Roman" w:hAnsi="Times New Roman" w:cs="Times New Roman"/>
          <w:sz w:val="28"/>
          <w:szCs w:val="28"/>
        </w:rPr>
        <w:t>a) la evaluación, conceptos emitidos y demás actividades en relación con la expedición de autorizaciones o registros. b) desarrollo de trámites y servicios asociados a cada una de las fases del Programa</w:t>
      </w:r>
      <w:r w:rsidRPr="0029329A">
        <w:rPr>
          <w:rFonts w:ascii="Times New Roman" w:hAnsi="Times New Roman" w:cs="Times New Roman"/>
          <w:sz w:val="28"/>
          <w:szCs w:val="28"/>
        </w:rPr>
        <w:t xml:space="preserve"> de Arqueología Preventiva – PAP: 1) diagnóstico, 2) prospección y formulación del Plan de Manejo Arqueológico, 3) ejecución del Plan de Manejo Arqueológico, 4) definición de la tenencia de bienes arqueológicos y divulgación de los resultados y 5) arqueolo</w:t>
      </w:r>
      <w:r w:rsidRPr="0029329A">
        <w:rPr>
          <w:rFonts w:ascii="Times New Roman" w:hAnsi="Times New Roman" w:cs="Times New Roman"/>
          <w:sz w:val="28"/>
          <w:szCs w:val="28"/>
        </w:rPr>
        <w:t>gía Pública</w:t>
      </w:r>
      <w:r w:rsidRPr="0029329A">
        <w:rPr>
          <w:rFonts w:ascii="Times New Roman" w:hAnsi="Times New Roman" w:cs="Times New Roman"/>
          <w:sz w:val="28"/>
          <w:szCs w:val="28"/>
        </w:rPr>
        <w:t>”</w:t>
      </w:r>
      <w:r w:rsidRPr="0029329A">
        <w:rPr>
          <w:rFonts w:ascii="Times New Roman" w:hAnsi="Times New Roman" w:cs="Times New Roman"/>
          <w:sz w:val="28"/>
          <w:szCs w:val="28"/>
        </w:rPr>
        <w:t>.</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sz w:val="28"/>
          <w:szCs w:val="28"/>
        </w:rPr>
        <w:t>98. La norma también prevé las reglas técnicas conforme a las cuales habrá de ser calculado el costo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de los servicios correspondientes a cada uno de los hechos generadores establecidos en ese artículo,</w:t>
      </w:r>
      <w:r w:rsidRPr="0029329A">
        <w:rPr>
          <w:rFonts w:ascii="Times New Roman" w:hAnsi="Times New Roman" w:cs="Times New Roman"/>
          <w:iCs/>
          <w:sz w:val="28"/>
          <w:szCs w:val="28"/>
        </w:rPr>
        <w:t xml:space="preserve"> así como la forma en que se </w:t>
      </w:r>
      <w:r w:rsidRPr="0029329A">
        <w:rPr>
          <w:rFonts w:ascii="Times New Roman" w:hAnsi="Times New Roman" w:cs="Times New Roman"/>
          <w:sz w:val="28"/>
          <w:szCs w:val="28"/>
        </w:rPr>
        <w:t xml:space="preserve">fijarán y </w:t>
      </w:r>
      <w:r w:rsidRPr="0029329A">
        <w:rPr>
          <w:rFonts w:ascii="Times New Roman" w:hAnsi="Times New Roman" w:cs="Times New Roman"/>
          <w:sz w:val="28"/>
          <w:szCs w:val="28"/>
        </w:rPr>
        <w:t>actualizarán anualmente las tarifas de los servicios que preste el Instituto Colombiano de Antropología e Historia –ICANH</w:t>
      </w:r>
      <w:r w:rsidRPr="0029329A">
        <w:rPr>
          <w:rStyle w:val="Refdenotaalpie"/>
          <w:rFonts w:ascii="Times New Roman" w:hAnsi="Times New Roman"/>
          <w:sz w:val="28"/>
          <w:szCs w:val="28"/>
        </w:rPr>
        <w:footnoteReference w:id="145"/>
      </w:r>
      <w:r w:rsidRPr="0029329A">
        <w:rPr>
          <w:rFonts w:ascii="Times New Roman" w:hAnsi="Times New Roman" w:cs="Times New Roman"/>
          <w:sz w:val="28"/>
          <w:szCs w:val="28"/>
        </w:rPr>
        <w:t>.</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iCs/>
          <w:sz w:val="28"/>
          <w:szCs w:val="28"/>
        </w:rPr>
        <w:t>99. Por otra parte, el artículo 169 acusado crea una tasa para la recuperación de los costos de los servicios prestados por la Dire</w:t>
      </w:r>
      <w:r w:rsidRPr="0029329A">
        <w:rPr>
          <w:rFonts w:ascii="Times New Roman" w:hAnsi="Times New Roman" w:cs="Times New Roman"/>
          <w:iCs/>
          <w:sz w:val="28"/>
          <w:szCs w:val="28"/>
        </w:rPr>
        <w:t>cción Nacional de Derecho de Autor,</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iCs/>
          <w:sz w:val="28"/>
          <w:szCs w:val="28"/>
        </w:rPr>
        <w:t>para proteger a los titulares del derecho de autor y derechos conexos y garantizar la creatividad productiva que permita contribuir al desarrollo de las industrias culturales y la riqueza del país</w:t>
      </w:r>
      <w:r w:rsidRPr="0029329A">
        <w:rPr>
          <w:rFonts w:ascii="Times New Roman" w:hAnsi="Times New Roman" w:cs="Times New Roman"/>
          <w:iCs/>
          <w:sz w:val="28"/>
          <w:szCs w:val="28"/>
        </w:rPr>
        <w:t>”</w:t>
      </w:r>
      <w:r w:rsidRPr="0029329A">
        <w:rPr>
          <w:rFonts w:ascii="Times New Roman" w:hAnsi="Times New Roman" w:cs="Times New Roman"/>
          <w:iCs/>
          <w:sz w:val="28"/>
          <w:szCs w:val="28"/>
        </w:rPr>
        <w:t xml:space="preserve">. </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iCs/>
          <w:sz w:val="28"/>
          <w:szCs w:val="28"/>
        </w:rPr>
        <w:t>100. El sujeto act</w:t>
      </w:r>
      <w:r w:rsidRPr="0029329A">
        <w:rPr>
          <w:rFonts w:ascii="Times New Roman" w:hAnsi="Times New Roman" w:cs="Times New Roman"/>
          <w:iCs/>
          <w:sz w:val="28"/>
          <w:szCs w:val="28"/>
        </w:rPr>
        <w:t xml:space="preserve">ivo de la tasa creada en el artículo 169 acusado es la Dirección Nacional de Derecho de Autor y el sujeto pasivo de la tasa serán las personas naturales o jurídicas que soliciten cualquiera de los servicios prestados por esa entidad. A saber: </w:t>
      </w:r>
      <w:r w:rsidRPr="0029329A">
        <w:rPr>
          <w:rFonts w:ascii="Times New Roman" w:hAnsi="Times New Roman" w:cs="Times New Roman"/>
          <w:iCs/>
          <w:sz w:val="28"/>
          <w:szCs w:val="28"/>
        </w:rPr>
        <w:t>“</w:t>
      </w:r>
      <w:r w:rsidRPr="0029329A">
        <w:rPr>
          <w:rFonts w:ascii="Times New Roman" w:hAnsi="Times New Roman" w:cs="Times New Roman"/>
          <w:iCs/>
          <w:sz w:val="28"/>
          <w:szCs w:val="28"/>
        </w:rPr>
        <w:t>1. Expedició</w:t>
      </w:r>
      <w:r w:rsidRPr="0029329A">
        <w:rPr>
          <w:rFonts w:ascii="Times New Roman" w:hAnsi="Times New Roman" w:cs="Times New Roman"/>
          <w:iCs/>
          <w:sz w:val="28"/>
          <w:szCs w:val="28"/>
        </w:rPr>
        <w:t>n de registros, certificados, inscripciones, modificaciones y cancelaciones de registros. 2.Expedición de paz y salvos. 3.Inscripción de dignatarios y control de legalidad de reformas estatutarias y de presupuesto. 4.Otorgamiento de personería jurídica y a</w:t>
      </w:r>
      <w:r w:rsidRPr="0029329A">
        <w:rPr>
          <w:rFonts w:ascii="Times New Roman" w:hAnsi="Times New Roman" w:cs="Times New Roman"/>
          <w:iCs/>
          <w:sz w:val="28"/>
          <w:szCs w:val="28"/>
        </w:rPr>
        <w:t>utorización de funcionamiento</w:t>
      </w:r>
      <w:r w:rsidRPr="0029329A">
        <w:rPr>
          <w:rFonts w:ascii="Times New Roman" w:hAnsi="Times New Roman" w:cs="Times New Roman"/>
          <w:iCs/>
          <w:sz w:val="28"/>
          <w:szCs w:val="28"/>
        </w:rPr>
        <w:t>”</w:t>
      </w:r>
      <w:r w:rsidRPr="0029329A">
        <w:rPr>
          <w:rFonts w:ascii="Times New Roman" w:hAnsi="Times New Roman" w:cs="Times New Roman"/>
          <w:iCs/>
          <w:sz w:val="28"/>
          <w:szCs w:val="28"/>
        </w:rPr>
        <w:t xml:space="preserve">, con excepción de los trámites de conciliación y los trámites relacionados con asuntos jurisdiccionales. </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iCs/>
          <w:sz w:val="28"/>
          <w:szCs w:val="28"/>
        </w:rPr>
        <w:t>101. Finalmente, la norma demandada determina que la base para la liquidación de la tasa será el costo de los servicio</w:t>
      </w:r>
      <w:r w:rsidRPr="0029329A">
        <w:rPr>
          <w:rFonts w:ascii="Times New Roman" w:hAnsi="Times New Roman" w:cs="Times New Roman"/>
          <w:iCs/>
          <w:sz w:val="28"/>
          <w:szCs w:val="28"/>
        </w:rPr>
        <w:t>s correspondientes a cada uno de los hechos generadores establecidos en la misma, conforme la metodología de cálculo que establezca el Gobierno nacional a través del Ministerio del Interior.</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iCs/>
          <w:sz w:val="28"/>
          <w:szCs w:val="28"/>
        </w:rPr>
        <w:t>102. Así las cosas, la Sala advierte que se trata, en efecto, de</w:t>
      </w:r>
      <w:r w:rsidRPr="0029329A">
        <w:rPr>
          <w:rFonts w:ascii="Times New Roman" w:hAnsi="Times New Roman" w:cs="Times New Roman"/>
          <w:iCs/>
          <w:sz w:val="28"/>
          <w:szCs w:val="28"/>
        </w:rPr>
        <w:t xml:space="preserve"> disposiciones presuntamente de carácter instrumental, pues se encuentran dentro de la Sección III “</w:t>
      </w:r>
      <w:r w:rsidRPr="0029329A">
        <w:rPr>
          <w:rFonts w:ascii="Times New Roman" w:hAnsi="Times New Roman" w:cs="Times New Roman"/>
          <w:i/>
          <w:iCs/>
          <w:sz w:val="28"/>
          <w:szCs w:val="28"/>
        </w:rPr>
        <w:t>Garantía de derechos como fundamento de la dignidad humana y condiciones para el bienestar</w:t>
      </w:r>
      <w:r w:rsidRPr="0029329A">
        <w:rPr>
          <w:rFonts w:ascii="Times New Roman" w:hAnsi="Times New Roman" w:cs="Times New Roman"/>
          <w:iCs/>
          <w:sz w:val="28"/>
          <w:szCs w:val="28"/>
        </w:rPr>
        <w:t>” y dentro del Capítulo III denominado “</w:t>
      </w:r>
      <w:r w:rsidRPr="0029329A">
        <w:rPr>
          <w:rFonts w:ascii="Times New Roman" w:hAnsi="Times New Roman" w:cs="Times New Roman"/>
          <w:i/>
          <w:sz w:val="28"/>
          <w:szCs w:val="28"/>
        </w:rPr>
        <w:t>Seguridad Humana y Justici</w:t>
      </w:r>
      <w:r w:rsidRPr="0029329A">
        <w:rPr>
          <w:rFonts w:ascii="Times New Roman" w:hAnsi="Times New Roman" w:cs="Times New Roman"/>
          <w:i/>
          <w:sz w:val="28"/>
          <w:szCs w:val="28"/>
        </w:rPr>
        <w:t>a Social</w:t>
      </w:r>
      <w:r w:rsidRPr="0029329A">
        <w:rPr>
          <w:rFonts w:ascii="Times New Roman" w:hAnsi="Times New Roman" w:cs="Times New Roman"/>
          <w:iCs/>
          <w:sz w:val="28"/>
          <w:szCs w:val="28"/>
        </w:rPr>
        <w:t xml:space="preserve">”. </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b/>
          <w:bCs/>
          <w:i/>
          <w:sz w:val="28"/>
          <w:szCs w:val="28"/>
        </w:rPr>
      </w:pPr>
    </w:p>
    <w:p w:rsidR="00B079DB" w:rsidRPr="0029329A" w:rsidRDefault="0029329A" w:rsidP="00B079DB">
      <w:pPr>
        <w:widowControl w:val="0"/>
        <w:tabs>
          <w:tab w:val="left" w:pos="426"/>
        </w:tabs>
        <w:spacing w:line="360" w:lineRule="atLeast"/>
        <w:contextualSpacing/>
        <w:jc w:val="both"/>
        <w:rPr>
          <w:rFonts w:ascii="Times New Roman" w:eastAsiaTheme="minorHAnsi" w:hAnsi="Times New Roman" w:cs="Times New Roman"/>
          <w:b/>
          <w:bCs/>
          <w:i/>
          <w:sz w:val="28"/>
          <w:szCs w:val="28"/>
          <w:lang w:val="es-ES" w:eastAsia="en-US"/>
        </w:rPr>
      </w:pPr>
      <w:r w:rsidRPr="0029329A">
        <w:rPr>
          <w:rFonts w:ascii="Times New Roman" w:hAnsi="Times New Roman" w:cs="Times New Roman"/>
          <w:b/>
          <w:bCs/>
          <w:i/>
          <w:sz w:val="28"/>
          <w:szCs w:val="28"/>
        </w:rPr>
        <w:t>(ii)</w:t>
      </w:r>
      <w:r w:rsidRPr="0029329A">
        <w:rPr>
          <w:rFonts w:ascii="Times New Roman" w:hAnsi="Times New Roman" w:cs="Times New Roman"/>
          <w:b/>
          <w:bCs/>
          <w:i/>
          <w:sz w:val="28"/>
          <w:szCs w:val="28"/>
        </w:rPr>
        <w:tab/>
      </w:r>
      <w:r w:rsidRPr="0029329A">
        <w:rPr>
          <w:rFonts w:ascii="Times New Roman" w:eastAsiaTheme="minorHAnsi" w:hAnsi="Times New Roman" w:cs="Times New Roman"/>
          <w:b/>
          <w:bCs/>
          <w:i/>
          <w:sz w:val="28"/>
          <w:szCs w:val="28"/>
          <w:lang w:val="es-ES" w:eastAsia="en-US"/>
        </w:rPr>
        <w:t>En l</w:t>
      </w:r>
      <w:r w:rsidRPr="0029329A">
        <w:rPr>
          <w:rFonts w:ascii="Times New Roman" w:eastAsiaTheme="minorHAnsi" w:hAnsi="Times New Roman" w:cs="Times New Roman"/>
          <w:b/>
          <w:bCs/>
          <w:i/>
          <w:sz w:val="28"/>
          <w:szCs w:val="28"/>
          <w:lang w:val="es-ES" w:eastAsia="en-US"/>
        </w:rPr>
        <w:t>a parte general del plan existen objetivos, metas, planes o estrategias que pued</w:t>
      </w:r>
      <w:r w:rsidRPr="0029329A">
        <w:rPr>
          <w:rFonts w:ascii="Times New Roman" w:eastAsiaTheme="minorHAnsi" w:hAnsi="Times New Roman" w:cs="Times New Roman"/>
          <w:b/>
          <w:bCs/>
          <w:i/>
          <w:sz w:val="28"/>
          <w:szCs w:val="28"/>
          <w:lang w:val="es-ES" w:eastAsia="en-US"/>
        </w:rPr>
        <w:t>a</w:t>
      </w:r>
      <w:r w:rsidRPr="0029329A">
        <w:rPr>
          <w:rFonts w:ascii="Times New Roman" w:eastAsiaTheme="minorHAnsi" w:hAnsi="Times New Roman" w:cs="Times New Roman"/>
          <w:b/>
          <w:bCs/>
          <w:i/>
          <w:sz w:val="28"/>
          <w:szCs w:val="28"/>
          <w:lang w:val="es-ES" w:eastAsia="en-US"/>
        </w:rPr>
        <w:t>n relacionarse con las normas acusadas.</w:t>
      </w:r>
      <w:r w:rsidRPr="0029329A">
        <w:rPr>
          <w:rFonts w:ascii="Times New Roman" w:eastAsiaTheme="minorHAnsi" w:hAnsi="Times New Roman" w:cs="Times New Roman"/>
          <w:b/>
          <w:bCs/>
          <w:i/>
          <w:sz w:val="28"/>
          <w:szCs w:val="28"/>
          <w:lang w:val="es-ES" w:eastAsia="en-US"/>
        </w:rPr>
        <w:t xml:space="preserve"> </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b/>
          <w:bCs/>
          <w:i/>
          <w:sz w:val="28"/>
          <w:szCs w:val="28"/>
        </w:rPr>
      </w:pPr>
    </w:p>
    <w:p w:rsidR="00B079DB" w:rsidRPr="0029329A" w:rsidRDefault="0029329A" w:rsidP="00B079DB">
      <w:pPr>
        <w:widowControl w:val="0"/>
        <w:tabs>
          <w:tab w:val="left" w:pos="426"/>
        </w:tabs>
        <w:spacing w:line="360" w:lineRule="atLeast"/>
        <w:contextualSpacing/>
        <w:jc w:val="both"/>
        <w:rPr>
          <w:rFonts w:ascii="Times New Roman" w:eastAsiaTheme="minorHAnsi" w:hAnsi="Times New Roman" w:cs="Times New Roman"/>
          <w:iCs/>
          <w:sz w:val="28"/>
          <w:szCs w:val="28"/>
          <w:lang w:val="es-ES" w:eastAsia="en-US"/>
        </w:rPr>
      </w:pPr>
      <w:r w:rsidRPr="0029329A">
        <w:rPr>
          <w:rFonts w:ascii="Times New Roman" w:hAnsi="Times New Roman" w:cs="Times New Roman"/>
          <w:sz w:val="28"/>
          <w:szCs w:val="28"/>
        </w:rPr>
        <w:t xml:space="preserve">103. Como segunda etapa del juicio, debe analizarse si en la parte general del </w:t>
      </w:r>
      <w:r w:rsidRPr="0029329A">
        <w:rPr>
          <w:rFonts w:ascii="Times New Roman" w:hAnsi="Times New Roman" w:cs="Times New Roman"/>
          <w:sz w:val="28"/>
          <w:szCs w:val="28"/>
        </w:rPr>
        <w:t>P</w:t>
      </w:r>
      <w:r w:rsidRPr="0029329A">
        <w:rPr>
          <w:rFonts w:ascii="Times New Roman" w:hAnsi="Times New Roman" w:cs="Times New Roman"/>
          <w:sz w:val="28"/>
          <w:szCs w:val="28"/>
        </w:rPr>
        <w:t xml:space="preserve">lan </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acional de </w:t>
      </w:r>
      <w:r w:rsidRPr="0029329A">
        <w:rPr>
          <w:rFonts w:ascii="Times New Roman" w:hAnsi="Times New Roman" w:cs="Times New Roman"/>
          <w:sz w:val="28"/>
          <w:szCs w:val="28"/>
        </w:rPr>
        <w:t>D</w:t>
      </w:r>
      <w:r w:rsidRPr="0029329A">
        <w:rPr>
          <w:rFonts w:ascii="Times New Roman" w:hAnsi="Times New Roman" w:cs="Times New Roman"/>
          <w:sz w:val="28"/>
          <w:szCs w:val="28"/>
        </w:rPr>
        <w:t xml:space="preserve">esarrollo, existen </w:t>
      </w:r>
      <w:r w:rsidRPr="0029329A">
        <w:rPr>
          <w:rFonts w:ascii="Times New Roman" w:eastAsiaTheme="minorHAnsi" w:hAnsi="Times New Roman" w:cs="Times New Roman"/>
          <w:iCs/>
          <w:sz w:val="28"/>
          <w:szCs w:val="28"/>
          <w:lang w:val="es-ES" w:eastAsia="en-US"/>
        </w:rPr>
        <w:t xml:space="preserve">objetivos, metas, planes o estrategias que puedan relacionarse con las normas acusadas. </w:t>
      </w:r>
    </w:p>
    <w:p w:rsidR="00B079DB" w:rsidRPr="0029329A" w:rsidRDefault="0029329A" w:rsidP="00B079DB">
      <w:pPr>
        <w:widowControl w:val="0"/>
        <w:tabs>
          <w:tab w:val="left" w:pos="426"/>
        </w:tabs>
        <w:spacing w:line="360" w:lineRule="atLeast"/>
        <w:contextualSpacing/>
        <w:jc w:val="both"/>
        <w:rPr>
          <w:rFonts w:ascii="Times New Roman" w:eastAsiaTheme="minorHAnsi" w:hAnsi="Times New Roman" w:cs="Times New Roman"/>
          <w:iCs/>
          <w:sz w:val="28"/>
          <w:szCs w:val="28"/>
          <w:lang w:val="es-ES" w:eastAsia="en-US"/>
        </w:rPr>
      </w:pPr>
    </w:p>
    <w:p w:rsidR="00B079DB" w:rsidRPr="0029329A" w:rsidRDefault="0029329A" w:rsidP="00B079DB">
      <w:pPr>
        <w:widowControl w:val="0"/>
        <w:tabs>
          <w:tab w:val="left" w:pos="426"/>
        </w:tabs>
        <w:spacing w:line="360" w:lineRule="atLeast"/>
        <w:contextualSpacing/>
        <w:jc w:val="both"/>
        <w:rPr>
          <w:rFonts w:ascii="Times New Roman" w:eastAsiaTheme="minorHAnsi" w:hAnsi="Times New Roman" w:cs="Times New Roman"/>
          <w:iCs/>
          <w:sz w:val="28"/>
          <w:szCs w:val="28"/>
          <w:lang w:val="es-ES" w:eastAsia="en-US"/>
        </w:rPr>
      </w:pPr>
      <w:r w:rsidRPr="0029329A">
        <w:rPr>
          <w:rFonts w:ascii="Times New Roman" w:eastAsiaTheme="minorHAnsi" w:hAnsi="Times New Roman" w:cs="Times New Roman"/>
          <w:iCs/>
          <w:sz w:val="28"/>
          <w:szCs w:val="28"/>
          <w:lang w:val="es-ES" w:eastAsia="en-US"/>
        </w:rPr>
        <w:t xml:space="preserve">104. Sobre el particular debe señalarse que, en una primera mirada, </w:t>
      </w:r>
      <w:r w:rsidRPr="0029329A">
        <w:rPr>
          <w:rFonts w:ascii="Times New Roman" w:eastAsiaTheme="minorHAnsi" w:hAnsi="Times New Roman" w:cs="Times New Roman"/>
          <w:sz w:val="28"/>
          <w:szCs w:val="28"/>
          <w:lang w:val="es-ES" w:eastAsia="en-US"/>
        </w:rPr>
        <w:t>las bases del Plan mencionan la creación de las tasas analizadas, como mecanism</w:t>
      </w:r>
      <w:r w:rsidRPr="0029329A">
        <w:rPr>
          <w:rFonts w:ascii="Times New Roman" w:eastAsiaTheme="minorHAnsi" w:hAnsi="Times New Roman" w:cs="Times New Roman"/>
          <w:sz w:val="28"/>
          <w:szCs w:val="28"/>
          <w:lang w:val="es-ES" w:eastAsia="en-US"/>
        </w:rPr>
        <w:t>os para alcanzar las metas de fortalecer el sector cultura y la “Gobernanza Cultural”, fortalecer los procesos de protección del patrimonio arqueológico o proteger la propiedad intelectual para potenciar las capacidades de los ciudadanos. No obstante, como</w:t>
      </w:r>
      <w:r w:rsidRPr="0029329A">
        <w:rPr>
          <w:rFonts w:ascii="Times New Roman" w:eastAsiaTheme="minorHAnsi" w:hAnsi="Times New Roman" w:cs="Times New Roman"/>
          <w:sz w:val="28"/>
          <w:szCs w:val="28"/>
          <w:lang w:val="es-ES" w:eastAsia="en-US"/>
        </w:rPr>
        <w:t xml:space="preserve"> se explicará en la tercera etapa del juicio, dicha conexión no es directa ni inmediata y</w:t>
      </w:r>
      <w:r w:rsidRPr="0029329A">
        <w:rPr>
          <w:rFonts w:ascii="Times New Roman" w:eastAsiaTheme="minorHAnsi" w:hAnsi="Times New Roman" w:cs="Times New Roman"/>
          <w:sz w:val="28"/>
          <w:szCs w:val="28"/>
          <w:lang w:val="es-ES" w:eastAsia="en-US"/>
        </w:rPr>
        <w:t>,</w:t>
      </w:r>
      <w:r w:rsidRPr="0029329A">
        <w:rPr>
          <w:rFonts w:ascii="Times New Roman" w:eastAsiaTheme="minorHAnsi" w:hAnsi="Times New Roman" w:cs="Times New Roman"/>
          <w:sz w:val="28"/>
          <w:szCs w:val="28"/>
          <w:lang w:val="es-ES" w:eastAsia="en-US"/>
        </w:rPr>
        <w:t xml:space="preserve"> además, no tiene en consideración la naturaleza especial de las tasas como categoría tributaria.</w:t>
      </w: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p>
    <w:p w:rsidR="00B079DB" w:rsidRPr="0029329A" w:rsidRDefault="0029329A" w:rsidP="00B079DB">
      <w:pPr>
        <w:suppressAutoHyphens/>
        <w:contextualSpacing/>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 xml:space="preserve">105. Así, la tasa del </w:t>
      </w:r>
      <w:r w:rsidRPr="0029329A">
        <w:rPr>
          <w:rFonts w:ascii="Times New Roman" w:hAnsi="Times New Roman" w:cs="Times New Roman"/>
          <w:sz w:val="28"/>
          <w:szCs w:val="28"/>
        </w:rPr>
        <w:t xml:space="preserve">Instituto Colombiano de Antropología e </w:t>
      </w:r>
      <w:r w:rsidRPr="0029329A">
        <w:rPr>
          <w:rFonts w:ascii="Times New Roman" w:hAnsi="Times New Roman" w:cs="Times New Roman"/>
          <w:sz w:val="28"/>
          <w:szCs w:val="28"/>
        </w:rPr>
        <w:t>Historia -</w:t>
      </w:r>
      <w:r w:rsidRPr="0029329A">
        <w:rPr>
          <w:rFonts w:ascii="Times New Roman" w:eastAsiaTheme="minorHAnsi" w:hAnsi="Times New Roman" w:cs="Times New Roman"/>
          <w:sz w:val="28"/>
          <w:szCs w:val="28"/>
          <w:lang w:val="es-ES" w:eastAsia="en-US"/>
        </w:rPr>
        <w:t xml:space="preserve">ICANH- se relaciona con el eje de transformación del PND “2. Seguridad Humana y justicia social” en virtud del cual se pretende lograr “un estado de bienestar social económico, cultural y político”. Ese eje enfatiza en que se requiere garantizar </w:t>
      </w:r>
      <w:r w:rsidRPr="0029329A">
        <w:rPr>
          <w:rFonts w:ascii="Times New Roman" w:eastAsiaTheme="minorHAnsi" w:hAnsi="Times New Roman" w:cs="Times New Roman"/>
          <w:sz w:val="28"/>
          <w:szCs w:val="28"/>
          <w:lang w:val="es-ES" w:eastAsia="en-US"/>
        </w:rPr>
        <w:t>“la expansión de las capacidades en medio de la diversidad y la pluralidad”. Específicamente, dicha tasa está relacionada con el catalizador C (“Expansión de capacidades: más y mejores oportunidades para lograr sus proyectos de vida”) en función del cual s</w:t>
      </w:r>
      <w:r w:rsidRPr="0029329A">
        <w:rPr>
          <w:rFonts w:ascii="Times New Roman" w:eastAsiaTheme="minorHAnsi" w:hAnsi="Times New Roman" w:cs="Times New Roman"/>
          <w:sz w:val="28"/>
          <w:szCs w:val="28"/>
          <w:lang w:val="es-ES" w:eastAsia="en-US"/>
        </w:rPr>
        <w:t xml:space="preserve">e pretende mejorar la calidad de vida a través, entre otros, de “la garantía del disfrute y ejercicio de los derechos culturales para la vida y la paz”. En ese sentido, en dos de los ejes del catalizador C (“b. Reconocimiento, salvaguardia y fomento de la </w:t>
      </w:r>
      <w:r w:rsidRPr="0029329A">
        <w:rPr>
          <w:rFonts w:ascii="Times New Roman" w:eastAsiaTheme="minorHAnsi" w:hAnsi="Times New Roman" w:cs="Times New Roman"/>
          <w:sz w:val="28"/>
          <w:szCs w:val="28"/>
          <w:lang w:val="es-ES" w:eastAsia="en-US"/>
        </w:rPr>
        <w:t>memoria vida, el patrimonio, las culturas y los saberes” y “d. Gobernanza Cultural”</w:t>
      </w:r>
      <w:r w:rsidRPr="0029329A">
        <w:rPr>
          <w:rFonts w:ascii="Times New Roman" w:eastAsiaTheme="minorHAnsi" w:hAnsi="Times New Roman" w:cs="Times New Roman"/>
          <w:sz w:val="28"/>
          <w:szCs w:val="28"/>
          <w:vertAlign w:val="superscript"/>
          <w:lang w:val="es-ES" w:eastAsia="en-US"/>
        </w:rPr>
        <w:footnoteReference w:id="146"/>
      </w:r>
      <w:r w:rsidRPr="0029329A">
        <w:rPr>
          <w:rFonts w:ascii="Times New Roman" w:eastAsiaTheme="minorHAnsi" w:hAnsi="Times New Roman" w:cs="Times New Roman"/>
          <w:sz w:val="28"/>
          <w:szCs w:val="28"/>
          <w:lang w:val="es-ES" w:eastAsia="en-US"/>
        </w:rPr>
        <w:t xml:space="preserve">) se afirma que: (i) “se fortalecerán los procesos de formación, investigación, valoración, protección y divulgación del patrimonio arqueológico”; (ii) “el “ICANH definirá </w:t>
      </w:r>
      <w:r w:rsidRPr="0029329A">
        <w:rPr>
          <w:rFonts w:ascii="Times New Roman" w:eastAsiaTheme="minorHAnsi" w:hAnsi="Times New Roman" w:cs="Times New Roman"/>
          <w:sz w:val="28"/>
          <w:szCs w:val="28"/>
          <w:lang w:val="es-ES" w:eastAsia="en-US"/>
        </w:rPr>
        <w:t>una tasa de cobro por los procedimientos asociados a la protección y manejo de bienes arqueológicos asociados al Programa de Arqueología Preventiva – PAP, permitiéndole solventar los costos de dichos procesos que actualmente se desarrollan de manera gratui</w:t>
      </w:r>
      <w:r w:rsidRPr="0029329A">
        <w:rPr>
          <w:rFonts w:ascii="Times New Roman" w:eastAsiaTheme="minorHAnsi" w:hAnsi="Times New Roman" w:cs="Times New Roman"/>
          <w:sz w:val="28"/>
          <w:szCs w:val="28"/>
          <w:lang w:val="es-ES" w:eastAsia="en-US"/>
        </w:rPr>
        <w:t xml:space="preserve">ta”. </w:t>
      </w:r>
    </w:p>
    <w:p w:rsidR="00B079DB" w:rsidRPr="0029329A" w:rsidRDefault="0029329A" w:rsidP="00B079DB">
      <w:pPr>
        <w:suppressAutoHyphens/>
        <w:ind w:left="789"/>
        <w:contextualSpacing/>
        <w:jc w:val="both"/>
        <w:rPr>
          <w:rFonts w:ascii="Times New Roman" w:eastAsiaTheme="minorHAnsi" w:hAnsi="Times New Roman" w:cs="Times New Roman"/>
          <w:sz w:val="28"/>
          <w:szCs w:val="28"/>
          <w:lang w:val="es-ES" w:eastAsia="en-US"/>
        </w:rPr>
      </w:pPr>
    </w:p>
    <w:p w:rsidR="00B079DB" w:rsidRPr="0029329A" w:rsidRDefault="0029329A" w:rsidP="00B079DB">
      <w:pPr>
        <w:suppressAutoHyphens/>
        <w:contextualSpacing/>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106. La Tasa de la Dirección Nacional de Derechos de Autor está vinculada con el eje de transformación “2. Seguridad Humana y justicia social”, específicamente en cuanto al catalizador C (“Expansión de capacidades: más y mejores oportunidades para l</w:t>
      </w:r>
      <w:r w:rsidRPr="0029329A">
        <w:rPr>
          <w:rFonts w:ascii="Times New Roman" w:eastAsiaTheme="minorHAnsi" w:hAnsi="Times New Roman" w:cs="Times New Roman"/>
          <w:sz w:val="28"/>
          <w:szCs w:val="28"/>
          <w:lang w:val="es-ES" w:eastAsia="en-US"/>
        </w:rPr>
        <w:t>ograr sus proyectos de vida”), numeral 9, denominado “Democratización del conocimiento: aprovechamiento de la propiedad intelectual y reconocimiento de los saberes tradicionales”, en función del cual se estima que “la propiedad intelectual y el reconocimie</w:t>
      </w:r>
      <w:r w:rsidRPr="0029329A">
        <w:rPr>
          <w:rFonts w:ascii="Times New Roman" w:eastAsiaTheme="minorHAnsi" w:hAnsi="Times New Roman" w:cs="Times New Roman"/>
          <w:sz w:val="28"/>
          <w:szCs w:val="28"/>
          <w:lang w:val="es-ES" w:eastAsia="en-US"/>
        </w:rPr>
        <w:t>nto de saberes tradicionales aportan al desarrollo individual y social propiciando innovación, cultura, democratización del conocimiento y transformación productiva”. Así, en el marco de ese catalizador, se señala que “se reinvertirá parte de las tasas rec</w:t>
      </w:r>
      <w:r w:rsidRPr="0029329A">
        <w:rPr>
          <w:rFonts w:ascii="Times New Roman" w:eastAsiaTheme="minorHAnsi" w:hAnsi="Times New Roman" w:cs="Times New Roman"/>
          <w:sz w:val="28"/>
          <w:szCs w:val="28"/>
          <w:lang w:val="es-ES" w:eastAsia="en-US"/>
        </w:rPr>
        <w:t>audadas por propiedad industrial en el funcionamiento y promoción de la innovación” y se fortalecerá el “apoyo a derechos de autor y conexos”, para lo cual las bases del PND optan por la siguiente estrategia: “Se expedirá un sistema de cobro de tasas simpl</w:t>
      </w:r>
      <w:r w:rsidRPr="0029329A">
        <w:rPr>
          <w:rFonts w:ascii="Times New Roman" w:eastAsiaTheme="minorHAnsi" w:hAnsi="Times New Roman" w:cs="Times New Roman"/>
          <w:sz w:val="28"/>
          <w:szCs w:val="28"/>
          <w:lang w:val="es-ES" w:eastAsia="en-US"/>
        </w:rPr>
        <w:t>e, equitativo y transparente para los servicios de la Dirección Nacional de Derecho de Autor.”</w:t>
      </w: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p>
    <w:p w:rsidR="00B079DB" w:rsidRPr="0029329A" w:rsidRDefault="0029329A" w:rsidP="00B079DB">
      <w:pPr>
        <w:overflowPunct w:val="0"/>
        <w:autoSpaceDE w:val="0"/>
        <w:autoSpaceDN w:val="0"/>
        <w:adjustRightInd w:val="0"/>
        <w:spacing w:line="360" w:lineRule="atLeast"/>
        <w:jc w:val="both"/>
        <w:textAlignment w:val="baseline"/>
        <w:rPr>
          <w:rFonts w:ascii="Times New Roman" w:hAnsi="Times New Roman" w:cs="Times New Roman"/>
          <w:sz w:val="28"/>
          <w:szCs w:val="28"/>
        </w:rPr>
      </w:pPr>
      <w:r w:rsidRPr="0029329A">
        <w:rPr>
          <w:rFonts w:ascii="Times New Roman" w:hAnsi="Times New Roman" w:cs="Times New Roman"/>
          <w:sz w:val="28"/>
          <w:szCs w:val="28"/>
        </w:rPr>
        <w:t xml:space="preserve">107. Sobre el particular, el documento que contiene las bases del Plan dispone lo siguiente, en relación con los ejes, frente a los cuales el gobierno nacional </w:t>
      </w:r>
      <w:r w:rsidRPr="0029329A">
        <w:rPr>
          <w:rFonts w:ascii="Times New Roman" w:hAnsi="Times New Roman" w:cs="Times New Roman"/>
          <w:sz w:val="28"/>
          <w:szCs w:val="28"/>
        </w:rPr>
        <w:t>parece justifica</w:t>
      </w:r>
      <w:r w:rsidRPr="0029329A">
        <w:rPr>
          <w:rFonts w:ascii="Times New Roman" w:hAnsi="Times New Roman" w:cs="Times New Roman"/>
          <w:sz w:val="28"/>
          <w:szCs w:val="28"/>
        </w:rPr>
        <w:t>r</w:t>
      </w:r>
      <w:r w:rsidRPr="0029329A">
        <w:rPr>
          <w:rFonts w:ascii="Times New Roman" w:hAnsi="Times New Roman" w:cs="Times New Roman"/>
          <w:sz w:val="28"/>
          <w:szCs w:val="28"/>
        </w:rPr>
        <w:t xml:space="preserve"> la conexidad de la norma:</w:t>
      </w:r>
    </w:p>
    <w:p w:rsidR="00B079DB" w:rsidRPr="0029329A" w:rsidRDefault="0029329A" w:rsidP="00B079DB">
      <w:pPr>
        <w:overflowPunct w:val="0"/>
        <w:autoSpaceDE w:val="0"/>
        <w:autoSpaceDN w:val="0"/>
        <w:adjustRightInd w:val="0"/>
        <w:spacing w:line="360" w:lineRule="atLeast"/>
        <w:jc w:val="both"/>
        <w:textAlignment w:val="baseline"/>
        <w:rPr>
          <w:rFonts w:ascii="Times New Roman" w:hAnsi="Times New Roman" w:cs="Times New Roman"/>
          <w:sz w:val="28"/>
          <w:szCs w:val="28"/>
        </w:rPr>
      </w:pPr>
    </w:p>
    <w:p w:rsidR="00B079DB" w:rsidRPr="0029329A" w:rsidRDefault="0029329A" w:rsidP="00B079DB">
      <w:pPr>
        <w:ind w:left="567" w:right="333"/>
        <w:contextualSpacing/>
        <w:jc w:val="both"/>
        <w:rPr>
          <w:rFonts w:ascii="Times New Roman" w:hAnsi="Times New Roman" w:cs="Times New Roman"/>
          <w:sz w:val="28"/>
          <w:szCs w:val="24"/>
          <w:lang w:val="es-ES_tradnl"/>
        </w:rPr>
      </w:pPr>
      <w:r w:rsidRPr="0029329A">
        <w:rPr>
          <w:rFonts w:ascii="Times New Roman" w:hAnsi="Times New Roman" w:cs="Times New Roman"/>
          <w:sz w:val="28"/>
          <w:szCs w:val="24"/>
          <w:lang w:val="es-ES_tradnl"/>
        </w:rPr>
        <w:t>“Reconocimiento, salvaguardia y fomento de la memoria viva, el patrimonio, las culturas y los saberes.</w:t>
      </w:r>
    </w:p>
    <w:p w:rsidR="00B079DB" w:rsidRPr="0029329A" w:rsidRDefault="0029329A" w:rsidP="00B079DB">
      <w:pPr>
        <w:ind w:left="567" w:right="333"/>
        <w:contextualSpacing/>
        <w:jc w:val="both"/>
        <w:rPr>
          <w:rFonts w:ascii="Times New Roman" w:hAnsi="Times New Roman" w:cs="Times New Roman"/>
          <w:sz w:val="28"/>
          <w:szCs w:val="24"/>
          <w:lang w:val="es-ES_tradnl"/>
        </w:rPr>
      </w:pPr>
    </w:p>
    <w:p w:rsidR="00B079DB" w:rsidRPr="0029329A" w:rsidRDefault="0029329A" w:rsidP="00B079DB">
      <w:pPr>
        <w:ind w:left="567" w:right="333"/>
        <w:contextualSpacing/>
        <w:jc w:val="both"/>
        <w:rPr>
          <w:rFonts w:ascii="Times New Roman" w:hAnsi="Times New Roman" w:cs="Times New Roman"/>
          <w:sz w:val="28"/>
          <w:szCs w:val="24"/>
          <w:lang w:val="es-ES_tradnl"/>
        </w:rPr>
      </w:pPr>
      <w:r w:rsidRPr="0029329A">
        <w:rPr>
          <w:rFonts w:ascii="Times New Roman" w:hAnsi="Times New Roman" w:cs="Times New Roman"/>
          <w:sz w:val="28"/>
          <w:szCs w:val="24"/>
          <w:lang w:val="es-ES_tradnl"/>
        </w:rPr>
        <w:t xml:space="preserve">Se salvaguardarán los oficios, prácticas y saberes colectivos de las comunidades, grupos étnicos y lugares </w:t>
      </w:r>
      <w:r w:rsidRPr="0029329A">
        <w:rPr>
          <w:rFonts w:ascii="Times New Roman" w:hAnsi="Times New Roman" w:cs="Times New Roman"/>
          <w:sz w:val="28"/>
          <w:szCs w:val="24"/>
          <w:lang w:val="es-ES_tradnl"/>
        </w:rPr>
        <w:t>de memoria. Se fortalecerán los procesos de formación, investigación, valoración, protección y divulgación del patrimonio arqueológico, urbano, museológico, audiovisual, bibliográfico, archivístico y lingüístico. Se identificarán, fortalecerán y promoverán</w:t>
      </w:r>
      <w:r w:rsidRPr="0029329A">
        <w:rPr>
          <w:rFonts w:ascii="Times New Roman" w:hAnsi="Times New Roman" w:cs="Times New Roman"/>
          <w:sz w:val="28"/>
          <w:szCs w:val="24"/>
          <w:lang w:val="es-ES_tradnl"/>
        </w:rPr>
        <w:t>, junto con las comunidades y grupos étnicos, los conocimientos, prácticas y saberes, que puedan ser objeto de apropiación social para la mitigación del cambio climático y la protección de la biodiversidad. Se fortalecerán los patrimonios vivos como motore</w:t>
      </w:r>
      <w:r w:rsidRPr="0029329A">
        <w:rPr>
          <w:rFonts w:ascii="Times New Roman" w:hAnsi="Times New Roman" w:cs="Times New Roman"/>
          <w:sz w:val="28"/>
          <w:szCs w:val="24"/>
          <w:lang w:val="es-ES_tradnl"/>
        </w:rPr>
        <w:t>s del desarrollo sostenible, centrado en las comunidades que los habitan mediante la generación de acciones que mitiguen los impactos de la urbanización contemporánea a través de la defensa y dignificación de la vida y del cuidado del medio ambiente. Con e</w:t>
      </w:r>
      <w:r w:rsidRPr="0029329A">
        <w:rPr>
          <w:rFonts w:ascii="Times New Roman" w:hAnsi="Times New Roman" w:cs="Times New Roman"/>
          <w:sz w:val="28"/>
          <w:szCs w:val="24"/>
          <w:lang w:val="es-ES_tradnl"/>
        </w:rPr>
        <w:t>l fin de asegurar la preservación de los bienes de interés cultural (BIC) y la apropiación social de su valor cultural, se definirán lineamientos que permitan mejorar los procesos de enajenación de estos bienes y garanticen su preservación; adicionalmente,</w:t>
      </w:r>
      <w:r w:rsidRPr="0029329A">
        <w:rPr>
          <w:rFonts w:ascii="Times New Roman" w:hAnsi="Times New Roman" w:cs="Times New Roman"/>
          <w:sz w:val="28"/>
          <w:szCs w:val="24"/>
          <w:lang w:val="es-ES_tradnl"/>
        </w:rPr>
        <w:t xml:space="preserve"> en el caso de bienes que pudieran ser reconocidos como bienes de interés cultural (BIC), se establecerán mecanismos orientados a su protección en tanto se surte su respectivo proceso de declaratoria.”</w:t>
      </w:r>
    </w:p>
    <w:p w:rsidR="00B079DB" w:rsidRPr="0029329A" w:rsidRDefault="0029329A" w:rsidP="00B079DB">
      <w:pPr>
        <w:overflowPunct w:val="0"/>
        <w:autoSpaceDE w:val="0"/>
        <w:autoSpaceDN w:val="0"/>
        <w:adjustRightInd w:val="0"/>
        <w:spacing w:line="360" w:lineRule="atLeast"/>
        <w:ind w:right="333"/>
        <w:jc w:val="both"/>
        <w:textAlignment w:val="baseline"/>
        <w:rPr>
          <w:rFonts w:ascii="Times New Roman" w:hAnsi="Times New Roman" w:cs="Times New Roman"/>
          <w:i/>
          <w:iCs/>
          <w:sz w:val="28"/>
          <w:szCs w:val="28"/>
        </w:rPr>
      </w:pP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En relación con el fomento a las culturas y los artes</w:t>
      </w:r>
      <w:r w:rsidRPr="0029329A">
        <w:rPr>
          <w:rFonts w:ascii="Times New Roman" w:hAnsi="Times New Roman" w:cs="Times New Roman"/>
          <w:sz w:val="28"/>
          <w:szCs w:val="28"/>
        </w:rPr>
        <w:t xml:space="preserve"> y los saberes</w:t>
      </w:r>
    </w:p>
    <w:p w:rsidR="00B079DB" w:rsidRPr="0029329A" w:rsidRDefault="0029329A" w:rsidP="00B079DB">
      <w:pPr>
        <w:ind w:right="48"/>
        <w:contextualSpacing/>
        <w:jc w:val="both"/>
        <w:rPr>
          <w:rFonts w:ascii="Times New Roman" w:hAnsi="Times New Roman" w:cs="Times New Roman"/>
          <w:sz w:val="28"/>
          <w:szCs w:val="28"/>
          <w:lang w:val="es-ES_tradnl"/>
        </w:rPr>
      </w:pPr>
    </w:p>
    <w:p w:rsidR="00B079DB" w:rsidRPr="0029329A" w:rsidRDefault="0029329A" w:rsidP="00B079DB">
      <w:pPr>
        <w:ind w:left="567" w:right="333"/>
        <w:contextualSpacing/>
        <w:jc w:val="both"/>
        <w:rPr>
          <w:rFonts w:ascii="Times New Roman" w:hAnsi="Times New Roman" w:cs="Times New Roman"/>
          <w:sz w:val="28"/>
          <w:szCs w:val="24"/>
          <w:lang w:val="es-ES_tradnl"/>
        </w:rPr>
      </w:pPr>
      <w:r w:rsidRPr="0029329A">
        <w:rPr>
          <w:rFonts w:ascii="Times New Roman" w:hAnsi="Times New Roman" w:cs="Times New Roman"/>
          <w:sz w:val="28"/>
          <w:szCs w:val="24"/>
          <w:lang w:val="es-ES_tradnl"/>
        </w:rPr>
        <w:t xml:space="preserve">“c. Fomento y estímulos a las culturas, las artes y los saberes </w:t>
      </w:r>
    </w:p>
    <w:p w:rsidR="00B079DB" w:rsidRPr="0029329A" w:rsidRDefault="0029329A" w:rsidP="00B079DB">
      <w:pPr>
        <w:ind w:left="567" w:right="333"/>
        <w:contextualSpacing/>
        <w:jc w:val="both"/>
        <w:rPr>
          <w:rFonts w:ascii="Times New Roman" w:hAnsi="Times New Roman" w:cs="Times New Roman"/>
          <w:sz w:val="28"/>
          <w:szCs w:val="24"/>
          <w:lang w:val="es-ES_tradnl"/>
        </w:rPr>
      </w:pPr>
    </w:p>
    <w:p w:rsidR="00B079DB" w:rsidRPr="0029329A" w:rsidRDefault="0029329A" w:rsidP="00B079DB">
      <w:pPr>
        <w:ind w:left="567" w:right="333"/>
        <w:contextualSpacing/>
        <w:jc w:val="both"/>
        <w:rPr>
          <w:rFonts w:ascii="Times New Roman" w:hAnsi="Times New Roman" w:cs="Times New Roman"/>
          <w:sz w:val="28"/>
          <w:szCs w:val="24"/>
          <w:lang w:val="es-ES_tradnl"/>
        </w:rPr>
      </w:pPr>
      <w:r w:rsidRPr="0029329A">
        <w:rPr>
          <w:rFonts w:ascii="Times New Roman" w:hAnsi="Times New Roman" w:cs="Times New Roman"/>
          <w:sz w:val="28"/>
          <w:szCs w:val="24"/>
          <w:lang w:val="es-ES_tradnl"/>
        </w:rPr>
        <w:t>Se ampliarán las oportunidades de participación y acceso de todas las regiones del país, las organizaciones culturales y sociales en los territorios, las zonas rurales y aque</w:t>
      </w:r>
      <w:r w:rsidRPr="0029329A">
        <w:rPr>
          <w:rFonts w:ascii="Times New Roman" w:hAnsi="Times New Roman" w:cs="Times New Roman"/>
          <w:sz w:val="28"/>
          <w:szCs w:val="24"/>
          <w:lang w:val="es-ES_tradnl"/>
        </w:rPr>
        <w:t>llas que históricamente han tenido dificultades para acceder a la oferta de convocatorias públicas para la cofinanciación de proyectos e iniciativas artísticas y culturales, para lo cual se incorporarán nuevos enfoques y metodologías que faciliten la parti</w:t>
      </w:r>
      <w:r w:rsidRPr="0029329A">
        <w:rPr>
          <w:rFonts w:ascii="Times New Roman" w:hAnsi="Times New Roman" w:cs="Times New Roman"/>
          <w:sz w:val="28"/>
          <w:szCs w:val="24"/>
          <w:lang w:val="es-ES_tradnl"/>
        </w:rPr>
        <w:t>cipación y acceso a los recursos destinados a convocatorias públicas y a los programas nacionales de concertación cultural y estímulos.</w:t>
      </w:r>
    </w:p>
    <w:p w:rsidR="00B079DB" w:rsidRPr="0029329A" w:rsidRDefault="0029329A" w:rsidP="00B079DB">
      <w:pPr>
        <w:ind w:left="567" w:right="333"/>
        <w:contextualSpacing/>
        <w:jc w:val="both"/>
        <w:rPr>
          <w:rFonts w:ascii="Times New Roman" w:hAnsi="Times New Roman" w:cs="Times New Roman"/>
          <w:sz w:val="28"/>
          <w:szCs w:val="24"/>
          <w:lang w:val="es-ES_tradnl"/>
        </w:rPr>
      </w:pPr>
    </w:p>
    <w:p w:rsidR="00B079DB" w:rsidRPr="0029329A" w:rsidRDefault="0029329A" w:rsidP="00B079DB">
      <w:pPr>
        <w:ind w:left="567" w:right="333"/>
        <w:contextualSpacing/>
        <w:jc w:val="both"/>
        <w:rPr>
          <w:rFonts w:ascii="Times New Roman" w:hAnsi="Times New Roman" w:cs="Times New Roman"/>
          <w:sz w:val="28"/>
          <w:szCs w:val="24"/>
          <w:lang w:val="es-ES_tradnl"/>
        </w:rPr>
      </w:pPr>
      <w:r w:rsidRPr="0029329A">
        <w:rPr>
          <w:rFonts w:ascii="Times New Roman" w:hAnsi="Times New Roman" w:cs="Times New Roman"/>
          <w:sz w:val="28"/>
          <w:szCs w:val="24"/>
          <w:lang w:val="es-ES_tradnl"/>
        </w:rPr>
        <w:t>En articulación entre los sectores de cultura y educación se garantizará el acceso a las artes, los saberes y la cultur</w:t>
      </w:r>
      <w:r w:rsidRPr="0029329A">
        <w:rPr>
          <w:rFonts w:ascii="Times New Roman" w:hAnsi="Times New Roman" w:cs="Times New Roman"/>
          <w:sz w:val="28"/>
          <w:szCs w:val="24"/>
          <w:lang w:val="es-ES_tradnl"/>
        </w:rPr>
        <w:t>a, a través de procesos de educación y formación que vinculen a los niños, niñas, adolescentes y jóvenes, comunidades étnicas, y los diversos grupos poblacionales. Adicionalmente, se promoverá el trabajo asociativo de colectivos y agrupaciones artísticas y</w:t>
      </w:r>
      <w:r w:rsidRPr="0029329A">
        <w:rPr>
          <w:rFonts w:ascii="Times New Roman" w:hAnsi="Times New Roman" w:cs="Times New Roman"/>
          <w:sz w:val="28"/>
          <w:szCs w:val="24"/>
          <w:lang w:val="es-ES_tradnl"/>
        </w:rPr>
        <w:t xml:space="preserve"> se generarán diferentes espacios e instrumentos a través de un sistema nacional que facilite la circulación nacional e internacional de las creaciones artísticas y culturales. Para lograr que Colombia sea una sociedad del conocimiento, se trabajará por pl</w:t>
      </w:r>
      <w:r w:rsidRPr="0029329A">
        <w:rPr>
          <w:rFonts w:ascii="Times New Roman" w:hAnsi="Times New Roman" w:cs="Times New Roman"/>
          <w:sz w:val="28"/>
          <w:szCs w:val="24"/>
          <w:lang w:val="es-ES_tradnl"/>
        </w:rPr>
        <w:t>anes y programas que fomenten la lectura y la escritura desde la primera infancia. Se promoverá la creación, circulación, salvaguarda, preservación y promoción de obras colombianas cinematográficas, audiovisuales, sonoras y de medios interactivos, con enfo</w:t>
      </w:r>
      <w:r w:rsidRPr="0029329A">
        <w:rPr>
          <w:rFonts w:ascii="Times New Roman" w:hAnsi="Times New Roman" w:cs="Times New Roman"/>
          <w:sz w:val="28"/>
          <w:szCs w:val="24"/>
          <w:lang w:val="es-ES_tradnl"/>
        </w:rPr>
        <w:t>que poblacional, étnico y de género, que contribuyan al desarrollo integral de una cultura de paz.</w:t>
      </w:r>
    </w:p>
    <w:p w:rsidR="00B079DB" w:rsidRPr="0029329A" w:rsidRDefault="0029329A" w:rsidP="00B079DB">
      <w:pPr>
        <w:ind w:left="567" w:right="333"/>
        <w:rPr>
          <w:rFonts w:ascii="Times New Roman" w:hAnsi="Times New Roman" w:cs="Times New Roman"/>
          <w:sz w:val="28"/>
          <w:szCs w:val="24"/>
        </w:rPr>
      </w:pPr>
    </w:p>
    <w:p w:rsidR="00B079DB" w:rsidRPr="0029329A" w:rsidRDefault="0029329A" w:rsidP="00B079DB">
      <w:pPr>
        <w:ind w:left="567" w:right="333"/>
        <w:jc w:val="both"/>
        <w:rPr>
          <w:rFonts w:ascii="Times New Roman" w:hAnsi="Times New Roman" w:cs="Times New Roman"/>
          <w:sz w:val="28"/>
          <w:szCs w:val="24"/>
        </w:rPr>
      </w:pPr>
      <w:r w:rsidRPr="0029329A">
        <w:rPr>
          <w:rFonts w:ascii="Times New Roman" w:hAnsi="Times New Roman" w:cs="Times New Roman"/>
          <w:sz w:val="28"/>
          <w:szCs w:val="24"/>
        </w:rPr>
        <w:t xml:space="preserve">Democratización del conocimiento: aprovechamiento de la propiedad intelectual y reconocimiento de los saberes tradicionales  </w:t>
      </w:r>
    </w:p>
    <w:p w:rsidR="00B079DB" w:rsidRPr="0029329A" w:rsidRDefault="0029329A" w:rsidP="00B079DB">
      <w:pPr>
        <w:ind w:left="567" w:right="333"/>
        <w:rPr>
          <w:rFonts w:ascii="Times New Roman" w:hAnsi="Times New Roman" w:cs="Times New Roman"/>
          <w:sz w:val="28"/>
          <w:szCs w:val="24"/>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rPr>
        <w:t>La propiedad intelectual (PI) y el reconocimiento de los saberes tradicionales aportan al desarrollo individual y social, propiciando innovación, cultura, democratización del conocimiento y transformación productiva. Se fomentará el conocimiento de las exp</w:t>
      </w:r>
      <w:r w:rsidRPr="0029329A">
        <w:rPr>
          <w:rFonts w:ascii="Times New Roman" w:hAnsi="Times New Roman" w:cs="Times New Roman"/>
          <w:sz w:val="28"/>
          <w:szCs w:val="24"/>
        </w:rPr>
        <w:t xml:space="preserve">resiones culturales tradicionales junto con un mayor apoyo a creadores, </w:t>
      </w:r>
      <w:r w:rsidRPr="0029329A">
        <w:rPr>
          <w:rFonts w:ascii="Times New Roman" w:hAnsi="Times New Roman" w:cs="Times New Roman"/>
          <w:sz w:val="28"/>
          <w:szCs w:val="24"/>
          <w:lang w:val="es-MX"/>
        </w:rPr>
        <w:t xml:space="preserve">sabedores y artistas. Se buscará un equilibrio entre las necesidades e intereses de los titulares y usuarios de la PI. </w:t>
      </w:r>
    </w:p>
    <w:p w:rsidR="00B079DB" w:rsidRPr="0029329A" w:rsidRDefault="0029329A" w:rsidP="00B079DB">
      <w:pPr>
        <w:ind w:left="567" w:right="333"/>
        <w:jc w:val="both"/>
        <w:rPr>
          <w:rFonts w:ascii="Times New Roman" w:hAnsi="Times New Roman" w:cs="Times New Roman"/>
          <w:sz w:val="28"/>
          <w:szCs w:val="24"/>
          <w:lang w:val="es-MX"/>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a. Reconocimiento y protección de los conocimientos tradicional</w:t>
      </w:r>
      <w:r w:rsidRPr="0029329A">
        <w:rPr>
          <w:rFonts w:ascii="Times New Roman" w:hAnsi="Times New Roman" w:cs="Times New Roman"/>
          <w:sz w:val="28"/>
          <w:szCs w:val="24"/>
          <w:lang w:val="es-MX"/>
        </w:rPr>
        <w:t xml:space="preserve">es y expresiones culturales tradicionales </w:t>
      </w:r>
    </w:p>
    <w:p w:rsidR="00B079DB" w:rsidRPr="0029329A" w:rsidRDefault="0029329A" w:rsidP="00B079DB">
      <w:pPr>
        <w:ind w:left="567" w:right="333"/>
        <w:jc w:val="both"/>
        <w:rPr>
          <w:rFonts w:ascii="Times New Roman" w:hAnsi="Times New Roman" w:cs="Times New Roman"/>
          <w:sz w:val="28"/>
          <w:szCs w:val="24"/>
          <w:lang w:val="es-MX"/>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El Gobierno Nacional de la mano de las comunidades evaluará y aplicará mecanismos de salvaguardia y protección de los conocimientos tradicionales y expresiones culturales tradicionales. Este ejercicio se realizar</w:t>
      </w:r>
      <w:r w:rsidRPr="0029329A">
        <w:rPr>
          <w:rFonts w:ascii="Times New Roman" w:hAnsi="Times New Roman" w:cs="Times New Roman"/>
          <w:sz w:val="28"/>
          <w:szCs w:val="24"/>
          <w:lang w:val="es-MX"/>
        </w:rPr>
        <w:t xml:space="preserve">á a través del diálogo intercultural de los saberes y conocimientos de los diferentes grupos poblacionales. </w:t>
      </w:r>
    </w:p>
    <w:p w:rsidR="00B079DB" w:rsidRPr="0029329A" w:rsidRDefault="0029329A" w:rsidP="00B079DB">
      <w:pPr>
        <w:ind w:left="567" w:right="333"/>
        <w:jc w:val="both"/>
        <w:rPr>
          <w:rFonts w:ascii="Times New Roman" w:hAnsi="Times New Roman" w:cs="Times New Roman"/>
          <w:sz w:val="28"/>
          <w:szCs w:val="24"/>
          <w:lang w:val="es-MX"/>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 xml:space="preserve">b. Aprovechamiento de la propiedad intelectual (PI) </w:t>
      </w: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 xml:space="preserve">Se fomentarán estrategias de sensibilización para el reconocimiento, aprovechamiento y uso </w:t>
      </w:r>
      <w:r w:rsidRPr="0029329A">
        <w:rPr>
          <w:rFonts w:ascii="Times New Roman" w:hAnsi="Times New Roman" w:cs="Times New Roman"/>
          <w:sz w:val="28"/>
          <w:szCs w:val="24"/>
          <w:lang w:val="es-MX"/>
        </w:rPr>
        <w:t>responsable de los derechos de PI. Se brindará acompañamiento a inventores y se promoverá el uso de la información de patentes. Se reinvertirá parte de las tasas recaudadas por propiedad industrial en el funcionamiento y promoción de la innovación. Se incl</w:t>
      </w:r>
      <w:r w:rsidRPr="0029329A">
        <w:rPr>
          <w:rFonts w:ascii="Times New Roman" w:hAnsi="Times New Roman" w:cs="Times New Roman"/>
          <w:sz w:val="28"/>
          <w:szCs w:val="24"/>
          <w:lang w:val="es-MX"/>
        </w:rPr>
        <w:t>uirá la figura de la nulidad administrativa para todos los asuntos relacionados con la propiedad industrial. Las entidades públicas impulsarán el aprovechamiento de sus bienes intangibles o derechos de PI, así que podrán reinvertir en la consolidación de l</w:t>
      </w:r>
      <w:r w:rsidRPr="0029329A">
        <w:rPr>
          <w:rFonts w:ascii="Times New Roman" w:hAnsi="Times New Roman" w:cs="Times New Roman"/>
          <w:sz w:val="28"/>
          <w:szCs w:val="24"/>
          <w:lang w:val="es-MX"/>
        </w:rPr>
        <w:t>a propiedad intelectual. Se modificará el artículo 169 de la ley 1955 de 2019 para incentivar la participación de actores en la explotación de los derechos de propiedad intelectual- sobre proyectos de ciencia, tecnología e innovación financiados con recurs</w:t>
      </w:r>
      <w:r w:rsidRPr="0029329A">
        <w:rPr>
          <w:rFonts w:ascii="Times New Roman" w:hAnsi="Times New Roman" w:cs="Times New Roman"/>
          <w:sz w:val="28"/>
          <w:szCs w:val="24"/>
          <w:lang w:val="es-MX"/>
        </w:rPr>
        <w:t>os públicos.</w:t>
      </w:r>
    </w:p>
    <w:p w:rsidR="00B079DB" w:rsidRPr="0029329A" w:rsidRDefault="0029329A" w:rsidP="00B079DB">
      <w:pPr>
        <w:ind w:left="567" w:right="333"/>
        <w:jc w:val="both"/>
        <w:rPr>
          <w:rFonts w:ascii="Times New Roman" w:hAnsi="Times New Roman" w:cs="Times New Roman"/>
          <w:sz w:val="28"/>
          <w:szCs w:val="24"/>
          <w:lang w:val="es-MX"/>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 xml:space="preserve"> c. Apoyo a derechos de autor y conexos </w:t>
      </w: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Se desarrollarán estrategias de apoyo para la creación de contenidos y asesoría en la gestión de derecho de autor y conexos, impulsando sectores estratégicos y procesos de afirmación identitaria. Se di</w:t>
      </w:r>
      <w:r w:rsidRPr="0029329A">
        <w:rPr>
          <w:rFonts w:ascii="Times New Roman" w:hAnsi="Times New Roman" w:cs="Times New Roman"/>
          <w:sz w:val="28"/>
          <w:szCs w:val="24"/>
          <w:lang w:val="es-MX"/>
        </w:rPr>
        <w:t>señarán acuerdos y leyes para la protección de los derechos personales y colectivos de los creadores. Se expedirá un sistema de cobro de tasas simple, equitativo y transparente para los servicios de la Dirección Nacional de Derecho de Autor. A través de la</w:t>
      </w:r>
      <w:r w:rsidRPr="0029329A">
        <w:rPr>
          <w:rFonts w:ascii="Times New Roman" w:hAnsi="Times New Roman" w:cs="Times New Roman"/>
          <w:sz w:val="28"/>
          <w:szCs w:val="24"/>
          <w:lang w:val="es-MX"/>
        </w:rPr>
        <w:t xml:space="preserve"> implementación de la Política de Turismo Cultural, se avanzará en el desarrollo sostenible y en la generación de oportunidades para la cadena de valor ampliada del turismo.  </w:t>
      </w:r>
    </w:p>
    <w:p w:rsidR="00B079DB" w:rsidRPr="0029329A" w:rsidRDefault="0029329A" w:rsidP="00B079DB">
      <w:pPr>
        <w:ind w:left="567" w:right="333"/>
        <w:jc w:val="both"/>
        <w:rPr>
          <w:rFonts w:ascii="Times New Roman" w:hAnsi="Times New Roman" w:cs="Times New Roman"/>
          <w:sz w:val="28"/>
          <w:szCs w:val="24"/>
          <w:lang w:val="es-MX"/>
        </w:rPr>
      </w:pPr>
    </w:p>
    <w:p w:rsidR="00B079DB" w:rsidRPr="0029329A" w:rsidRDefault="0029329A" w:rsidP="00B079DB">
      <w:pPr>
        <w:ind w:left="567" w:right="333"/>
        <w:jc w:val="both"/>
        <w:rPr>
          <w:rFonts w:ascii="Times New Roman" w:hAnsi="Times New Roman" w:cs="Times New Roman"/>
          <w:sz w:val="28"/>
          <w:szCs w:val="24"/>
          <w:lang w:val="es-MX"/>
        </w:rPr>
      </w:pPr>
      <w:r w:rsidRPr="0029329A">
        <w:rPr>
          <w:rFonts w:ascii="Times New Roman" w:hAnsi="Times New Roman" w:cs="Times New Roman"/>
          <w:sz w:val="28"/>
          <w:szCs w:val="24"/>
          <w:lang w:val="es-MX"/>
        </w:rPr>
        <w:t>d. Apropiación social del conocimiento</w:t>
      </w:r>
      <w:r w:rsidRPr="0029329A">
        <w:rPr>
          <w:rFonts w:ascii="Times New Roman" w:hAnsi="Times New Roman" w:cs="Times New Roman"/>
          <w:sz w:val="28"/>
          <w:szCs w:val="24"/>
          <w:lang w:val="es-MX"/>
        </w:rPr>
        <w:t>:</w:t>
      </w:r>
      <w:r w:rsidRPr="0029329A">
        <w:rPr>
          <w:rFonts w:ascii="Times New Roman" w:hAnsi="Times New Roman" w:cs="Times New Roman"/>
          <w:sz w:val="28"/>
          <w:szCs w:val="24"/>
          <w:lang w:val="es-MX"/>
        </w:rPr>
        <w:t xml:space="preserve"> </w:t>
      </w:r>
      <w:r w:rsidRPr="0029329A">
        <w:rPr>
          <w:rFonts w:ascii="Times New Roman" w:hAnsi="Times New Roman" w:cs="Times New Roman"/>
          <w:sz w:val="28"/>
          <w:szCs w:val="24"/>
          <w:lang w:val="es-MX"/>
        </w:rPr>
        <w:t>a</w:t>
      </w:r>
      <w:r w:rsidRPr="0029329A">
        <w:rPr>
          <w:rFonts w:ascii="Times New Roman" w:hAnsi="Times New Roman" w:cs="Times New Roman"/>
          <w:sz w:val="28"/>
          <w:szCs w:val="24"/>
          <w:lang w:val="es-MX"/>
        </w:rPr>
        <w:t xml:space="preserve"> partir de un enfoque diferencial y te</w:t>
      </w:r>
      <w:r w:rsidRPr="0029329A">
        <w:rPr>
          <w:rFonts w:ascii="Times New Roman" w:hAnsi="Times New Roman" w:cs="Times New Roman"/>
          <w:sz w:val="28"/>
          <w:szCs w:val="24"/>
          <w:lang w:val="es-MX"/>
        </w:rPr>
        <w:t>rritorial, se desarrollará un programa institucional para promover y fortalecer procesos de apropiación social del conocimiento y de innovación social. Se impulsará la ciencia abierta, la participación de la ciudadanía en los procesos de construcción de co</w:t>
      </w:r>
      <w:r w:rsidRPr="0029329A">
        <w:rPr>
          <w:rFonts w:ascii="Times New Roman" w:hAnsi="Times New Roman" w:cs="Times New Roman"/>
          <w:sz w:val="28"/>
          <w:szCs w:val="24"/>
          <w:lang w:val="es-MX"/>
        </w:rPr>
        <w:t>nocimiento y de acceso a resultados, sobre todo cuando la investigación ha sido financiada con recursos públicos. Se mejorará la comunicación pública, divulgación e impacto de la Ciencia, Tecnología e Innovación, impulsando modelos abiertos y participativo</w:t>
      </w:r>
      <w:r w:rsidRPr="0029329A">
        <w:rPr>
          <w:rFonts w:ascii="Times New Roman" w:hAnsi="Times New Roman" w:cs="Times New Roman"/>
          <w:sz w:val="28"/>
          <w:szCs w:val="24"/>
          <w:lang w:val="es-MX"/>
        </w:rPr>
        <w:t>s</w:t>
      </w:r>
      <w:r w:rsidRPr="0029329A">
        <w:rPr>
          <w:rFonts w:ascii="Times New Roman" w:hAnsi="Times New Roman" w:cs="Times New Roman"/>
          <w:sz w:val="28"/>
          <w:szCs w:val="24"/>
          <w:lang w:val="es-MX"/>
        </w:rPr>
        <w:t>”.</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highlight w:val="yellow"/>
        </w:rPr>
      </w:pPr>
    </w:p>
    <w:p w:rsidR="00B079DB" w:rsidRPr="0029329A" w:rsidRDefault="0029329A" w:rsidP="00B079DB">
      <w:pPr>
        <w:contextualSpacing/>
        <w:jc w:val="both"/>
        <w:rPr>
          <w:rFonts w:ascii="Times New Roman" w:eastAsiaTheme="minorHAnsi" w:hAnsi="Times New Roman" w:cs="Times New Roman"/>
          <w:iCs/>
          <w:sz w:val="28"/>
          <w:szCs w:val="28"/>
          <w:lang w:val="es-ES" w:eastAsia="en-US"/>
        </w:rPr>
      </w:pPr>
      <w:r w:rsidRPr="0029329A">
        <w:rPr>
          <w:rFonts w:ascii="Times New Roman" w:hAnsi="Times New Roman" w:cs="Times New Roman"/>
          <w:sz w:val="28"/>
          <w:szCs w:val="28"/>
        </w:rPr>
        <w:t xml:space="preserve">108. Pasa ahora la Sala a analizar si dicha </w:t>
      </w:r>
      <w:r w:rsidRPr="0029329A">
        <w:rPr>
          <w:rFonts w:ascii="Times New Roman" w:eastAsiaTheme="minorHAnsi" w:hAnsi="Times New Roman" w:cs="Times New Roman"/>
          <w:iCs/>
          <w:sz w:val="28"/>
          <w:szCs w:val="28"/>
          <w:lang w:val="es-ES" w:eastAsia="en-US"/>
        </w:rPr>
        <w:t>conexión es directa e inmediata (estrecha y verificable) entre las normas que hacen parte de los objetivos generales del plan y las disposiciones demandadas.</w:t>
      </w:r>
    </w:p>
    <w:p w:rsidR="00B079DB" w:rsidRPr="0029329A" w:rsidRDefault="0029329A" w:rsidP="00B079DB">
      <w:pPr>
        <w:contextualSpacing/>
        <w:jc w:val="both"/>
        <w:rPr>
          <w:rFonts w:ascii="Times New Roman" w:eastAsiaTheme="minorHAnsi" w:hAnsi="Times New Roman" w:cs="Times New Roman"/>
          <w:iCs/>
          <w:sz w:val="28"/>
          <w:szCs w:val="28"/>
          <w:lang w:val="es-ES" w:eastAsia="en-US"/>
        </w:rPr>
      </w:pPr>
    </w:p>
    <w:p w:rsidR="00B079DB" w:rsidRPr="0029329A" w:rsidRDefault="0029329A" w:rsidP="00B079DB">
      <w:pPr>
        <w:pStyle w:val="Prrafodelista"/>
        <w:widowControl w:val="0"/>
        <w:numPr>
          <w:ilvl w:val="0"/>
          <w:numId w:val="2"/>
        </w:numPr>
        <w:tabs>
          <w:tab w:val="left" w:pos="0"/>
        </w:tabs>
        <w:spacing w:before="0" w:beforeAutospacing="0" w:after="0" w:afterAutospacing="0" w:line="360" w:lineRule="atLeast"/>
        <w:ind w:left="0" w:firstLine="0"/>
        <w:contextualSpacing/>
        <w:jc w:val="both"/>
        <w:rPr>
          <w:rFonts w:ascii="Times New Roman" w:eastAsia="Calibri" w:hAnsi="Times New Roman" w:cs="Times New Roman"/>
          <w:b/>
          <w:bCs/>
          <w:sz w:val="28"/>
          <w:szCs w:val="28"/>
          <w:lang w:val="es-ES_tradnl"/>
        </w:rPr>
      </w:pPr>
      <w:r w:rsidRPr="0029329A">
        <w:rPr>
          <w:rFonts w:ascii="Times New Roman" w:hAnsi="Times New Roman" w:cs="Times New Roman"/>
          <w:b/>
          <w:bCs/>
          <w:i/>
          <w:iCs/>
          <w:sz w:val="28"/>
          <w:szCs w:val="28"/>
        </w:rPr>
        <w:t>No existe una conexidad directa e inmediata entr</w:t>
      </w:r>
      <w:r w:rsidRPr="0029329A">
        <w:rPr>
          <w:rFonts w:ascii="Times New Roman" w:hAnsi="Times New Roman" w:cs="Times New Roman"/>
          <w:b/>
          <w:bCs/>
          <w:i/>
          <w:iCs/>
          <w:sz w:val="28"/>
          <w:szCs w:val="28"/>
        </w:rPr>
        <w:t xml:space="preserve">e la norma demandada y los objetivos, metas o estrategias de la parte general del </w:t>
      </w:r>
      <w:r w:rsidRPr="0029329A">
        <w:rPr>
          <w:rFonts w:ascii="Times New Roman" w:hAnsi="Times New Roman" w:cs="Times New Roman"/>
          <w:b/>
          <w:bCs/>
          <w:i/>
          <w:iCs/>
          <w:sz w:val="28"/>
          <w:szCs w:val="28"/>
        </w:rPr>
        <w:t>P</w:t>
      </w:r>
      <w:r w:rsidRPr="0029329A">
        <w:rPr>
          <w:rFonts w:ascii="Times New Roman" w:hAnsi="Times New Roman" w:cs="Times New Roman"/>
          <w:b/>
          <w:bCs/>
          <w:i/>
          <w:iCs/>
          <w:sz w:val="28"/>
          <w:szCs w:val="28"/>
        </w:rPr>
        <w:t xml:space="preserve">lan </w:t>
      </w:r>
      <w:r w:rsidRPr="0029329A">
        <w:rPr>
          <w:rFonts w:ascii="Times New Roman" w:hAnsi="Times New Roman" w:cs="Times New Roman"/>
          <w:b/>
          <w:bCs/>
          <w:i/>
          <w:iCs/>
          <w:sz w:val="28"/>
          <w:szCs w:val="28"/>
        </w:rPr>
        <w:t>N</w:t>
      </w:r>
      <w:r w:rsidRPr="0029329A">
        <w:rPr>
          <w:rFonts w:ascii="Times New Roman" w:hAnsi="Times New Roman" w:cs="Times New Roman"/>
          <w:b/>
          <w:bCs/>
          <w:i/>
          <w:iCs/>
          <w:sz w:val="28"/>
          <w:szCs w:val="28"/>
        </w:rPr>
        <w:t xml:space="preserve">acional de </w:t>
      </w:r>
      <w:r w:rsidRPr="0029329A">
        <w:rPr>
          <w:rFonts w:ascii="Times New Roman" w:hAnsi="Times New Roman" w:cs="Times New Roman"/>
          <w:b/>
          <w:bCs/>
          <w:i/>
          <w:iCs/>
          <w:sz w:val="28"/>
          <w:szCs w:val="28"/>
        </w:rPr>
        <w:t>D</w:t>
      </w:r>
      <w:r w:rsidRPr="0029329A">
        <w:rPr>
          <w:rFonts w:ascii="Times New Roman" w:hAnsi="Times New Roman" w:cs="Times New Roman"/>
          <w:b/>
          <w:bCs/>
          <w:i/>
          <w:iCs/>
          <w:sz w:val="28"/>
          <w:szCs w:val="28"/>
        </w:rPr>
        <w:t>esarrollo</w:t>
      </w:r>
    </w:p>
    <w:p w:rsidR="00B079DB" w:rsidRPr="0029329A" w:rsidRDefault="0029329A" w:rsidP="00B079DB">
      <w:pPr>
        <w:ind w:left="567" w:hanging="567"/>
        <w:contextualSpacing/>
        <w:jc w:val="both"/>
        <w:rPr>
          <w:rFonts w:ascii="Times New Roman" w:hAnsi="Times New Roman" w:cs="Times New Roman"/>
          <w:b/>
          <w:bCs/>
          <w:iCs/>
          <w:sz w:val="28"/>
          <w:szCs w:val="28"/>
        </w:rPr>
      </w:pPr>
    </w:p>
    <w:p w:rsidR="00B079DB" w:rsidRPr="0029329A" w:rsidRDefault="0029329A" w:rsidP="00B079DB">
      <w:pPr>
        <w:contextualSpacing/>
        <w:jc w:val="both"/>
        <w:rPr>
          <w:rFonts w:ascii="Times New Roman" w:hAnsi="Times New Roman" w:cs="Times New Roman"/>
          <w:sz w:val="28"/>
          <w:szCs w:val="28"/>
        </w:rPr>
      </w:pPr>
      <w:r w:rsidRPr="0029329A">
        <w:rPr>
          <w:rFonts w:ascii="Times New Roman" w:hAnsi="Times New Roman" w:cs="Times New Roman"/>
          <w:iCs/>
          <w:sz w:val="28"/>
          <w:szCs w:val="28"/>
        </w:rPr>
        <w:t>109. De</w:t>
      </w:r>
      <w:r w:rsidRPr="0029329A">
        <w:rPr>
          <w:rFonts w:ascii="Times New Roman" w:hAnsi="Times New Roman" w:cs="Times New Roman"/>
          <w:sz w:val="28"/>
          <w:szCs w:val="28"/>
        </w:rPr>
        <w:t xml:space="preserve"> entrada, la Sala descarta que la norma acusada tenga relación temática directa e inmediata con alguno de los ejes de transformación denominados (i) </w:t>
      </w:r>
      <w:r w:rsidRPr="0029329A">
        <w:rPr>
          <w:rFonts w:ascii="Times New Roman" w:hAnsi="Times New Roman" w:cs="Times New Roman"/>
          <w:i/>
          <w:iCs/>
          <w:sz w:val="28"/>
          <w:szCs w:val="28"/>
        </w:rPr>
        <w:t>Garantía de derechos como fundamento de la dignidad humana y condiciones para el bienestar</w:t>
      </w:r>
      <w:r w:rsidRPr="0029329A">
        <w:rPr>
          <w:rFonts w:ascii="Times New Roman" w:hAnsi="Times New Roman" w:cs="Times New Roman"/>
          <w:iCs/>
          <w:sz w:val="28"/>
          <w:szCs w:val="28"/>
        </w:rPr>
        <w:t>” y (ii) “Segurid</w:t>
      </w:r>
      <w:r w:rsidRPr="0029329A">
        <w:rPr>
          <w:rFonts w:ascii="Times New Roman" w:hAnsi="Times New Roman" w:cs="Times New Roman"/>
          <w:iCs/>
          <w:sz w:val="28"/>
          <w:szCs w:val="28"/>
        </w:rPr>
        <w:t>ad Humana y Justicia Social”.</w:t>
      </w:r>
    </w:p>
    <w:p w:rsidR="00B079DB" w:rsidRPr="0029329A" w:rsidRDefault="0029329A" w:rsidP="00B079DB">
      <w:pPr>
        <w:widowControl w:val="0"/>
        <w:spacing w:line="360" w:lineRule="atLeast"/>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110. En el presente asunto, como se ha reiterado, los artículos 135 y 169 fijan tasas de modo permanente, sin hacer ninguna mención sobre su justificación específica en el documento sobre Bases del Plan Nacional de Desarrollo</w:t>
      </w:r>
      <w:r w:rsidRPr="0029329A">
        <w:rPr>
          <w:rFonts w:ascii="Times New Roman" w:hAnsi="Times New Roman" w:cs="Times New Roman"/>
          <w:sz w:val="28"/>
          <w:szCs w:val="28"/>
        </w:rPr>
        <w:t xml:space="preserve">. De igual forma, tampoco se da cuenta </w:t>
      </w:r>
      <w:r w:rsidRPr="0029329A">
        <w:rPr>
          <w:rFonts w:ascii="Times New Roman" w:hAnsi="Times New Roman" w:cs="Times New Roman"/>
          <w:sz w:val="28"/>
          <w:szCs w:val="28"/>
        </w:rPr>
        <w:t xml:space="preserve">que </w:t>
      </w:r>
      <w:r w:rsidRPr="0029329A">
        <w:rPr>
          <w:rFonts w:ascii="Times New Roman" w:hAnsi="Times New Roman" w:cs="Times New Roman"/>
          <w:sz w:val="28"/>
          <w:szCs w:val="28"/>
        </w:rPr>
        <w:t>la creación de dichas tasas financie un objetivo, plan o programa de forma directa, inmediata y específica</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por el contrario, la referencia a las mismas y a las actividades que financiarán es abierta e indetermina</w:t>
      </w:r>
      <w:r w:rsidRPr="0029329A">
        <w:rPr>
          <w:rFonts w:ascii="Times New Roman" w:hAnsi="Times New Roman" w:cs="Times New Roman"/>
          <w:sz w:val="28"/>
          <w:szCs w:val="28"/>
        </w:rPr>
        <w:t>da. En otras palabras, su creación no se encuentra encaminada a financiar una política o programa específico del PND, así (i) las normas demandadas no hacen referencia directa a cuál es el objetivo real de las tasas que imponen, ni si las mismas son impues</w:t>
      </w:r>
      <w:r w:rsidRPr="0029329A">
        <w:rPr>
          <w:rFonts w:ascii="Times New Roman" w:hAnsi="Times New Roman" w:cs="Times New Roman"/>
          <w:sz w:val="28"/>
          <w:szCs w:val="28"/>
        </w:rPr>
        <w:t>tas para el cobro de un servicio específico creado en virtud de los planes y objetivos del Plan, (ii) no se discrimina su relación o conexidad con los “</w:t>
      </w:r>
      <w:r w:rsidRPr="0029329A">
        <w:rPr>
          <w:rFonts w:ascii="Times New Roman" w:hAnsi="Times New Roman" w:cs="Times New Roman"/>
          <w:i/>
          <w:sz w:val="28"/>
          <w:szCs w:val="28"/>
        </w:rPr>
        <w:t>ejes de transformación</w:t>
      </w:r>
      <w:r w:rsidRPr="0029329A">
        <w:rPr>
          <w:rFonts w:ascii="Times New Roman" w:hAnsi="Times New Roman" w:cs="Times New Roman"/>
          <w:i/>
          <w:sz w:val="28"/>
          <w:szCs w:val="28"/>
        </w:rPr>
        <w:t>”</w:t>
      </w:r>
      <w:r w:rsidRPr="0029329A">
        <w:rPr>
          <w:rFonts w:ascii="Times New Roman" w:hAnsi="Times New Roman" w:cs="Times New Roman"/>
          <w:sz w:val="28"/>
          <w:szCs w:val="28"/>
        </w:rPr>
        <w:t xml:space="preserve"> presupuestos en el Plan o sus objetivos generales.</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lang w:val="es-ES_tradnl"/>
        </w:rPr>
      </w:pPr>
      <w:r w:rsidRPr="0029329A">
        <w:rPr>
          <w:rFonts w:ascii="Times New Roman" w:hAnsi="Times New Roman" w:cs="Times New Roman"/>
          <w:sz w:val="28"/>
          <w:szCs w:val="28"/>
        </w:rPr>
        <w:t>111. Pero</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además, tampoco p</w:t>
      </w:r>
      <w:r w:rsidRPr="0029329A">
        <w:rPr>
          <w:rFonts w:ascii="Times New Roman" w:hAnsi="Times New Roman" w:cs="Times New Roman"/>
          <w:sz w:val="28"/>
          <w:szCs w:val="28"/>
        </w:rPr>
        <w:t xml:space="preserve">odría ser así en razón a la naturaleza misma de las tasas como categoría tributaria. En efecto, como se ha desarrollado profusamente por la jurisprudencia, éstas </w:t>
      </w:r>
      <w:r w:rsidRPr="0029329A">
        <w:rPr>
          <w:rFonts w:ascii="Times New Roman" w:hAnsi="Times New Roman" w:cs="Times New Roman"/>
          <w:sz w:val="28"/>
          <w:szCs w:val="28"/>
          <w:lang w:val="es-ES_tradnl"/>
        </w:rPr>
        <w:t>se han definido como aquellos ingresos tributarios que se establecen en la ley o con fundament</w:t>
      </w:r>
      <w:r w:rsidRPr="0029329A">
        <w:rPr>
          <w:rFonts w:ascii="Times New Roman" w:hAnsi="Times New Roman" w:cs="Times New Roman"/>
          <w:sz w:val="28"/>
          <w:szCs w:val="28"/>
          <w:lang w:val="es-ES_tradnl"/>
        </w:rPr>
        <w:t>o en ella, a través de los cuales el ciudadano contribuye a la recuperación total de los costos de un servicio en específico, que precisamente se agota en dicha prestación. Es por ello que no podría considerarse que</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con la creación de una tasa, que se rep</w:t>
      </w:r>
      <w:r w:rsidRPr="0029329A">
        <w:rPr>
          <w:rFonts w:ascii="Times New Roman" w:hAnsi="Times New Roman" w:cs="Times New Roman"/>
          <w:sz w:val="28"/>
          <w:szCs w:val="28"/>
          <w:lang w:val="es-ES_tradnl"/>
        </w:rPr>
        <w:t>ite, busca retribuir de forma específica el costo de unos servicios ya existentes antes de la expedición de la Ley que aprueba el Plan de Desarrollo, se esté</w:t>
      </w:r>
      <w:r w:rsidRPr="0029329A">
        <w:rPr>
          <w:rFonts w:ascii="Times New Roman" w:hAnsi="Times New Roman" w:cs="Times New Roman"/>
          <w:sz w:val="28"/>
          <w:szCs w:val="28"/>
          <w:lang w:val="es-ES_tradnl"/>
        </w:rPr>
        <w:t>n</w:t>
      </w:r>
      <w:r w:rsidRPr="0029329A">
        <w:rPr>
          <w:rFonts w:ascii="Times New Roman" w:hAnsi="Times New Roman" w:cs="Times New Roman"/>
          <w:sz w:val="28"/>
          <w:szCs w:val="28"/>
          <w:lang w:val="es-ES_tradnl"/>
        </w:rPr>
        <w:t xml:space="preserve"> desarrollando algunos de sus objetivos, planes o programas.</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lang w:val="es-ES_tradnl"/>
        </w:rPr>
      </w:pPr>
    </w:p>
    <w:p w:rsidR="00B079DB" w:rsidRPr="0029329A" w:rsidRDefault="0029329A" w:rsidP="00B079DB">
      <w:pPr>
        <w:tabs>
          <w:tab w:val="left" w:pos="426"/>
        </w:tabs>
        <w:ind w:right="-46"/>
        <w:contextualSpacing/>
        <w:jc w:val="both"/>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112. En efecto, la tasa se diferenci</w:t>
      </w:r>
      <w:r w:rsidRPr="0029329A">
        <w:rPr>
          <w:rFonts w:ascii="Times New Roman" w:hAnsi="Times New Roman" w:cs="Times New Roman"/>
          <w:sz w:val="28"/>
          <w:szCs w:val="28"/>
          <w:lang w:val="es-ES_tradnl"/>
        </w:rPr>
        <w:t>a del resto de los tipos tributarios en la medida que: (i) el hecho generador se basa en la prestación de un servicio público, o en un beneficio particular al contribuyente, por lo cual es un beneficio individualizable, (ii) tiene naturaleza retributiva, p</w:t>
      </w:r>
      <w:r w:rsidRPr="0029329A">
        <w:rPr>
          <w:rFonts w:ascii="Times New Roman" w:hAnsi="Times New Roman" w:cs="Times New Roman"/>
          <w:sz w:val="28"/>
          <w:szCs w:val="28"/>
          <w:lang w:val="es-ES_tradnl"/>
        </w:rPr>
        <w:t>or cuanto, las personas que utilizan el servicio público deben pagar por él, compensando el gasto en que ha incurrido el Estado para prestar dicho servicio; y (iii) se cobran cuando el contribuyente provoca la prestación del servicio.</w:t>
      </w:r>
    </w:p>
    <w:p w:rsidR="00B079DB" w:rsidRPr="0029329A" w:rsidRDefault="0029329A" w:rsidP="00B079DB">
      <w:pPr>
        <w:tabs>
          <w:tab w:val="left" w:pos="426"/>
        </w:tabs>
        <w:ind w:right="-46"/>
        <w:contextualSpacing/>
        <w:jc w:val="both"/>
        <w:rPr>
          <w:rFonts w:ascii="Times New Roman" w:hAnsi="Times New Roman" w:cs="Times New Roman"/>
          <w:sz w:val="28"/>
          <w:szCs w:val="28"/>
          <w:lang w:val="es-ES_tradnl"/>
        </w:rPr>
      </w:pPr>
    </w:p>
    <w:p w:rsidR="00B079DB" w:rsidRPr="0029329A" w:rsidRDefault="0029329A" w:rsidP="00B079DB">
      <w:pPr>
        <w:tabs>
          <w:tab w:val="left" w:pos="426"/>
        </w:tabs>
        <w:ind w:right="-46"/>
        <w:contextualSpacing/>
        <w:jc w:val="both"/>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113. La Corte Consti</w:t>
      </w:r>
      <w:r w:rsidRPr="0029329A">
        <w:rPr>
          <w:rFonts w:ascii="Times New Roman" w:hAnsi="Times New Roman" w:cs="Times New Roman"/>
          <w:sz w:val="28"/>
          <w:szCs w:val="28"/>
          <w:lang w:val="es-ES_tradnl"/>
        </w:rPr>
        <w:t xml:space="preserve">tucional ha reafirmado que las tasas son una especie de tributo que establece una prestación económica a favor del Estado, por los costos en que se incurre por la prestación de un servicio específico o determinado y que busca la recuperación de los costos </w:t>
      </w:r>
      <w:r w:rsidRPr="0029329A">
        <w:rPr>
          <w:rFonts w:ascii="Times New Roman" w:hAnsi="Times New Roman" w:cs="Times New Roman"/>
          <w:sz w:val="28"/>
          <w:szCs w:val="28"/>
          <w:lang w:val="es-ES_tradnl"/>
        </w:rPr>
        <w:t xml:space="preserve">en que incurrió. </w:t>
      </w:r>
      <w:r w:rsidRPr="0029329A">
        <w:rPr>
          <w:rFonts w:ascii="Times New Roman" w:hAnsi="Times New Roman" w:cs="Times New Roman"/>
          <w:sz w:val="28"/>
          <w:szCs w:val="28"/>
          <w:lang w:val="es-ES_tradnl"/>
        </w:rPr>
        <w:t>Al respecto h</w:t>
      </w:r>
      <w:r w:rsidRPr="0029329A">
        <w:rPr>
          <w:rFonts w:ascii="Times New Roman" w:hAnsi="Times New Roman" w:cs="Times New Roman"/>
          <w:sz w:val="28"/>
          <w:szCs w:val="28"/>
          <w:lang w:val="es-ES_tradnl"/>
        </w:rPr>
        <w:t>a dicho expresamente:</w:t>
      </w:r>
    </w:p>
    <w:p w:rsidR="00B079DB" w:rsidRPr="0029329A" w:rsidRDefault="0029329A" w:rsidP="00B079DB">
      <w:pPr>
        <w:tabs>
          <w:tab w:val="left" w:pos="426"/>
        </w:tabs>
        <w:ind w:right="-46"/>
        <w:contextualSpacing/>
        <w:jc w:val="both"/>
        <w:rPr>
          <w:rFonts w:ascii="Times New Roman" w:hAnsi="Times New Roman" w:cs="Times New Roman"/>
          <w:color w:val="FF0000"/>
          <w:sz w:val="28"/>
          <w:szCs w:val="28"/>
          <w:lang w:val="es-ES_tradnl"/>
        </w:rPr>
      </w:pPr>
    </w:p>
    <w:p w:rsidR="00B079DB" w:rsidRPr="0029329A" w:rsidRDefault="0029329A" w:rsidP="00AF79E8">
      <w:pPr>
        <w:shd w:val="clear" w:color="auto" w:fill="FFFFFF"/>
        <w:ind w:left="567" w:right="425"/>
        <w:contextualSpacing/>
        <w:jc w:val="both"/>
        <w:textAlignment w:val="baseline"/>
        <w:rPr>
          <w:rFonts w:ascii="Times New Roman" w:hAnsi="Times New Roman" w:cs="Times New Roman"/>
          <w:iCs/>
          <w:sz w:val="28"/>
          <w:szCs w:val="24"/>
          <w:lang w:val="es-ES_tradnl"/>
        </w:rPr>
      </w:pPr>
      <w:r w:rsidRPr="0029329A">
        <w:rPr>
          <w:rFonts w:ascii="Times New Roman" w:hAnsi="Times New Roman" w:cs="Times New Roman"/>
          <w:iCs/>
          <w:sz w:val="28"/>
          <w:szCs w:val="24"/>
          <w:lang w:val="es-ES_tradnl"/>
        </w:rPr>
        <w:t>“(</w:t>
      </w:r>
      <w:r w:rsidRPr="0029329A">
        <w:rPr>
          <w:rFonts w:ascii="Times New Roman" w:hAnsi="Times New Roman" w:cs="Times New Roman"/>
          <w:iCs/>
          <w:sz w:val="28"/>
          <w:szCs w:val="24"/>
          <w:bdr w:val="none" w:sz="0" w:space="0" w:color="auto" w:frame="1"/>
          <w:lang w:val="es-ES_tradnl"/>
        </w:rPr>
        <w:t xml:space="preserve">…) aquellos ingresos tributarios que se establecen unilateralmente por el Estado, pero sólo se hacen exigibles en el caso de que el particular decida utilizar el servicio público correspondiente. Es </w:t>
      </w:r>
      <w:r w:rsidRPr="0029329A">
        <w:rPr>
          <w:rFonts w:ascii="Times New Roman" w:hAnsi="Times New Roman" w:cs="Times New Roman"/>
          <w:iCs/>
          <w:sz w:val="28"/>
          <w:szCs w:val="24"/>
          <w:bdr w:val="none" w:sz="0" w:space="0" w:color="auto" w:frame="1"/>
          <w:lang w:val="es-ES_tradnl"/>
        </w:rPr>
        <w:t>decir, se trata de una recuperación total o parcial de los costos que genera la prestación de un servicio público; se autofinancia este servicio mediante una remuneración que se paga a la entidad administrativa que lo presta.</w:t>
      </w:r>
    </w:p>
    <w:p w:rsidR="00B079DB" w:rsidRPr="0029329A" w:rsidRDefault="0029329A" w:rsidP="00AF79E8">
      <w:pPr>
        <w:shd w:val="clear" w:color="auto" w:fill="FFFFFF"/>
        <w:ind w:left="567" w:right="425"/>
        <w:contextualSpacing/>
        <w:jc w:val="both"/>
        <w:textAlignment w:val="baseline"/>
        <w:rPr>
          <w:rFonts w:ascii="Times New Roman" w:hAnsi="Times New Roman" w:cs="Times New Roman"/>
          <w:iCs/>
          <w:sz w:val="28"/>
          <w:szCs w:val="24"/>
          <w:lang w:val="es-ES_tradnl"/>
        </w:rPr>
      </w:pPr>
      <w:r w:rsidRPr="0029329A">
        <w:rPr>
          <w:rFonts w:ascii="Times New Roman" w:hAnsi="Times New Roman" w:cs="Times New Roman"/>
          <w:iCs/>
          <w:sz w:val="28"/>
          <w:szCs w:val="24"/>
          <w:bdr w:val="none" w:sz="0" w:space="0" w:color="auto" w:frame="1"/>
          <w:lang w:val="es-ES_tradnl"/>
        </w:rPr>
        <w:t> </w:t>
      </w:r>
    </w:p>
    <w:p w:rsidR="00B079DB" w:rsidRPr="0029329A" w:rsidRDefault="0029329A" w:rsidP="00AF79E8">
      <w:pPr>
        <w:shd w:val="clear" w:color="auto" w:fill="FFFFFF"/>
        <w:ind w:left="567" w:right="425"/>
        <w:contextualSpacing/>
        <w:jc w:val="both"/>
        <w:textAlignment w:val="baseline"/>
        <w:rPr>
          <w:rFonts w:ascii="Times New Roman" w:hAnsi="Times New Roman" w:cs="Times New Roman"/>
          <w:iCs/>
          <w:sz w:val="28"/>
          <w:szCs w:val="24"/>
          <w:lang w:val="es-ES_tradnl"/>
        </w:rPr>
      </w:pPr>
      <w:r w:rsidRPr="0029329A">
        <w:rPr>
          <w:rFonts w:ascii="Times New Roman" w:hAnsi="Times New Roman" w:cs="Times New Roman"/>
          <w:iCs/>
          <w:sz w:val="28"/>
          <w:szCs w:val="24"/>
          <w:bdr w:val="none" w:sz="0" w:space="0" w:color="auto" w:frame="1"/>
          <w:lang w:val="es-ES_tradnl"/>
        </w:rPr>
        <w:t>Toda tasa implica una erogac</w:t>
      </w:r>
      <w:r w:rsidRPr="0029329A">
        <w:rPr>
          <w:rFonts w:ascii="Times New Roman" w:hAnsi="Times New Roman" w:cs="Times New Roman"/>
          <w:iCs/>
          <w:sz w:val="28"/>
          <w:szCs w:val="24"/>
          <w:bdr w:val="none" w:sz="0" w:space="0" w:color="auto" w:frame="1"/>
          <w:lang w:val="es-ES_tradnl"/>
        </w:rPr>
        <w:t>ión al contribuyente decretada por el Estado por un motivo claro, que, para el caso, es el principio de razón suficiente: Por la prestación de un servicio público específico. El fin que persigue la tasa es la financiación del servicio público que se presta</w:t>
      </w:r>
      <w:r w:rsidRPr="0029329A">
        <w:rPr>
          <w:rFonts w:ascii="Times New Roman" w:hAnsi="Times New Roman" w:cs="Times New Roman"/>
          <w:iCs/>
          <w:sz w:val="28"/>
          <w:szCs w:val="24"/>
          <w:bdr w:val="none" w:sz="0" w:space="0" w:color="auto" w:frame="1"/>
          <w:lang w:val="es-ES_tradnl"/>
        </w:rPr>
        <w:t>.</w:t>
      </w:r>
    </w:p>
    <w:p w:rsidR="00B079DB" w:rsidRPr="0029329A" w:rsidRDefault="0029329A" w:rsidP="00AF79E8">
      <w:pPr>
        <w:shd w:val="clear" w:color="auto" w:fill="FFFFFF"/>
        <w:ind w:left="567" w:right="425"/>
        <w:contextualSpacing/>
        <w:jc w:val="both"/>
        <w:textAlignment w:val="baseline"/>
        <w:rPr>
          <w:rFonts w:ascii="Times New Roman" w:hAnsi="Times New Roman" w:cs="Times New Roman"/>
          <w:iCs/>
          <w:sz w:val="28"/>
          <w:szCs w:val="24"/>
          <w:lang w:val="es-ES_tradnl"/>
        </w:rPr>
      </w:pPr>
      <w:r w:rsidRPr="0029329A">
        <w:rPr>
          <w:rFonts w:ascii="Times New Roman" w:hAnsi="Times New Roman" w:cs="Times New Roman"/>
          <w:iCs/>
          <w:sz w:val="28"/>
          <w:szCs w:val="24"/>
          <w:bdr w:val="none" w:sz="0" w:space="0" w:color="auto" w:frame="1"/>
          <w:lang w:val="es-ES_tradnl"/>
        </w:rPr>
        <w:t> </w:t>
      </w:r>
    </w:p>
    <w:p w:rsidR="00B079DB" w:rsidRPr="0029329A" w:rsidRDefault="0029329A" w:rsidP="00AF79E8">
      <w:pPr>
        <w:shd w:val="clear" w:color="auto" w:fill="FFFFFF"/>
        <w:ind w:left="567" w:right="425"/>
        <w:contextualSpacing/>
        <w:jc w:val="both"/>
        <w:textAlignment w:val="baseline"/>
        <w:rPr>
          <w:rFonts w:ascii="Times New Roman" w:hAnsi="Times New Roman" w:cs="Times New Roman"/>
          <w:iCs/>
          <w:sz w:val="28"/>
          <w:szCs w:val="24"/>
          <w:bdr w:val="none" w:sz="0" w:space="0" w:color="auto" w:frame="1"/>
          <w:lang w:val="es-ES_tradnl"/>
        </w:rPr>
      </w:pPr>
      <w:r w:rsidRPr="0029329A">
        <w:rPr>
          <w:rFonts w:ascii="Times New Roman" w:hAnsi="Times New Roman" w:cs="Times New Roman"/>
          <w:iCs/>
          <w:sz w:val="28"/>
          <w:szCs w:val="24"/>
          <w:bdr w:val="none" w:sz="0" w:space="0" w:color="auto" w:frame="1"/>
          <w:lang w:val="es-ES_tradnl"/>
        </w:rPr>
        <w:t>La tasa es una retribución equitativa por un gasto público que el Estado trata de compensar en un valor igual o inferior, exigido de quienes, independientemente de su iniciativa, dan origen a él.”</w:t>
      </w:r>
      <w:r w:rsidRPr="0029329A">
        <w:rPr>
          <w:rFonts w:ascii="Times New Roman" w:hAnsi="Times New Roman" w:cs="Times New Roman"/>
          <w:iCs/>
          <w:sz w:val="28"/>
          <w:szCs w:val="24"/>
          <w:bdr w:val="none" w:sz="0" w:space="0" w:color="auto" w:frame="1"/>
          <w:vertAlign w:val="superscript"/>
          <w:lang w:val="es-ES_tradnl"/>
        </w:rPr>
        <w:footnoteReference w:id="147"/>
      </w:r>
    </w:p>
    <w:p w:rsidR="00B079DB" w:rsidRPr="0029329A" w:rsidRDefault="0029329A" w:rsidP="00AF79E8">
      <w:pPr>
        <w:shd w:val="clear" w:color="auto" w:fill="FFFFFF"/>
        <w:ind w:right="425"/>
        <w:contextualSpacing/>
        <w:jc w:val="both"/>
        <w:textAlignment w:val="baseline"/>
        <w:rPr>
          <w:rFonts w:ascii="Times New Roman" w:hAnsi="Times New Roman" w:cs="Times New Roman"/>
          <w:i/>
          <w:color w:val="FF0000"/>
          <w:sz w:val="28"/>
          <w:szCs w:val="24"/>
          <w:bdr w:val="none" w:sz="0" w:space="0" w:color="auto" w:frame="1"/>
          <w:lang w:val="es-ES_tradnl"/>
        </w:rPr>
      </w:pPr>
    </w:p>
    <w:p w:rsidR="00B079DB" w:rsidRPr="0029329A" w:rsidRDefault="0029329A" w:rsidP="00B079DB">
      <w:pPr>
        <w:tabs>
          <w:tab w:val="left" w:pos="426"/>
        </w:tabs>
        <w:ind w:right="-46"/>
        <w:contextualSpacing/>
        <w:jc w:val="both"/>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114. Así mismo, de acuerdo con la jurisprudencia de l</w:t>
      </w:r>
      <w:r w:rsidRPr="0029329A">
        <w:rPr>
          <w:rFonts w:ascii="Times New Roman" w:hAnsi="Times New Roman" w:cs="Times New Roman"/>
          <w:sz w:val="28"/>
          <w:szCs w:val="28"/>
          <w:lang w:val="es-ES_tradnl"/>
        </w:rPr>
        <w:t>a Corte</w:t>
      </w:r>
      <w:r w:rsidRPr="0029329A">
        <w:rPr>
          <w:rStyle w:val="Refdenotaalpie"/>
          <w:rFonts w:ascii="Times New Roman" w:hAnsi="Times New Roman"/>
          <w:sz w:val="28"/>
          <w:szCs w:val="28"/>
          <w:vertAlign w:val="superscript"/>
          <w:lang w:val="es-ES_tradnl"/>
        </w:rPr>
        <w:footnoteReference w:id="148"/>
      </w:r>
      <w:r w:rsidRPr="0029329A">
        <w:rPr>
          <w:rFonts w:ascii="Times New Roman" w:hAnsi="Times New Roman" w:cs="Times New Roman"/>
          <w:sz w:val="28"/>
          <w:szCs w:val="28"/>
          <w:lang w:val="es-ES_tradnl"/>
        </w:rPr>
        <w:t>, las tasas ostentan las siguientes características: (i) la prestación económica necesariamente tiene que originarse en una imposición legal; (ii) nace como recuperación total o parcial de los costos que le representa al Estado, directa o indirecta</w:t>
      </w:r>
      <w:r w:rsidRPr="0029329A">
        <w:rPr>
          <w:rFonts w:ascii="Times New Roman" w:hAnsi="Times New Roman" w:cs="Times New Roman"/>
          <w:sz w:val="28"/>
          <w:szCs w:val="28"/>
          <w:lang w:val="es-ES_tradnl"/>
        </w:rPr>
        <w:t xml:space="preserve">mente, prestar una actividad, un bien o servicio público; (iii) la retribución pagada por el contribuyente guarda relación directa con los beneficios derivados del bien o servicio ofrecido, así lo reconoce el artículo 338 superior al disponer que </w:t>
      </w:r>
      <w:r w:rsidRPr="0029329A">
        <w:rPr>
          <w:rFonts w:ascii="Times New Roman" w:hAnsi="Times New Roman" w:cs="Times New Roman"/>
          <w:iCs/>
          <w:sz w:val="28"/>
          <w:szCs w:val="28"/>
          <w:lang w:val="es-ES_tradnl"/>
        </w:rPr>
        <w:t>la ley pu</w:t>
      </w:r>
      <w:r w:rsidRPr="0029329A">
        <w:rPr>
          <w:rFonts w:ascii="Times New Roman" w:hAnsi="Times New Roman" w:cs="Times New Roman"/>
          <w:iCs/>
          <w:sz w:val="28"/>
          <w:szCs w:val="28"/>
          <w:lang w:val="es-ES_tradnl"/>
        </w:rPr>
        <w:t>ede permitir que las autoridades fijen las tarifas de las tasas que cobren a los contribuyentes, como recuperación de los costos de los servicios que les presten</w:t>
      </w:r>
      <w:r w:rsidRPr="0029329A">
        <w:rPr>
          <w:rFonts w:ascii="Times New Roman" w:hAnsi="Times New Roman" w:cs="Times New Roman"/>
          <w:sz w:val="28"/>
          <w:szCs w:val="28"/>
          <w:lang w:val="es-ES_tradnl"/>
        </w:rPr>
        <w:t>; (iv) los valores que se establezcan como obligación tributaria excluyen la utilidad que se de</w:t>
      </w:r>
      <w:r w:rsidRPr="0029329A">
        <w:rPr>
          <w:rFonts w:ascii="Times New Roman" w:hAnsi="Times New Roman" w:cs="Times New Roman"/>
          <w:sz w:val="28"/>
          <w:szCs w:val="28"/>
          <w:lang w:val="es-ES_tradnl"/>
        </w:rPr>
        <w:t>riva de la utilización de ese bien o servicio; (v) aun cuando su pago resulta indispensable para garantizar el acceso a actividades de interés público o general, su reconocimiento tan sólo se torna obligatorio a partir de la solicitud del contribuyente, po</w:t>
      </w:r>
      <w:r w:rsidRPr="0029329A">
        <w:rPr>
          <w:rFonts w:ascii="Times New Roman" w:hAnsi="Times New Roman" w:cs="Times New Roman"/>
          <w:sz w:val="28"/>
          <w:szCs w:val="28"/>
          <w:lang w:val="es-ES_tradnl"/>
        </w:rPr>
        <w:t>r lo que las tasas indefectiblemente se tornan forzosas a partir de una actuación directa y referida de manera inmediata al obligado</w:t>
      </w:r>
      <w:r w:rsidRPr="0029329A">
        <w:rPr>
          <w:rStyle w:val="Refdenotaalpie"/>
          <w:rFonts w:ascii="Times New Roman" w:hAnsi="Times New Roman"/>
          <w:sz w:val="28"/>
          <w:szCs w:val="28"/>
          <w:vertAlign w:val="superscript"/>
          <w:lang w:val="es-ES_tradnl"/>
        </w:rPr>
        <w:footnoteReference w:id="149"/>
      </w:r>
      <w:r w:rsidRPr="0029329A">
        <w:rPr>
          <w:rFonts w:ascii="Times New Roman" w:hAnsi="Times New Roman" w:cs="Times New Roman"/>
          <w:sz w:val="28"/>
          <w:szCs w:val="28"/>
          <w:vertAlign w:val="superscript"/>
          <w:lang w:val="es-ES_tradnl"/>
        </w:rPr>
        <w:t>;</w:t>
      </w:r>
      <w:r w:rsidRPr="0029329A">
        <w:rPr>
          <w:rFonts w:ascii="Times New Roman" w:hAnsi="Times New Roman" w:cs="Times New Roman"/>
          <w:sz w:val="28"/>
          <w:szCs w:val="28"/>
          <w:lang w:val="es-ES_tradnl"/>
        </w:rPr>
        <w:t xml:space="preserve"> (vi) por regla general, el pago es proporcional pero en ciertos casos admite criterios distributivos, como por ejemplo, c</w:t>
      </w:r>
      <w:r w:rsidRPr="0029329A">
        <w:rPr>
          <w:rFonts w:ascii="Times New Roman" w:hAnsi="Times New Roman" w:cs="Times New Roman"/>
          <w:sz w:val="28"/>
          <w:szCs w:val="28"/>
          <w:lang w:val="es-ES_tradnl"/>
        </w:rPr>
        <w:t>on las tarifas diferenciales</w:t>
      </w:r>
      <w:r w:rsidRPr="0029329A">
        <w:rPr>
          <w:rFonts w:ascii="Times New Roman" w:hAnsi="Times New Roman" w:cs="Times New Roman"/>
          <w:sz w:val="28"/>
          <w:szCs w:val="28"/>
          <w:lang w:val="es-ES_tradnl"/>
        </w:rPr>
        <w:t>.</w:t>
      </w:r>
      <w:r w:rsidRPr="0029329A">
        <w:rPr>
          <w:rStyle w:val="Refdenotaalpie"/>
          <w:rFonts w:ascii="Times New Roman" w:hAnsi="Times New Roman"/>
          <w:sz w:val="28"/>
          <w:szCs w:val="28"/>
          <w:vertAlign w:val="superscript"/>
          <w:lang w:val="es-ES_tradnl"/>
        </w:rPr>
        <w:footnoteReference w:id="150"/>
      </w:r>
      <w:r w:rsidRPr="0029329A">
        <w:rPr>
          <w:rFonts w:ascii="Times New Roman" w:hAnsi="Times New Roman" w:cs="Times New Roman"/>
          <w:sz w:val="28"/>
          <w:szCs w:val="28"/>
          <w:vertAlign w:val="superscript"/>
          <w:lang w:val="es-ES_tradnl"/>
        </w:rPr>
        <w:t>.</w:t>
      </w:r>
      <w:r w:rsidRPr="0029329A">
        <w:rPr>
          <w:rFonts w:ascii="Times New Roman" w:hAnsi="Times New Roman" w:cs="Times New Roman"/>
          <w:sz w:val="28"/>
          <w:szCs w:val="28"/>
          <w:lang w:val="es-ES_tradnl"/>
        </w:rPr>
        <w:t xml:space="preserve"> </w:t>
      </w:r>
    </w:p>
    <w:p w:rsidR="00B079DB" w:rsidRPr="0029329A" w:rsidRDefault="0029329A" w:rsidP="00B079DB">
      <w:pPr>
        <w:ind w:right="48"/>
        <w:contextualSpacing/>
        <w:jc w:val="both"/>
        <w:rPr>
          <w:rFonts w:ascii="Times New Roman" w:hAnsi="Times New Roman" w:cs="Times New Roman"/>
          <w:sz w:val="28"/>
          <w:szCs w:val="28"/>
          <w:lang w:val="es-ES_tradnl"/>
        </w:rPr>
      </w:pPr>
    </w:p>
    <w:p w:rsidR="00B079DB" w:rsidRPr="0029329A" w:rsidRDefault="0029329A" w:rsidP="00B079DB">
      <w:pPr>
        <w:widowControl w:val="0"/>
        <w:tabs>
          <w:tab w:val="left" w:pos="426"/>
        </w:tabs>
        <w:spacing w:line="360" w:lineRule="atLeast"/>
        <w:contextualSpacing/>
        <w:jc w:val="both"/>
        <w:rPr>
          <w:rFonts w:ascii="Times New Roman" w:eastAsiaTheme="minorHAnsi" w:hAnsi="Times New Roman" w:cs="Times New Roman"/>
          <w:sz w:val="28"/>
          <w:szCs w:val="28"/>
          <w:lang w:val="es-ES" w:eastAsia="en-US"/>
        </w:rPr>
      </w:pPr>
      <w:r w:rsidRPr="0029329A">
        <w:rPr>
          <w:rFonts w:ascii="Times New Roman" w:hAnsi="Times New Roman" w:cs="Times New Roman"/>
          <w:sz w:val="28"/>
          <w:szCs w:val="28"/>
          <w:lang w:val="es-ES_tradnl"/>
        </w:rPr>
        <w:t xml:space="preserve">115. En este orden, es claro que lo que </w:t>
      </w:r>
      <w:r w:rsidRPr="0029329A">
        <w:rPr>
          <w:rFonts w:ascii="Times New Roman" w:hAnsi="Times New Roman" w:cs="Times New Roman"/>
          <w:sz w:val="28"/>
          <w:szCs w:val="28"/>
          <w:lang w:val="es-ES_tradnl"/>
        </w:rPr>
        <w:t xml:space="preserve">se </w:t>
      </w:r>
      <w:r w:rsidRPr="0029329A">
        <w:rPr>
          <w:rFonts w:ascii="Times New Roman" w:hAnsi="Times New Roman" w:cs="Times New Roman"/>
          <w:sz w:val="28"/>
          <w:szCs w:val="28"/>
          <w:lang w:val="es-ES_tradnl"/>
        </w:rPr>
        <w:t xml:space="preserve">está buscando con la creación de las referidas tasas es incorporar normas ordinarias que desarrollan </w:t>
      </w:r>
      <w:r w:rsidRPr="0029329A">
        <w:rPr>
          <w:rFonts w:ascii="Times New Roman" w:eastAsiaTheme="minorHAnsi" w:hAnsi="Times New Roman" w:cs="Times New Roman"/>
          <w:iCs/>
          <w:sz w:val="28"/>
          <w:szCs w:val="28"/>
          <w:lang w:eastAsia="en-US"/>
        </w:rPr>
        <w:t xml:space="preserve">la potestad legislativa general reconocida al Congreso de la República, sin ninguna relación con los objetivos y metas trasados en el PND y cambiar la forma de financiación de los servicios a cargo del </w:t>
      </w:r>
      <w:r w:rsidRPr="0029329A">
        <w:rPr>
          <w:rFonts w:ascii="Times New Roman" w:hAnsi="Times New Roman" w:cs="Times New Roman"/>
          <w:sz w:val="28"/>
          <w:szCs w:val="28"/>
        </w:rPr>
        <w:t>Instituto Colombiano de Antropología e Historia -</w:t>
      </w:r>
      <w:r w:rsidRPr="0029329A">
        <w:rPr>
          <w:rFonts w:ascii="Times New Roman" w:eastAsiaTheme="minorHAnsi" w:hAnsi="Times New Roman" w:cs="Times New Roman"/>
          <w:sz w:val="28"/>
          <w:szCs w:val="28"/>
          <w:lang w:val="es-ES" w:eastAsia="en-US"/>
        </w:rPr>
        <w:t>ICANH</w:t>
      </w:r>
      <w:r w:rsidRPr="0029329A">
        <w:rPr>
          <w:rFonts w:ascii="Times New Roman" w:eastAsiaTheme="minorHAnsi" w:hAnsi="Times New Roman" w:cs="Times New Roman"/>
          <w:sz w:val="28"/>
          <w:szCs w:val="28"/>
          <w:lang w:val="es-ES" w:eastAsia="en-US"/>
        </w:rPr>
        <w:t xml:space="preserve"> y la Dirección Nacional de Derechos de Autor, ya no a través únicamente del presupuesto general de la Nación, sino mediante el cobro de tasas a quienes usen sus servicios.</w:t>
      </w:r>
    </w:p>
    <w:p w:rsidR="00B079DB" w:rsidRPr="0029329A" w:rsidRDefault="0029329A" w:rsidP="00B079DB">
      <w:pPr>
        <w:ind w:right="48"/>
        <w:contextualSpacing/>
        <w:jc w:val="both"/>
        <w:rPr>
          <w:rFonts w:ascii="Times New Roman" w:hAnsi="Times New Roman" w:cs="Times New Roman"/>
          <w:sz w:val="28"/>
          <w:szCs w:val="28"/>
          <w:lang w:val="es-ES_tradnl"/>
        </w:rPr>
      </w:pPr>
    </w:p>
    <w:p w:rsidR="00B079DB" w:rsidRPr="0029329A" w:rsidRDefault="0029329A" w:rsidP="00B079DB">
      <w:pPr>
        <w:ind w:right="48"/>
        <w:contextualSpacing/>
        <w:jc w:val="both"/>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116. Por otro lado, lo dicho anteriormente</w:t>
      </w:r>
      <w:r w:rsidRPr="0029329A">
        <w:rPr>
          <w:rFonts w:ascii="Times New Roman" w:hAnsi="Times New Roman" w:cs="Times New Roman"/>
          <w:sz w:val="28"/>
          <w:szCs w:val="28"/>
          <w:lang w:val="es-ES_tradnl"/>
        </w:rPr>
        <w:t xml:space="preserve"> permite concluir que</w:t>
      </w:r>
      <w:r w:rsidRPr="0029329A">
        <w:rPr>
          <w:rFonts w:ascii="Times New Roman" w:hAnsi="Times New Roman" w:cs="Times New Roman"/>
          <w:sz w:val="28"/>
          <w:szCs w:val="28"/>
          <w:lang w:val="es-ES_tradnl"/>
        </w:rPr>
        <w:t xml:space="preserve"> no son de recibo l</w:t>
      </w:r>
      <w:r w:rsidRPr="0029329A">
        <w:rPr>
          <w:rFonts w:ascii="Times New Roman" w:hAnsi="Times New Roman" w:cs="Times New Roman"/>
          <w:sz w:val="28"/>
          <w:szCs w:val="28"/>
          <w:lang w:val="es-ES_tradnl"/>
        </w:rPr>
        <w:t xml:space="preserve">os argumentos del Gobierno, al defender la constitucionalidad de la norma, </w:t>
      </w:r>
      <w:r w:rsidRPr="0029329A">
        <w:rPr>
          <w:rFonts w:ascii="Times New Roman" w:hAnsi="Times New Roman" w:cs="Times New Roman"/>
          <w:sz w:val="28"/>
          <w:szCs w:val="28"/>
          <w:lang w:val="es-ES_tradnl"/>
        </w:rPr>
        <w:t xml:space="preserve">cuando señala </w:t>
      </w:r>
      <w:r w:rsidRPr="0029329A">
        <w:rPr>
          <w:rFonts w:ascii="Times New Roman" w:hAnsi="Times New Roman" w:cs="Times New Roman"/>
          <w:sz w:val="28"/>
          <w:szCs w:val="28"/>
          <w:lang w:val="es-ES_tradnl"/>
        </w:rPr>
        <w:t xml:space="preserve">que el destino de las tasas no sería específicamente el destinado a compensar el gasto que ha incurrido el Estado para prestar los servicios asociados al </w:t>
      </w:r>
      <w:r w:rsidRPr="0029329A">
        <w:rPr>
          <w:rFonts w:ascii="Times New Roman" w:hAnsi="Times New Roman" w:cs="Times New Roman"/>
          <w:sz w:val="28"/>
          <w:szCs w:val="28"/>
        </w:rPr>
        <w:t>Instituto Col</w:t>
      </w:r>
      <w:r w:rsidRPr="0029329A">
        <w:rPr>
          <w:rFonts w:ascii="Times New Roman" w:hAnsi="Times New Roman" w:cs="Times New Roman"/>
          <w:sz w:val="28"/>
          <w:szCs w:val="28"/>
        </w:rPr>
        <w:t>ombiano de Antropología e Historia (artículo 135) y la tasa para la recuperación de los costos de los servicios prestados por la Dirección Nacional de Derecho de Autor</w:t>
      </w:r>
      <w:r w:rsidRPr="0029329A">
        <w:rPr>
          <w:rFonts w:ascii="Times New Roman" w:hAnsi="Times New Roman" w:cs="Times New Roman"/>
          <w:sz w:val="28"/>
          <w:szCs w:val="28"/>
        </w:rPr>
        <w:t>, sino para fortalecer todo el sector.</w:t>
      </w:r>
    </w:p>
    <w:p w:rsidR="00B079DB" w:rsidRPr="0029329A" w:rsidRDefault="0029329A" w:rsidP="00B079DB">
      <w:pPr>
        <w:ind w:right="48"/>
        <w:contextualSpacing/>
        <w:jc w:val="both"/>
        <w:rPr>
          <w:rFonts w:ascii="Times New Roman" w:hAnsi="Times New Roman" w:cs="Times New Roman"/>
          <w:sz w:val="28"/>
          <w:szCs w:val="28"/>
          <w:lang w:val="es-ES_tradnl"/>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r w:rsidRPr="0029329A">
        <w:rPr>
          <w:rFonts w:ascii="Times New Roman" w:hAnsi="Times New Roman" w:cs="Times New Roman"/>
          <w:sz w:val="28"/>
          <w:szCs w:val="28"/>
        </w:rPr>
        <w:t xml:space="preserve">117. Para la Sala, el planteamiento de conexidad </w:t>
      </w:r>
      <w:r w:rsidRPr="0029329A">
        <w:rPr>
          <w:rFonts w:ascii="Times New Roman" w:hAnsi="Times New Roman" w:cs="Times New Roman"/>
          <w:sz w:val="28"/>
          <w:szCs w:val="28"/>
        </w:rPr>
        <w:t>anteriormente propuesto resulta problemático en la medida en que (i) ello no corresponde con las características de las tasas y (ii) por tanto, las normas acusadas no son una herramienta diseñada específica y directamente</w:t>
      </w:r>
      <w:r w:rsidRPr="0029329A">
        <w:rPr>
          <w:rFonts w:ascii="Times New Roman" w:hAnsi="Times New Roman" w:cs="Times New Roman"/>
          <w:iCs/>
          <w:sz w:val="28"/>
          <w:szCs w:val="28"/>
        </w:rPr>
        <w:t xml:space="preserve"> para fortalecer los programas y se</w:t>
      </w:r>
      <w:r w:rsidRPr="0029329A">
        <w:rPr>
          <w:rFonts w:ascii="Times New Roman" w:hAnsi="Times New Roman" w:cs="Times New Roman"/>
          <w:iCs/>
          <w:sz w:val="28"/>
          <w:szCs w:val="28"/>
        </w:rPr>
        <w:t>rvicios asociados a la protección y manejo de bienes arqueológicos y/o para proteger a los titulares del derecho de autor y derechos conexos y garantizar la creatividad productiva que permita contribuir al desarrollo de las industrias culturales y la rique</w:t>
      </w:r>
      <w:r w:rsidRPr="0029329A">
        <w:rPr>
          <w:rFonts w:ascii="Times New Roman" w:hAnsi="Times New Roman" w:cs="Times New Roman"/>
          <w:iCs/>
          <w:sz w:val="28"/>
          <w:szCs w:val="28"/>
        </w:rPr>
        <w:t>za del país, sino para modificar de forma permanente el cobro de unos servicios ya existentes a cargo de las referidas entidades.</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iCs/>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11</w:t>
      </w:r>
      <w:r w:rsidRPr="0029329A">
        <w:rPr>
          <w:rFonts w:ascii="Times New Roman" w:hAnsi="Times New Roman" w:cs="Times New Roman"/>
          <w:sz w:val="28"/>
          <w:szCs w:val="28"/>
        </w:rPr>
        <w:t>8</w:t>
      </w:r>
      <w:r w:rsidRPr="0029329A">
        <w:rPr>
          <w:rFonts w:ascii="Times New Roman" w:hAnsi="Times New Roman" w:cs="Times New Roman"/>
          <w:sz w:val="28"/>
          <w:szCs w:val="28"/>
        </w:rPr>
        <w:t>. Así las cosas, no se observa un fin concreto y una relación inmediata y directa con la parte general de la Ley que aprue</w:t>
      </w:r>
      <w:r w:rsidRPr="0029329A">
        <w:rPr>
          <w:rFonts w:ascii="Times New Roman" w:hAnsi="Times New Roman" w:cs="Times New Roman"/>
          <w:sz w:val="28"/>
          <w:szCs w:val="28"/>
        </w:rPr>
        <w:t xml:space="preserve">ba el Plan Nacional de Desarrollo, </w:t>
      </w:r>
      <w:r w:rsidRPr="0029329A">
        <w:rPr>
          <w:rFonts w:ascii="Times New Roman" w:eastAsia="Calibri" w:hAnsi="Times New Roman" w:cs="Times New Roman"/>
          <w:sz w:val="28"/>
          <w:szCs w:val="28"/>
          <w:lang w:val="es-ES_tradnl"/>
        </w:rPr>
        <w:t>ni tampoco existe si quiera, una conjunción temática con algunos de los ejes de transformación, principales o transversales del PND.</w:t>
      </w:r>
    </w:p>
    <w:p w:rsidR="00B079DB" w:rsidRPr="0029329A" w:rsidRDefault="0029329A" w:rsidP="00B079DB">
      <w:pPr>
        <w:overflowPunct w:val="0"/>
        <w:autoSpaceDE w:val="0"/>
        <w:autoSpaceDN w:val="0"/>
        <w:adjustRightInd w:val="0"/>
        <w:spacing w:line="360" w:lineRule="atLeast"/>
        <w:jc w:val="both"/>
        <w:textAlignment w:val="baseline"/>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lang w:val="es-ES"/>
        </w:rPr>
      </w:pPr>
      <w:r w:rsidRPr="0029329A">
        <w:rPr>
          <w:rFonts w:ascii="Times New Roman" w:hAnsi="Times New Roman" w:cs="Times New Roman"/>
          <w:sz w:val="28"/>
          <w:szCs w:val="28"/>
          <w:lang w:val="es-MX"/>
        </w:rPr>
        <w:t>1</w:t>
      </w:r>
      <w:r w:rsidRPr="0029329A">
        <w:rPr>
          <w:rFonts w:ascii="Times New Roman" w:hAnsi="Times New Roman" w:cs="Times New Roman"/>
          <w:sz w:val="28"/>
          <w:szCs w:val="28"/>
          <w:lang w:val="es-MX"/>
        </w:rPr>
        <w:t>19</w:t>
      </w:r>
      <w:r w:rsidRPr="0029329A">
        <w:rPr>
          <w:rFonts w:ascii="Times New Roman" w:hAnsi="Times New Roman" w:cs="Times New Roman"/>
          <w:sz w:val="28"/>
          <w:szCs w:val="28"/>
          <w:lang w:val="es-MX"/>
        </w:rPr>
        <w:t xml:space="preserve">. La Corte no desconoce el esfuerzo que hace el Gobierno nacional al indicar que lo </w:t>
      </w:r>
      <w:r w:rsidRPr="0029329A">
        <w:rPr>
          <w:rFonts w:ascii="Times New Roman" w:hAnsi="Times New Roman" w:cs="Times New Roman"/>
          <w:sz w:val="28"/>
          <w:szCs w:val="28"/>
          <w:lang w:val="es-MX"/>
        </w:rPr>
        <w:t>recaudado con las tasas que imponen los artículos demandados también contribuirían a la posible garantía y protección de los derechos de los pueblos indígenas, las comunidades negras, afrocolombianos, raizales y palenqueras y el pueblo Rrom. No obstante, c</w:t>
      </w:r>
      <w:r w:rsidRPr="0029329A">
        <w:rPr>
          <w:rFonts w:ascii="Times New Roman" w:hAnsi="Times New Roman" w:cs="Times New Roman"/>
          <w:sz w:val="28"/>
          <w:szCs w:val="28"/>
          <w:lang w:val="es-MX"/>
        </w:rPr>
        <w:t>on tal argumento busca solucionar un problema distinto. Pese a que se trate de derechos, l</w:t>
      </w:r>
      <w:r w:rsidRPr="0029329A">
        <w:rPr>
          <w:rFonts w:ascii="Times New Roman" w:hAnsi="Times New Roman" w:cs="Times New Roman"/>
          <w:sz w:val="28"/>
          <w:szCs w:val="28"/>
        </w:rPr>
        <w:t>os contenidos en mención no tienen relación alguna, en el marco del Plan, ni directa ni indirecta, con los servicios que presta el Instituto Colombiano de Antropologí</w:t>
      </w:r>
      <w:r w:rsidRPr="0029329A">
        <w:rPr>
          <w:rFonts w:ascii="Times New Roman" w:hAnsi="Times New Roman" w:cs="Times New Roman"/>
          <w:sz w:val="28"/>
          <w:szCs w:val="28"/>
        </w:rPr>
        <w:t>a e Historia –ICANH</w:t>
      </w:r>
      <w:r w:rsidRPr="0029329A">
        <w:rPr>
          <w:rFonts w:ascii="Times New Roman" w:hAnsi="Times New Roman" w:cs="Times New Roman"/>
          <w:sz w:val="28"/>
          <w:szCs w:val="28"/>
          <w:lang w:val="es-ES"/>
        </w:rPr>
        <w:t>, ni la Dirección Nacional de Derecho de Autor</w:t>
      </w:r>
      <w:r w:rsidRPr="0029329A">
        <w:rPr>
          <w:rFonts w:ascii="Times New Roman" w:hAnsi="Times New Roman" w:cs="Times New Roman"/>
          <w:sz w:val="28"/>
          <w:szCs w:val="28"/>
        </w:rPr>
        <w:t>. Se trata de dos ámbitos de actuación estatal y en los cuales, no solo los problemas son distintos, sino que también las políticas públicas para su promoción generalmente difieren. Es más, e</w:t>
      </w:r>
      <w:r w:rsidRPr="0029329A">
        <w:rPr>
          <w:rFonts w:ascii="Times New Roman" w:hAnsi="Times New Roman" w:cs="Times New Roman"/>
          <w:sz w:val="28"/>
          <w:szCs w:val="28"/>
        </w:rPr>
        <w:t xml:space="preserve">l cobro de tarifas por los servicios de estas dos entidades públicas puede llevar a dificultar los objetivos señalados por el Gobierno, pues podría hacer más difícil la protección de los derechos de autores y del patrimonio arqueológico como componente de </w:t>
      </w:r>
      <w:r w:rsidRPr="0029329A">
        <w:rPr>
          <w:rFonts w:ascii="Times New Roman" w:hAnsi="Times New Roman" w:cs="Times New Roman"/>
          <w:sz w:val="28"/>
          <w:szCs w:val="28"/>
        </w:rPr>
        <w:t>la cultura. Un servicio por el cual las autoridades públicas no cobraban, sino que se financiaba con recursos del Presupuesto General de la Nación, ahora será remunerado, lo cual podría impedir el acceso de un sector de la población a su utilización, en pe</w:t>
      </w:r>
      <w:r w:rsidRPr="0029329A">
        <w:rPr>
          <w:rFonts w:ascii="Times New Roman" w:hAnsi="Times New Roman" w:cs="Times New Roman"/>
          <w:sz w:val="28"/>
          <w:szCs w:val="28"/>
        </w:rPr>
        <w:t xml:space="preserve">rjuicio de sus derechos. </w:t>
      </w:r>
    </w:p>
    <w:p w:rsidR="00B079DB" w:rsidRPr="0029329A" w:rsidRDefault="0029329A" w:rsidP="00B079DB">
      <w:pPr>
        <w:overflowPunct w:val="0"/>
        <w:autoSpaceDE w:val="0"/>
        <w:autoSpaceDN w:val="0"/>
        <w:adjustRightInd w:val="0"/>
        <w:spacing w:line="360" w:lineRule="atLeast"/>
        <w:jc w:val="both"/>
        <w:textAlignment w:val="baseline"/>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12</w:t>
      </w:r>
      <w:r w:rsidRPr="0029329A">
        <w:rPr>
          <w:rFonts w:ascii="Times New Roman" w:hAnsi="Times New Roman" w:cs="Times New Roman"/>
          <w:sz w:val="28"/>
          <w:szCs w:val="28"/>
        </w:rPr>
        <w:t>0</w:t>
      </w:r>
      <w:r w:rsidRPr="0029329A">
        <w:rPr>
          <w:rFonts w:ascii="Times New Roman" w:hAnsi="Times New Roman" w:cs="Times New Roman"/>
          <w:sz w:val="28"/>
          <w:szCs w:val="28"/>
        </w:rPr>
        <w:t>. Por otro lado, en los artículos demandados no se exponen con claridad las razones para insertar normas con evidente contenido de tributario. Como se ha venido reiterando</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en este caso</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el control que debe llevar a cabo la Co</w:t>
      </w:r>
      <w:r w:rsidRPr="0029329A">
        <w:rPr>
          <w:rFonts w:ascii="Times New Roman" w:hAnsi="Times New Roman" w:cs="Times New Roman"/>
          <w:sz w:val="28"/>
          <w:szCs w:val="28"/>
        </w:rPr>
        <w:t xml:space="preserve">rte para verificar si se cumple con el principio de unidad de materia establecido en el artículo 158 de la Carta Política debe ser </w:t>
      </w:r>
      <w:r w:rsidRPr="0029329A">
        <w:rPr>
          <w:rFonts w:ascii="Times New Roman" w:hAnsi="Times New Roman" w:cs="Times New Roman"/>
          <w:sz w:val="28"/>
          <w:szCs w:val="28"/>
        </w:rPr>
        <w:t>aún más riguroso</w:t>
      </w:r>
      <w:r w:rsidRPr="0029329A">
        <w:rPr>
          <w:rFonts w:ascii="Times New Roman" w:hAnsi="Times New Roman" w:cs="Times New Roman"/>
          <w:sz w:val="28"/>
          <w:szCs w:val="28"/>
        </w:rPr>
        <w:t xml:space="preserve"> y determinar si se puede verificar una conexidad directa e inmediata y no conjetural o mediata entre los obj</w:t>
      </w:r>
      <w:r w:rsidRPr="0029329A">
        <w:rPr>
          <w:rFonts w:ascii="Times New Roman" w:hAnsi="Times New Roman" w:cs="Times New Roman"/>
          <w:sz w:val="28"/>
          <w:szCs w:val="28"/>
        </w:rPr>
        <w:t>etivos generales del Plan y las normas instrumentales. En efecto, por regla general los impuestos deben ser aprobados a través del procedimiento ordinario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por la reserva estricta de la facultad impositiva.</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lang w:eastAsia="en-US"/>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lang w:eastAsia="en-US"/>
        </w:rPr>
      </w:pPr>
      <w:r w:rsidRPr="0029329A">
        <w:rPr>
          <w:rFonts w:ascii="Times New Roman" w:hAnsi="Times New Roman" w:cs="Times New Roman"/>
          <w:sz w:val="28"/>
          <w:szCs w:val="28"/>
          <w:lang w:eastAsia="en-US"/>
        </w:rPr>
        <w:t xml:space="preserve">En ese orden, </w:t>
      </w:r>
      <w:r w:rsidRPr="0029329A">
        <w:rPr>
          <w:rFonts w:ascii="Times New Roman" w:hAnsi="Times New Roman" w:cs="Times New Roman"/>
          <w:sz w:val="28"/>
          <w:szCs w:val="28"/>
          <w:lang w:eastAsia="en-US"/>
        </w:rPr>
        <w:t>según las jurisprudencia constituci</w:t>
      </w:r>
      <w:r w:rsidRPr="0029329A">
        <w:rPr>
          <w:rFonts w:ascii="Times New Roman" w:hAnsi="Times New Roman" w:cs="Times New Roman"/>
          <w:sz w:val="28"/>
          <w:szCs w:val="28"/>
          <w:lang w:eastAsia="en-US"/>
        </w:rPr>
        <w:t>onal, cuando se trata de una norma de carácter permanente</w:t>
      </w:r>
      <w:r w:rsidRPr="0029329A">
        <w:rPr>
          <w:rFonts w:ascii="Times New Roman" w:hAnsi="Times New Roman" w:cs="Times New Roman"/>
          <w:sz w:val="28"/>
          <w:szCs w:val="28"/>
          <w:lang w:eastAsia="en-US"/>
        </w:rPr>
        <w:t xml:space="preserve"> de carácter tributario</w:t>
      </w:r>
      <w:r w:rsidRPr="0029329A">
        <w:rPr>
          <w:rFonts w:ascii="Times New Roman" w:hAnsi="Times New Roman" w:cs="Times New Roman"/>
          <w:sz w:val="28"/>
          <w:szCs w:val="28"/>
          <w:lang w:eastAsia="en-US"/>
        </w:rPr>
        <w:t xml:space="preserve">, el Gobierno nacional debe sustentar que la misma </w:t>
      </w:r>
      <w:r w:rsidRPr="0029329A">
        <w:rPr>
          <w:rFonts w:ascii="Times New Roman" w:hAnsi="Times New Roman" w:cs="Times New Roman"/>
          <w:sz w:val="28"/>
          <w:szCs w:val="28"/>
        </w:rPr>
        <w:t xml:space="preserve">(i) es una expresión de la función de planeación, (ii) favorece la consecución de los objetivos, naturaleza y espíritu de la </w:t>
      </w:r>
      <w:r w:rsidRPr="0029329A">
        <w:rPr>
          <w:rFonts w:ascii="Times New Roman" w:hAnsi="Times New Roman" w:cs="Times New Roman"/>
          <w:sz w:val="28"/>
          <w:szCs w:val="28"/>
        </w:rPr>
        <w:t>ley del plan y (iii) constituye un mecanismo para la ejecución del plan nacional de inversiones o una medida necesaria para impulsar el cumplimiento del Plan de Desarrollo y de una política directa e inmediata, y no de la financiación general del presupues</w:t>
      </w:r>
      <w:r w:rsidRPr="0029329A">
        <w:rPr>
          <w:rFonts w:ascii="Times New Roman" w:hAnsi="Times New Roman" w:cs="Times New Roman"/>
          <w:sz w:val="28"/>
          <w:szCs w:val="28"/>
        </w:rPr>
        <w:t xml:space="preserve">to general de la Nación </w:t>
      </w:r>
      <w:r w:rsidRPr="0029329A">
        <w:rPr>
          <w:rStyle w:val="Refdenotaalpie"/>
          <w:rFonts w:ascii="Times New Roman" w:hAnsi="Times New Roman"/>
          <w:sz w:val="28"/>
          <w:szCs w:val="28"/>
        </w:rPr>
        <w:footnoteReference w:id="151"/>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Ninguno de estos aspectos fue demostrado en relación con las normas atacadas.</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r w:rsidRPr="0029329A">
        <w:rPr>
          <w:rFonts w:ascii="Times New Roman" w:hAnsi="Times New Roman" w:cs="Times New Roman"/>
          <w:sz w:val="28"/>
          <w:szCs w:val="28"/>
        </w:rPr>
        <w:t>12</w:t>
      </w:r>
      <w:r w:rsidRPr="0029329A">
        <w:rPr>
          <w:rFonts w:ascii="Times New Roman" w:hAnsi="Times New Roman" w:cs="Times New Roman"/>
          <w:sz w:val="28"/>
          <w:szCs w:val="28"/>
        </w:rPr>
        <w:t>1</w:t>
      </w:r>
      <w:r w:rsidRPr="0029329A">
        <w:rPr>
          <w:rFonts w:ascii="Times New Roman" w:hAnsi="Times New Roman" w:cs="Times New Roman"/>
          <w:sz w:val="28"/>
          <w:szCs w:val="28"/>
        </w:rPr>
        <w:t xml:space="preserve">. La Corte ya ha declarado la inconstitucionalidad de este tipo de normas tributarias cuando no se logra demostrar que </w:t>
      </w:r>
      <w:r w:rsidRPr="0029329A">
        <w:rPr>
          <w:rFonts w:ascii="Times New Roman" w:eastAsiaTheme="minorHAnsi" w:hAnsi="Times New Roman" w:cs="Times New Roman"/>
          <w:sz w:val="28"/>
          <w:szCs w:val="28"/>
          <w:lang w:val="es-ES" w:eastAsia="en-US"/>
        </w:rPr>
        <w:t>la contribución con vocación</w:t>
      </w:r>
      <w:r w:rsidRPr="0029329A">
        <w:rPr>
          <w:rFonts w:ascii="Times New Roman" w:eastAsiaTheme="minorHAnsi" w:hAnsi="Times New Roman" w:cs="Times New Roman"/>
          <w:sz w:val="28"/>
          <w:szCs w:val="28"/>
          <w:lang w:val="es-ES" w:eastAsia="en-US"/>
        </w:rPr>
        <w:t xml:space="preserve"> de permanencia fuera necesaria para impulsar los planes, metas y objetivos previstos en la parte general del PND. </w:t>
      </w:r>
    </w:p>
    <w:p w:rsidR="00B079DB" w:rsidRPr="0029329A" w:rsidRDefault="0029329A" w:rsidP="00B079DB">
      <w:pPr>
        <w:widowControl w:val="0"/>
        <w:tabs>
          <w:tab w:val="left" w:pos="426"/>
        </w:tabs>
        <w:spacing w:line="360" w:lineRule="atLeast"/>
        <w:contextualSpacing/>
        <w:jc w:val="both"/>
        <w:rPr>
          <w:rFonts w:ascii="Times New Roman" w:hAnsi="Times New Roman" w:cs="Times New Roman"/>
          <w:sz w:val="28"/>
          <w:szCs w:val="28"/>
        </w:rPr>
      </w:pP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12</w:t>
      </w:r>
      <w:r w:rsidRPr="0029329A">
        <w:rPr>
          <w:rFonts w:ascii="Times New Roman" w:eastAsiaTheme="minorHAnsi" w:hAnsi="Times New Roman" w:cs="Times New Roman"/>
          <w:sz w:val="28"/>
          <w:szCs w:val="28"/>
          <w:lang w:val="es-ES" w:eastAsia="en-US"/>
        </w:rPr>
        <w:t>2</w:t>
      </w:r>
      <w:r w:rsidRPr="0029329A">
        <w:rPr>
          <w:rFonts w:ascii="Times New Roman" w:eastAsiaTheme="minorHAnsi" w:hAnsi="Times New Roman" w:cs="Times New Roman"/>
          <w:sz w:val="28"/>
          <w:szCs w:val="28"/>
          <w:lang w:val="es-ES" w:eastAsia="en-US"/>
        </w:rPr>
        <w:t>. Al respecto</w:t>
      </w:r>
      <w:r w:rsidRPr="0029329A">
        <w:rPr>
          <w:rFonts w:ascii="Times New Roman" w:eastAsiaTheme="minorHAnsi" w:hAnsi="Times New Roman" w:cs="Times New Roman"/>
          <w:sz w:val="28"/>
          <w:szCs w:val="28"/>
          <w:lang w:val="es-ES" w:eastAsia="en-US"/>
        </w:rPr>
        <w:t xml:space="preserve"> cabe citar </w:t>
      </w:r>
      <w:r w:rsidRPr="0029329A">
        <w:rPr>
          <w:rFonts w:ascii="Times New Roman" w:eastAsiaTheme="minorHAnsi" w:hAnsi="Times New Roman" w:cs="Times New Roman"/>
          <w:sz w:val="28"/>
          <w:szCs w:val="28"/>
          <w:lang w:val="es-ES" w:eastAsia="en-US"/>
        </w:rPr>
        <w:t>la sentencia C-464 de 2020</w:t>
      </w:r>
      <w:r w:rsidRPr="0029329A">
        <w:rPr>
          <w:rFonts w:ascii="Times New Roman" w:eastAsiaTheme="minorHAnsi" w:hAnsi="Times New Roman" w:cs="Times New Roman"/>
          <w:sz w:val="28"/>
          <w:szCs w:val="28"/>
          <w:lang w:val="es-ES" w:eastAsia="en-US"/>
        </w:rPr>
        <w:t>,</w:t>
      </w:r>
      <w:r w:rsidRPr="0029329A">
        <w:rPr>
          <w:rFonts w:ascii="Times New Roman" w:eastAsiaTheme="minorHAnsi" w:hAnsi="Times New Roman" w:cs="Times New Roman"/>
          <w:sz w:val="28"/>
          <w:szCs w:val="28"/>
          <w:lang w:val="es-ES" w:eastAsia="en-US"/>
        </w:rPr>
        <w:t xml:space="preserve"> por medio de la cual declaró la inexequibilidad con efectos diferidos de una norma de la ley que aprueba el Plan Nacional de Desarrollo, que creó unas contribuciones especiales de carácter tributario para financiar los gastos de la Comisión de Regulación </w:t>
      </w:r>
      <w:r w:rsidRPr="0029329A">
        <w:rPr>
          <w:rFonts w:ascii="Times New Roman" w:eastAsiaTheme="minorHAnsi" w:hAnsi="Times New Roman" w:cs="Times New Roman"/>
          <w:sz w:val="28"/>
          <w:szCs w:val="28"/>
          <w:lang w:val="es-ES" w:eastAsia="en-US"/>
        </w:rPr>
        <w:t>de Energía y Gas, la Comisión de Regulación de Agua Potable y Saneamiento Básico y la Superintendencia de Servicios Públicos domiciliarios. Según la Corte, si bien en las bases del PND se estableció un pacto para mejorar la prestación de los servicios públ</w:t>
      </w:r>
      <w:r w:rsidRPr="0029329A">
        <w:rPr>
          <w:rFonts w:ascii="Times New Roman" w:eastAsiaTheme="minorHAnsi" w:hAnsi="Times New Roman" w:cs="Times New Roman"/>
          <w:sz w:val="28"/>
          <w:szCs w:val="28"/>
          <w:lang w:val="es-ES" w:eastAsia="en-US"/>
        </w:rPr>
        <w:t>icos y fortalecer las capacidades institucionales de las entidades encargadas de regularla, controlarla y vigilarla, el Gobierno nacional incumplió con la carga argumentativa suficiente que permitiera justificar una modificación del régimen tributario de l</w:t>
      </w:r>
      <w:r w:rsidRPr="0029329A">
        <w:rPr>
          <w:rFonts w:ascii="Times New Roman" w:eastAsiaTheme="minorHAnsi" w:hAnsi="Times New Roman" w:cs="Times New Roman"/>
          <w:sz w:val="28"/>
          <w:szCs w:val="28"/>
          <w:lang w:val="es-ES" w:eastAsia="en-US"/>
        </w:rPr>
        <w:t>os servicios públicos domiciliarios y la imposición de cargas tributarias con vocación de permanencia. Así, el Gobierno no justificó por qué los rubros presupuestales con los que ya contaban la CREG, la CRA y la Superservicios eran insuficientes para alcan</w:t>
      </w:r>
      <w:r w:rsidRPr="0029329A">
        <w:rPr>
          <w:rFonts w:ascii="Times New Roman" w:eastAsiaTheme="minorHAnsi" w:hAnsi="Times New Roman" w:cs="Times New Roman"/>
          <w:sz w:val="28"/>
          <w:szCs w:val="28"/>
          <w:lang w:val="es-ES" w:eastAsia="en-US"/>
        </w:rPr>
        <w:t xml:space="preserve">zar los objetivos perseguidos con la creación de la contribución analizada. Por lo tanto, en este caso hubo una motivación deficiente que no permitía suplir la reducción del principio democrático ni respetar el principio de impuesto sin representación. </w:t>
      </w: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1</w:t>
      </w:r>
      <w:r w:rsidRPr="0029329A">
        <w:rPr>
          <w:rFonts w:ascii="Times New Roman" w:eastAsiaTheme="minorHAnsi" w:hAnsi="Times New Roman" w:cs="Times New Roman"/>
          <w:sz w:val="28"/>
          <w:szCs w:val="28"/>
          <w:lang w:val="es-ES" w:eastAsia="en-US"/>
        </w:rPr>
        <w:t>2</w:t>
      </w:r>
      <w:r w:rsidRPr="0029329A">
        <w:rPr>
          <w:rFonts w:ascii="Times New Roman" w:eastAsiaTheme="minorHAnsi" w:hAnsi="Times New Roman" w:cs="Times New Roman"/>
          <w:sz w:val="28"/>
          <w:szCs w:val="28"/>
          <w:lang w:val="es-ES" w:eastAsia="en-US"/>
        </w:rPr>
        <w:t>3</w:t>
      </w:r>
      <w:r w:rsidRPr="0029329A">
        <w:rPr>
          <w:rFonts w:ascii="Times New Roman" w:eastAsiaTheme="minorHAnsi" w:hAnsi="Times New Roman" w:cs="Times New Roman"/>
          <w:sz w:val="28"/>
          <w:szCs w:val="28"/>
          <w:lang w:val="es-ES" w:eastAsia="en-US"/>
        </w:rPr>
        <w:t xml:space="preserve">. En segundo lugar, </w:t>
      </w:r>
      <w:r w:rsidRPr="0029329A">
        <w:rPr>
          <w:rFonts w:ascii="Times New Roman" w:eastAsiaTheme="minorHAnsi" w:hAnsi="Times New Roman" w:cs="Times New Roman"/>
          <w:sz w:val="28"/>
          <w:szCs w:val="28"/>
          <w:lang w:val="es-ES" w:eastAsia="en-US"/>
        </w:rPr>
        <w:t xml:space="preserve">en </w:t>
      </w:r>
      <w:r w:rsidRPr="0029329A">
        <w:rPr>
          <w:rFonts w:ascii="Times New Roman" w:eastAsiaTheme="minorHAnsi" w:hAnsi="Times New Roman" w:cs="Times New Roman"/>
          <w:sz w:val="28"/>
          <w:szCs w:val="28"/>
          <w:lang w:val="es-ES" w:eastAsia="en-US"/>
        </w:rPr>
        <w:t xml:space="preserve">la </w:t>
      </w:r>
      <w:r w:rsidRPr="0029329A">
        <w:rPr>
          <w:rFonts w:ascii="Times New Roman" w:eastAsiaTheme="minorHAnsi" w:hAnsi="Times New Roman" w:cs="Times New Roman"/>
          <w:sz w:val="28"/>
          <w:szCs w:val="28"/>
          <w:lang w:val="es-ES" w:eastAsia="en-US"/>
        </w:rPr>
        <w:t xml:space="preserve">Sentencia </w:t>
      </w:r>
      <w:r w:rsidRPr="0029329A">
        <w:rPr>
          <w:rFonts w:ascii="Times New Roman" w:eastAsiaTheme="minorHAnsi" w:hAnsi="Times New Roman" w:cs="Times New Roman"/>
          <w:sz w:val="28"/>
          <w:szCs w:val="28"/>
          <w:lang w:val="es-ES" w:eastAsia="en-US"/>
        </w:rPr>
        <w:t xml:space="preserve">C-493 de 2020 analizó una norma contenida en la ley de Plan Nacional de Desarrollo a través de cual se creó una tasa para sufragar los costos del trámite de consulta previa </w:t>
      </w:r>
      <w:r w:rsidRPr="0029329A">
        <w:rPr>
          <w:rFonts w:ascii="Times New Roman" w:eastAsiaTheme="minorHAnsi" w:hAnsi="Times New Roman" w:cs="Times New Roman"/>
          <w:sz w:val="28"/>
          <w:szCs w:val="28"/>
          <w:lang w:val="es-ES" w:eastAsia="en-US"/>
        </w:rPr>
        <w:t>que fue declarada</w:t>
      </w:r>
      <w:r w:rsidRPr="0029329A">
        <w:rPr>
          <w:rFonts w:ascii="Times New Roman" w:eastAsiaTheme="minorHAnsi" w:hAnsi="Times New Roman" w:cs="Times New Roman"/>
          <w:sz w:val="28"/>
          <w:szCs w:val="28"/>
          <w:lang w:val="es-ES" w:eastAsia="en-US"/>
        </w:rPr>
        <w:t xml:space="preserve"> inexequible por violación d</w:t>
      </w:r>
      <w:r w:rsidRPr="0029329A">
        <w:rPr>
          <w:rFonts w:ascii="Times New Roman" w:eastAsiaTheme="minorHAnsi" w:hAnsi="Times New Roman" w:cs="Times New Roman"/>
          <w:sz w:val="28"/>
          <w:szCs w:val="28"/>
          <w:lang w:val="es-ES" w:eastAsia="en-US"/>
        </w:rPr>
        <w:t>el principio de unidad de materia. Según esa sentencia, la norma acusada constituía una regulación de carácter estrictamente tributario, destinada por el legislador a financiar los costos implicados en la realización de los trámites de consulta previa, a c</w:t>
      </w:r>
      <w:r w:rsidRPr="0029329A">
        <w:rPr>
          <w:rFonts w:ascii="Times New Roman" w:eastAsiaTheme="minorHAnsi" w:hAnsi="Times New Roman" w:cs="Times New Roman"/>
          <w:sz w:val="28"/>
          <w:szCs w:val="28"/>
          <w:lang w:val="es-ES" w:eastAsia="en-US"/>
        </w:rPr>
        <w:t xml:space="preserve">argo de la Dirección de la Autoridad Nacional de Consulta Previa del Ministerio del Interior. Estimó que el servicio que se pagaba mediante la tasa establecida, es decir, el hecho generador era la coordinación que presta la referida entidad. Así mismo, la </w:t>
      </w:r>
      <w:r w:rsidRPr="0029329A">
        <w:rPr>
          <w:rFonts w:ascii="Times New Roman" w:eastAsiaTheme="minorHAnsi" w:hAnsi="Times New Roman" w:cs="Times New Roman"/>
          <w:sz w:val="28"/>
          <w:szCs w:val="28"/>
          <w:lang w:val="es-ES" w:eastAsia="en-US"/>
        </w:rPr>
        <w:t xml:space="preserve">Sala Plena señaló que el sujeto pasivo era el interesado, responsable de las obras, proyecto o medidas con la capacidad de afectar directamente a las comunidades étnicas. </w:t>
      </w: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12</w:t>
      </w:r>
      <w:r w:rsidRPr="0029329A">
        <w:rPr>
          <w:rFonts w:ascii="Times New Roman" w:eastAsiaTheme="minorHAnsi" w:hAnsi="Times New Roman" w:cs="Times New Roman"/>
          <w:sz w:val="28"/>
          <w:szCs w:val="28"/>
          <w:lang w:val="es-ES" w:eastAsia="en-US"/>
        </w:rPr>
        <w:t>4</w:t>
      </w:r>
      <w:r w:rsidRPr="0029329A">
        <w:rPr>
          <w:rFonts w:ascii="Times New Roman" w:eastAsiaTheme="minorHAnsi" w:hAnsi="Times New Roman" w:cs="Times New Roman"/>
          <w:sz w:val="28"/>
          <w:szCs w:val="28"/>
          <w:lang w:val="es-ES" w:eastAsia="en-US"/>
        </w:rPr>
        <w:t>. Sobre la base de este alcance de la disposición objetada, la Corte encontró qu</w:t>
      </w:r>
      <w:r w:rsidRPr="0029329A">
        <w:rPr>
          <w:rFonts w:ascii="Times New Roman" w:eastAsiaTheme="minorHAnsi" w:hAnsi="Times New Roman" w:cs="Times New Roman"/>
          <w:sz w:val="28"/>
          <w:szCs w:val="28"/>
          <w:lang w:val="es-ES" w:eastAsia="en-US"/>
        </w:rPr>
        <w:t>e no existía relación alguna entre el cobro de la tasa creada y alguna de las metas, objetivos o estrategias de la parte general del PND en relación con la garantía del derecho a la consulta previa. Así, el tributo no era un mecanismo para proteger dicho d</w:t>
      </w:r>
      <w:r w:rsidRPr="0029329A">
        <w:rPr>
          <w:rFonts w:ascii="Times New Roman" w:eastAsiaTheme="minorHAnsi" w:hAnsi="Times New Roman" w:cs="Times New Roman"/>
          <w:sz w:val="28"/>
          <w:szCs w:val="28"/>
          <w:lang w:val="es-ES" w:eastAsia="en-US"/>
        </w:rPr>
        <w:t xml:space="preserve">erecho, pues si no se paga la tasa, tampoco se vería desprotegido el derecho a la consulta en tanto en que, en todo caso, no podría llevarse a cabo ninguna obra o proyecto que supusiera su vulneración. Además, la falta de conexidad directa e inmediata era </w:t>
      </w:r>
      <w:r w:rsidRPr="0029329A">
        <w:rPr>
          <w:rFonts w:ascii="Times New Roman" w:eastAsiaTheme="minorHAnsi" w:hAnsi="Times New Roman" w:cs="Times New Roman"/>
          <w:sz w:val="28"/>
          <w:szCs w:val="28"/>
          <w:lang w:val="es-ES" w:eastAsia="en-US"/>
        </w:rPr>
        <w:t>palpable, pues la tasa había sido introducida en el proyecto de la ley del PND durante los debates en Plenaria. Adicionalmente, la Sala Plena no halló ninguna justificación de las razones por las cuales era necesaria la tasa, desde el punto de vista de las</w:t>
      </w:r>
      <w:r w:rsidRPr="0029329A">
        <w:rPr>
          <w:rFonts w:ascii="Times New Roman" w:eastAsiaTheme="minorHAnsi" w:hAnsi="Times New Roman" w:cs="Times New Roman"/>
          <w:sz w:val="28"/>
          <w:szCs w:val="28"/>
          <w:lang w:val="es-ES" w:eastAsia="en-US"/>
        </w:rPr>
        <w:t xml:space="preserve"> finalidades del PND. </w:t>
      </w: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p>
    <w:p w:rsidR="00B079DB" w:rsidRPr="0029329A" w:rsidRDefault="0029329A" w:rsidP="00B079DB">
      <w:pPr>
        <w:suppressAutoHyphens/>
        <w:jc w:val="both"/>
        <w:rPr>
          <w:rFonts w:ascii="Times New Roman" w:eastAsiaTheme="minorHAnsi" w:hAnsi="Times New Roman" w:cs="Times New Roman"/>
          <w:sz w:val="28"/>
          <w:szCs w:val="28"/>
          <w:lang w:val="es-ES" w:eastAsia="en-US"/>
        </w:rPr>
      </w:pPr>
      <w:r w:rsidRPr="0029329A">
        <w:rPr>
          <w:rFonts w:ascii="Times New Roman" w:eastAsiaTheme="minorHAnsi" w:hAnsi="Times New Roman" w:cs="Times New Roman"/>
          <w:sz w:val="28"/>
          <w:szCs w:val="28"/>
          <w:lang w:val="es-ES" w:eastAsia="en-US"/>
        </w:rPr>
        <w:t>12</w:t>
      </w:r>
      <w:r w:rsidRPr="0029329A">
        <w:rPr>
          <w:rFonts w:ascii="Times New Roman" w:eastAsiaTheme="minorHAnsi" w:hAnsi="Times New Roman" w:cs="Times New Roman"/>
          <w:sz w:val="28"/>
          <w:szCs w:val="28"/>
          <w:lang w:val="es-ES" w:eastAsia="en-US"/>
        </w:rPr>
        <w:t>5</w:t>
      </w:r>
      <w:r w:rsidRPr="0029329A">
        <w:rPr>
          <w:rFonts w:ascii="Times New Roman" w:eastAsiaTheme="minorHAnsi" w:hAnsi="Times New Roman" w:cs="Times New Roman"/>
          <w:sz w:val="28"/>
          <w:szCs w:val="28"/>
          <w:lang w:val="es-ES" w:eastAsia="en-US"/>
        </w:rPr>
        <w:t xml:space="preserve">. En tercer y último lugar, la </w:t>
      </w:r>
      <w:r w:rsidRPr="0029329A">
        <w:rPr>
          <w:rFonts w:ascii="Times New Roman" w:eastAsiaTheme="minorHAnsi" w:hAnsi="Times New Roman" w:cs="Times New Roman"/>
          <w:sz w:val="28"/>
          <w:szCs w:val="28"/>
          <w:lang w:val="es-ES" w:eastAsia="en-US"/>
        </w:rPr>
        <w:t>S</w:t>
      </w:r>
      <w:r w:rsidRPr="0029329A">
        <w:rPr>
          <w:rFonts w:ascii="Times New Roman" w:eastAsiaTheme="minorHAnsi" w:hAnsi="Times New Roman" w:cs="Times New Roman"/>
          <w:sz w:val="28"/>
          <w:szCs w:val="28"/>
          <w:lang w:val="es-ES" w:eastAsia="en-US"/>
        </w:rPr>
        <w:t>entencia C-161 de 2022 declaró la inexequibilidad de una disposición de la ley del Plan que creó una contribución especial para los laudos arbitrales de contenido económico destinada a un fondo de modernización, descongestión y bienestar de la administraci</w:t>
      </w:r>
      <w:r w:rsidRPr="0029329A">
        <w:rPr>
          <w:rFonts w:ascii="Times New Roman" w:eastAsiaTheme="minorHAnsi" w:hAnsi="Times New Roman" w:cs="Times New Roman"/>
          <w:sz w:val="28"/>
          <w:szCs w:val="28"/>
          <w:lang w:val="es-ES" w:eastAsia="en-US"/>
        </w:rPr>
        <w:t>ón de justicia. Para la Corte, si bien tenía un carácter instrumental para cumplir uno de los objetivos previstos en la parte general del PND y podía relacionarse con el Pacto de Legalidad, específicamente con la acción de “Imperio de la Ley: derechos huma</w:t>
      </w:r>
      <w:r w:rsidRPr="0029329A">
        <w:rPr>
          <w:rFonts w:ascii="Times New Roman" w:eastAsiaTheme="minorHAnsi" w:hAnsi="Times New Roman" w:cs="Times New Roman"/>
          <w:sz w:val="28"/>
          <w:szCs w:val="28"/>
          <w:lang w:val="es-ES" w:eastAsia="en-US"/>
        </w:rPr>
        <w:t>nos, justicias accesible y oportuna”, la medida no cumplió con el requisito de conexidad directa e inmediata porque no se cumplió con la carga de argumentación reforzada que se aplica a las normas de la ley del PND de carácter tributario. Para justificar e</w:t>
      </w:r>
      <w:r w:rsidRPr="0029329A">
        <w:rPr>
          <w:rFonts w:ascii="Times New Roman" w:eastAsiaTheme="minorHAnsi" w:hAnsi="Times New Roman" w:cs="Times New Roman"/>
          <w:sz w:val="28"/>
          <w:szCs w:val="28"/>
          <w:lang w:val="es-ES" w:eastAsia="en-US"/>
        </w:rPr>
        <w:t>se incumplimiento, la Corte señaló que la norma: (i) no hizo parte del texto radicado por el Gobierno ante el Congreso y fue incluida en el texto aprobado en primer debate, sin que hubiera deliberación previa; (ii) no fue abordada en todas las ponencias; y</w:t>
      </w:r>
      <w:r w:rsidRPr="0029329A">
        <w:rPr>
          <w:rFonts w:ascii="Times New Roman" w:eastAsiaTheme="minorHAnsi" w:hAnsi="Times New Roman" w:cs="Times New Roman"/>
          <w:sz w:val="28"/>
          <w:szCs w:val="28"/>
          <w:lang w:val="es-ES" w:eastAsia="en-US"/>
        </w:rPr>
        <w:t xml:space="preserve"> (iii) no se justificó ni en las bases del PND ni durante el trámite legislativo por qué los recursos disponibles en el fondo de modernización, descongestión y bienestar de la administración de justicia eran insuficientes, de tal forma que la adopción de l</w:t>
      </w:r>
      <w:r w:rsidRPr="0029329A">
        <w:rPr>
          <w:rFonts w:ascii="Times New Roman" w:eastAsiaTheme="minorHAnsi" w:hAnsi="Times New Roman" w:cs="Times New Roman"/>
          <w:sz w:val="28"/>
          <w:szCs w:val="28"/>
          <w:lang w:val="es-ES" w:eastAsia="en-US"/>
        </w:rPr>
        <w:t xml:space="preserve">a contribución con vocación de permanencia fuera necesaria para impulsar los planes, metas y objetivos previstos en la parte general del PND. </w:t>
      </w:r>
    </w:p>
    <w:p w:rsidR="00B079DB" w:rsidRPr="0029329A" w:rsidRDefault="0029329A" w:rsidP="00B079DB">
      <w:pPr>
        <w:widowControl w:val="0"/>
        <w:spacing w:line="360" w:lineRule="atLeast"/>
        <w:contextualSpacing/>
        <w:jc w:val="both"/>
        <w:rPr>
          <w:rFonts w:ascii="Times New Roman" w:hAnsi="Times New Roman" w:cs="Times New Roman"/>
          <w:sz w:val="28"/>
          <w:szCs w:val="28"/>
        </w:rPr>
      </w:pPr>
    </w:p>
    <w:p w:rsidR="00B079DB" w:rsidRPr="0029329A" w:rsidRDefault="0029329A" w:rsidP="00B079DB">
      <w:pPr>
        <w:tabs>
          <w:tab w:val="left" w:pos="426"/>
        </w:tabs>
        <w:ind w:right="-46"/>
        <w:contextualSpacing/>
        <w:jc w:val="both"/>
        <w:rPr>
          <w:rFonts w:ascii="Times New Roman" w:hAnsi="Times New Roman" w:cs="Times New Roman"/>
          <w:sz w:val="28"/>
          <w:szCs w:val="28"/>
        </w:rPr>
      </w:pPr>
      <w:r w:rsidRPr="0029329A">
        <w:rPr>
          <w:rFonts w:ascii="Times New Roman" w:hAnsi="Times New Roman" w:cs="Times New Roman"/>
          <w:sz w:val="28"/>
          <w:szCs w:val="28"/>
        </w:rPr>
        <w:t>12</w:t>
      </w:r>
      <w:r w:rsidRPr="0029329A">
        <w:rPr>
          <w:rFonts w:ascii="Times New Roman" w:hAnsi="Times New Roman" w:cs="Times New Roman"/>
          <w:sz w:val="28"/>
          <w:szCs w:val="28"/>
        </w:rPr>
        <w:t>6</w:t>
      </w:r>
      <w:r w:rsidRPr="0029329A">
        <w:rPr>
          <w:rFonts w:ascii="Times New Roman" w:hAnsi="Times New Roman" w:cs="Times New Roman"/>
          <w:sz w:val="28"/>
          <w:szCs w:val="28"/>
        </w:rPr>
        <w:t>. En punto de ello, se ha precisado que, si bien no está prohibida la inclusión de tributos como medidas de e</w:t>
      </w:r>
      <w:r w:rsidRPr="0029329A">
        <w:rPr>
          <w:rFonts w:ascii="Times New Roman" w:hAnsi="Times New Roman" w:cs="Times New Roman"/>
          <w:sz w:val="28"/>
          <w:szCs w:val="28"/>
        </w:rPr>
        <w:t>jecución en las leyes aprobatorias de los planes nacionales de desarrollo, a fin de cumplir con las exigencias del principio de unidad de materia, el legislador debe señalar, como mínimo, una motivación suficiente en el documento de bases que permita compr</w:t>
      </w:r>
      <w:r w:rsidRPr="0029329A">
        <w:rPr>
          <w:rFonts w:ascii="Times New Roman" w:hAnsi="Times New Roman" w:cs="Times New Roman"/>
          <w:sz w:val="28"/>
          <w:szCs w:val="28"/>
        </w:rPr>
        <w:t>ender la necesidad imperativa de introducir disposiciones de carácter tributario en el mismo</w:t>
      </w:r>
      <w:r w:rsidRPr="0029329A">
        <w:rPr>
          <w:rFonts w:ascii="Times New Roman" w:hAnsi="Times New Roman" w:cs="Times New Roman"/>
          <w:sz w:val="28"/>
          <w:szCs w:val="28"/>
        </w:rPr>
        <w:t xml:space="preserve">, situación que no ocurrió frente </w:t>
      </w:r>
      <w:bookmarkStart w:id="17" w:name="_Hlk168432397"/>
      <w:r w:rsidRPr="0029329A">
        <w:rPr>
          <w:rFonts w:ascii="Times New Roman" w:hAnsi="Times New Roman" w:cs="Times New Roman"/>
          <w:sz w:val="28"/>
          <w:szCs w:val="28"/>
        </w:rPr>
        <w:t>a la</w:t>
      </w:r>
      <w:r w:rsidRPr="0029329A">
        <w:rPr>
          <w:rFonts w:ascii="Times New Roman" w:hAnsi="Times New Roman" w:cs="Times New Roman"/>
          <w:sz w:val="28"/>
          <w:szCs w:val="28"/>
        </w:rPr>
        <w:t xml:space="preserve"> tasa de protección y manejo de bienes arqueológicos por el </w:t>
      </w:r>
      <w:bookmarkStart w:id="18" w:name="_Hlk169165440"/>
      <w:r w:rsidRPr="0029329A">
        <w:rPr>
          <w:rFonts w:ascii="Times New Roman" w:hAnsi="Times New Roman" w:cs="Times New Roman"/>
          <w:sz w:val="28"/>
          <w:szCs w:val="28"/>
        </w:rPr>
        <w:t xml:space="preserve">Instituto Colombiano de Antropología e Historia (artículo 135), y </w:t>
      </w:r>
      <w:r w:rsidRPr="0029329A">
        <w:rPr>
          <w:rFonts w:ascii="Times New Roman" w:hAnsi="Times New Roman" w:cs="Times New Roman"/>
          <w:sz w:val="28"/>
          <w:szCs w:val="28"/>
        </w:rPr>
        <w:t xml:space="preserve">la tasa para la recuperación de los costos de los servicios prestados por la Dirección Nacional de Derecho de Autor </w:t>
      </w:r>
      <w:bookmarkEnd w:id="18"/>
      <w:r w:rsidRPr="0029329A">
        <w:rPr>
          <w:rFonts w:ascii="Times New Roman" w:hAnsi="Times New Roman" w:cs="Times New Roman"/>
          <w:sz w:val="28"/>
          <w:szCs w:val="28"/>
        </w:rPr>
        <w:t>(artículo 169)</w:t>
      </w:r>
      <w:r w:rsidRPr="0029329A">
        <w:rPr>
          <w:rFonts w:ascii="Times New Roman" w:hAnsi="Times New Roman" w:cs="Times New Roman"/>
          <w:sz w:val="28"/>
          <w:szCs w:val="28"/>
        </w:rPr>
        <w:t>.</w:t>
      </w:r>
    </w:p>
    <w:p w:rsidR="00B079DB" w:rsidRPr="0029329A" w:rsidRDefault="0029329A" w:rsidP="00B079DB">
      <w:pPr>
        <w:tabs>
          <w:tab w:val="left" w:pos="426"/>
        </w:tabs>
        <w:ind w:right="-46"/>
        <w:contextualSpacing/>
        <w:jc w:val="both"/>
        <w:rPr>
          <w:rFonts w:ascii="Times New Roman" w:hAnsi="Times New Roman" w:cs="Times New Roman"/>
          <w:sz w:val="28"/>
          <w:szCs w:val="28"/>
        </w:rPr>
      </w:pPr>
    </w:p>
    <w:p w:rsidR="00B079DB" w:rsidRPr="0029329A" w:rsidRDefault="0029329A" w:rsidP="00B079DB">
      <w:pPr>
        <w:tabs>
          <w:tab w:val="left" w:pos="426"/>
        </w:tabs>
        <w:ind w:right="-46"/>
        <w:contextualSpacing/>
        <w:jc w:val="both"/>
        <w:rPr>
          <w:rFonts w:ascii="Times New Roman" w:hAnsi="Times New Roman" w:cs="Times New Roman"/>
          <w:sz w:val="28"/>
          <w:szCs w:val="28"/>
        </w:rPr>
      </w:pPr>
      <w:r w:rsidRPr="0029329A">
        <w:rPr>
          <w:rFonts w:ascii="Times New Roman" w:hAnsi="Times New Roman" w:cs="Times New Roman"/>
          <w:sz w:val="28"/>
          <w:szCs w:val="28"/>
        </w:rPr>
        <w:t xml:space="preserve">Por el contrario, como se demostró, </w:t>
      </w:r>
      <w:r w:rsidRPr="0029329A">
        <w:rPr>
          <w:rFonts w:ascii="Times New Roman" w:hAnsi="Times New Roman" w:cs="Times New Roman"/>
          <w:sz w:val="28"/>
          <w:szCs w:val="28"/>
        </w:rPr>
        <w:t xml:space="preserve">son disposiciones destinadas a financiar las actividades </w:t>
      </w:r>
      <w:r w:rsidRPr="0029329A">
        <w:rPr>
          <w:rFonts w:ascii="Times New Roman" w:hAnsi="Times New Roman" w:cs="Times New Roman"/>
          <w:sz w:val="28"/>
          <w:szCs w:val="28"/>
        </w:rPr>
        <w:t xml:space="preserve">varias </w:t>
      </w:r>
      <w:r w:rsidRPr="0029329A">
        <w:rPr>
          <w:rFonts w:ascii="Times New Roman" w:hAnsi="Times New Roman" w:cs="Times New Roman"/>
          <w:sz w:val="28"/>
          <w:szCs w:val="28"/>
        </w:rPr>
        <w:t>adelantadas de forma or</w:t>
      </w:r>
      <w:r w:rsidRPr="0029329A">
        <w:rPr>
          <w:rFonts w:ascii="Times New Roman" w:hAnsi="Times New Roman" w:cs="Times New Roman"/>
          <w:sz w:val="28"/>
          <w:szCs w:val="28"/>
        </w:rPr>
        <w:t>dinaria y permanente por dichas entidades, dado que, en principio, no responden al desarrollo de nuevos programas o proyectos ni al costo de funciones adicionales</w:t>
      </w:r>
      <w:bookmarkEnd w:id="17"/>
      <w:r w:rsidRPr="0029329A">
        <w:rPr>
          <w:rFonts w:ascii="Times New Roman" w:hAnsi="Times New Roman" w:cs="Times New Roman"/>
          <w:sz w:val="28"/>
          <w:szCs w:val="28"/>
        </w:rPr>
        <w:t xml:space="preserve"> y </w:t>
      </w:r>
      <w:r w:rsidRPr="0029329A">
        <w:rPr>
          <w:rFonts w:ascii="Times New Roman" w:hAnsi="Times New Roman" w:cs="Times New Roman"/>
          <w:sz w:val="28"/>
          <w:szCs w:val="28"/>
        </w:rPr>
        <w:t xml:space="preserve">tampoco </w:t>
      </w:r>
      <w:r w:rsidRPr="0029329A">
        <w:rPr>
          <w:rFonts w:ascii="Times New Roman" w:hAnsi="Times New Roman" w:cs="Times New Roman"/>
          <w:sz w:val="28"/>
          <w:szCs w:val="28"/>
        </w:rPr>
        <w:t>se encuentra</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 dirigidas </w:t>
      </w:r>
      <w:r w:rsidRPr="0029329A">
        <w:rPr>
          <w:rFonts w:ascii="Times New Roman" w:hAnsi="Times New Roman" w:cs="Times New Roman"/>
          <w:sz w:val="28"/>
          <w:szCs w:val="28"/>
        </w:rPr>
        <w:t xml:space="preserve">exclusivamente </w:t>
      </w:r>
      <w:r w:rsidRPr="0029329A">
        <w:rPr>
          <w:rFonts w:ascii="Times New Roman" w:hAnsi="Times New Roman" w:cs="Times New Roman"/>
          <w:sz w:val="28"/>
          <w:szCs w:val="28"/>
        </w:rPr>
        <w:t>a pagar por la prestación directa de servici</w:t>
      </w:r>
      <w:r w:rsidRPr="0029329A">
        <w:rPr>
          <w:rFonts w:ascii="Times New Roman" w:hAnsi="Times New Roman" w:cs="Times New Roman"/>
          <w:sz w:val="28"/>
          <w:szCs w:val="28"/>
        </w:rPr>
        <w:t>os</w:t>
      </w:r>
      <w:r w:rsidRPr="0029329A">
        <w:rPr>
          <w:rFonts w:ascii="Times New Roman" w:hAnsi="Times New Roman" w:cs="Times New Roman"/>
          <w:sz w:val="28"/>
          <w:szCs w:val="28"/>
        </w:rPr>
        <w:t xml:space="preserve"> solicitados por los interesados, como corresponde a la naturaleza de las tasas</w:t>
      </w:r>
      <w:r w:rsidRPr="0029329A">
        <w:rPr>
          <w:rFonts w:ascii="Times New Roman" w:hAnsi="Times New Roman" w:cs="Times New Roman"/>
          <w:sz w:val="28"/>
          <w:szCs w:val="28"/>
        </w:rPr>
        <w:t>.</w:t>
      </w:r>
    </w:p>
    <w:p w:rsidR="00B079DB" w:rsidRPr="0029329A" w:rsidRDefault="0029329A" w:rsidP="00B079DB">
      <w:pPr>
        <w:tabs>
          <w:tab w:val="left" w:pos="426"/>
        </w:tabs>
        <w:ind w:right="-46"/>
        <w:contextualSpacing/>
        <w:jc w:val="both"/>
        <w:rPr>
          <w:rFonts w:ascii="Times New Roman" w:hAnsi="Times New Roman" w:cs="Times New Roman"/>
          <w:sz w:val="28"/>
          <w:szCs w:val="28"/>
        </w:rPr>
      </w:pPr>
    </w:p>
    <w:p w:rsidR="00B079DB" w:rsidRPr="0029329A" w:rsidRDefault="0029329A" w:rsidP="00B079DB">
      <w:pPr>
        <w:tabs>
          <w:tab w:val="left" w:pos="426"/>
        </w:tabs>
        <w:ind w:right="-46"/>
        <w:contextualSpacing/>
        <w:jc w:val="both"/>
        <w:rPr>
          <w:rFonts w:ascii="Times New Roman" w:hAnsi="Times New Roman" w:cs="Times New Roman"/>
          <w:sz w:val="28"/>
          <w:szCs w:val="28"/>
        </w:rPr>
      </w:pPr>
      <w:r w:rsidRPr="0029329A">
        <w:rPr>
          <w:rFonts w:ascii="Times New Roman" w:hAnsi="Times New Roman" w:cs="Times New Roman"/>
          <w:sz w:val="28"/>
          <w:szCs w:val="28"/>
        </w:rPr>
        <w:t>1</w:t>
      </w:r>
      <w:r w:rsidRPr="0029329A">
        <w:rPr>
          <w:rFonts w:ascii="Times New Roman" w:hAnsi="Times New Roman" w:cs="Times New Roman"/>
          <w:sz w:val="28"/>
          <w:szCs w:val="28"/>
        </w:rPr>
        <w:t>27</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Finalmente</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debe tenerse también en consideración que las normas no satisfacen la conexidad con </w:t>
      </w:r>
      <w:r w:rsidRPr="0029329A">
        <w:rPr>
          <w:rFonts w:ascii="Times New Roman" w:hAnsi="Times New Roman" w:cs="Times New Roman"/>
          <w:sz w:val="28"/>
          <w:szCs w:val="28"/>
        </w:rPr>
        <w:t>en el plan plurianual de inversiones, en el cual se señala la proyecció</w:t>
      </w:r>
      <w:r w:rsidRPr="0029329A">
        <w:rPr>
          <w:rFonts w:ascii="Times New Roman" w:hAnsi="Times New Roman" w:cs="Times New Roman"/>
          <w:sz w:val="28"/>
          <w:szCs w:val="28"/>
        </w:rPr>
        <w:t>n indicativa de las fuentes de financiación para la ejecución de los objetivos del Plan Nacional de Desarrollo</w:t>
      </w:r>
      <w:r w:rsidRPr="0029329A">
        <w:rPr>
          <w:rFonts w:ascii="Times New Roman" w:hAnsi="Times New Roman" w:cs="Times New Roman"/>
          <w:sz w:val="28"/>
          <w:szCs w:val="28"/>
        </w:rPr>
        <w:t xml:space="preserve">. En efecto, </w:t>
      </w:r>
      <w:r w:rsidRPr="0029329A">
        <w:rPr>
          <w:rFonts w:ascii="Times New Roman" w:hAnsi="Times New Roman" w:cs="Times New Roman"/>
          <w:sz w:val="28"/>
          <w:szCs w:val="28"/>
        </w:rPr>
        <w:t xml:space="preserve">aunque </w:t>
      </w:r>
      <w:r w:rsidRPr="0029329A">
        <w:rPr>
          <w:rFonts w:ascii="Times New Roman" w:hAnsi="Times New Roman" w:cs="Times New Roman"/>
          <w:sz w:val="28"/>
          <w:szCs w:val="28"/>
        </w:rPr>
        <w:t xml:space="preserve">en dicho plan </w:t>
      </w:r>
      <w:r w:rsidRPr="0029329A">
        <w:rPr>
          <w:rFonts w:ascii="Times New Roman" w:hAnsi="Times New Roman" w:cs="Times New Roman"/>
          <w:sz w:val="28"/>
          <w:szCs w:val="28"/>
        </w:rPr>
        <w:t>se refieren varias líneas de inversión estratégica, no se hace referencia a las tasas previstas en los artículos</w:t>
      </w:r>
      <w:r w:rsidRPr="0029329A">
        <w:rPr>
          <w:rFonts w:ascii="Times New Roman" w:hAnsi="Times New Roman" w:cs="Times New Roman"/>
          <w:sz w:val="28"/>
          <w:szCs w:val="28"/>
        </w:rPr>
        <w:t xml:space="preserve"> 135 y 169 de la Ley 2294 de 2023, ni tampoco se menciona algún proyecto relacionado con las mismas. A su vez, en el documento contentivo de las Bases del Plan Nacional de Desarrollo</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si bien se hace referencia a la financiación de proyectos dirigidos a la</w:t>
      </w:r>
      <w:r w:rsidRPr="0029329A">
        <w:rPr>
          <w:rFonts w:ascii="Times New Roman" w:hAnsi="Times New Roman" w:cs="Times New Roman"/>
          <w:sz w:val="28"/>
          <w:szCs w:val="28"/>
        </w:rPr>
        <w:t xml:space="preserve"> protección de los bienes arqueológicos y culturales de la Nación, así como a la explotación de los derechos de autor, lo cierto es que no se ofrece una motivación expresa dirigida a justificar la necesidad imperiosa de financiar el funcionamiento ordinari</w:t>
      </w:r>
      <w:r w:rsidRPr="0029329A">
        <w:rPr>
          <w:rFonts w:ascii="Times New Roman" w:hAnsi="Times New Roman" w:cs="Times New Roman"/>
          <w:sz w:val="28"/>
          <w:szCs w:val="28"/>
        </w:rPr>
        <w:t>o del Instituto Colombiano de Antropología e Historia y de la Dirección Nacional de Derecho de Autor para desarrollar dichos programas.</w:t>
      </w:r>
    </w:p>
    <w:p w:rsidR="006773BD" w:rsidRPr="0029329A" w:rsidRDefault="0029329A" w:rsidP="00AF79E8">
      <w:pPr>
        <w:widowControl w:val="0"/>
        <w:spacing w:after="0" w:line="360" w:lineRule="atLeast"/>
        <w:contextualSpacing/>
        <w:jc w:val="both"/>
        <w:rPr>
          <w:rFonts w:ascii="Times New Roman" w:hAnsi="Times New Roman" w:cs="Times New Roman"/>
          <w:bCs/>
          <w:sz w:val="28"/>
          <w:szCs w:val="28"/>
          <w:lang w:eastAsia="en-US"/>
        </w:rPr>
      </w:pPr>
    </w:p>
    <w:p w:rsidR="0000361F" w:rsidRPr="0029329A" w:rsidRDefault="0029329A" w:rsidP="00E03B38">
      <w:pPr>
        <w:widowControl w:val="0"/>
        <w:tabs>
          <w:tab w:val="left" w:pos="426"/>
        </w:tabs>
        <w:spacing w:after="0" w:line="360" w:lineRule="atLeast"/>
        <w:contextualSpacing/>
        <w:jc w:val="both"/>
        <w:rPr>
          <w:rFonts w:ascii="Times New Roman" w:hAnsi="Times New Roman" w:cs="Times New Roman"/>
          <w:bCs/>
          <w:sz w:val="28"/>
          <w:szCs w:val="28"/>
          <w:lang w:eastAsia="en-US"/>
        </w:rPr>
      </w:pPr>
      <w:r w:rsidRPr="0029329A">
        <w:rPr>
          <w:rFonts w:ascii="Times New Roman" w:hAnsi="Times New Roman" w:cs="Times New Roman"/>
          <w:bCs/>
          <w:sz w:val="28"/>
          <w:szCs w:val="28"/>
          <w:lang w:eastAsia="en-US"/>
        </w:rPr>
        <w:t>1</w:t>
      </w:r>
      <w:r w:rsidRPr="0029329A">
        <w:rPr>
          <w:rFonts w:ascii="Times New Roman" w:hAnsi="Times New Roman" w:cs="Times New Roman"/>
          <w:bCs/>
          <w:sz w:val="28"/>
          <w:szCs w:val="28"/>
          <w:lang w:eastAsia="en-US"/>
        </w:rPr>
        <w:t>2</w:t>
      </w:r>
      <w:r w:rsidRPr="0029329A">
        <w:rPr>
          <w:rFonts w:ascii="Times New Roman" w:hAnsi="Times New Roman" w:cs="Times New Roman"/>
          <w:bCs/>
          <w:sz w:val="28"/>
          <w:szCs w:val="28"/>
          <w:lang w:eastAsia="en-US"/>
        </w:rPr>
        <w:t>8</w:t>
      </w:r>
      <w:r w:rsidRPr="0029329A">
        <w:rPr>
          <w:rFonts w:ascii="Times New Roman" w:hAnsi="Times New Roman" w:cs="Times New Roman"/>
          <w:bCs/>
          <w:sz w:val="28"/>
          <w:szCs w:val="28"/>
          <w:lang w:eastAsia="en-US"/>
        </w:rPr>
        <w:t xml:space="preserve">. </w:t>
      </w:r>
      <w:r w:rsidRPr="0029329A">
        <w:rPr>
          <w:rFonts w:ascii="Times New Roman" w:hAnsi="Times New Roman" w:cs="Times New Roman"/>
          <w:bCs/>
          <w:sz w:val="28"/>
          <w:szCs w:val="28"/>
          <w:lang w:eastAsia="en-US"/>
        </w:rPr>
        <w:t xml:space="preserve">En conclusión, </w:t>
      </w:r>
      <w:r w:rsidRPr="0029329A">
        <w:rPr>
          <w:rFonts w:ascii="Times New Roman" w:hAnsi="Times New Roman" w:cs="Times New Roman"/>
          <w:bCs/>
          <w:sz w:val="28"/>
          <w:szCs w:val="28"/>
          <w:lang w:eastAsia="en-US"/>
        </w:rPr>
        <w:t xml:space="preserve">la Sala Plena determina que </w:t>
      </w:r>
      <w:r w:rsidRPr="0029329A">
        <w:rPr>
          <w:rFonts w:ascii="Times New Roman" w:hAnsi="Times New Roman" w:cs="Times New Roman"/>
          <w:bCs/>
          <w:sz w:val="28"/>
          <w:szCs w:val="28"/>
          <w:lang w:eastAsia="en-US"/>
        </w:rPr>
        <w:t>la</w:t>
      </w:r>
      <w:r w:rsidRPr="0029329A">
        <w:rPr>
          <w:rFonts w:ascii="Times New Roman" w:hAnsi="Times New Roman" w:cs="Times New Roman"/>
          <w:bCs/>
          <w:sz w:val="28"/>
          <w:szCs w:val="28"/>
          <w:lang w:eastAsia="en-US"/>
        </w:rPr>
        <w:t>s</w:t>
      </w:r>
      <w:r w:rsidRPr="0029329A">
        <w:rPr>
          <w:rFonts w:ascii="Times New Roman" w:hAnsi="Times New Roman" w:cs="Times New Roman"/>
          <w:bCs/>
          <w:sz w:val="28"/>
          <w:szCs w:val="28"/>
          <w:lang w:eastAsia="en-US"/>
        </w:rPr>
        <w:t xml:space="preserve"> norma</w:t>
      </w:r>
      <w:r w:rsidRPr="0029329A">
        <w:rPr>
          <w:rFonts w:ascii="Times New Roman" w:hAnsi="Times New Roman" w:cs="Times New Roman"/>
          <w:bCs/>
          <w:sz w:val="28"/>
          <w:szCs w:val="28"/>
          <w:lang w:eastAsia="en-US"/>
        </w:rPr>
        <w:t>s</w:t>
      </w:r>
      <w:r w:rsidRPr="0029329A">
        <w:rPr>
          <w:rFonts w:ascii="Times New Roman" w:hAnsi="Times New Roman" w:cs="Times New Roman"/>
          <w:bCs/>
          <w:sz w:val="28"/>
          <w:szCs w:val="28"/>
          <w:lang w:eastAsia="en-US"/>
        </w:rPr>
        <w:t xml:space="preserve"> acusada</w:t>
      </w:r>
      <w:r w:rsidRPr="0029329A">
        <w:rPr>
          <w:rFonts w:ascii="Times New Roman" w:hAnsi="Times New Roman" w:cs="Times New Roman"/>
          <w:bCs/>
          <w:sz w:val="28"/>
          <w:szCs w:val="28"/>
          <w:lang w:eastAsia="en-US"/>
        </w:rPr>
        <w:t>s son</w:t>
      </w:r>
      <w:r w:rsidRPr="0029329A">
        <w:rPr>
          <w:rFonts w:ascii="Times New Roman" w:hAnsi="Times New Roman" w:cs="Times New Roman"/>
          <w:bCs/>
          <w:sz w:val="28"/>
          <w:szCs w:val="28"/>
          <w:lang w:eastAsia="en-US"/>
        </w:rPr>
        <w:t xml:space="preserve"> inconstitucional</w:t>
      </w:r>
      <w:r w:rsidRPr="0029329A">
        <w:rPr>
          <w:rFonts w:ascii="Times New Roman" w:hAnsi="Times New Roman" w:cs="Times New Roman"/>
          <w:bCs/>
          <w:sz w:val="28"/>
          <w:szCs w:val="28"/>
          <w:lang w:eastAsia="en-US"/>
        </w:rPr>
        <w:t>es</w:t>
      </w:r>
      <w:r w:rsidRPr="0029329A">
        <w:rPr>
          <w:rFonts w:ascii="Times New Roman" w:hAnsi="Times New Roman" w:cs="Times New Roman"/>
          <w:bCs/>
          <w:sz w:val="28"/>
          <w:szCs w:val="28"/>
          <w:lang w:eastAsia="en-US"/>
        </w:rPr>
        <w:t xml:space="preserve"> por violación al principio de unidad de materia. En lo fundamental, no guarda</w:t>
      </w:r>
      <w:r w:rsidRPr="0029329A">
        <w:rPr>
          <w:rFonts w:ascii="Times New Roman" w:hAnsi="Times New Roman" w:cs="Times New Roman"/>
          <w:bCs/>
          <w:sz w:val="28"/>
          <w:szCs w:val="28"/>
          <w:lang w:eastAsia="en-US"/>
        </w:rPr>
        <w:t>n</w:t>
      </w:r>
      <w:r w:rsidRPr="0029329A">
        <w:rPr>
          <w:rFonts w:ascii="Times New Roman" w:hAnsi="Times New Roman" w:cs="Times New Roman"/>
          <w:bCs/>
          <w:sz w:val="28"/>
          <w:szCs w:val="28"/>
          <w:lang w:eastAsia="en-US"/>
        </w:rPr>
        <w:t xml:space="preserve"> una conexidad instrumental, inmediata y directa, con ninguno de </w:t>
      </w:r>
      <w:r w:rsidRPr="0029329A">
        <w:rPr>
          <w:rFonts w:ascii="Times New Roman" w:hAnsi="Times New Roman" w:cs="Times New Roman"/>
          <w:sz w:val="28"/>
          <w:szCs w:val="28"/>
        </w:rPr>
        <w:t xml:space="preserve">los </w:t>
      </w:r>
      <w:r w:rsidRPr="0029329A">
        <w:rPr>
          <w:rFonts w:ascii="Times New Roman" w:hAnsi="Times New Roman" w:cs="Times New Roman"/>
          <w:sz w:val="28"/>
          <w:szCs w:val="28"/>
        </w:rPr>
        <w:t xml:space="preserve">objetivos de la parte general del </w:t>
      </w:r>
      <w:r w:rsidRPr="0029329A">
        <w:rPr>
          <w:rFonts w:ascii="Times New Roman" w:hAnsi="Times New Roman" w:cs="Times New Roman"/>
          <w:sz w:val="28"/>
          <w:szCs w:val="28"/>
        </w:rPr>
        <w:t>Plan Nacional de Desarrollo,</w:t>
      </w:r>
      <w:r w:rsidRPr="0029329A">
        <w:rPr>
          <w:rFonts w:ascii="Times New Roman" w:hAnsi="Times New Roman" w:cs="Times New Roman"/>
          <w:sz w:val="28"/>
        </w:rPr>
        <w:t xml:space="preserve"> “</w:t>
      </w:r>
      <w:r w:rsidRPr="0029329A">
        <w:rPr>
          <w:rFonts w:ascii="Times New Roman" w:hAnsi="Times New Roman" w:cs="Times New Roman"/>
          <w:sz w:val="28"/>
          <w:szCs w:val="28"/>
        </w:rPr>
        <w:t>Colombia Potencia Mundial de l</w:t>
      </w:r>
      <w:r w:rsidRPr="0029329A">
        <w:rPr>
          <w:rFonts w:ascii="Times New Roman" w:hAnsi="Times New Roman" w:cs="Times New Roman"/>
          <w:sz w:val="28"/>
          <w:szCs w:val="28"/>
        </w:rPr>
        <w:t>a Vida</w:t>
      </w:r>
      <w:r w:rsidRPr="0029329A">
        <w:rPr>
          <w:rFonts w:ascii="Times New Roman" w:hAnsi="Times New Roman" w:cs="Times New Roman"/>
          <w:sz w:val="28"/>
          <w:szCs w:val="28"/>
        </w:rPr>
        <w:t>”</w:t>
      </w:r>
      <w:r w:rsidRPr="0029329A">
        <w:rPr>
          <w:rFonts w:ascii="Times New Roman" w:hAnsi="Times New Roman" w:cs="Times New Roman"/>
          <w:sz w:val="28"/>
          <w:szCs w:val="28"/>
        </w:rPr>
        <w:t>, ni co</w:t>
      </w:r>
      <w:r w:rsidRPr="0029329A">
        <w:rPr>
          <w:rFonts w:ascii="Times New Roman" w:hAnsi="Times New Roman" w:cs="Times New Roman"/>
          <w:sz w:val="28"/>
          <w:szCs w:val="28"/>
        </w:rPr>
        <w:t xml:space="preserve">n </w:t>
      </w:r>
      <w:r w:rsidRPr="0029329A">
        <w:rPr>
          <w:rFonts w:ascii="Times New Roman" w:hAnsi="Times New Roman" w:cs="Times New Roman"/>
          <w:sz w:val="28"/>
          <w:szCs w:val="28"/>
        </w:rPr>
        <w:t xml:space="preserve">ejes transversales </w:t>
      </w:r>
      <w:r w:rsidRPr="0029329A">
        <w:rPr>
          <w:rFonts w:ascii="Times New Roman" w:hAnsi="Times New Roman" w:cs="Times New Roman"/>
          <w:sz w:val="28"/>
          <w:szCs w:val="28"/>
        </w:rPr>
        <w:t xml:space="preserve">estructurados en el mismo. </w:t>
      </w:r>
      <w:r w:rsidRPr="0029329A">
        <w:rPr>
          <w:rFonts w:ascii="Times New Roman" w:hAnsi="Times New Roman" w:cs="Times New Roman"/>
          <w:sz w:val="28"/>
          <w:szCs w:val="28"/>
        </w:rPr>
        <w:t>Adi</w:t>
      </w:r>
      <w:r w:rsidRPr="0029329A">
        <w:rPr>
          <w:rFonts w:ascii="Times New Roman" w:hAnsi="Times New Roman" w:cs="Times New Roman"/>
          <w:sz w:val="28"/>
          <w:szCs w:val="28"/>
        </w:rPr>
        <w:t xml:space="preserve">cionalmente, pese a tratarse de </w:t>
      </w:r>
      <w:r w:rsidRPr="0029329A">
        <w:rPr>
          <w:rFonts w:ascii="Times New Roman" w:hAnsi="Times New Roman" w:cs="Times New Roman"/>
          <w:sz w:val="28"/>
          <w:szCs w:val="28"/>
        </w:rPr>
        <w:t>norma</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 de carácter permanente y de contenido tributario, tampoco se </w:t>
      </w:r>
      <w:r w:rsidRPr="0029329A">
        <w:rPr>
          <w:rFonts w:ascii="Times New Roman" w:hAnsi="Times New Roman" w:cs="Times New Roman"/>
          <w:sz w:val="28"/>
          <w:szCs w:val="28"/>
        </w:rPr>
        <w:t xml:space="preserve">adujeron </w:t>
      </w:r>
      <w:r w:rsidRPr="0029329A">
        <w:rPr>
          <w:rFonts w:ascii="Times New Roman" w:hAnsi="Times New Roman" w:cs="Times New Roman"/>
          <w:sz w:val="28"/>
          <w:szCs w:val="28"/>
        </w:rPr>
        <w:t xml:space="preserve">razones </w:t>
      </w:r>
      <w:r w:rsidRPr="0029329A">
        <w:rPr>
          <w:rFonts w:ascii="Times New Roman" w:hAnsi="Times New Roman" w:cs="Times New Roman"/>
          <w:sz w:val="28"/>
          <w:szCs w:val="28"/>
        </w:rPr>
        <w:t>que justificaran su necesidad o su u</w:t>
      </w:r>
      <w:r w:rsidRPr="0029329A">
        <w:rPr>
          <w:rFonts w:ascii="Times New Roman" w:hAnsi="Times New Roman" w:cs="Times New Roman"/>
          <w:sz w:val="28"/>
          <w:szCs w:val="28"/>
        </w:rPr>
        <w:t>so, desde el punto de vista de las finalidades del P</w:t>
      </w:r>
      <w:r w:rsidRPr="0029329A">
        <w:rPr>
          <w:rFonts w:ascii="Times New Roman" w:hAnsi="Times New Roman" w:cs="Times New Roman"/>
          <w:sz w:val="28"/>
          <w:szCs w:val="28"/>
        </w:rPr>
        <w:t xml:space="preserve">lan Nacional de Desarrollo. Lo anterior conduce a que la carga fiscal demandada es incompatible con la Constitución </w:t>
      </w:r>
      <w:r w:rsidRPr="0029329A">
        <w:rPr>
          <w:rFonts w:ascii="Times New Roman" w:hAnsi="Times New Roman" w:cs="Times New Roman"/>
          <w:bCs/>
          <w:sz w:val="28"/>
          <w:szCs w:val="28"/>
          <w:lang w:eastAsia="en-US"/>
        </w:rPr>
        <w:t xml:space="preserve">y, por consiguiente, la Sala Plena </w:t>
      </w:r>
      <w:r w:rsidRPr="0029329A">
        <w:rPr>
          <w:rFonts w:ascii="Times New Roman" w:hAnsi="Times New Roman" w:cs="Times New Roman"/>
          <w:bCs/>
          <w:sz w:val="28"/>
          <w:szCs w:val="28"/>
          <w:lang w:eastAsia="en-US"/>
        </w:rPr>
        <w:t xml:space="preserve">declarará la inexequibilidad de las normas </w:t>
      </w:r>
      <w:r w:rsidRPr="0029329A">
        <w:rPr>
          <w:rFonts w:ascii="Times New Roman" w:hAnsi="Times New Roman" w:cs="Times New Roman"/>
          <w:bCs/>
          <w:sz w:val="28"/>
          <w:szCs w:val="28"/>
          <w:lang w:eastAsia="en-US"/>
        </w:rPr>
        <w:t xml:space="preserve">demandadas </w:t>
      </w:r>
      <w:r w:rsidRPr="0029329A">
        <w:rPr>
          <w:rFonts w:ascii="Times New Roman" w:hAnsi="Times New Roman" w:cs="Times New Roman"/>
          <w:bCs/>
          <w:sz w:val="28"/>
          <w:szCs w:val="28"/>
          <w:lang w:eastAsia="en-US"/>
        </w:rPr>
        <w:t>por la violación del principio de unidad de materia</w:t>
      </w:r>
      <w:r w:rsidRPr="0029329A">
        <w:rPr>
          <w:rFonts w:ascii="Times New Roman" w:hAnsi="Times New Roman" w:cs="Times New Roman"/>
          <w:bCs/>
          <w:sz w:val="28"/>
          <w:szCs w:val="28"/>
          <w:lang w:eastAsia="en-US"/>
        </w:rPr>
        <w:t>.</w:t>
      </w:r>
    </w:p>
    <w:p w:rsidR="007F1D19" w:rsidRPr="0029329A" w:rsidRDefault="0029329A" w:rsidP="0000361F">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i/>
          <w:sz w:val="28"/>
          <w:szCs w:val="28"/>
          <w:lang w:val="es-ES"/>
        </w:rPr>
      </w:pPr>
    </w:p>
    <w:p w:rsidR="00E95F39" w:rsidRPr="0029329A" w:rsidRDefault="0029329A" w:rsidP="0000361F">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i/>
          <w:sz w:val="28"/>
          <w:szCs w:val="28"/>
          <w:lang w:val="es-ES"/>
        </w:rPr>
      </w:pPr>
      <w:r w:rsidRPr="0029329A">
        <w:rPr>
          <w:rFonts w:ascii="Times New Roman" w:hAnsi="Times New Roman" w:cs="Times New Roman"/>
          <w:b/>
          <w:bCs/>
          <w:i/>
          <w:sz w:val="28"/>
          <w:szCs w:val="28"/>
          <w:lang w:val="es-ES"/>
        </w:rPr>
        <w:t>Análisis del segundo cargo</w:t>
      </w:r>
    </w:p>
    <w:p w:rsidR="00E95F39" w:rsidRPr="0029329A" w:rsidRDefault="0029329A" w:rsidP="0000361F">
      <w:pPr>
        <w:tabs>
          <w:tab w:val="left" w:pos="8647"/>
        </w:tabs>
        <w:overflowPunct w:val="0"/>
        <w:autoSpaceDE w:val="0"/>
        <w:autoSpaceDN w:val="0"/>
        <w:adjustRightInd w:val="0"/>
        <w:spacing w:after="0" w:line="360" w:lineRule="atLeast"/>
        <w:ind w:right="567"/>
        <w:jc w:val="both"/>
        <w:textAlignment w:val="baseline"/>
        <w:rPr>
          <w:rFonts w:ascii="Times New Roman" w:hAnsi="Times New Roman" w:cs="Times New Roman"/>
          <w:b/>
          <w:bCs/>
          <w:i/>
          <w:sz w:val="28"/>
          <w:szCs w:val="28"/>
          <w:lang w:val="es-ES"/>
        </w:rPr>
      </w:pPr>
    </w:p>
    <w:p w:rsidR="00E95F39" w:rsidRPr="0029329A" w:rsidRDefault="0029329A" w:rsidP="00E95F39">
      <w:pPr>
        <w:spacing w:after="0" w:line="254" w:lineRule="atLeast"/>
        <w:jc w:val="both"/>
        <w:rPr>
          <w:rFonts w:ascii="Times New Roman" w:hAnsi="Times New Roman" w:cs="Times New Roman"/>
          <w:color w:val="000000"/>
          <w:sz w:val="28"/>
          <w:szCs w:val="28"/>
        </w:rPr>
      </w:pPr>
      <w:r w:rsidRPr="0029329A">
        <w:rPr>
          <w:rFonts w:ascii="Times New Roman" w:hAnsi="Times New Roman" w:cs="Times New Roman"/>
          <w:color w:val="000000"/>
          <w:sz w:val="28"/>
          <w:szCs w:val="28"/>
        </w:rPr>
        <w:t xml:space="preserve">129. </w:t>
      </w:r>
      <w:r w:rsidRPr="0029329A">
        <w:rPr>
          <w:rFonts w:ascii="Times New Roman" w:hAnsi="Times New Roman" w:cs="Times New Roman"/>
          <w:color w:val="000000"/>
          <w:sz w:val="28"/>
          <w:szCs w:val="28"/>
        </w:rPr>
        <w:t xml:space="preserve">Finalmente, debido a que por el primer cargo fueron declaradas inconstitucionales las normas demandadas, la Sala </w:t>
      </w:r>
      <w:r w:rsidRPr="0029329A">
        <w:rPr>
          <w:rFonts w:ascii="Times New Roman" w:hAnsi="Times New Roman" w:cs="Times New Roman"/>
          <w:color w:val="000000"/>
          <w:sz w:val="28"/>
          <w:szCs w:val="28"/>
        </w:rPr>
        <w:t>no considera necesario hacer</w:t>
      </w:r>
      <w:r w:rsidRPr="0029329A">
        <w:rPr>
          <w:rFonts w:ascii="Times New Roman" w:hAnsi="Times New Roman" w:cs="Times New Roman"/>
          <w:color w:val="000000"/>
          <w:sz w:val="28"/>
          <w:szCs w:val="28"/>
        </w:rPr>
        <w:t xml:space="preserve"> el análisis del cargo por la presunta violación del principio de legalidad y certeza tributari</w:t>
      </w:r>
      <w:r w:rsidRPr="0029329A">
        <w:rPr>
          <w:rFonts w:ascii="Times New Roman" w:hAnsi="Times New Roman" w:cs="Times New Roman"/>
          <w:color w:val="000000"/>
          <w:sz w:val="28"/>
          <w:szCs w:val="28"/>
        </w:rPr>
        <w:t>a.</w:t>
      </w:r>
    </w:p>
    <w:p w:rsidR="00E95F39" w:rsidRPr="0029329A" w:rsidRDefault="0029329A" w:rsidP="00C07886">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p>
    <w:p w:rsidR="007115B6" w:rsidRPr="0029329A" w:rsidRDefault="0029329A" w:rsidP="00C07886">
      <w:pPr>
        <w:overflowPunct w:val="0"/>
        <w:autoSpaceDE w:val="0"/>
        <w:autoSpaceDN w:val="0"/>
        <w:adjustRightInd w:val="0"/>
        <w:spacing w:after="0" w:line="360" w:lineRule="atLeast"/>
        <w:jc w:val="both"/>
        <w:textAlignment w:val="baseline"/>
        <w:rPr>
          <w:rFonts w:ascii="Times New Roman" w:hAnsi="Times New Roman" w:cs="Times New Roman"/>
          <w:b/>
          <w:sz w:val="28"/>
          <w:szCs w:val="28"/>
        </w:rPr>
      </w:pPr>
      <w:r w:rsidRPr="0029329A">
        <w:rPr>
          <w:rFonts w:ascii="Times New Roman" w:hAnsi="Times New Roman" w:cs="Times New Roman"/>
          <w:b/>
          <w:sz w:val="28"/>
          <w:szCs w:val="28"/>
        </w:rPr>
        <w:t>I</w:t>
      </w:r>
      <w:r w:rsidRPr="0029329A">
        <w:rPr>
          <w:rFonts w:ascii="Times New Roman" w:hAnsi="Times New Roman" w:cs="Times New Roman"/>
          <w:b/>
          <w:sz w:val="28"/>
          <w:szCs w:val="28"/>
        </w:rPr>
        <w:t>V</w:t>
      </w:r>
      <w:r w:rsidRPr="0029329A">
        <w:rPr>
          <w:rFonts w:ascii="Times New Roman" w:hAnsi="Times New Roman" w:cs="Times New Roman"/>
          <w:b/>
          <w:sz w:val="28"/>
          <w:szCs w:val="28"/>
        </w:rPr>
        <w:t xml:space="preserve">. </w:t>
      </w:r>
      <w:r w:rsidRPr="0029329A">
        <w:rPr>
          <w:rFonts w:ascii="Times New Roman" w:hAnsi="Times New Roman" w:cs="Times New Roman"/>
          <w:b/>
          <w:sz w:val="28"/>
          <w:szCs w:val="28"/>
        </w:rPr>
        <w:tab/>
      </w:r>
      <w:r w:rsidRPr="0029329A">
        <w:rPr>
          <w:rFonts w:ascii="Times New Roman" w:hAnsi="Times New Roman" w:cs="Times New Roman"/>
          <w:b/>
          <w:sz w:val="28"/>
          <w:szCs w:val="28"/>
        </w:rPr>
        <w:t>DECISIÓN</w:t>
      </w:r>
      <w:r w:rsidRPr="0029329A">
        <w:rPr>
          <w:rFonts w:ascii="Times New Roman" w:hAnsi="Times New Roman" w:cs="Times New Roman"/>
          <w:b/>
          <w:sz w:val="28"/>
          <w:szCs w:val="28"/>
        </w:rPr>
        <w:tab/>
      </w:r>
      <w:r w:rsidRPr="0029329A">
        <w:rPr>
          <w:rFonts w:ascii="Times New Roman" w:hAnsi="Times New Roman" w:cs="Times New Roman"/>
          <w:b/>
          <w:sz w:val="28"/>
          <w:szCs w:val="28"/>
        </w:rPr>
        <w:tab/>
      </w:r>
    </w:p>
    <w:p w:rsidR="007115B6" w:rsidRPr="0029329A" w:rsidRDefault="0029329A" w:rsidP="00C07886">
      <w:pPr>
        <w:spacing w:after="0" w:line="360" w:lineRule="atLeast"/>
        <w:jc w:val="both"/>
        <w:rPr>
          <w:rFonts w:ascii="Times New Roman" w:hAnsi="Times New Roman" w:cs="Times New Roman"/>
          <w:sz w:val="28"/>
          <w:szCs w:val="28"/>
        </w:rPr>
      </w:pPr>
      <w:r w:rsidRPr="0029329A">
        <w:rPr>
          <w:rFonts w:ascii="Times New Roman" w:hAnsi="Times New Roman" w:cs="Times New Roman"/>
          <w:sz w:val="28"/>
          <w:szCs w:val="28"/>
        </w:rPr>
        <w:t xml:space="preserve"> </w:t>
      </w:r>
    </w:p>
    <w:p w:rsidR="00493706" w:rsidRPr="0029329A" w:rsidRDefault="0029329A" w:rsidP="00C07886">
      <w:pPr>
        <w:spacing w:after="0" w:line="360" w:lineRule="atLeast"/>
        <w:jc w:val="both"/>
        <w:rPr>
          <w:rFonts w:ascii="Times New Roman" w:hAnsi="Times New Roman" w:cs="Times New Roman"/>
          <w:sz w:val="28"/>
          <w:szCs w:val="28"/>
        </w:rPr>
      </w:pPr>
      <w:r w:rsidRPr="0029329A">
        <w:rPr>
          <w:rFonts w:ascii="Times New Roman" w:hAnsi="Times New Roman" w:cs="Times New Roman"/>
          <w:sz w:val="28"/>
          <w:szCs w:val="28"/>
        </w:rPr>
        <w:t>En mérit</w:t>
      </w:r>
      <w:r w:rsidRPr="0029329A">
        <w:rPr>
          <w:rFonts w:ascii="Times New Roman" w:hAnsi="Times New Roman" w:cs="Times New Roman"/>
          <w:sz w:val="28"/>
          <w:szCs w:val="28"/>
        </w:rPr>
        <w:t xml:space="preserve">o de lo expuesto, la Sala </w:t>
      </w:r>
      <w:r w:rsidRPr="0029329A">
        <w:rPr>
          <w:rFonts w:ascii="Times New Roman" w:hAnsi="Times New Roman" w:cs="Times New Roman"/>
          <w:sz w:val="28"/>
          <w:szCs w:val="28"/>
        </w:rPr>
        <w:t xml:space="preserve">Plena </w:t>
      </w:r>
      <w:r w:rsidRPr="0029329A">
        <w:rPr>
          <w:rFonts w:ascii="Times New Roman" w:hAnsi="Times New Roman" w:cs="Times New Roman"/>
          <w:sz w:val="28"/>
          <w:szCs w:val="28"/>
        </w:rPr>
        <w:t xml:space="preserve">de la Corte Constitucional, administrando justicia en nombre del pueblo y por mandato de la </w:t>
      </w:r>
      <w:r w:rsidRPr="0029329A">
        <w:rPr>
          <w:rFonts w:ascii="Times New Roman" w:hAnsi="Times New Roman" w:cs="Times New Roman"/>
          <w:sz w:val="28"/>
          <w:szCs w:val="28"/>
        </w:rPr>
        <w:t>Constitución,</w:t>
      </w:r>
    </w:p>
    <w:p w:rsidR="003A439C" w:rsidRPr="0029329A" w:rsidRDefault="0029329A" w:rsidP="00C07886">
      <w:pPr>
        <w:spacing w:after="0" w:line="360" w:lineRule="atLeast"/>
        <w:jc w:val="both"/>
        <w:rPr>
          <w:rFonts w:ascii="Times New Roman" w:hAnsi="Times New Roman" w:cs="Times New Roman"/>
          <w:b/>
          <w:sz w:val="28"/>
          <w:szCs w:val="28"/>
        </w:rPr>
      </w:pPr>
    </w:p>
    <w:p w:rsidR="007115B6" w:rsidRPr="0029329A" w:rsidRDefault="0029329A" w:rsidP="00C07886">
      <w:pPr>
        <w:spacing w:after="0" w:line="360" w:lineRule="atLeast"/>
        <w:jc w:val="center"/>
        <w:rPr>
          <w:rFonts w:ascii="Times New Roman" w:hAnsi="Times New Roman" w:cs="Times New Roman"/>
          <w:b/>
          <w:sz w:val="28"/>
          <w:szCs w:val="28"/>
        </w:rPr>
      </w:pPr>
      <w:r w:rsidRPr="0029329A">
        <w:rPr>
          <w:rFonts w:ascii="Times New Roman" w:hAnsi="Times New Roman" w:cs="Times New Roman"/>
          <w:b/>
          <w:sz w:val="28"/>
          <w:szCs w:val="28"/>
        </w:rPr>
        <w:t>RESUELVE</w:t>
      </w:r>
    </w:p>
    <w:p w:rsidR="00560C96" w:rsidRPr="0029329A" w:rsidRDefault="0029329A" w:rsidP="00C07886">
      <w:pPr>
        <w:spacing w:after="0" w:line="360" w:lineRule="atLeast"/>
        <w:jc w:val="both"/>
        <w:rPr>
          <w:rFonts w:ascii="Times New Roman" w:hAnsi="Times New Roman" w:cs="Times New Roman"/>
          <w:b/>
          <w:sz w:val="28"/>
          <w:szCs w:val="28"/>
          <w:highlight w:val="yellow"/>
        </w:rPr>
      </w:pPr>
    </w:p>
    <w:p w:rsidR="00DD7883" w:rsidRPr="0029329A" w:rsidRDefault="0029329A" w:rsidP="00DD7883">
      <w:pPr>
        <w:widowControl w:val="0"/>
        <w:spacing w:after="0"/>
        <w:ind w:right="-91"/>
        <w:jc w:val="both"/>
        <w:rPr>
          <w:rFonts w:ascii="Times New Roman" w:hAnsi="Times New Roman" w:cs="Times New Roman"/>
          <w:sz w:val="28"/>
          <w:szCs w:val="28"/>
          <w:lang w:val="es-ES"/>
        </w:rPr>
      </w:pPr>
      <w:r w:rsidRPr="0029329A">
        <w:rPr>
          <w:rFonts w:ascii="Times New Roman" w:hAnsi="Times New Roman" w:cs="Times New Roman"/>
          <w:b/>
          <w:sz w:val="28"/>
          <w:szCs w:val="28"/>
        </w:rPr>
        <w:t>Declarar INEXEQUIBLE</w:t>
      </w:r>
      <w:r w:rsidRPr="0029329A">
        <w:rPr>
          <w:rFonts w:ascii="Times New Roman" w:hAnsi="Times New Roman" w:cs="Times New Roman"/>
          <w:b/>
          <w:sz w:val="28"/>
          <w:szCs w:val="28"/>
        </w:rPr>
        <w:t>S</w:t>
      </w:r>
      <w:r w:rsidRPr="0029329A">
        <w:rPr>
          <w:rFonts w:ascii="Times New Roman" w:hAnsi="Times New Roman" w:cs="Times New Roman"/>
          <w:b/>
          <w:sz w:val="28"/>
          <w:szCs w:val="28"/>
        </w:rPr>
        <w:t xml:space="preserve"> </w:t>
      </w:r>
      <w:r w:rsidRPr="0029329A">
        <w:rPr>
          <w:rFonts w:ascii="Times New Roman" w:hAnsi="Times New Roman" w:cs="Times New Roman"/>
          <w:sz w:val="28"/>
          <w:szCs w:val="28"/>
        </w:rPr>
        <w:t xml:space="preserve">los </w:t>
      </w:r>
      <w:r w:rsidRPr="0029329A">
        <w:rPr>
          <w:rFonts w:ascii="Times New Roman" w:hAnsi="Times New Roman" w:cs="Times New Roman"/>
          <w:sz w:val="28"/>
          <w:szCs w:val="28"/>
          <w:lang w:val="es-ES"/>
        </w:rPr>
        <w:t>artículos 135</w:t>
      </w:r>
      <w:r w:rsidRPr="0029329A">
        <w:rPr>
          <w:rFonts w:ascii="Times New Roman" w:hAnsi="Times New Roman" w:cs="Times New Roman"/>
          <w:sz w:val="28"/>
          <w:szCs w:val="28"/>
          <w:lang w:val="es-ES"/>
        </w:rPr>
        <w:t xml:space="preserve"> y 169 de la Ley 2294 de 2023, </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por l</w:t>
      </w:r>
      <w:r w:rsidRPr="0029329A">
        <w:rPr>
          <w:rFonts w:ascii="Times New Roman" w:hAnsi="Times New Roman" w:cs="Times New Roman"/>
          <w:sz w:val="28"/>
          <w:szCs w:val="28"/>
          <w:lang w:val="es-ES"/>
        </w:rPr>
        <w:t>a</w:t>
      </w:r>
      <w:r w:rsidRPr="0029329A">
        <w:rPr>
          <w:rFonts w:ascii="Times New Roman" w:hAnsi="Times New Roman" w:cs="Times New Roman"/>
          <w:sz w:val="28"/>
          <w:szCs w:val="28"/>
          <w:lang w:val="es-ES"/>
        </w:rPr>
        <w:t xml:space="preserve"> cual se expide el Plan Nacional de Desarrollo 2022- 2026</w:t>
      </w:r>
      <w:r w:rsidRPr="0029329A">
        <w:rPr>
          <w:rFonts w:ascii="Times New Roman" w:hAnsi="Times New Roman" w:cs="Times New Roman"/>
          <w:sz w:val="28"/>
          <w:szCs w:val="28"/>
          <w:lang w:val="es-ES"/>
        </w:rPr>
        <w:t xml:space="preserve"> “</w:t>
      </w:r>
      <w:r w:rsidRPr="0029329A">
        <w:rPr>
          <w:rFonts w:ascii="Times New Roman" w:hAnsi="Times New Roman" w:cs="Times New Roman"/>
          <w:i/>
          <w:sz w:val="28"/>
          <w:szCs w:val="28"/>
          <w:lang w:val="es-ES"/>
        </w:rPr>
        <w:t>Colombia Potencia Mundial de la Vida</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w:t>
      </w:r>
      <w:r w:rsidRPr="0029329A">
        <w:rPr>
          <w:rFonts w:ascii="Times New Roman" w:hAnsi="Times New Roman" w:cs="Times New Roman"/>
          <w:sz w:val="28"/>
          <w:szCs w:val="28"/>
          <w:lang w:val="es-ES"/>
        </w:rPr>
        <w:t>.</w:t>
      </w:r>
    </w:p>
    <w:p w:rsidR="00FF44D7" w:rsidRPr="0029329A" w:rsidRDefault="0029329A" w:rsidP="00C07886">
      <w:pPr>
        <w:widowControl w:val="0"/>
        <w:spacing w:after="0" w:line="360" w:lineRule="atLeast"/>
        <w:jc w:val="both"/>
        <w:rPr>
          <w:rFonts w:ascii="Times New Roman" w:hAnsi="Times New Roman" w:cs="Times New Roman"/>
          <w:bCs/>
          <w:sz w:val="28"/>
          <w:szCs w:val="28"/>
          <w:lang w:eastAsia="en-US"/>
        </w:rPr>
      </w:pPr>
    </w:p>
    <w:p w:rsidR="00DD7883" w:rsidRPr="0029329A" w:rsidRDefault="0029329A" w:rsidP="000D3A8C">
      <w:pPr>
        <w:spacing w:after="0" w:line="360" w:lineRule="atLeast"/>
        <w:jc w:val="both"/>
        <w:rPr>
          <w:rFonts w:ascii="Times New Roman" w:hAnsi="Times New Roman" w:cs="Times New Roman"/>
          <w:sz w:val="28"/>
          <w:szCs w:val="28"/>
        </w:rPr>
      </w:pPr>
      <w:r w:rsidRPr="0029329A">
        <w:rPr>
          <w:rFonts w:ascii="Times New Roman" w:hAnsi="Times New Roman" w:cs="Times New Roman"/>
          <w:sz w:val="28"/>
          <w:szCs w:val="28"/>
        </w:rPr>
        <w:t>Notifíquese, comuníquese, publíquese, cúmplase y archí</w:t>
      </w:r>
      <w:r w:rsidRPr="0029329A">
        <w:rPr>
          <w:rFonts w:ascii="Times New Roman" w:hAnsi="Times New Roman" w:cs="Times New Roman"/>
          <w:sz w:val="28"/>
          <w:szCs w:val="28"/>
        </w:rPr>
        <w:t>vese el expediente</w:t>
      </w:r>
      <w:r w:rsidRPr="0029329A">
        <w:rPr>
          <w:rFonts w:ascii="Times New Roman" w:hAnsi="Times New Roman" w:cs="Times New Roman"/>
          <w:sz w:val="28"/>
          <w:szCs w:val="28"/>
        </w:rPr>
        <w:t>.</w:t>
      </w:r>
    </w:p>
    <w:p w:rsidR="00593A79" w:rsidRPr="0029329A" w:rsidRDefault="0029329A" w:rsidP="000D3A8C">
      <w:pPr>
        <w:spacing w:after="0" w:line="360" w:lineRule="atLeast"/>
        <w:jc w:val="both"/>
        <w:rPr>
          <w:rFonts w:ascii="Times New Roman" w:hAnsi="Times New Roman" w:cs="Times New Roman"/>
          <w:sz w:val="28"/>
          <w:szCs w:val="28"/>
        </w:rPr>
      </w:pPr>
    </w:p>
    <w:p w:rsidR="00593A79" w:rsidRPr="0029329A" w:rsidRDefault="0029329A" w:rsidP="000D3A8C">
      <w:pPr>
        <w:spacing w:after="0" w:line="360" w:lineRule="atLeast"/>
        <w:jc w:val="both"/>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JOSE FERNANDO REYES CUARTAS</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Presidente</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NATALIA ÁNGEL CABO</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Magistrada</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Con salvamento parcial de voto</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JUAN CARLOS CORTÉS GONZÁLEZ</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 xml:space="preserve">Magistrado </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 xml:space="preserve">Con Salvamento parcial de voto </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DIANA FAJARDO RIVERA</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Magistrada</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 xml:space="preserve">Con salvamento </w:t>
      </w:r>
      <w:r w:rsidRPr="0029329A">
        <w:rPr>
          <w:rFonts w:ascii="Times New Roman" w:hAnsi="Times New Roman" w:cs="Times New Roman"/>
          <w:sz w:val="28"/>
          <w:szCs w:val="28"/>
        </w:rPr>
        <w:t>parcial de voto</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VLADIMIR FERNÁNDEZ ANDRADE</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Magistrado</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Con impedimento aceptado</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 xml:space="preserve">JORGE ENRIQUE IBÁÑEZ NAJAR </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Magistrado</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Con aclaración de voto</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ANTONIO JOSÉ LIZARAZO OCAMPO</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Magistrado</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Con aclaración de voto</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PAOLA ANDREA MENESES MOSQUERA</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Magistrada</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CRISTINA PARDO SCHLESINGER</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Magistrada</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ANDREA LILIANA ROMERO LOPEZ</w:t>
      </w:r>
    </w:p>
    <w:p w:rsidR="00593A79" w:rsidRPr="0029329A" w:rsidRDefault="0029329A" w:rsidP="00593A79">
      <w:pPr>
        <w:spacing w:after="0" w:line="360" w:lineRule="atLeast"/>
        <w:jc w:val="center"/>
        <w:rPr>
          <w:rFonts w:ascii="Times New Roman" w:hAnsi="Times New Roman" w:cs="Times New Roman"/>
          <w:sz w:val="28"/>
          <w:szCs w:val="28"/>
        </w:rPr>
      </w:pPr>
      <w:r w:rsidRPr="0029329A">
        <w:rPr>
          <w:rFonts w:ascii="Times New Roman" w:hAnsi="Times New Roman" w:cs="Times New Roman"/>
          <w:sz w:val="28"/>
          <w:szCs w:val="28"/>
        </w:rPr>
        <w:t>Secretaria General</w:t>
      </w: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593A79" w:rsidRPr="0029329A" w:rsidRDefault="0029329A" w:rsidP="00593A79">
      <w:pPr>
        <w:spacing w:after="0" w:line="360" w:lineRule="atLeast"/>
        <w:jc w:val="center"/>
        <w:rPr>
          <w:rFonts w:ascii="Times New Roman" w:hAnsi="Times New Roman" w:cs="Times New Roman"/>
          <w:sz w:val="28"/>
          <w:szCs w:val="28"/>
        </w:rPr>
      </w:pPr>
    </w:p>
    <w:p w:rsidR="00151661" w:rsidRPr="0029329A" w:rsidRDefault="0029329A" w:rsidP="00D21BAE">
      <w:pPr>
        <w:jc w:val="center"/>
        <w:outlineLvl w:val="0"/>
        <w:rPr>
          <w:rFonts w:ascii="Times New Roman" w:hAnsi="Times New Roman" w:cs="Times New Roman"/>
          <w:b/>
          <w:sz w:val="28"/>
          <w:szCs w:val="28"/>
        </w:rPr>
      </w:pPr>
    </w:p>
    <w:p w:rsidR="00151661" w:rsidRPr="0029329A" w:rsidRDefault="0029329A" w:rsidP="00D21BAE">
      <w:pPr>
        <w:jc w:val="center"/>
        <w:outlineLvl w:val="0"/>
        <w:rPr>
          <w:rFonts w:ascii="Times New Roman" w:hAnsi="Times New Roman" w:cs="Times New Roman"/>
          <w:b/>
          <w:sz w:val="28"/>
          <w:szCs w:val="28"/>
        </w:rPr>
      </w:pPr>
    </w:p>
    <w:p w:rsidR="004562D7" w:rsidRPr="0029329A" w:rsidRDefault="0029329A" w:rsidP="00D21BAE">
      <w:pPr>
        <w:jc w:val="center"/>
        <w:outlineLvl w:val="0"/>
        <w:rPr>
          <w:rFonts w:ascii="Times New Roman" w:hAnsi="Times New Roman" w:cs="Times New Roman"/>
          <w:b/>
          <w:sz w:val="28"/>
          <w:szCs w:val="28"/>
        </w:rPr>
      </w:pPr>
      <w:r w:rsidRPr="0029329A">
        <w:rPr>
          <w:rFonts w:ascii="Times New Roman" w:hAnsi="Times New Roman" w:cs="Times New Roman"/>
          <w:b/>
          <w:sz w:val="28"/>
          <w:szCs w:val="28"/>
        </w:rPr>
        <w:t>SALVAMENTO PARCIAL</w:t>
      </w:r>
      <w:r w:rsidRPr="0029329A">
        <w:rPr>
          <w:rFonts w:ascii="Times New Roman" w:hAnsi="Times New Roman" w:cs="Times New Roman"/>
          <w:b/>
          <w:sz w:val="28"/>
          <w:szCs w:val="28"/>
        </w:rPr>
        <w:t xml:space="preserve"> </w:t>
      </w:r>
      <w:r w:rsidRPr="0029329A">
        <w:rPr>
          <w:rFonts w:ascii="Times New Roman" w:hAnsi="Times New Roman" w:cs="Times New Roman"/>
          <w:b/>
          <w:sz w:val="28"/>
          <w:szCs w:val="28"/>
        </w:rPr>
        <w:t>DE VOTO DE L</w:t>
      </w:r>
      <w:r w:rsidRPr="0029329A">
        <w:rPr>
          <w:rFonts w:ascii="Times New Roman" w:hAnsi="Times New Roman" w:cs="Times New Roman"/>
          <w:b/>
          <w:sz w:val="28"/>
          <w:szCs w:val="28"/>
        </w:rPr>
        <w:t>OS</w:t>
      </w:r>
      <w:r w:rsidRPr="0029329A">
        <w:rPr>
          <w:rFonts w:ascii="Times New Roman" w:hAnsi="Times New Roman" w:cs="Times New Roman"/>
          <w:b/>
          <w:sz w:val="28"/>
          <w:szCs w:val="28"/>
        </w:rPr>
        <w:t xml:space="preserve"> MAGISTRAD</w:t>
      </w:r>
      <w:r w:rsidRPr="0029329A">
        <w:rPr>
          <w:rFonts w:ascii="Times New Roman" w:hAnsi="Times New Roman" w:cs="Times New Roman"/>
          <w:b/>
          <w:sz w:val="28"/>
          <w:szCs w:val="28"/>
        </w:rPr>
        <w:t>OS</w:t>
      </w:r>
    </w:p>
    <w:p w:rsidR="00602064" w:rsidRPr="0029329A" w:rsidRDefault="0029329A" w:rsidP="00D21BAE">
      <w:pPr>
        <w:jc w:val="center"/>
        <w:outlineLvl w:val="0"/>
        <w:rPr>
          <w:rFonts w:ascii="Times New Roman" w:hAnsi="Times New Roman" w:cs="Times New Roman"/>
          <w:b/>
          <w:sz w:val="28"/>
          <w:szCs w:val="28"/>
        </w:rPr>
      </w:pPr>
      <w:r w:rsidRPr="0029329A">
        <w:rPr>
          <w:rFonts w:ascii="Times New Roman" w:hAnsi="Times New Roman" w:cs="Times New Roman"/>
          <w:b/>
          <w:sz w:val="28"/>
          <w:szCs w:val="28"/>
        </w:rPr>
        <w:t>NATALIA ÁNGEL CABO,</w:t>
      </w:r>
    </w:p>
    <w:p w:rsidR="00602064" w:rsidRPr="0029329A" w:rsidRDefault="0029329A" w:rsidP="00D21BAE">
      <w:pPr>
        <w:jc w:val="center"/>
        <w:outlineLvl w:val="0"/>
        <w:rPr>
          <w:rFonts w:ascii="Times New Roman" w:hAnsi="Times New Roman" w:cs="Times New Roman"/>
          <w:b/>
          <w:sz w:val="28"/>
          <w:szCs w:val="28"/>
        </w:rPr>
      </w:pPr>
      <w:r w:rsidRPr="0029329A">
        <w:rPr>
          <w:rFonts w:ascii="Times New Roman" w:hAnsi="Times New Roman" w:cs="Times New Roman"/>
          <w:b/>
          <w:sz w:val="28"/>
          <w:szCs w:val="28"/>
        </w:rPr>
        <w:t xml:space="preserve">DIANA FAJARDO RIVERA Y </w:t>
      </w:r>
    </w:p>
    <w:p w:rsidR="00602064" w:rsidRPr="0029329A" w:rsidRDefault="0029329A" w:rsidP="00D21BAE">
      <w:pPr>
        <w:jc w:val="center"/>
        <w:outlineLvl w:val="0"/>
        <w:rPr>
          <w:rFonts w:ascii="Times New Roman" w:hAnsi="Times New Roman" w:cs="Times New Roman"/>
          <w:b/>
          <w:sz w:val="28"/>
          <w:szCs w:val="28"/>
        </w:rPr>
      </w:pPr>
      <w:r w:rsidRPr="0029329A">
        <w:rPr>
          <w:rFonts w:ascii="Times New Roman" w:hAnsi="Times New Roman" w:cs="Times New Roman"/>
          <w:b/>
          <w:sz w:val="28"/>
          <w:szCs w:val="28"/>
        </w:rPr>
        <w:t>JUAN CARLOS CORTÉS</w:t>
      </w:r>
      <w:r w:rsidRPr="0029329A">
        <w:rPr>
          <w:rFonts w:ascii="Times New Roman" w:hAnsi="Times New Roman" w:cs="Times New Roman"/>
          <w:b/>
          <w:sz w:val="28"/>
          <w:szCs w:val="28"/>
        </w:rPr>
        <w:t xml:space="preserve"> GONZÁLEZ </w:t>
      </w:r>
    </w:p>
    <w:p w:rsidR="002A31DD" w:rsidRPr="0029329A" w:rsidRDefault="0029329A" w:rsidP="00D21BAE">
      <w:pPr>
        <w:jc w:val="center"/>
        <w:outlineLvl w:val="0"/>
        <w:rPr>
          <w:rFonts w:ascii="Times New Roman" w:hAnsi="Times New Roman" w:cs="Times New Roman"/>
          <w:b/>
          <w:sz w:val="28"/>
          <w:szCs w:val="28"/>
        </w:rPr>
      </w:pPr>
      <w:r w:rsidRPr="0029329A">
        <w:rPr>
          <w:rFonts w:ascii="Times New Roman" w:hAnsi="Times New Roman" w:cs="Times New Roman"/>
          <w:b/>
          <w:sz w:val="28"/>
          <w:szCs w:val="28"/>
        </w:rPr>
        <w:t xml:space="preserve">A LA SENTENCIA </w:t>
      </w:r>
      <w:r w:rsidRPr="0029329A">
        <w:rPr>
          <w:rFonts w:ascii="Times New Roman" w:hAnsi="Times New Roman" w:cs="Times New Roman"/>
          <w:b/>
          <w:sz w:val="28"/>
          <w:szCs w:val="28"/>
        </w:rPr>
        <w:t>C-</w:t>
      </w:r>
      <w:r w:rsidRPr="0029329A">
        <w:rPr>
          <w:rFonts w:ascii="Times New Roman" w:hAnsi="Times New Roman" w:cs="Times New Roman"/>
          <w:b/>
          <w:sz w:val="28"/>
          <w:szCs w:val="28"/>
        </w:rPr>
        <w:t>117</w:t>
      </w:r>
      <w:r w:rsidRPr="0029329A">
        <w:rPr>
          <w:rFonts w:ascii="Times New Roman" w:hAnsi="Times New Roman" w:cs="Times New Roman"/>
          <w:b/>
          <w:sz w:val="28"/>
          <w:szCs w:val="28"/>
        </w:rPr>
        <w:t>/</w:t>
      </w:r>
      <w:r w:rsidRPr="0029329A">
        <w:rPr>
          <w:rFonts w:ascii="Times New Roman" w:hAnsi="Times New Roman" w:cs="Times New Roman"/>
          <w:b/>
          <w:sz w:val="28"/>
          <w:szCs w:val="28"/>
        </w:rPr>
        <w:t>2</w:t>
      </w:r>
      <w:r w:rsidRPr="0029329A">
        <w:rPr>
          <w:rFonts w:ascii="Times New Roman" w:hAnsi="Times New Roman" w:cs="Times New Roman"/>
          <w:b/>
          <w:sz w:val="28"/>
          <w:szCs w:val="28"/>
        </w:rPr>
        <w:t>4</w:t>
      </w:r>
    </w:p>
    <w:p w:rsidR="002A31DD" w:rsidRPr="0029329A" w:rsidRDefault="0029329A" w:rsidP="00D21BAE">
      <w:pPr>
        <w:rPr>
          <w:rFonts w:ascii="Times New Roman" w:hAnsi="Times New Roman" w:cs="Times New Roman"/>
          <w:sz w:val="28"/>
          <w:szCs w:val="28"/>
        </w:rPr>
      </w:pPr>
      <w:r w:rsidRPr="0029329A">
        <w:rPr>
          <w:rFonts w:ascii="Times New Roman" w:hAnsi="Times New Roman" w:cs="Times New Roman"/>
          <w:sz w:val="28"/>
          <w:szCs w:val="28"/>
        </w:rPr>
        <w:t xml:space="preserve"> </w:t>
      </w:r>
    </w:p>
    <w:p w:rsidR="005F57FD" w:rsidRPr="0029329A" w:rsidRDefault="0029329A" w:rsidP="00D21BAE">
      <w:pPr>
        <w:rPr>
          <w:rFonts w:ascii="Times New Roman" w:hAnsi="Times New Roman" w:cs="Times New Roman"/>
          <w:sz w:val="28"/>
          <w:szCs w:val="28"/>
        </w:rPr>
      </w:pPr>
    </w:p>
    <w:p w:rsidR="00336EC8" w:rsidRPr="0029329A" w:rsidRDefault="0029329A" w:rsidP="00602064">
      <w:pPr>
        <w:tabs>
          <w:tab w:val="left" w:pos="8640"/>
          <w:tab w:val="left" w:pos="9000"/>
        </w:tabs>
        <w:ind w:left="3969" w:right="50"/>
        <w:jc w:val="both"/>
        <w:rPr>
          <w:rFonts w:ascii="Times New Roman" w:hAnsi="Times New Roman" w:cs="Times New Roman"/>
          <w:sz w:val="28"/>
          <w:szCs w:val="28"/>
        </w:rPr>
      </w:pPr>
      <w:r w:rsidRPr="0029329A">
        <w:rPr>
          <w:rFonts w:ascii="Times New Roman" w:hAnsi="Times New Roman" w:cs="Times New Roman"/>
          <w:sz w:val="28"/>
          <w:szCs w:val="28"/>
        </w:rPr>
        <w:t xml:space="preserve">Referencia: </w:t>
      </w:r>
      <w:r w:rsidRPr="0029329A">
        <w:rPr>
          <w:rFonts w:ascii="Times New Roman" w:hAnsi="Times New Roman" w:cs="Times New Roman"/>
          <w:sz w:val="28"/>
          <w:szCs w:val="28"/>
        </w:rPr>
        <w:t>e</w:t>
      </w:r>
      <w:r w:rsidRPr="0029329A">
        <w:rPr>
          <w:rFonts w:ascii="Times New Roman" w:hAnsi="Times New Roman" w:cs="Times New Roman"/>
          <w:sz w:val="28"/>
          <w:szCs w:val="28"/>
        </w:rPr>
        <w:t>xpediente</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D-15.</w:t>
      </w:r>
      <w:r w:rsidRPr="0029329A">
        <w:rPr>
          <w:rFonts w:ascii="Times New Roman" w:hAnsi="Times New Roman" w:cs="Times New Roman"/>
          <w:sz w:val="28"/>
          <w:szCs w:val="28"/>
        </w:rPr>
        <w:t>466</w:t>
      </w:r>
      <w:r w:rsidRPr="0029329A">
        <w:rPr>
          <w:rFonts w:ascii="Times New Roman" w:hAnsi="Times New Roman" w:cs="Times New Roman"/>
          <w:sz w:val="28"/>
          <w:szCs w:val="28"/>
        </w:rPr>
        <w:t>.</w:t>
      </w:r>
    </w:p>
    <w:p w:rsidR="00336EC8" w:rsidRPr="0029329A" w:rsidRDefault="0029329A" w:rsidP="00602064">
      <w:pPr>
        <w:tabs>
          <w:tab w:val="left" w:pos="8640"/>
          <w:tab w:val="left" w:pos="9000"/>
        </w:tabs>
        <w:ind w:left="3969" w:right="50"/>
        <w:jc w:val="both"/>
        <w:rPr>
          <w:rFonts w:ascii="Times New Roman" w:hAnsi="Times New Roman" w:cs="Times New Roman"/>
          <w:sz w:val="28"/>
          <w:szCs w:val="28"/>
        </w:rPr>
      </w:pPr>
    </w:p>
    <w:p w:rsidR="004241AC" w:rsidRPr="0029329A" w:rsidRDefault="0029329A" w:rsidP="00602064">
      <w:pPr>
        <w:tabs>
          <w:tab w:val="left" w:pos="9000"/>
        </w:tabs>
        <w:ind w:left="3969" w:right="50"/>
        <w:jc w:val="both"/>
        <w:rPr>
          <w:rFonts w:ascii="Times New Roman" w:hAnsi="Times New Roman" w:cs="Times New Roman"/>
          <w:color w:val="000000" w:themeColor="text1"/>
          <w:sz w:val="28"/>
          <w:szCs w:val="28"/>
          <w:shd w:val="clear" w:color="auto" w:fill="FFFFFF"/>
        </w:rPr>
      </w:pPr>
      <w:r w:rsidRPr="0029329A">
        <w:rPr>
          <w:rFonts w:ascii="Times New Roman" w:hAnsi="Times New Roman" w:cs="Times New Roman"/>
          <w:color w:val="000000" w:themeColor="text1"/>
          <w:sz w:val="28"/>
          <w:szCs w:val="28"/>
          <w:shd w:val="clear" w:color="auto" w:fill="FFFFFF"/>
        </w:rPr>
        <w:t xml:space="preserve">Asunto: </w:t>
      </w:r>
      <w:r w:rsidRPr="0029329A">
        <w:rPr>
          <w:rFonts w:ascii="Times New Roman" w:hAnsi="Times New Roman" w:cs="Times New Roman"/>
          <w:color w:val="000000" w:themeColor="text1"/>
          <w:sz w:val="28"/>
          <w:szCs w:val="28"/>
          <w:shd w:val="clear" w:color="auto" w:fill="FFFFFF"/>
        </w:rPr>
        <w:t>d</w:t>
      </w:r>
      <w:r w:rsidRPr="0029329A">
        <w:rPr>
          <w:rFonts w:ascii="Times New Roman" w:hAnsi="Times New Roman" w:cs="Times New Roman"/>
          <w:color w:val="000000" w:themeColor="text1"/>
          <w:sz w:val="28"/>
          <w:szCs w:val="28"/>
          <w:shd w:val="clear" w:color="auto" w:fill="FFFFFF"/>
        </w:rPr>
        <w:t xml:space="preserve">emanda de inconstitucionalidad </w:t>
      </w:r>
      <w:r w:rsidRPr="0029329A">
        <w:rPr>
          <w:rFonts w:ascii="Times New Roman" w:hAnsi="Times New Roman" w:cs="Times New Roman"/>
          <w:color w:val="000000" w:themeColor="text1"/>
          <w:sz w:val="28"/>
          <w:szCs w:val="28"/>
          <w:shd w:val="clear" w:color="auto" w:fill="FFFFFF"/>
        </w:rPr>
        <w:t>contra los artículos 135 y 169 de la Ley 2294 de 2023, por la cual se expide el Plan Nacional de Desarrollo 2022- 2026 “Colombia Potencia Mundial de la Vida”.</w:t>
      </w:r>
    </w:p>
    <w:p w:rsidR="00A312DD" w:rsidRPr="0029329A" w:rsidRDefault="0029329A" w:rsidP="00602064">
      <w:pPr>
        <w:tabs>
          <w:tab w:val="left" w:pos="9000"/>
        </w:tabs>
        <w:ind w:left="3969" w:right="50"/>
        <w:jc w:val="both"/>
        <w:rPr>
          <w:rFonts w:ascii="Times New Roman" w:hAnsi="Times New Roman" w:cs="Times New Roman"/>
          <w:color w:val="000000" w:themeColor="text1"/>
          <w:sz w:val="28"/>
          <w:szCs w:val="28"/>
          <w:shd w:val="clear" w:color="auto" w:fill="FFFFFF"/>
        </w:rPr>
      </w:pPr>
    </w:p>
    <w:p w:rsidR="008D3B94" w:rsidRPr="0029329A" w:rsidRDefault="0029329A" w:rsidP="00602064">
      <w:pPr>
        <w:tabs>
          <w:tab w:val="left" w:pos="9000"/>
        </w:tabs>
        <w:ind w:left="3969" w:right="50"/>
        <w:jc w:val="both"/>
        <w:rPr>
          <w:rFonts w:ascii="Times New Roman" w:hAnsi="Times New Roman" w:cs="Times New Roman"/>
          <w:sz w:val="28"/>
          <w:szCs w:val="28"/>
        </w:rPr>
      </w:pPr>
      <w:r w:rsidRPr="0029329A">
        <w:rPr>
          <w:rFonts w:ascii="Times New Roman" w:hAnsi="Times New Roman" w:cs="Times New Roman"/>
          <w:sz w:val="28"/>
          <w:szCs w:val="28"/>
        </w:rPr>
        <w:t>Magistrad</w:t>
      </w:r>
      <w:r w:rsidRPr="0029329A">
        <w:rPr>
          <w:rFonts w:ascii="Times New Roman" w:hAnsi="Times New Roman" w:cs="Times New Roman"/>
          <w:sz w:val="28"/>
          <w:szCs w:val="28"/>
        </w:rPr>
        <w:t>a</w:t>
      </w:r>
      <w:r w:rsidRPr="0029329A">
        <w:rPr>
          <w:rFonts w:ascii="Times New Roman" w:hAnsi="Times New Roman" w:cs="Times New Roman"/>
          <w:sz w:val="28"/>
          <w:szCs w:val="28"/>
        </w:rPr>
        <w:t xml:space="preserve"> ponente:</w:t>
      </w:r>
    </w:p>
    <w:p w:rsidR="000A4099" w:rsidRPr="0029329A" w:rsidRDefault="0029329A" w:rsidP="00602064">
      <w:pPr>
        <w:tabs>
          <w:tab w:val="left" w:pos="9000"/>
        </w:tabs>
        <w:ind w:left="3969" w:right="50"/>
        <w:jc w:val="both"/>
        <w:rPr>
          <w:rFonts w:ascii="Times New Roman" w:hAnsi="Times New Roman" w:cs="Times New Roman"/>
          <w:sz w:val="28"/>
          <w:szCs w:val="28"/>
        </w:rPr>
      </w:pPr>
      <w:r w:rsidRPr="0029329A">
        <w:rPr>
          <w:rFonts w:ascii="Times New Roman" w:hAnsi="Times New Roman" w:cs="Times New Roman"/>
          <w:sz w:val="28"/>
          <w:szCs w:val="28"/>
        </w:rPr>
        <w:t>Cristina Pardo Schlesinger</w:t>
      </w:r>
      <w:r w:rsidRPr="0029329A">
        <w:rPr>
          <w:rFonts w:ascii="Times New Roman" w:hAnsi="Times New Roman" w:cs="Times New Roman"/>
          <w:sz w:val="28"/>
          <w:szCs w:val="28"/>
        </w:rPr>
        <w:t>.</w:t>
      </w:r>
    </w:p>
    <w:p w:rsidR="008D3B94" w:rsidRPr="0029329A" w:rsidRDefault="0029329A" w:rsidP="00D21BAE">
      <w:pPr>
        <w:tabs>
          <w:tab w:val="left" w:pos="9000"/>
        </w:tabs>
        <w:ind w:left="4111" w:right="50"/>
        <w:jc w:val="both"/>
        <w:rPr>
          <w:rFonts w:ascii="Times New Roman" w:hAnsi="Times New Roman" w:cs="Times New Roman"/>
          <w:sz w:val="28"/>
          <w:szCs w:val="28"/>
        </w:rPr>
      </w:pPr>
    </w:p>
    <w:p w:rsidR="00F244C0" w:rsidRPr="0029329A" w:rsidRDefault="0029329A" w:rsidP="00D21BAE">
      <w:pPr>
        <w:tabs>
          <w:tab w:val="left" w:pos="9000"/>
        </w:tabs>
        <w:ind w:left="4111" w:right="50"/>
        <w:jc w:val="both"/>
        <w:rPr>
          <w:rFonts w:ascii="Times New Roman" w:hAnsi="Times New Roman" w:cs="Times New Roman"/>
          <w:sz w:val="28"/>
          <w:szCs w:val="28"/>
        </w:rPr>
      </w:pPr>
    </w:p>
    <w:p w:rsidR="00F44AA8"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 xml:space="preserve">Mediante </w:t>
      </w:r>
      <w:r w:rsidRPr="0029329A">
        <w:rPr>
          <w:rFonts w:ascii="Times New Roman" w:hAnsi="Times New Roman" w:cs="Times New Roman"/>
          <w:sz w:val="28"/>
          <w:szCs w:val="28"/>
        </w:rPr>
        <w:t xml:space="preserve">la </w:t>
      </w:r>
      <w:r w:rsidRPr="0029329A">
        <w:rPr>
          <w:rFonts w:ascii="Times New Roman" w:hAnsi="Times New Roman" w:cs="Times New Roman"/>
          <w:sz w:val="28"/>
          <w:szCs w:val="28"/>
        </w:rPr>
        <w:t>Sentencia C-</w:t>
      </w:r>
      <w:r w:rsidRPr="0029329A">
        <w:rPr>
          <w:rFonts w:ascii="Times New Roman" w:hAnsi="Times New Roman" w:cs="Times New Roman"/>
          <w:sz w:val="28"/>
          <w:szCs w:val="28"/>
        </w:rPr>
        <w:t>117</w:t>
      </w:r>
      <w:r w:rsidRPr="0029329A">
        <w:rPr>
          <w:rFonts w:ascii="Times New Roman" w:hAnsi="Times New Roman" w:cs="Times New Roman"/>
          <w:sz w:val="28"/>
          <w:szCs w:val="28"/>
        </w:rPr>
        <w:t xml:space="preserve"> de 202</w:t>
      </w:r>
      <w:r w:rsidRPr="0029329A">
        <w:rPr>
          <w:rFonts w:ascii="Times New Roman" w:hAnsi="Times New Roman" w:cs="Times New Roman"/>
          <w:sz w:val="28"/>
          <w:szCs w:val="28"/>
        </w:rPr>
        <w:t>4</w:t>
      </w:r>
      <w:r w:rsidRPr="0029329A">
        <w:rPr>
          <w:rFonts w:ascii="Times New Roman" w:hAnsi="Times New Roman" w:cs="Times New Roman"/>
          <w:sz w:val="28"/>
          <w:szCs w:val="28"/>
        </w:rPr>
        <w:t xml:space="preserve">, la Corte </w:t>
      </w:r>
      <w:r w:rsidRPr="0029329A">
        <w:rPr>
          <w:rFonts w:ascii="Times New Roman" w:hAnsi="Times New Roman" w:cs="Times New Roman"/>
          <w:sz w:val="28"/>
          <w:szCs w:val="28"/>
        </w:rPr>
        <w:t>resolvió</w:t>
      </w:r>
      <w:r w:rsidRPr="0029329A">
        <w:rPr>
          <w:rFonts w:ascii="Times New Roman" w:hAnsi="Times New Roman" w:cs="Times New Roman"/>
          <w:sz w:val="28"/>
          <w:szCs w:val="28"/>
        </w:rPr>
        <w:t xml:space="preserve"> una demanda contra </w:t>
      </w:r>
      <w:r w:rsidRPr="0029329A">
        <w:rPr>
          <w:rFonts w:ascii="Times New Roman" w:hAnsi="Times New Roman" w:cs="Times New Roman"/>
          <w:sz w:val="28"/>
          <w:szCs w:val="28"/>
        </w:rPr>
        <w:t xml:space="preserve">los </w:t>
      </w:r>
      <w:r w:rsidRPr="0029329A">
        <w:rPr>
          <w:rFonts w:ascii="Times New Roman" w:hAnsi="Times New Roman" w:cs="Times New Roman"/>
          <w:color w:val="000000" w:themeColor="text1"/>
          <w:sz w:val="28"/>
          <w:szCs w:val="28"/>
          <w:shd w:val="clear" w:color="auto" w:fill="FFFFFF"/>
        </w:rPr>
        <w:t xml:space="preserve">artículos 135 y 169 de la Ley 2294 de 2023, “por la cual se expide el Plan Nacional de Desarrollo 2022- 2026 - </w:t>
      </w:r>
      <w:r w:rsidRPr="0029329A">
        <w:rPr>
          <w:rFonts w:ascii="Times New Roman" w:hAnsi="Times New Roman" w:cs="Times New Roman"/>
          <w:i/>
          <w:iCs/>
          <w:color w:val="000000" w:themeColor="text1"/>
          <w:sz w:val="28"/>
          <w:szCs w:val="28"/>
          <w:shd w:val="clear" w:color="auto" w:fill="FFFFFF"/>
        </w:rPr>
        <w:t>Colombia Potencia Mundial de la Vida”</w:t>
      </w:r>
      <w:r w:rsidRPr="0029329A">
        <w:rPr>
          <w:rFonts w:ascii="Times New Roman" w:hAnsi="Times New Roman" w:cs="Times New Roman"/>
          <w:color w:val="000000" w:themeColor="text1"/>
          <w:sz w:val="28"/>
          <w:szCs w:val="28"/>
          <w:shd w:val="clear" w:color="auto" w:fill="FFFFFF"/>
        </w:rPr>
        <w:t>.</w:t>
      </w:r>
      <w:r w:rsidRPr="0029329A">
        <w:rPr>
          <w:rFonts w:ascii="Times New Roman" w:hAnsi="Times New Roman" w:cs="Times New Roman"/>
          <w:color w:val="000000" w:themeColor="text1"/>
          <w:sz w:val="28"/>
          <w:szCs w:val="28"/>
          <w:shd w:val="clear" w:color="auto" w:fill="FFFFFF"/>
        </w:rPr>
        <w:t xml:space="preserve"> </w:t>
      </w:r>
    </w:p>
    <w:p w:rsidR="00F44AA8" w:rsidRPr="0029329A" w:rsidRDefault="0029329A" w:rsidP="00D21BAE">
      <w:pPr>
        <w:pStyle w:val="Prrafodelista"/>
        <w:tabs>
          <w:tab w:val="left" w:pos="426"/>
        </w:tabs>
        <w:jc w:val="both"/>
        <w:rPr>
          <w:rFonts w:ascii="Times New Roman" w:hAnsi="Times New Roman" w:cs="Times New Roman"/>
          <w:sz w:val="28"/>
          <w:szCs w:val="28"/>
        </w:rPr>
      </w:pPr>
    </w:p>
    <w:p w:rsidR="003D7289"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A</w:t>
      </w:r>
      <w:r w:rsidRPr="0029329A">
        <w:rPr>
          <w:rFonts w:ascii="Times New Roman" w:hAnsi="Times New Roman" w:cs="Times New Roman"/>
          <w:sz w:val="28"/>
          <w:szCs w:val="28"/>
        </w:rPr>
        <w:t xml:space="preserve">compañamos la decisión de inexequibilidad del artículo 169 (tasa por servicios prestados por la Dirección Nacional de Derecho), pero disentimos del análisis </w:t>
      </w:r>
      <w:r w:rsidRPr="0029329A">
        <w:rPr>
          <w:rFonts w:ascii="Times New Roman" w:hAnsi="Times New Roman" w:cs="Times New Roman"/>
          <w:sz w:val="28"/>
          <w:szCs w:val="28"/>
        </w:rPr>
        <w:t xml:space="preserve">frente al </w:t>
      </w:r>
      <w:r w:rsidRPr="0029329A">
        <w:rPr>
          <w:rFonts w:ascii="Times New Roman" w:hAnsi="Times New Roman" w:cs="Times New Roman"/>
          <w:sz w:val="28"/>
          <w:szCs w:val="28"/>
        </w:rPr>
        <w:t>artículo 135</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tasa de protección y manejo de bienes arqueológicos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En </w:t>
      </w:r>
      <w:r w:rsidRPr="0029329A">
        <w:rPr>
          <w:rFonts w:ascii="Times New Roman" w:hAnsi="Times New Roman" w:cs="Times New Roman"/>
          <w:sz w:val="28"/>
          <w:szCs w:val="28"/>
        </w:rPr>
        <w:t xml:space="preserve">nuestro criterio, esta última norma respetaba el principio de unidad de materia y </w:t>
      </w:r>
      <w:r w:rsidRPr="0029329A">
        <w:rPr>
          <w:rFonts w:ascii="Times New Roman" w:hAnsi="Times New Roman" w:cs="Times New Roman"/>
          <w:sz w:val="28"/>
          <w:szCs w:val="28"/>
        </w:rPr>
        <w:t>debió declararse constitucional</w:t>
      </w:r>
      <w:r w:rsidRPr="0029329A">
        <w:rPr>
          <w:rFonts w:ascii="Times New Roman" w:hAnsi="Times New Roman" w:cs="Times New Roman"/>
          <w:sz w:val="28"/>
          <w:szCs w:val="28"/>
        </w:rPr>
        <w:t xml:space="preserve"> por el cargo formulado</w:t>
      </w:r>
      <w:r w:rsidRPr="0029329A">
        <w:rPr>
          <w:rFonts w:ascii="Times New Roman" w:hAnsi="Times New Roman" w:cs="Times New Roman"/>
          <w:sz w:val="28"/>
          <w:szCs w:val="28"/>
        </w:rPr>
        <w:t>.</w:t>
      </w:r>
    </w:p>
    <w:p w:rsidR="003D7289" w:rsidRPr="0029329A" w:rsidRDefault="0029329A" w:rsidP="00D21BAE">
      <w:pPr>
        <w:pStyle w:val="Prrafodelista"/>
        <w:rPr>
          <w:rFonts w:ascii="Times New Roman" w:hAnsi="Times New Roman" w:cs="Times New Roman"/>
          <w:sz w:val="28"/>
          <w:szCs w:val="28"/>
        </w:rPr>
      </w:pPr>
    </w:p>
    <w:p w:rsidR="003D7289"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E</w:t>
      </w:r>
      <w:r w:rsidRPr="0029329A">
        <w:rPr>
          <w:rFonts w:ascii="Times New Roman" w:hAnsi="Times New Roman" w:cs="Times New Roman"/>
          <w:sz w:val="28"/>
          <w:szCs w:val="28"/>
        </w:rPr>
        <w:t xml:space="preserve">s claro que la jurisprudencia de la Corte Constitucional ha ido </w:t>
      </w:r>
      <w:r w:rsidRPr="0029329A">
        <w:rPr>
          <w:rFonts w:ascii="Times New Roman" w:hAnsi="Times New Roman" w:cs="Times New Roman"/>
          <w:sz w:val="28"/>
          <w:szCs w:val="28"/>
        </w:rPr>
        <w:t xml:space="preserve">endureciendo </w:t>
      </w:r>
      <w:r w:rsidRPr="0029329A">
        <w:rPr>
          <w:rFonts w:ascii="Times New Roman" w:hAnsi="Times New Roman" w:cs="Times New Roman"/>
          <w:sz w:val="28"/>
          <w:szCs w:val="28"/>
        </w:rPr>
        <w:t xml:space="preserve">el análisis del </w:t>
      </w:r>
      <w:r w:rsidRPr="0029329A">
        <w:rPr>
          <w:rFonts w:ascii="Times New Roman" w:hAnsi="Times New Roman" w:cs="Times New Roman"/>
          <w:i/>
          <w:iCs/>
          <w:sz w:val="28"/>
          <w:szCs w:val="28"/>
        </w:rPr>
        <w:t xml:space="preserve">principio de unidad de </w:t>
      </w:r>
      <w:r w:rsidRPr="0029329A">
        <w:rPr>
          <w:rFonts w:ascii="Times New Roman" w:hAnsi="Times New Roman" w:cs="Times New Roman"/>
          <w:i/>
          <w:iCs/>
          <w:sz w:val="28"/>
          <w:szCs w:val="28"/>
        </w:rPr>
        <w:t>materia</w:t>
      </w:r>
      <w:r w:rsidRPr="0029329A">
        <w:rPr>
          <w:rFonts w:ascii="Times New Roman" w:hAnsi="Times New Roman" w:cs="Times New Roman"/>
          <w:sz w:val="28"/>
          <w:szCs w:val="28"/>
        </w:rPr>
        <w:t xml:space="preserve"> dentro de los planes nacionales de desarrollado. Sin embargo, esta decisión se aparta de dicho precedente, incluso en su versión más estricta. La posición mayoritaria promueve una interpretación que lleva al extremo el </w:t>
      </w:r>
      <w:r w:rsidRPr="0029329A">
        <w:rPr>
          <w:rFonts w:ascii="Times New Roman" w:hAnsi="Times New Roman" w:cs="Times New Roman"/>
          <w:sz w:val="28"/>
          <w:szCs w:val="28"/>
        </w:rPr>
        <w:t>escrutinio judicial</w:t>
      </w:r>
      <w:r w:rsidRPr="0029329A">
        <w:rPr>
          <w:rFonts w:ascii="Times New Roman" w:hAnsi="Times New Roman" w:cs="Times New Roman"/>
          <w:sz w:val="28"/>
          <w:szCs w:val="28"/>
        </w:rPr>
        <w:t xml:space="preserve"> y agota l</w:t>
      </w:r>
      <w:r w:rsidRPr="0029329A">
        <w:rPr>
          <w:rFonts w:ascii="Times New Roman" w:hAnsi="Times New Roman" w:cs="Times New Roman"/>
          <w:sz w:val="28"/>
          <w:szCs w:val="28"/>
        </w:rPr>
        <w:t xml:space="preserve">as facultades del Gobierno nacional como agente planificador. Según </w:t>
      </w:r>
      <w:r w:rsidRPr="0029329A">
        <w:rPr>
          <w:rFonts w:ascii="Times New Roman" w:hAnsi="Times New Roman" w:cs="Times New Roman"/>
          <w:sz w:val="28"/>
          <w:szCs w:val="28"/>
        </w:rPr>
        <w:t>la Sentencia C-117 de 2024</w:t>
      </w:r>
      <w:r w:rsidRPr="0029329A">
        <w:rPr>
          <w:rFonts w:ascii="Times New Roman" w:hAnsi="Times New Roman" w:cs="Times New Roman"/>
          <w:sz w:val="28"/>
          <w:szCs w:val="28"/>
        </w:rPr>
        <w:t>, para respetar la unidad de materia, no es suficiente que la norma tenga una relación directa con los principios y las políticas del plan nacional de desarrollo,</w:t>
      </w:r>
      <w:r w:rsidRPr="0029329A">
        <w:rPr>
          <w:rFonts w:ascii="Times New Roman" w:hAnsi="Times New Roman" w:cs="Times New Roman"/>
          <w:sz w:val="28"/>
          <w:szCs w:val="28"/>
        </w:rPr>
        <w:t xml:space="preserve"> y con el documento de </w:t>
      </w:r>
      <w:r w:rsidRPr="0029329A">
        <w:rPr>
          <w:rFonts w:ascii="Times New Roman" w:hAnsi="Times New Roman" w:cs="Times New Roman"/>
          <w:i/>
          <w:iCs/>
          <w:sz w:val="28"/>
          <w:szCs w:val="28"/>
        </w:rPr>
        <w:t>bases</w:t>
      </w:r>
      <w:r w:rsidRPr="0029329A">
        <w:rPr>
          <w:rFonts w:ascii="Times New Roman" w:hAnsi="Times New Roman" w:cs="Times New Roman"/>
          <w:sz w:val="28"/>
          <w:szCs w:val="28"/>
        </w:rPr>
        <w:t xml:space="preserve"> en que se soporta</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 Tampoco basta que la disposición se materialice de manera concreta en proyectos dentro del documento </w:t>
      </w:r>
      <w:r w:rsidRPr="0029329A">
        <w:rPr>
          <w:rFonts w:ascii="Times New Roman" w:hAnsi="Times New Roman" w:cs="Times New Roman"/>
          <w:i/>
          <w:iCs/>
          <w:sz w:val="28"/>
          <w:szCs w:val="28"/>
        </w:rPr>
        <w:t>plurianual de inversiones</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En últimas, el </w:t>
      </w:r>
      <w:r w:rsidRPr="0029329A">
        <w:rPr>
          <w:rFonts w:ascii="Times New Roman" w:hAnsi="Times New Roman" w:cs="Times New Roman"/>
          <w:sz w:val="28"/>
          <w:szCs w:val="28"/>
        </w:rPr>
        <w:t xml:space="preserve">examen </w:t>
      </w:r>
      <w:r w:rsidRPr="0029329A">
        <w:rPr>
          <w:rFonts w:ascii="Times New Roman" w:hAnsi="Times New Roman" w:cs="Times New Roman"/>
          <w:sz w:val="28"/>
          <w:szCs w:val="28"/>
        </w:rPr>
        <w:t xml:space="preserve">que propone la mayoría frente a las normas de contenido tributario y </w:t>
      </w:r>
      <w:r w:rsidRPr="0029329A">
        <w:rPr>
          <w:rFonts w:ascii="Times New Roman" w:hAnsi="Times New Roman" w:cs="Times New Roman"/>
          <w:sz w:val="28"/>
          <w:szCs w:val="28"/>
        </w:rPr>
        <w:t xml:space="preserve">con </w:t>
      </w:r>
      <w:r w:rsidRPr="0029329A">
        <w:rPr>
          <w:rFonts w:ascii="Times New Roman" w:hAnsi="Times New Roman" w:cs="Times New Roman"/>
          <w:sz w:val="28"/>
          <w:szCs w:val="28"/>
        </w:rPr>
        <w:t xml:space="preserve">vocación </w:t>
      </w:r>
      <w:r w:rsidRPr="0029329A">
        <w:rPr>
          <w:rFonts w:ascii="Times New Roman" w:hAnsi="Times New Roman" w:cs="Times New Roman"/>
          <w:sz w:val="28"/>
          <w:szCs w:val="28"/>
        </w:rPr>
        <w:t xml:space="preserve">de permanencia </w:t>
      </w:r>
      <w:r w:rsidRPr="0029329A">
        <w:rPr>
          <w:rFonts w:ascii="Times New Roman" w:hAnsi="Times New Roman" w:cs="Times New Roman"/>
          <w:sz w:val="28"/>
          <w:szCs w:val="28"/>
        </w:rPr>
        <w:t xml:space="preserve">resulta </w:t>
      </w:r>
      <w:r w:rsidRPr="0029329A">
        <w:rPr>
          <w:rFonts w:ascii="Times New Roman" w:hAnsi="Times New Roman" w:cs="Times New Roman"/>
          <w:sz w:val="28"/>
          <w:szCs w:val="28"/>
        </w:rPr>
        <w:t>imposible de satisfacer</w:t>
      </w:r>
      <w:r w:rsidRPr="0029329A">
        <w:rPr>
          <w:rFonts w:ascii="Times New Roman" w:hAnsi="Times New Roman" w:cs="Times New Roman"/>
          <w:sz w:val="28"/>
          <w:szCs w:val="28"/>
        </w:rPr>
        <w:t xml:space="preserve"> en la práctica</w:t>
      </w:r>
      <w:r w:rsidRPr="0029329A">
        <w:rPr>
          <w:rFonts w:ascii="Times New Roman" w:hAnsi="Times New Roman" w:cs="Times New Roman"/>
          <w:sz w:val="28"/>
          <w:szCs w:val="28"/>
        </w:rPr>
        <w:t>.</w:t>
      </w:r>
    </w:p>
    <w:p w:rsidR="00223C5F" w:rsidRPr="0029329A" w:rsidRDefault="0029329A" w:rsidP="00D21BAE">
      <w:pPr>
        <w:pStyle w:val="Prrafodelista"/>
        <w:rPr>
          <w:rFonts w:ascii="Times New Roman" w:hAnsi="Times New Roman" w:cs="Times New Roman"/>
          <w:sz w:val="28"/>
          <w:szCs w:val="28"/>
        </w:rPr>
      </w:pPr>
    </w:p>
    <w:p w:rsidR="00223C5F"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 xml:space="preserve">Para la postura mayoritaria, </w:t>
      </w:r>
      <w:r w:rsidRPr="0029329A">
        <w:rPr>
          <w:rFonts w:ascii="Times New Roman" w:hAnsi="Times New Roman" w:cs="Times New Roman"/>
          <w:sz w:val="28"/>
          <w:szCs w:val="28"/>
        </w:rPr>
        <w:t xml:space="preserve">el artículo 135 </w:t>
      </w:r>
      <w:r w:rsidRPr="0029329A">
        <w:rPr>
          <w:rFonts w:ascii="Times New Roman" w:hAnsi="Times New Roman" w:cs="Times New Roman"/>
          <w:sz w:val="28"/>
          <w:szCs w:val="28"/>
        </w:rPr>
        <w:t>es inconstitucional porque</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primero, </w:t>
      </w:r>
      <w:r w:rsidRPr="0029329A">
        <w:rPr>
          <w:rFonts w:ascii="Times New Roman" w:hAnsi="Times New Roman" w:cs="Times New Roman"/>
          <w:sz w:val="28"/>
          <w:szCs w:val="28"/>
        </w:rPr>
        <w:t>fijó una tasa de modo perman</w:t>
      </w:r>
      <w:r w:rsidRPr="0029329A">
        <w:rPr>
          <w:rFonts w:ascii="Times New Roman" w:hAnsi="Times New Roman" w:cs="Times New Roman"/>
          <w:sz w:val="28"/>
          <w:szCs w:val="28"/>
        </w:rPr>
        <w:t xml:space="preserve">ente, sin hacer ninguna mención sobre su justificación específica en el documento </w:t>
      </w:r>
      <w:r w:rsidRPr="0029329A">
        <w:rPr>
          <w:rFonts w:ascii="Times New Roman" w:hAnsi="Times New Roman" w:cs="Times New Roman"/>
          <w:sz w:val="28"/>
          <w:szCs w:val="28"/>
        </w:rPr>
        <w:t>de</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b</w:t>
      </w:r>
      <w:r w:rsidRPr="0029329A">
        <w:rPr>
          <w:rFonts w:ascii="Times New Roman" w:hAnsi="Times New Roman" w:cs="Times New Roman"/>
          <w:sz w:val="28"/>
          <w:szCs w:val="28"/>
        </w:rPr>
        <w:t xml:space="preserve">ases del </w:t>
      </w:r>
      <w:r w:rsidRPr="0029329A">
        <w:rPr>
          <w:rFonts w:ascii="Times New Roman" w:hAnsi="Times New Roman" w:cs="Times New Roman"/>
          <w:sz w:val="28"/>
          <w:szCs w:val="28"/>
        </w:rPr>
        <w:t>p</w:t>
      </w:r>
      <w:r w:rsidRPr="0029329A">
        <w:rPr>
          <w:rFonts w:ascii="Times New Roman" w:hAnsi="Times New Roman" w:cs="Times New Roman"/>
          <w:sz w:val="28"/>
          <w:szCs w:val="28"/>
        </w:rPr>
        <w:t xml:space="preserve">lan </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acional de </w:t>
      </w:r>
      <w:r w:rsidRPr="0029329A">
        <w:rPr>
          <w:rFonts w:ascii="Times New Roman" w:hAnsi="Times New Roman" w:cs="Times New Roman"/>
          <w:sz w:val="28"/>
          <w:szCs w:val="28"/>
        </w:rPr>
        <w:t>d</w:t>
      </w:r>
      <w:r w:rsidRPr="0029329A">
        <w:rPr>
          <w:rFonts w:ascii="Times New Roman" w:hAnsi="Times New Roman" w:cs="Times New Roman"/>
          <w:sz w:val="28"/>
          <w:szCs w:val="28"/>
        </w:rPr>
        <w:t>esarrollo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§110)</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Segundo, </w:t>
      </w:r>
      <w:r w:rsidRPr="0029329A">
        <w:rPr>
          <w:rFonts w:ascii="Times New Roman" w:hAnsi="Times New Roman" w:cs="Times New Roman"/>
          <w:sz w:val="28"/>
          <w:szCs w:val="28"/>
        </w:rPr>
        <w:t>la naturaleza misma de las tasas impide</w:t>
      </w:r>
      <w:r w:rsidRPr="0029329A">
        <w:rPr>
          <w:rFonts w:ascii="Times New Roman" w:hAnsi="Times New Roman" w:cs="Times New Roman"/>
          <w:sz w:val="28"/>
          <w:szCs w:val="28"/>
        </w:rPr>
        <w:t xml:space="preserve"> emplearlas para </w:t>
      </w:r>
      <w:r w:rsidRPr="0029329A">
        <w:rPr>
          <w:rFonts w:ascii="Times New Roman" w:hAnsi="Times New Roman" w:cs="Times New Roman"/>
          <w:sz w:val="28"/>
          <w:szCs w:val="28"/>
        </w:rPr>
        <w:t xml:space="preserve">desarrollar </w:t>
      </w:r>
      <w:r w:rsidRPr="0029329A">
        <w:rPr>
          <w:rFonts w:ascii="Times New Roman" w:hAnsi="Times New Roman" w:cs="Times New Roman"/>
          <w:sz w:val="28"/>
          <w:szCs w:val="28"/>
        </w:rPr>
        <w:t xml:space="preserve">objetivos, planes o programas del plan </w:t>
      </w:r>
      <w:r w:rsidRPr="0029329A">
        <w:rPr>
          <w:rFonts w:ascii="Times New Roman" w:hAnsi="Times New Roman" w:cs="Times New Roman"/>
          <w:sz w:val="28"/>
          <w:szCs w:val="28"/>
        </w:rPr>
        <w:t>nacional de desarrollo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w:t>
      </w:r>
      <w:r w:rsidRPr="0029329A">
        <w:rPr>
          <w:rFonts w:ascii="Times New Roman" w:hAnsi="Times New Roman" w:cs="Times New Roman"/>
          <w:sz w:val="28"/>
          <w:szCs w:val="28"/>
        </w:rPr>
        <w:t>111</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Tercero, </w:t>
      </w:r>
      <w:r w:rsidRPr="0029329A">
        <w:rPr>
          <w:rFonts w:ascii="Times New Roman" w:hAnsi="Times New Roman" w:cs="Times New Roman"/>
          <w:sz w:val="28"/>
          <w:szCs w:val="28"/>
        </w:rPr>
        <w:t>la eventu</w:t>
      </w:r>
      <w:r w:rsidRPr="0029329A">
        <w:rPr>
          <w:rFonts w:ascii="Times New Roman" w:hAnsi="Times New Roman" w:cs="Times New Roman"/>
          <w:sz w:val="28"/>
          <w:szCs w:val="28"/>
        </w:rPr>
        <w:t>a</w:t>
      </w:r>
      <w:r w:rsidRPr="0029329A">
        <w:rPr>
          <w:rFonts w:ascii="Times New Roman" w:hAnsi="Times New Roman" w:cs="Times New Roman"/>
          <w:sz w:val="28"/>
          <w:szCs w:val="28"/>
        </w:rPr>
        <w:t xml:space="preserve">l garantía </w:t>
      </w:r>
      <w:r w:rsidRPr="0029329A">
        <w:rPr>
          <w:rFonts w:ascii="Times New Roman" w:hAnsi="Times New Roman" w:cs="Times New Roman"/>
          <w:sz w:val="28"/>
          <w:szCs w:val="28"/>
        </w:rPr>
        <w:t xml:space="preserve">a los derechos de los pueblos indígenas, las comunidades negras, afrocolombianos, raizales y palenqueras y el pueblo </w:t>
      </w:r>
      <w:r w:rsidRPr="0029329A">
        <w:rPr>
          <w:rFonts w:ascii="Times New Roman" w:hAnsi="Times New Roman" w:cs="Times New Roman"/>
          <w:sz w:val="28"/>
          <w:szCs w:val="28"/>
        </w:rPr>
        <w:t>R</w:t>
      </w:r>
      <w:r w:rsidRPr="0029329A">
        <w:rPr>
          <w:rFonts w:ascii="Times New Roman" w:hAnsi="Times New Roman" w:cs="Times New Roman"/>
          <w:sz w:val="28"/>
          <w:szCs w:val="28"/>
        </w:rPr>
        <w:t>rom</w:t>
      </w:r>
      <w:r w:rsidRPr="0029329A">
        <w:rPr>
          <w:rFonts w:ascii="Times New Roman" w:hAnsi="Times New Roman" w:cs="Times New Roman"/>
          <w:sz w:val="28"/>
          <w:szCs w:val="28"/>
        </w:rPr>
        <w:t xml:space="preserve">, es un problema distinto y que no está relacionado con la tasa en </w:t>
      </w:r>
      <w:r w:rsidRPr="0029329A">
        <w:rPr>
          <w:rFonts w:ascii="Times New Roman" w:hAnsi="Times New Roman" w:cs="Times New Roman"/>
          <w:sz w:val="28"/>
          <w:szCs w:val="28"/>
        </w:rPr>
        <w:t>cuestión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xml:space="preserve"> §119</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Cuarto, </w:t>
      </w:r>
      <w:r w:rsidRPr="0029329A">
        <w:rPr>
          <w:rFonts w:ascii="Times New Roman" w:hAnsi="Times New Roman" w:cs="Times New Roman"/>
          <w:sz w:val="28"/>
          <w:szCs w:val="28"/>
        </w:rPr>
        <w:t xml:space="preserve">no satisface </w:t>
      </w:r>
      <w:r w:rsidRPr="0029329A">
        <w:rPr>
          <w:rFonts w:ascii="Times New Roman" w:hAnsi="Times New Roman" w:cs="Times New Roman"/>
          <w:sz w:val="28"/>
          <w:szCs w:val="28"/>
        </w:rPr>
        <w:t>la conexidad con en el plan plurianual de inversiones</w:t>
      </w:r>
      <w:r w:rsidRPr="0029329A">
        <w:rPr>
          <w:rFonts w:ascii="Times New Roman" w:hAnsi="Times New Roman" w:cs="Times New Roman"/>
          <w:sz w:val="28"/>
          <w:szCs w:val="28"/>
        </w:rPr>
        <w:t xml:space="preserve">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xml:space="preserve"> §127</w:t>
      </w:r>
      <w:r w:rsidRPr="0029329A">
        <w:rPr>
          <w:rFonts w:ascii="Times New Roman" w:hAnsi="Times New Roman" w:cs="Times New Roman"/>
          <w:sz w:val="28"/>
          <w:szCs w:val="28"/>
        </w:rPr>
        <w:t>).</w:t>
      </w:r>
    </w:p>
    <w:p w:rsidR="00EC1164" w:rsidRPr="0029329A" w:rsidRDefault="0029329A" w:rsidP="00D21BAE">
      <w:pPr>
        <w:pStyle w:val="Prrafodelista"/>
        <w:rPr>
          <w:rFonts w:ascii="Times New Roman" w:hAnsi="Times New Roman" w:cs="Times New Roman"/>
          <w:sz w:val="28"/>
          <w:szCs w:val="28"/>
        </w:rPr>
      </w:pPr>
    </w:p>
    <w:p w:rsidR="00FA37FC"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 xml:space="preserve">De entrada, resulta extraño el segundo argumento. </w:t>
      </w:r>
      <w:r w:rsidRPr="0029329A">
        <w:rPr>
          <w:rFonts w:ascii="Times New Roman" w:hAnsi="Times New Roman" w:cs="Times New Roman"/>
          <w:sz w:val="28"/>
          <w:szCs w:val="28"/>
        </w:rPr>
        <w:t>Para la mayoría, el tributo previsto en el artículo 135 “</w:t>
      </w:r>
      <w:r w:rsidRPr="0029329A">
        <w:rPr>
          <w:rFonts w:ascii="Times New Roman" w:hAnsi="Times New Roman" w:cs="Times New Roman"/>
          <w:sz w:val="28"/>
          <w:szCs w:val="28"/>
        </w:rPr>
        <w:t xml:space="preserve">desnaturaliza la figura de las </w:t>
      </w:r>
      <w:r w:rsidRPr="0029329A">
        <w:rPr>
          <w:rFonts w:ascii="Times New Roman" w:hAnsi="Times New Roman" w:cs="Times New Roman"/>
          <w:sz w:val="28"/>
          <w:szCs w:val="28"/>
        </w:rPr>
        <w:t>tasas”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síntesis</w:t>
      </w:r>
      <w:r w:rsidRPr="0029329A">
        <w:rPr>
          <w:rFonts w:ascii="Times New Roman" w:hAnsi="Times New Roman" w:cs="Times New Roman"/>
          <w:sz w:val="28"/>
          <w:szCs w:val="28"/>
        </w:rPr>
        <w:t>)</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pues</w:t>
      </w:r>
      <w:r w:rsidRPr="0029329A">
        <w:rPr>
          <w:rFonts w:ascii="Times New Roman" w:hAnsi="Times New Roman" w:cs="Times New Roman"/>
          <w:sz w:val="28"/>
          <w:szCs w:val="28"/>
        </w:rPr>
        <w:t xml:space="preserve"> cuando el Gobierno nacional argumenta que el destino de esos tributos no sería específicamente dirigido a compensar el gasto en el que incurre el Estado para prestar los servicios asociados al ICANH, no hay un beneficio indiv</w:t>
      </w:r>
      <w:r w:rsidRPr="0029329A">
        <w:rPr>
          <w:rFonts w:ascii="Times New Roman" w:hAnsi="Times New Roman" w:cs="Times New Roman"/>
          <w:sz w:val="28"/>
          <w:szCs w:val="28"/>
        </w:rPr>
        <w:t xml:space="preserve">idualizable para el contribuyente y, por lo tanto, se desnaturaliza la mencionada tasa. Este análisis -más allá de que se comparta o no- resulta </w:t>
      </w:r>
      <w:r w:rsidRPr="0029329A">
        <w:rPr>
          <w:rFonts w:ascii="Times New Roman" w:hAnsi="Times New Roman" w:cs="Times New Roman"/>
          <w:sz w:val="28"/>
          <w:szCs w:val="28"/>
        </w:rPr>
        <w:t xml:space="preserve">ajeno </w:t>
      </w:r>
      <w:r w:rsidRPr="0029329A">
        <w:rPr>
          <w:rFonts w:ascii="Times New Roman" w:hAnsi="Times New Roman" w:cs="Times New Roman"/>
          <w:sz w:val="28"/>
          <w:szCs w:val="28"/>
        </w:rPr>
        <w:t xml:space="preserve">al principio de </w:t>
      </w:r>
      <w:r w:rsidRPr="0029329A">
        <w:rPr>
          <w:rFonts w:ascii="Times New Roman" w:hAnsi="Times New Roman" w:cs="Times New Roman"/>
          <w:i/>
          <w:iCs/>
          <w:sz w:val="28"/>
          <w:szCs w:val="28"/>
        </w:rPr>
        <w:t>unidad de materia</w:t>
      </w:r>
      <w:r w:rsidRPr="0029329A">
        <w:rPr>
          <w:rFonts w:ascii="Times New Roman" w:hAnsi="Times New Roman" w:cs="Times New Roman"/>
          <w:sz w:val="28"/>
          <w:szCs w:val="28"/>
        </w:rPr>
        <w:t xml:space="preserve"> en tanto que no indaga por la relación de la norma con el plan nacional</w:t>
      </w:r>
      <w:r w:rsidRPr="0029329A">
        <w:rPr>
          <w:rFonts w:ascii="Times New Roman" w:hAnsi="Times New Roman" w:cs="Times New Roman"/>
          <w:sz w:val="28"/>
          <w:szCs w:val="28"/>
        </w:rPr>
        <w:t xml:space="preserve"> de desarrollo, sino que -de oficio- </w:t>
      </w:r>
      <w:r w:rsidRPr="0029329A">
        <w:rPr>
          <w:rFonts w:ascii="Times New Roman" w:hAnsi="Times New Roman" w:cs="Times New Roman"/>
          <w:sz w:val="28"/>
          <w:szCs w:val="28"/>
        </w:rPr>
        <w:t xml:space="preserve">se </w:t>
      </w:r>
      <w:r w:rsidRPr="0029329A">
        <w:rPr>
          <w:rFonts w:ascii="Times New Roman" w:hAnsi="Times New Roman" w:cs="Times New Roman"/>
          <w:sz w:val="28"/>
          <w:szCs w:val="28"/>
        </w:rPr>
        <w:t>adelanta</w:t>
      </w:r>
      <w:r w:rsidRPr="0029329A">
        <w:rPr>
          <w:rFonts w:ascii="Times New Roman" w:hAnsi="Times New Roman" w:cs="Times New Roman"/>
          <w:sz w:val="28"/>
          <w:szCs w:val="28"/>
        </w:rPr>
        <w:t xml:space="preserve"> una suerte de análisis material sobre su validez.</w:t>
      </w:r>
    </w:p>
    <w:p w:rsidR="00337319" w:rsidRPr="0029329A" w:rsidRDefault="0029329A" w:rsidP="00D21BAE">
      <w:pPr>
        <w:pStyle w:val="Prrafodelista"/>
        <w:rPr>
          <w:rFonts w:ascii="Times New Roman" w:hAnsi="Times New Roman" w:cs="Times New Roman"/>
          <w:sz w:val="28"/>
          <w:szCs w:val="28"/>
        </w:rPr>
      </w:pPr>
    </w:p>
    <w:p w:rsidR="00A137AB"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 xml:space="preserve">Frente a los tres argumentos restantes, en los siguientes párrafos </w:t>
      </w:r>
      <w:r w:rsidRPr="0029329A">
        <w:rPr>
          <w:rFonts w:ascii="Times New Roman" w:hAnsi="Times New Roman" w:cs="Times New Roman"/>
          <w:sz w:val="28"/>
          <w:szCs w:val="28"/>
        </w:rPr>
        <w:t xml:space="preserve">sustentaremos que </w:t>
      </w:r>
      <w:r w:rsidRPr="0029329A">
        <w:rPr>
          <w:rFonts w:ascii="Times New Roman" w:hAnsi="Times New Roman" w:cs="Times New Roman"/>
          <w:sz w:val="28"/>
          <w:szCs w:val="28"/>
        </w:rPr>
        <w:t>la tasa</w:t>
      </w:r>
      <w:r w:rsidRPr="0029329A">
        <w:rPr>
          <w:rFonts w:ascii="Times New Roman" w:hAnsi="Times New Roman" w:cs="Times New Roman"/>
          <w:sz w:val="28"/>
          <w:szCs w:val="28"/>
        </w:rPr>
        <w:t xml:space="preserve"> de protección y manejo de</w:t>
      </w:r>
      <w:r w:rsidRPr="0029329A">
        <w:rPr>
          <w:rFonts w:ascii="Times New Roman" w:hAnsi="Times New Roman" w:cs="Times New Roman"/>
          <w:sz w:val="28"/>
          <w:szCs w:val="28"/>
        </w:rPr>
        <w:t xml:space="preserve"> bienes arqueológicos no sólo se mencionó de forma textual en las Bases del Plan Nacional de Desarrollo 2022-2026, sino que también tenía una relación directa con el contenido de varias de las metas allí establecidas, así como </w:t>
      </w:r>
      <w:r w:rsidRPr="0029329A">
        <w:rPr>
          <w:rFonts w:ascii="Times New Roman" w:hAnsi="Times New Roman" w:cs="Times New Roman"/>
          <w:sz w:val="28"/>
          <w:szCs w:val="28"/>
        </w:rPr>
        <w:t>con</w:t>
      </w:r>
      <w:r w:rsidRPr="0029329A">
        <w:rPr>
          <w:rFonts w:ascii="Times New Roman" w:hAnsi="Times New Roman" w:cs="Times New Roman"/>
          <w:sz w:val="28"/>
          <w:szCs w:val="28"/>
        </w:rPr>
        <w:t xml:space="preserve"> los proyectos incluidos e</w:t>
      </w:r>
      <w:r w:rsidRPr="0029329A">
        <w:rPr>
          <w:rFonts w:ascii="Times New Roman" w:hAnsi="Times New Roman" w:cs="Times New Roman"/>
          <w:sz w:val="28"/>
          <w:szCs w:val="28"/>
        </w:rPr>
        <w:t xml:space="preserve">n el Plan Plurianual de Inversiones 2023-2026. </w:t>
      </w:r>
      <w:r w:rsidRPr="0029329A">
        <w:rPr>
          <w:rFonts w:ascii="Times New Roman" w:hAnsi="Times New Roman" w:cs="Times New Roman"/>
          <w:sz w:val="28"/>
          <w:szCs w:val="28"/>
        </w:rPr>
        <w:t>Est</w:t>
      </w:r>
      <w:r w:rsidRPr="0029329A">
        <w:rPr>
          <w:rFonts w:ascii="Times New Roman" w:hAnsi="Times New Roman" w:cs="Times New Roman"/>
          <w:sz w:val="28"/>
          <w:szCs w:val="28"/>
        </w:rPr>
        <w:t>e recuent</w:t>
      </w:r>
      <w:r w:rsidRPr="0029329A">
        <w:rPr>
          <w:rFonts w:ascii="Times New Roman" w:hAnsi="Times New Roman" w:cs="Times New Roman"/>
          <w:sz w:val="28"/>
          <w:szCs w:val="28"/>
        </w:rPr>
        <w:t>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también </w:t>
      </w:r>
      <w:r w:rsidRPr="0029329A">
        <w:rPr>
          <w:rFonts w:ascii="Times New Roman" w:hAnsi="Times New Roman" w:cs="Times New Roman"/>
          <w:sz w:val="28"/>
          <w:szCs w:val="28"/>
        </w:rPr>
        <w:t xml:space="preserve">permite entender </w:t>
      </w:r>
      <w:r w:rsidRPr="0029329A">
        <w:rPr>
          <w:rFonts w:ascii="Times New Roman" w:hAnsi="Times New Roman" w:cs="Times New Roman"/>
          <w:sz w:val="28"/>
          <w:szCs w:val="28"/>
        </w:rPr>
        <w:t>la relación de</w:t>
      </w:r>
      <w:r w:rsidRPr="0029329A">
        <w:rPr>
          <w:rFonts w:ascii="Times New Roman" w:hAnsi="Times New Roman" w:cs="Times New Roman"/>
          <w:sz w:val="28"/>
          <w:szCs w:val="28"/>
        </w:rPr>
        <w:t xml:space="preserve">l </w:t>
      </w:r>
      <w:r w:rsidRPr="0029329A">
        <w:rPr>
          <w:rFonts w:ascii="Times New Roman" w:hAnsi="Times New Roman" w:cs="Times New Roman"/>
          <w:sz w:val="28"/>
          <w:szCs w:val="28"/>
        </w:rPr>
        <w:t>tributo con los derechos de los pueblos étnicos</w:t>
      </w:r>
      <w:r w:rsidRPr="0029329A">
        <w:rPr>
          <w:rFonts w:ascii="Times New Roman" w:hAnsi="Times New Roman" w:cs="Times New Roman"/>
          <w:sz w:val="28"/>
          <w:szCs w:val="28"/>
        </w:rPr>
        <w:t>.</w:t>
      </w:r>
    </w:p>
    <w:p w:rsidR="00A137AB" w:rsidRPr="0029329A" w:rsidRDefault="0029329A" w:rsidP="00D21BAE">
      <w:pPr>
        <w:pStyle w:val="Prrafodelista"/>
        <w:rPr>
          <w:rFonts w:ascii="Times New Roman" w:hAnsi="Times New Roman" w:cs="Times New Roman"/>
          <w:bCs/>
          <w:iCs/>
          <w:sz w:val="28"/>
          <w:szCs w:val="28"/>
        </w:rPr>
      </w:pPr>
    </w:p>
    <w:p w:rsidR="00863E17"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El Plan Nacional de Desarrollo 2022-2026 “Colombia Potencia Mundial de la Vida” </w:t>
      </w:r>
      <w:r w:rsidRPr="0029329A">
        <w:rPr>
          <w:rFonts w:ascii="Times New Roman" w:hAnsi="Times New Roman" w:cs="Times New Roman"/>
          <w:bCs/>
          <w:iCs/>
          <w:sz w:val="28"/>
          <w:szCs w:val="28"/>
        </w:rPr>
        <w:t>tiene</w:t>
      </w:r>
      <w:r w:rsidRPr="0029329A">
        <w:rPr>
          <w:rFonts w:ascii="Times New Roman" w:hAnsi="Times New Roman" w:cs="Times New Roman"/>
          <w:bCs/>
          <w:iCs/>
          <w:sz w:val="28"/>
          <w:szCs w:val="28"/>
        </w:rPr>
        <w:t xml:space="preserve"> como objetivo gene</w:t>
      </w:r>
      <w:r w:rsidRPr="0029329A">
        <w:rPr>
          <w:rFonts w:ascii="Times New Roman" w:hAnsi="Times New Roman" w:cs="Times New Roman"/>
          <w:bCs/>
          <w:iCs/>
          <w:sz w:val="28"/>
          <w:szCs w:val="28"/>
        </w:rPr>
        <w:t xml:space="preserve">ral </w:t>
      </w:r>
      <w:r w:rsidRPr="0029329A">
        <w:rPr>
          <w:rFonts w:ascii="Times New Roman" w:hAnsi="Times New Roman" w:cs="Times New Roman"/>
          <w:bCs/>
          <w:sz w:val="28"/>
          <w:szCs w:val="28"/>
        </w:rPr>
        <w:t>“sentar las bases para que el país se convierta en un líder de la protección de la vida a partir de la construcción de un nuevo contrato social que propicie la superación de injusticias y exclusiones históricas, la no repetición del conflicto, el cambi</w:t>
      </w:r>
      <w:r w:rsidRPr="0029329A">
        <w:rPr>
          <w:rFonts w:ascii="Times New Roman" w:hAnsi="Times New Roman" w:cs="Times New Roman"/>
          <w:bCs/>
          <w:sz w:val="28"/>
          <w:szCs w:val="28"/>
        </w:rPr>
        <w:t>o de nuestro relacionamiento con el ambiente y una transformación productiva sustentada en el conocimiento y en armonía con la naturaleza. Este proceso debe desembocar en la paz total, entendida como la búsqueda de una oportunidad para que todos podamos vi</w:t>
      </w:r>
      <w:r w:rsidRPr="0029329A">
        <w:rPr>
          <w:rFonts w:ascii="Times New Roman" w:hAnsi="Times New Roman" w:cs="Times New Roman"/>
          <w:bCs/>
          <w:sz w:val="28"/>
          <w:szCs w:val="28"/>
        </w:rPr>
        <w:t>vir una vida digna, basada en la justicia; es decir, en una cultura de la paz que reconoce el valor excelso de la vida en todas sus formas y que garantiza el cuidado de la casa común”</w:t>
      </w:r>
      <w:r w:rsidRPr="0029329A">
        <w:rPr>
          <w:rStyle w:val="Refdenotaalpie"/>
          <w:rFonts w:ascii="Times New Roman" w:hAnsi="Times New Roman"/>
          <w:bCs/>
          <w:sz w:val="28"/>
          <w:szCs w:val="28"/>
          <w:lang w:val="es-CO"/>
        </w:rPr>
        <w:footnoteReference w:id="152"/>
      </w:r>
      <w:r w:rsidRPr="0029329A">
        <w:rPr>
          <w:rFonts w:ascii="Times New Roman" w:hAnsi="Times New Roman" w:cs="Times New Roman"/>
          <w:bCs/>
          <w:sz w:val="28"/>
          <w:szCs w:val="28"/>
        </w:rPr>
        <w:t>.</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Así, d</w:t>
      </w:r>
      <w:r w:rsidRPr="0029329A">
        <w:rPr>
          <w:rFonts w:ascii="Times New Roman" w:hAnsi="Times New Roman" w:cs="Times New Roman"/>
          <w:bCs/>
          <w:iCs/>
          <w:sz w:val="28"/>
          <w:szCs w:val="28"/>
        </w:rPr>
        <w:t xml:space="preserve">esde </w:t>
      </w:r>
      <w:r w:rsidRPr="0029329A">
        <w:rPr>
          <w:rFonts w:ascii="Times New Roman" w:hAnsi="Times New Roman" w:cs="Times New Roman"/>
          <w:bCs/>
          <w:iCs/>
          <w:sz w:val="28"/>
          <w:szCs w:val="28"/>
        </w:rPr>
        <w:t>un inicio</w:t>
      </w:r>
      <w:r w:rsidRPr="0029329A">
        <w:rPr>
          <w:rFonts w:ascii="Times New Roman" w:hAnsi="Times New Roman" w:cs="Times New Roman"/>
          <w:bCs/>
          <w:iCs/>
          <w:sz w:val="28"/>
          <w:szCs w:val="28"/>
        </w:rPr>
        <w:t>, qued</w:t>
      </w:r>
      <w:r w:rsidRPr="0029329A">
        <w:rPr>
          <w:rFonts w:ascii="Times New Roman" w:hAnsi="Times New Roman" w:cs="Times New Roman"/>
          <w:bCs/>
          <w:iCs/>
          <w:sz w:val="28"/>
          <w:szCs w:val="28"/>
        </w:rPr>
        <w:t>a</w:t>
      </w:r>
      <w:r w:rsidRPr="0029329A">
        <w:rPr>
          <w:rFonts w:ascii="Times New Roman" w:hAnsi="Times New Roman" w:cs="Times New Roman"/>
          <w:bCs/>
          <w:iCs/>
          <w:sz w:val="28"/>
          <w:szCs w:val="28"/>
        </w:rPr>
        <w:t xml:space="preserve"> claro que la </w:t>
      </w:r>
      <w:r w:rsidRPr="0029329A">
        <w:rPr>
          <w:rFonts w:ascii="Times New Roman" w:hAnsi="Times New Roman" w:cs="Times New Roman"/>
          <w:bCs/>
          <w:i/>
          <w:sz w:val="28"/>
          <w:szCs w:val="28"/>
        </w:rPr>
        <w:t>cultura</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es</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 xml:space="preserve">un aspecto central en la visión de país que </w:t>
      </w:r>
      <w:r w:rsidRPr="0029329A">
        <w:rPr>
          <w:rFonts w:ascii="Times New Roman" w:hAnsi="Times New Roman" w:cs="Times New Roman"/>
          <w:bCs/>
          <w:iCs/>
          <w:sz w:val="28"/>
          <w:szCs w:val="28"/>
        </w:rPr>
        <w:t>promueve</w:t>
      </w:r>
      <w:r w:rsidRPr="0029329A">
        <w:rPr>
          <w:rFonts w:ascii="Times New Roman" w:hAnsi="Times New Roman" w:cs="Times New Roman"/>
          <w:bCs/>
          <w:iCs/>
          <w:sz w:val="28"/>
          <w:szCs w:val="28"/>
        </w:rPr>
        <w:t xml:space="preserve"> el plan nacional de desarrollo, </w:t>
      </w:r>
      <w:r w:rsidRPr="0029329A">
        <w:rPr>
          <w:rFonts w:ascii="Times New Roman" w:hAnsi="Times New Roman" w:cs="Times New Roman"/>
          <w:bCs/>
          <w:iCs/>
          <w:sz w:val="28"/>
          <w:szCs w:val="28"/>
        </w:rPr>
        <w:t xml:space="preserve">y </w:t>
      </w:r>
      <w:r w:rsidRPr="0029329A">
        <w:rPr>
          <w:rFonts w:ascii="Times New Roman" w:hAnsi="Times New Roman" w:cs="Times New Roman"/>
          <w:bCs/>
          <w:iCs/>
          <w:sz w:val="28"/>
          <w:szCs w:val="28"/>
        </w:rPr>
        <w:t>que se articula con la protección de la vida en todas sus formas</w:t>
      </w:r>
      <w:r w:rsidRPr="0029329A">
        <w:rPr>
          <w:rFonts w:ascii="Times New Roman" w:hAnsi="Times New Roman" w:cs="Times New Roman"/>
          <w:bCs/>
          <w:iCs/>
          <w:sz w:val="28"/>
          <w:szCs w:val="28"/>
        </w:rPr>
        <w:t>.</w:t>
      </w:r>
    </w:p>
    <w:p w:rsidR="00863E17" w:rsidRPr="0029329A" w:rsidRDefault="0029329A" w:rsidP="00D21BAE">
      <w:pPr>
        <w:rPr>
          <w:rFonts w:ascii="Times New Roman" w:hAnsi="Times New Roman" w:cs="Times New Roman"/>
          <w:bCs/>
          <w:iCs/>
          <w:sz w:val="28"/>
          <w:szCs w:val="28"/>
        </w:rPr>
      </w:pPr>
    </w:p>
    <w:p w:rsidR="00863E17"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Por su parte, el documento </w:t>
      </w:r>
      <w:r w:rsidRPr="0029329A">
        <w:rPr>
          <w:rFonts w:ascii="Times New Roman" w:hAnsi="Times New Roman" w:cs="Times New Roman"/>
          <w:bCs/>
          <w:iCs/>
          <w:sz w:val="28"/>
          <w:szCs w:val="28"/>
        </w:rPr>
        <w:t xml:space="preserve">de </w:t>
      </w:r>
      <w:r w:rsidRPr="0029329A">
        <w:rPr>
          <w:rFonts w:ascii="Times New Roman" w:hAnsi="Times New Roman" w:cs="Times New Roman"/>
          <w:bCs/>
          <w:iCs/>
          <w:sz w:val="28"/>
          <w:szCs w:val="28"/>
        </w:rPr>
        <w:t>Bases del Plan Nacional de Desarrollo 2022-2026 explic</w:t>
      </w:r>
      <w:r w:rsidRPr="0029329A">
        <w:rPr>
          <w:rFonts w:ascii="Times New Roman" w:hAnsi="Times New Roman" w:cs="Times New Roman"/>
          <w:bCs/>
          <w:iCs/>
          <w:sz w:val="28"/>
          <w:szCs w:val="28"/>
        </w:rPr>
        <w:t>a</w:t>
      </w:r>
      <w:r w:rsidRPr="0029329A">
        <w:rPr>
          <w:rFonts w:ascii="Times New Roman" w:hAnsi="Times New Roman" w:cs="Times New Roman"/>
          <w:bCs/>
          <w:iCs/>
          <w:sz w:val="28"/>
          <w:szCs w:val="28"/>
        </w:rPr>
        <w:t xml:space="preserve"> que la transformación de “</w:t>
      </w:r>
      <w:r w:rsidRPr="0029329A">
        <w:rPr>
          <w:rFonts w:ascii="Times New Roman" w:hAnsi="Times New Roman" w:cs="Times New Roman"/>
          <w:bCs/>
          <w:iCs/>
          <w:sz w:val="28"/>
          <w:szCs w:val="28"/>
        </w:rPr>
        <w:t>s</w:t>
      </w:r>
      <w:r w:rsidRPr="0029329A">
        <w:rPr>
          <w:rFonts w:ascii="Times New Roman" w:hAnsi="Times New Roman" w:cs="Times New Roman"/>
          <w:bCs/>
          <w:iCs/>
          <w:sz w:val="28"/>
          <w:szCs w:val="28"/>
        </w:rPr>
        <w:t>eguridad humana y justicia social” desarrolla unos catalizadores por medio de los cuales se pretende articular y materializar esta transformación. Para el caso específico, el catalizador “C. Expansión de capacidades: más y mejor</w:t>
      </w:r>
      <w:r w:rsidRPr="0029329A">
        <w:rPr>
          <w:rFonts w:ascii="Times New Roman" w:hAnsi="Times New Roman" w:cs="Times New Roman"/>
          <w:bCs/>
          <w:iCs/>
          <w:sz w:val="28"/>
          <w:szCs w:val="28"/>
        </w:rPr>
        <w:t>es oportunidades de la población para lograr sus proyectos de vida”, indica, entre otras cosas, que “[l]a calidad de vida también depende de otros elementos críticos como la cultura, el deporte, o la oferta de actividades de recreación”</w:t>
      </w:r>
      <w:r w:rsidRPr="0029329A">
        <w:rPr>
          <w:rFonts w:ascii="Times New Roman" w:hAnsi="Times New Roman" w:cs="Times New Roman"/>
          <w:sz w:val="28"/>
          <w:szCs w:val="28"/>
          <w:vertAlign w:val="superscript"/>
        </w:rPr>
        <w:footnoteReference w:id="153"/>
      </w:r>
      <w:r w:rsidRPr="0029329A">
        <w:rPr>
          <w:rFonts w:ascii="Times New Roman" w:hAnsi="Times New Roman" w:cs="Times New Roman"/>
          <w:bCs/>
          <w:iCs/>
          <w:sz w:val="28"/>
          <w:szCs w:val="28"/>
        </w:rPr>
        <w:t>.</w:t>
      </w:r>
    </w:p>
    <w:p w:rsidR="00863E17" w:rsidRPr="0029329A" w:rsidRDefault="0029329A" w:rsidP="00D21BAE">
      <w:pPr>
        <w:rPr>
          <w:rFonts w:ascii="Times New Roman" w:hAnsi="Times New Roman" w:cs="Times New Roman"/>
          <w:bCs/>
          <w:iCs/>
          <w:sz w:val="28"/>
          <w:szCs w:val="28"/>
        </w:rPr>
      </w:pPr>
    </w:p>
    <w:p w:rsidR="004102DA"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Posteriormente, </w:t>
      </w:r>
      <w:r w:rsidRPr="0029329A">
        <w:rPr>
          <w:rFonts w:ascii="Times New Roman" w:hAnsi="Times New Roman" w:cs="Times New Roman"/>
          <w:bCs/>
          <w:iCs/>
          <w:sz w:val="28"/>
          <w:szCs w:val="28"/>
        </w:rPr>
        <w:t xml:space="preserve">este catalizador desarrolla unos componentes donde se va precisando su alcance. Por ejemplo, </w:t>
      </w:r>
      <w:r w:rsidRPr="0029329A">
        <w:rPr>
          <w:rFonts w:ascii="Times New Roman" w:hAnsi="Times New Roman" w:cs="Times New Roman"/>
          <w:bCs/>
          <w:iCs/>
          <w:sz w:val="28"/>
          <w:szCs w:val="28"/>
        </w:rPr>
        <w:t xml:space="preserve">en </w:t>
      </w:r>
      <w:r w:rsidRPr="0029329A">
        <w:rPr>
          <w:rFonts w:ascii="Times New Roman" w:hAnsi="Times New Roman" w:cs="Times New Roman"/>
          <w:bCs/>
          <w:iCs/>
          <w:sz w:val="28"/>
          <w:szCs w:val="28"/>
        </w:rPr>
        <w:t>la “</w:t>
      </w:r>
      <w:r w:rsidRPr="0029329A">
        <w:rPr>
          <w:rFonts w:ascii="Times New Roman" w:hAnsi="Times New Roman" w:cs="Times New Roman"/>
          <w:bCs/>
          <w:iCs/>
          <w:sz w:val="28"/>
          <w:szCs w:val="28"/>
        </w:rPr>
        <w:t>g</w:t>
      </w:r>
      <w:r w:rsidRPr="0029329A">
        <w:rPr>
          <w:rFonts w:ascii="Times New Roman" w:hAnsi="Times New Roman" w:cs="Times New Roman"/>
          <w:bCs/>
          <w:iCs/>
          <w:sz w:val="28"/>
          <w:szCs w:val="28"/>
        </w:rPr>
        <w:t>arantía del disfrute y ejercicio de los derechos culturales para la vida y la paz”, que reconoce al sector cultura como parte fundamental para el “desarrol</w:t>
      </w:r>
      <w:r w:rsidRPr="0029329A">
        <w:rPr>
          <w:rFonts w:ascii="Times New Roman" w:hAnsi="Times New Roman" w:cs="Times New Roman"/>
          <w:bCs/>
          <w:iCs/>
          <w:sz w:val="28"/>
          <w:szCs w:val="28"/>
        </w:rPr>
        <w:t>lo integral y la justicia social</w:t>
      </w:r>
      <w:r w:rsidRPr="0029329A">
        <w:rPr>
          <w:rFonts w:ascii="Times New Roman" w:hAnsi="Times New Roman" w:cs="Times New Roman"/>
          <w:bCs/>
          <w:iCs/>
          <w:sz w:val="28"/>
          <w:szCs w:val="28"/>
        </w:rPr>
        <w:t xml:space="preserve"> […] </w:t>
      </w:r>
      <w:r w:rsidRPr="0029329A">
        <w:rPr>
          <w:rFonts w:ascii="Times New Roman" w:hAnsi="Times New Roman" w:cs="Times New Roman"/>
          <w:bCs/>
          <w:iCs/>
          <w:sz w:val="28"/>
          <w:szCs w:val="28"/>
        </w:rPr>
        <w:t>a través de la construcción de una cultura de Paz y de inclusión”, así como del “reconocimiento de los saberes y prácticas culturales; la salvaguardia de las memorias; el fortalecimiento y dignificación de la labor cult</w:t>
      </w:r>
      <w:r w:rsidRPr="0029329A">
        <w:rPr>
          <w:rFonts w:ascii="Times New Roman" w:hAnsi="Times New Roman" w:cs="Times New Roman"/>
          <w:bCs/>
          <w:iCs/>
          <w:sz w:val="28"/>
          <w:szCs w:val="28"/>
        </w:rPr>
        <w:t>ural de las personas y sus condiciones de vida”</w:t>
      </w:r>
      <w:r w:rsidRPr="0029329A">
        <w:rPr>
          <w:rFonts w:ascii="Times New Roman" w:hAnsi="Times New Roman" w:cs="Times New Roman"/>
          <w:iCs/>
          <w:sz w:val="28"/>
          <w:szCs w:val="28"/>
          <w:vertAlign w:val="superscript"/>
        </w:rPr>
        <w:footnoteReference w:id="154"/>
      </w:r>
      <w:r w:rsidRPr="0029329A">
        <w:rPr>
          <w:rFonts w:ascii="Times New Roman" w:hAnsi="Times New Roman" w:cs="Times New Roman"/>
          <w:bCs/>
          <w:iCs/>
          <w:sz w:val="28"/>
          <w:szCs w:val="28"/>
        </w:rPr>
        <w:t xml:space="preserve">. En consecuencia, la protección del patrimonio cultural </w:t>
      </w:r>
      <w:r w:rsidRPr="0029329A">
        <w:rPr>
          <w:rFonts w:ascii="Times New Roman" w:hAnsi="Times New Roman" w:cs="Times New Roman"/>
          <w:bCs/>
          <w:iCs/>
          <w:sz w:val="28"/>
          <w:szCs w:val="28"/>
        </w:rPr>
        <w:t xml:space="preserve">se torna </w:t>
      </w:r>
      <w:r w:rsidRPr="0029329A">
        <w:rPr>
          <w:rFonts w:ascii="Times New Roman" w:hAnsi="Times New Roman" w:cs="Times New Roman"/>
          <w:bCs/>
          <w:iCs/>
          <w:sz w:val="28"/>
          <w:szCs w:val="28"/>
        </w:rPr>
        <w:t xml:space="preserve">esencial como un instrumento para la construcción de una sociedad </w:t>
      </w:r>
      <w:r w:rsidRPr="0029329A">
        <w:rPr>
          <w:rFonts w:ascii="Times New Roman" w:hAnsi="Times New Roman" w:cs="Times New Roman"/>
          <w:bCs/>
          <w:iCs/>
          <w:sz w:val="28"/>
          <w:szCs w:val="28"/>
        </w:rPr>
        <w:t xml:space="preserve">inclusiva y </w:t>
      </w:r>
      <w:r w:rsidRPr="0029329A">
        <w:rPr>
          <w:rFonts w:ascii="Times New Roman" w:hAnsi="Times New Roman" w:cs="Times New Roman"/>
          <w:bCs/>
          <w:iCs/>
          <w:sz w:val="28"/>
          <w:szCs w:val="28"/>
        </w:rPr>
        <w:t>en paz.</w:t>
      </w:r>
    </w:p>
    <w:p w:rsidR="004102DA" w:rsidRPr="0029329A" w:rsidRDefault="0029329A" w:rsidP="00D21BAE">
      <w:pPr>
        <w:pStyle w:val="Prrafodelista"/>
        <w:rPr>
          <w:rFonts w:ascii="Times New Roman" w:hAnsi="Times New Roman" w:cs="Times New Roman"/>
          <w:bCs/>
          <w:iCs/>
          <w:sz w:val="28"/>
          <w:szCs w:val="28"/>
        </w:rPr>
      </w:pPr>
    </w:p>
    <w:p w:rsidR="00621771"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Bajo este marco, </w:t>
      </w:r>
      <w:r w:rsidRPr="0029329A">
        <w:rPr>
          <w:rFonts w:ascii="Times New Roman" w:hAnsi="Times New Roman" w:cs="Times New Roman"/>
          <w:bCs/>
          <w:iCs/>
          <w:sz w:val="28"/>
          <w:szCs w:val="28"/>
        </w:rPr>
        <w:t xml:space="preserve">se llega a la idea de </w:t>
      </w:r>
      <w:r w:rsidRPr="0029329A">
        <w:rPr>
          <w:rFonts w:ascii="Times New Roman" w:hAnsi="Times New Roman" w:cs="Times New Roman"/>
          <w:bCs/>
          <w:i/>
          <w:sz w:val="28"/>
          <w:szCs w:val="28"/>
        </w:rPr>
        <w:t xml:space="preserve">gobernanza </w:t>
      </w:r>
      <w:r w:rsidRPr="0029329A">
        <w:rPr>
          <w:rFonts w:ascii="Times New Roman" w:hAnsi="Times New Roman" w:cs="Times New Roman"/>
          <w:bCs/>
          <w:i/>
          <w:sz w:val="28"/>
          <w:szCs w:val="28"/>
        </w:rPr>
        <w:t>cultural</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dentro de</w:t>
      </w:r>
      <w:r w:rsidRPr="0029329A">
        <w:rPr>
          <w:rFonts w:ascii="Times New Roman" w:hAnsi="Times New Roman" w:cs="Times New Roman"/>
          <w:bCs/>
          <w:iCs/>
          <w:sz w:val="28"/>
          <w:szCs w:val="28"/>
        </w:rPr>
        <w:t xml:space="preserve"> l</w:t>
      </w:r>
      <w:r w:rsidRPr="0029329A">
        <w:rPr>
          <w:rFonts w:ascii="Times New Roman" w:hAnsi="Times New Roman" w:cs="Times New Roman"/>
          <w:bCs/>
          <w:iCs/>
          <w:sz w:val="28"/>
          <w:szCs w:val="28"/>
        </w:rPr>
        <w:t>a</w:t>
      </w:r>
      <w:r w:rsidRPr="0029329A">
        <w:rPr>
          <w:rFonts w:ascii="Times New Roman" w:hAnsi="Times New Roman" w:cs="Times New Roman"/>
          <w:bCs/>
          <w:iCs/>
          <w:sz w:val="28"/>
          <w:szCs w:val="28"/>
        </w:rPr>
        <w:t xml:space="preserve"> cual una de las entidades responsables es el ICANH. En este punto, las bases del plan se refieren expresamente a las nuevas tasas que luego </w:t>
      </w:r>
      <w:r w:rsidRPr="0029329A">
        <w:rPr>
          <w:rFonts w:ascii="Times New Roman" w:hAnsi="Times New Roman" w:cs="Times New Roman"/>
          <w:bCs/>
          <w:iCs/>
          <w:sz w:val="28"/>
          <w:szCs w:val="28"/>
        </w:rPr>
        <w:t>concreta</w:t>
      </w:r>
      <w:r w:rsidRPr="0029329A">
        <w:rPr>
          <w:rFonts w:ascii="Times New Roman" w:hAnsi="Times New Roman" w:cs="Times New Roman"/>
          <w:bCs/>
          <w:iCs/>
          <w:sz w:val="28"/>
          <w:szCs w:val="28"/>
        </w:rPr>
        <w:t xml:space="preserve"> el artículo 135 en cuestión:</w:t>
      </w:r>
    </w:p>
    <w:p w:rsidR="00621771" w:rsidRPr="0029329A" w:rsidRDefault="0029329A" w:rsidP="00D21BAE">
      <w:pPr>
        <w:rPr>
          <w:rFonts w:ascii="Times New Roman" w:hAnsi="Times New Roman" w:cs="Times New Roman"/>
          <w:bCs/>
          <w:iCs/>
          <w:sz w:val="28"/>
          <w:szCs w:val="28"/>
        </w:rPr>
      </w:pPr>
    </w:p>
    <w:p w:rsidR="00621771" w:rsidRPr="0029329A" w:rsidRDefault="0029329A" w:rsidP="00D21BAE">
      <w:pPr>
        <w:ind w:left="567"/>
        <w:jc w:val="both"/>
        <w:rPr>
          <w:rFonts w:ascii="Times New Roman" w:hAnsi="Times New Roman" w:cs="Times New Roman"/>
          <w:bCs/>
          <w:iCs/>
          <w:sz w:val="28"/>
          <w:szCs w:val="28"/>
        </w:rPr>
      </w:pPr>
      <w:r w:rsidRPr="0029329A">
        <w:rPr>
          <w:rFonts w:ascii="Times New Roman" w:hAnsi="Times New Roman" w:cs="Times New Roman"/>
          <w:bCs/>
          <w:iCs/>
          <w:sz w:val="28"/>
          <w:szCs w:val="28"/>
        </w:rPr>
        <w:t xml:space="preserve">“Se desarrollará una política pública para la </w:t>
      </w:r>
      <w:r w:rsidRPr="0029329A">
        <w:rPr>
          <w:rFonts w:ascii="Times New Roman" w:hAnsi="Times New Roman" w:cs="Times New Roman"/>
          <w:bCs/>
          <w:i/>
          <w:sz w:val="28"/>
          <w:szCs w:val="28"/>
        </w:rPr>
        <w:t>gobernan</w:t>
      </w:r>
      <w:r w:rsidRPr="0029329A">
        <w:rPr>
          <w:rFonts w:ascii="Times New Roman" w:hAnsi="Times New Roman" w:cs="Times New Roman"/>
          <w:bCs/>
          <w:i/>
          <w:sz w:val="28"/>
          <w:szCs w:val="28"/>
        </w:rPr>
        <w:t>za cultural</w:t>
      </w:r>
      <w:r w:rsidRPr="0029329A">
        <w:rPr>
          <w:rFonts w:ascii="Times New Roman" w:hAnsi="Times New Roman" w:cs="Times New Roman"/>
          <w:bCs/>
          <w:iCs/>
          <w:sz w:val="28"/>
          <w:szCs w:val="28"/>
        </w:rPr>
        <w:t xml:space="preserve"> desde la construcción territorial, de manera conjunta con las organizaciones sociales y culturales, y la sociedad civil en articulación con los planes de gestión pública de las entidades territoriales y aliados estratégicos del sector privado y la academi</w:t>
      </w:r>
      <w:r w:rsidRPr="0029329A">
        <w:rPr>
          <w:rFonts w:ascii="Times New Roman" w:hAnsi="Times New Roman" w:cs="Times New Roman"/>
          <w:bCs/>
          <w:iCs/>
          <w:sz w:val="28"/>
          <w:szCs w:val="28"/>
        </w:rPr>
        <w:t>a. Se promoverán desarrollos normativos e instrumentos de política pública para la valoración de la actividad cultural, entre ellos el Estatuto para la dignificación laboral de artistas, creadores, gestores culturales, portadores de saberes ancestrales y t</w:t>
      </w:r>
      <w:r w:rsidRPr="0029329A">
        <w:rPr>
          <w:rFonts w:ascii="Times New Roman" w:hAnsi="Times New Roman" w:cs="Times New Roman"/>
          <w:bCs/>
          <w:iCs/>
          <w:sz w:val="28"/>
          <w:szCs w:val="28"/>
        </w:rPr>
        <w:t xml:space="preserve">radicionales, y demás trabajadores de la cultura, así como de sus expresiones colectivas. También se ajustará el modelo de organización y operación de las Entidades descentralizadas indirectas del sector cultura. // El Instituto Colombiano de Antropología </w:t>
      </w:r>
      <w:r w:rsidRPr="0029329A">
        <w:rPr>
          <w:rFonts w:ascii="Times New Roman" w:hAnsi="Times New Roman" w:cs="Times New Roman"/>
          <w:bCs/>
          <w:iCs/>
          <w:sz w:val="28"/>
          <w:szCs w:val="28"/>
        </w:rPr>
        <w:t xml:space="preserve">e Historia – ICANH definirá una tasa de cobro por los procedimientos asociados a la protección y manejo de bienes arqueológicos asociados al Programa de Arqueología Preventiva – PAP, permitiéndole solventar los costos de dichos procesos que actualmente se </w:t>
      </w:r>
      <w:r w:rsidRPr="0029329A">
        <w:rPr>
          <w:rFonts w:ascii="Times New Roman" w:hAnsi="Times New Roman" w:cs="Times New Roman"/>
          <w:bCs/>
          <w:iCs/>
          <w:sz w:val="28"/>
          <w:szCs w:val="28"/>
        </w:rPr>
        <w:t>desarrollan de manera gratuita</w:t>
      </w:r>
      <w:r w:rsidRPr="0029329A">
        <w:rPr>
          <w:rFonts w:ascii="Times New Roman" w:hAnsi="Times New Roman" w:cs="Times New Roman"/>
          <w:bCs/>
          <w:iCs/>
          <w:sz w:val="28"/>
          <w:szCs w:val="28"/>
        </w:rPr>
        <w:t>”</w:t>
      </w:r>
      <w:r w:rsidRPr="0029329A">
        <w:rPr>
          <w:rFonts w:ascii="Times New Roman" w:hAnsi="Times New Roman" w:cs="Times New Roman"/>
          <w:bCs/>
          <w:iCs/>
          <w:sz w:val="28"/>
          <w:szCs w:val="28"/>
          <w:vertAlign w:val="superscript"/>
        </w:rPr>
        <w:footnoteReference w:id="155"/>
      </w:r>
      <w:r w:rsidRPr="0029329A">
        <w:rPr>
          <w:rFonts w:ascii="Times New Roman" w:hAnsi="Times New Roman" w:cs="Times New Roman"/>
          <w:bCs/>
          <w:iCs/>
          <w:sz w:val="28"/>
          <w:szCs w:val="28"/>
        </w:rPr>
        <w:t>.</w:t>
      </w:r>
    </w:p>
    <w:p w:rsidR="00621771" w:rsidRPr="0029329A" w:rsidRDefault="0029329A" w:rsidP="00D21BAE">
      <w:pPr>
        <w:rPr>
          <w:rFonts w:ascii="Times New Roman" w:hAnsi="Times New Roman" w:cs="Times New Roman"/>
          <w:bCs/>
          <w:iCs/>
          <w:sz w:val="28"/>
          <w:szCs w:val="28"/>
        </w:rPr>
      </w:pPr>
    </w:p>
    <w:p w:rsidR="00E10589"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De este modo, la tasa establecida en el artículo 135 de la Ley 2294 de 2023 </w:t>
      </w:r>
      <w:r w:rsidRPr="0029329A">
        <w:rPr>
          <w:rFonts w:ascii="Times New Roman" w:hAnsi="Times New Roman" w:cs="Times New Roman"/>
          <w:bCs/>
          <w:iCs/>
          <w:sz w:val="28"/>
          <w:szCs w:val="28"/>
        </w:rPr>
        <w:t xml:space="preserve">buscó </w:t>
      </w:r>
      <w:r w:rsidRPr="0029329A">
        <w:rPr>
          <w:rFonts w:ascii="Times New Roman" w:hAnsi="Times New Roman" w:cs="Times New Roman"/>
          <w:bCs/>
          <w:iCs/>
          <w:sz w:val="28"/>
          <w:szCs w:val="28"/>
        </w:rPr>
        <w:t>fortalece</w:t>
      </w:r>
      <w:r w:rsidRPr="0029329A">
        <w:rPr>
          <w:rFonts w:ascii="Times New Roman" w:hAnsi="Times New Roman" w:cs="Times New Roman"/>
          <w:bCs/>
          <w:iCs/>
          <w:sz w:val="28"/>
          <w:szCs w:val="28"/>
        </w:rPr>
        <w:t>r</w:t>
      </w:r>
      <w:r w:rsidRPr="0029329A">
        <w:rPr>
          <w:rFonts w:ascii="Times New Roman" w:hAnsi="Times New Roman" w:cs="Times New Roman"/>
          <w:bCs/>
          <w:iCs/>
          <w:sz w:val="28"/>
          <w:szCs w:val="28"/>
        </w:rPr>
        <w:t xml:space="preserve"> los mecanismos para la atención adecuada y oportuna de hallazgos fortuitos de bienes integrantes del patrimonio arqueológico, en</w:t>
      </w:r>
      <w:r w:rsidRPr="0029329A">
        <w:rPr>
          <w:rFonts w:ascii="Times New Roman" w:hAnsi="Times New Roman" w:cs="Times New Roman"/>
          <w:bCs/>
          <w:iCs/>
          <w:sz w:val="28"/>
          <w:szCs w:val="28"/>
        </w:rPr>
        <w:t xml:space="preserve"> un contexto general que apuesta por la gobernanza cultural. Además de esta conexidad expresa, directa e inmediata con los objetivos del plan nacional, el Ministerio de Hacienda </w:t>
      </w:r>
      <w:r w:rsidRPr="0029329A">
        <w:rPr>
          <w:rFonts w:ascii="Times New Roman" w:hAnsi="Times New Roman" w:cs="Times New Roman"/>
          <w:bCs/>
          <w:iCs/>
          <w:sz w:val="28"/>
          <w:szCs w:val="28"/>
        </w:rPr>
        <w:t>afirmó</w:t>
      </w:r>
      <w:r w:rsidRPr="0029329A">
        <w:rPr>
          <w:rFonts w:ascii="Times New Roman" w:hAnsi="Times New Roman" w:cs="Times New Roman"/>
          <w:bCs/>
          <w:iCs/>
          <w:sz w:val="28"/>
          <w:szCs w:val="28"/>
        </w:rPr>
        <w:t xml:space="preserve"> en su intervención que este servicio de arqueología también </w:t>
      </w:r>
      <w:r w:rsidRPr="0029329A">
        <w:rPr>
          <w:rFonts w:ascii="Times New Roman" w:hAnsi="Times New Roman" w:cs="Times New Roman"/>
          <w:bCs/>
          <w:iCs/>
          <w:sz w:val="28"/>
          <w:szCs w:val="28"/>
        </w:rPr>
        <w:t>guarda</w:t>
      </w:r>
      <w:r w:rsidRPr="0029329A">
        <w:rPr>
          <w:rFonts w:ascii="Times New Roman" w:hAnsi="Times New Roman" w:cs="Times New Roman"/>
          <w:bCs/>
          <w:iCs/>
          <w:sz w:val="28"/>
          <w:szCs w:val="28"/>
        </w:rPr>
        <w:t xml:space="preserve"> rela</w:t>
      </w:r>
      <w:r w:rsidRPr="0029329A">
        <w:rPr>
          <w:rFonts w:ascii="Times New Roman" w:hAnsi="Times New Roman" w:cs="Times New Roman"/>
          <w:bCs/>
          <w:iCs/>
          <w:sz w:val="28"/>
          <w:szCs w:val="28"/>
        </w:rPr>
        <w:t>ción con otros componentes del plan nacional de desarrollo. Por ejemplo, con el objetivo</w:t>
      </w:r>
      <w:r w:rsidRPr="0029329A">
        <w:rPr>
          <w:rFonts w:ascii="Times New Roman" w:hAnsi="Times New Roman" w:cs="Times New Roman"/>
          <w:sz w:val="28"/>
          <w:szCs w:val="28"/>
        </w:rPr>
        <w:t xml:space="preserve"> </w:t>
      </w:r>
      <w:r w:rsidRPr="0029329A">
        <w:rPr>
          <w:rFonts w:ascii="Times New Roman" w:hAnsi="Times New Roman" w:cs="Times New Roman"/>
          <w:bCs/>
          <w:iCs/>
          <w:sz w:val="28"/>
          <w:szCs w:val="28"/>
        </w:rPr>
        <w:t>de “</w:t>
      </w:r>
      <w:r w:rsidRPr="0029329A">
        <w:rPr>
          <w:rFonts w:ascii="Times New Roman" w:hAnsi="Times New Roman" w:cs="Times New Roman"/>
          <w:bCs/>
          <w:iCs/>
          <w:sz w:val="28"/>
          <w:szCs w:val="28"/>
        </w:rPr>
        <w:t>r</w:t>
      </w:r>
      <w:r w:rsidRPr="0029329A">
        <w:rPr>
          <w:rFonts w:ascii="Times New Roman" w:hAnsi="Times New Roman" w:cs="Times New Roman"/>
          <w:bCs/>
          <w:iCs/>
          <w:sz w:val="28"/>
          <w:szCs w:val="28"/>
        </w:rPr>
        <w:t xml:space="preserve">econocimiento, salvaguardia y fomento de la memoria viva, el patrimonio, las culturas y los saberes”, se propone el fortalecimiento de procesos de formación, </w:t>
      </w:r>
      <w:r w:rsidRPr="0029329A">
        <w:rPr>
          <w:rFonts w:ascii="Times New Roman" w:hAnsi="Times New Roman" w:cs="Times New Roman"/>
          <w:bCs/>
          <w:iCs/>
          <w:sz w:val="28"/>
          <w:szCs w:val="28"/>
        </w:rPr>
        <w:t>investigación, valoración, protección y divulgación del patrimonio arqueológico”</w:t>
      </w:r>
      <w:r w:rsidRPr="0029329A">
        <w:rPr>
          <w:rFonts w:ascii="Times New Roman" w:hAnsi="Times New Roman" w:cs="Times New Roman"/>
          <w:sz w:val="28"/>
          <w:szCs w:val="28"/>
          <w:vertAlign w:val="superscript"/>
        </w:rPr>
        <w:footnoteReference w:id="156"/>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 xml:space="preserve"> </w:t>
      </w:r>
    </w:p>
    <w:p w:rsidR="00E10589" w:rsidRPr="0029329A" w:rsidRDefault="0029329A" w:rsidP="00E10589">
      <w:pPr>
        <w:pStyle w:val="Prrafodelista"/>
        <w:tabs>
          <w:tab w:val="left" w:pos="426"/>
        </w:tabs>
        <w:jc w:val="both"/>
        <w:rPr>
          <w:rFonts w:ascii="Times New Roman" w:hAnsi="Times New Roman" w:cs="Times New Roman"/>
          <w:sz w:val="28"/>
          <w:szCs w:val="28"/>
        </w:rPr>
      </w:pPr>
    </w:p>
    <w:p w:rsidR="005C3104" w:rsidRPr="0029329A" w:rsidRDefault="0029329A" w:rsidP="00103216">
      <w:pPr>
        <w:pStyle w:val="Prrafodelista"/>
        <w:numPr>
          <w:ilvl w:val="0"/>
          <w:numId w:val="3"/>
        </w:numPr>
        <w:tabs>
          <w:tab w:val="left" w:pos="426"/>
        </w:tabs>
        <w:ind w:left="0" w:firstLine="0"/>
        <w:jc w:val="both"/>
        <w:rPr>
          <w:rFonts w:ascii="Times New Roman" w:hAnsi="Times New Roman" w:cs="Times New Roman"/>
          <w:iCs/>
          <w:sz w:val="28"/>
          <w:szCs w:val="28"/>
        </w:rPr>
      </w:pPr>
      <w:r w:rsidRPr="0029329A">
        <w:rPr>
          <w:rFonts w:ascii="Times New Roman" w:hAnsi="Times New Roman" w:cs="Times New Roman"/>
          <w:bCs/>
          <w:iCs/>
          <w:sz w:val="28"/>
          <w:szCs w:val="28"/>
        </w:rPr>
        <w:t xml:space="preserve">En un sentido similar, el ICANH explicó que sus funciones repercuten en varios objetivos transversales del plan nacional de desarrollo, como lo son la cultura para la paz </w:t>
      </w:r>
      <w:r w:rsidRPr="0029329A">
        <w:rPr>
          <w:rFonts w:ascii="Times New Roman" w:hAnsi="Times New Roman" w:cs="Times New Roman"/>
          <w:bCs/>
          <w:iCs/>
          <w:sz w:val="28"/>
          <w:szCs w:val="28"/>
        </w:rPr>
        <w:t>y la salvaguarda de los pueblos étnicos</w:t>
      </w:r>
      <w:r w:rsidRPr="0029329A">
        <w:rPr>
          <w:rStyle w:val="Refdenotaalpie"/>
          <w:rFonts w:ascii="Times New Roman" w:hAnsi="Times New Roman"/>
          <w:bCs/>
          <w:iCs/>
          <w:sz w:val="28"/>
          <w:szCs w:val="28"/>
          <w:lang w:val="es-CO"/>
        </w:rPr>
        <w:footnoteReference w:id="157"/>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 xml:space="preserve"> Esta entidad</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también destacó que, dentro de los diálogos regionales que sirvieron de insumo al plan nacional de desarrollo, especialmente desde los territorios de la Amazonía oriental, San José del Guaviare, Casana</w:t>
      </w:r>
      <w:r w:rsidRPr="0029329A">
        <w:rPr>
          <w:rFonts w:ascii="Times New Roman" w:hAnsi="Times New Roman" w:cs="Times New Roman"/>
          <w:bCs/>
          <w:iCs/>
          <w:sz w:val="28"/>
          <w:szCs w:val="28"/>
        </w:rPr>
        <w:t>re, Guapi y Valledupar se manifestó la necesidad de “fortalecerse el ecosistema cultural”, brindar “apoyo a la investigación cultural en los territorios para salvaguardar el patrimonio” y desarrollar “museos en las escuelas para resguardar el patrimonio ma</w:t>
      </w:r>
      <w:r w:rsidRPr="0029329A">
        <w:rPr>
          <w:rFonts w:ascii="Times New Roman" w:hAnsi="Times New Roman" w:cs="Times New Roman"/>
          <w:bCs/>
          <w:iCs/>
          <w:sz w:val="28"/>
          <w:szCs w:val="28"/>
        </w:rPr>
        <w:t xml:space="preserve">terial e inmaterial (arte y memoria histórica)”. Así mismo las comunidades manifestaron que existe “escaso reconocimiento y valoración social de la diversidad étnica y cultural como uno de los factores que definen la identidad nacional” y que se requieren </w:t>
      </w:r>
      <w:r w:rsidRPr="0029329A">
        <w:rPr>
          <w:rFonts w:ascii="Times New Roman" w:hAnsi="Times New Roman" w:cs="Times New Roman"/>
          <w:bCs/>
          <w:iCs/>
          <w:sz w:val="28"/>
          <w:szCs w:val="28"/>
        </w:rPr>
        <w:t>“recursos para el sector cultural y creativo”, así como “que sea evidente el cambio, sea estructural, en lo social, cultural, político y económico</w:t>
      </w:r>
      <w:r w:rsidRPr="0029329A">
        <w:rPr>
          <w:rFonts w:ascii="Times New Roman" w:hAnsi="Times New Roman" w:cs="Times New Roman"/>
          <w:bCs/>
          <w:iCs/>
          <w:sz w:val="28"/>
          <w:szCs w:val="28"/>
        </w:rPr>
        <w:t>,</w:t>
      </w:r>
      <w:r w:rsidRPr="0029329A">
        <w:rPr>
          <w:rFonts w:ascii="Times New Roman" w:hAnsi="Times New Roman" w:cs="Times New Roman"/>
          <w:bCs/>
          <w:iCs/>
          <w:sz w:val="28"/>
          <w:szCs w:val="28"/>
        </w:rPr>
        <w:t xml:space="preserve"> </w:t>
      </w:r>
      <w:r w:rsidRPr="0029329A">
        <w:rPr>
          <w:rFonts w:ascii="Times New Roman" w:hAnsi="Times New Roman" w:cs="Times New Roman"/>
          <w:bCs/>
          <w:iCs/>
          <w:sz w:val="28"/>
          <w:szCs w:val="28"/>
        </w:rPr>
        <w:t>q</w:t>
      </w:r>
      <w:r w:rsidRPr="0029329A">
        <w:rPr>
          <w:rFonts w:ascii="Times New Roman" w:hAnsi="Times New Roman" w:cs="Times New Roman"/>
          <w:bCs/>
          <w:iCs/>
          <w:sz w:val="28"/>
          <w:szCs w:val="28"/>
        </w:rPr>
        <w:t>ue el Estado llegue a todo el territorio nacional”</w:t>
      </w:r>
      <w:r w:rsidRPr="0029329A">
        <w:rPr>
          <w:rStyle w:val="Refdenotaalpie"/>
          <w:rFonts w:ascii="Times New Roman" w:hAnsi="Times New Roman"/>
          <w:bCs/>
          <w:iCs/>
          <w:sz w:val="28"/>
          <w:szCs w:val="28"/>
          <w:lang w:val="es-CO"/>
        </w:rPr>
        <w:footnoteReference w:id="158"/>
      </w:r>
      <w:r w:rsidRPr="0029329A">
        <w:rPr>
          <w:rFonts w:ascii="Times New Roman" w:hAnsi="Times New Roman" w:cs="Times New Roman"/>
          <w:bCs/>
          <w:iCs/>
          <w:sz w:val="28"/>
          <w:szCs w:val="28"/>
        </w:rPr>
        <w:t>.</w:t>
      </w:r>
    </w:p>
    <w:p w:rsidR="005A1D66" w:rsidRPr="0029329A" w:rsidRDefault="0029329A" w:rsidP="00D21BAE">
      <w:pPr>
        <w:pStyle w:val="Prrafodelista"/>
        <w:rPr>
          <w:rFonts w:ascii="Times New Roman" w:hAnsi="Times New Roman" w:cs="Times New Roman"/>
          <w:iCs/>
          <w:sz w:val="28"/>
          <w:szCs w:val="28"/>
        </w:rPr>
      </w:pPr>
    </w:p>
    <w:p w:rsidR="005C1DB1" w:rsidRPr="0029329A" w:rsidRDefault="0029329A" w:rsidP="00D21BAE">
      <w:pPr>
        <w:pStyle w:val="Prrafodelista"/>
        <w:numPr>
          <w:ilvl w:val="0"/>
          <w:numId w:val="3"/>
        </w:numPr>
        <w:tabs>
          <w:tab w:val="left" w:pos="426"/>
        </w:tabs>
        <w:ind w:left="0" w:firstLine="0"/>
        <w:jc w:val="both"/>
        <w:rPr>
          <w:rFonts w:ascii="Times New Roman" w:hAnsi="Times New Roman" w:cs="Times New Roman"/>
          <w:iCs/>
          <w:sz w:val="28"/>
          <w:szCs w:val="28"/>
        </w:rPr>
      </w:pPr>
      <w:r w:rsidRPr="0029329A">
        <w:rPr>
          <w:rFonts w:ascii="Times New Roman" w:hAnsi="Times New Roman" w:cs="Times New Roman"/>
          <w:bCs/>
          <w:iCs/>
          <w:sz w:val="28"/>
          <w:szCs w:val="28"/>
        </w:rPr>
        <w:t xml:space="preserve">Visto así, </w:t>
      </w:r>
      <w:r w:rsidRPr="0029329A">
        <w:rPr>
          <w:rFonts w:ascii="Times New Roman" w:hAnsi="Times New Roman" w:cs="Times New Roman"/>
          <w:bCs/>
          <w:iCs/>
          <w:sz w:val="28"/>
          <w:szCs w:val="28"/>
        </w:rPr>
        <w:t xml:space="preserve">desde una mirada más amplia, para los magistrados que suscribimos este salvamento parcial de voto, era necesario </w:t>
      </w:r>
      <w:r w:rsidRPr="0029329A">
        <w:rPr>
          <w:rFonts w:ascii="Times New Roman" w:hAnsi="Times New Roman" w:cs="Times New Roman"/>
          <w:bCs/>
          <w:iCs/>
          <w:sz w:val="28"/>
          <w:szCs w:val="28"/>
        </w:rPr>
        <w:t>reconocer</w:t>
      </w:r>
      <w:r w:rsidRPr="0029329A">
        <w:rPr>
          <w:rFonts w:ascii="Times New Roman" w:hAnsi="Times New Roman" w:cs="Times New Roman"/>
          <w:bCs/>
          <w:iCs/>
          <w:sz w:val="28"/>
          <w:szCs w:val="28"/>
        </w:rPr>
        <w:t xml:space="preserve"> una conexidad directa e inmediata entre la norma acusada y los objetivos, las metas o las estrategias de la parte general del plan na</w:t>
      </w:r>
      <w:r w:rsidRPr="0029329A">
        <w:rPr>
          <w:rFonts w:ascii="Times New Roman" w:hAnsi="Times New Roman" w:cs="Times New Roman"/>
          <w:bCs/>
          <w:iCs/>
          <w:sz w:val="28"/>
          <w:szCs w:val="28"/>
        </w:rPr>
        <w:t>cional de desarrollo y su relación instrumental con el plan anual de inversiones</w:t>
      </w:r>
      <w:r w:rsidRPr="0029329A">
        <w:rPr>
          <w:rFonts w:ascii="Times New Roman" w:hAnsi="Times New Roman" w:cs="Times New Roman"/>
          <w:bCs/>
          <w:iCs/>
          <w:sz w:val="28"/>
          <w:szCs w:val="28"/>
        </w:rPr>
        <w:t xml:space="preserve"> y los demás derechos fundamentales involucrados</w:t>
      </w:r>
      <w:r w:rsidRPr="0029329A">
        <w:rPr>
          <w:rFonts w:ascii="Times New Roman" w:hAnsi="Times New Roman" w:cs="Times New Roman"/>
          <w:bCs/>
          <w:iCs/>
          <w:sz w:val="28"/>
          <w:szCs w:val="28"/>
        </w:rPr>
        <w:t xml:space="preserve">. </w:t>
      </w:r>
    </w:p>
    <w:p w:rsidR="005C1DB1" w:rsidRPr="0029329A" w:rsidRDefault="0029329A" w:rsidP="005C1DB1">
      <w:pPr>
        <w:pStyle w:val="Prrafodelista"/>
        <w:rPr>
          <w:rFonts w:ascii="Times New Roman" w:hAnsi="Times New Roman" w:cs="Times New Roman"/>
          <w:bCs/>
          <w:iCs/>
          <w:sz w:val="28"/>
          <w:szCs w:val="28"/>
        </w:rPr>
      </w:pPr>
    </w:p>
    <w:p w:rsidR="005A1D66" w:rsidRPr="0029329A" w:rsidRDefault="0029329A" w:rsidP="00D21BAE">
      <w:pPr>
        <w:pStyle w:val="Prrafodelista"/>
        <w:numPr>
          <w:ilvl w:val="0"/>
          <w:numId w:val="3"/>
        </w:numPr>
        <w:tabs>
          <w:tab w:val="left" w:pos="426"/>
        </w:tabs>
        <w:ind w:left="0" w:firstLine="0"/>
        <w:jc w:val="both"/>
        <w:rPr>
          <w:rFonts w:ascii="Times New Roman" w:hAnsi="Times New Roman" w:cs="Times New Roman"/>
          <w:iCs/>
          <w:sz w:val="28"/>
          <w:szCs w:val="28"/>
        </w:rPr>
      </w:pPr>
      <w:r w:rsidRPr="0029329A">
        <w:rPr>
          <w:rFonts w:ascii="Times New Roman" w:hAnsi="Times New Roman" w:cs="Times New Roman"/>
          <w:bCs/>
          <w:iCs/>
          <w:sz w:val="28"/>
          <w:szCs w:val="28"/>
        </w:rPr>
        <w:t>Como bien señaló el ICANH, la tarea arqueológica no es un</w:t>
      </w:r>
      <w:r w:rsidRPr="0029329A">
        <w:rPr>
          <w:rFonts w:ascii="Times New Roman" w:hAnsi="Times New Roman" w:cs="Times New Roman"/>
          <w:bCs/>
          <w:iCs/>
          <w:sz w:val="28"/>
          <w:szCs w:val="28"/>
        </w:rPr>
        <w:t xml:space="preserve">a tarea </w:t>
      </w:r>
      <w:r w:rsidRPr="0029329A">
        <w:rPr>
          <w:rFonts w:ascii="Times New Roman" w:hAnsi="Times New Roman" w:cs="Times New Roman"/>
          <w:bCs/>
          <w:iCs/>
          <w:sz w:val="28"/>
          <w:szCs w:val="28"/>
        </w:rPr>
        <w:t>aislad</w:t>
      </w:r>
      <w:r w:rsidRPr="0029329A">
        <w:rPr>
          <w:rFonts w:ascii="Times New Roman" w:hAnsi="Times New Roman" w:cs="Times New Roman"/>
          <w:bCs/>
          <w:iCs/>
          <w:sz w:val="28"/>
          <w:szCs w:val="28"/>
        </w:rPr>
        <w:t>a en la ruralidad</w:t>
      </w:r>
      <w:r w:rsidRPr="0029329A">
        <w:rPr>
          <w:rFonts w:ascii="Times New Roman" w:hAnsi="Times New Roman" w:cs="Times New Roman"/>
          <w:bCs/>
          <w:iCs/>
          <w:sz w:val="28"/>
          <w:szCs w:val="28"/>
        </w:rPr>
        <w:t xml:space="preserve"> o puramente intelectual</w:t>
      </w:r>
      <w:r w:rsidRPr="0029329A">
        <w:rPr>
          <w:rFonts w:ascii="Times New Roman" w:hAnsi="Times New Roman" w:cs="Times New Roman"/>
          <w:bCs/>
          <w:iCs/>
          <w:sz w:val="28"/>
          <w:szCs w:val="28"/>
        </w:rPr>
        <w:t xml:space="preserve"> desde un an</w:t>
      </w:r>
      <w:r w:rsidRPr="0029329A">
        <w:rPr>
          <w:rFonts w:ascii="Times New Roman" w:hAnsi="Times New Roman" w:cs="Times New Roman"/>
          <w:bCs/>
          <w:iCs/>
          <w:sz w:val="28"/>
          <w:szCs w:val="28"/>
        </w:rPr>
        <w:t>aquel</w:t>
      </w:r>
      <w:r w:rsidRPr="0029329A">
        <w:rPr>
          <w:rFonts w:ascii="Times New Roman" w:hAnsi="Times New Roman" w:cs="Times New Roman"/>
          <w:bCs/>
          <w:iCs/>
          <w:sz w:val="28"/>
          <w:szCs w:val="28"/>
        </w:rPr>
        <w:t xml:space="preserve">; por el contrario, sus funciones repercuten en una idea más </w:t>
      </w:r>
      <w:r w:rsidRPr="0029329A">
        <w:rPr>
          <w:rFonts w:ascii="Times New Roman" w:hAnsi="Times New Roman" w:cs="Times New Roman"/>
          <w:bCs/>
          <w:iCs/>
          <w:sz w:val="28"/>
          <w:szCs w:val="28"/>
        </w:rPr>
        <w:t>rica</w:t>
      </w:r>
      <w:r w:rsidRPr="0029329A">
        <w:rPr>
          <w:rFonts w:ascii="Times New Roman" w:hAnsi="Times New Roman" w:cs="Times New Roman"/>
          <w:bCs/>
          <w:iCs/>
          <w:sz w:val="28"/>
          <w:szCs w:val="28"/>
        </w:rPr>
        <w:t xml:space="preserve"> de cultura, en la comprensión de distintas formas de vida, en la recuperación de la memoria nacional, en la reivindicación de los pueblos étnicos, en la protección de sus saberes y en la transición hacia una cultura de la paz. Asumir</w:t>
      </w:r>
      <w:r w:rsidRPr="0029329A">
        <w:rPr>
          <w:rFonts w:ascii="Times New Roman" w:hAnsi="Times New Roman" w:cs="Times New Roman"/>
          <w:bCs/>
          <w:iCs/>
          <w:sz w:val="28"/>
          <w:szCs w:val="28"/>
        </w:rPr>
        <w:t xml:space="preserve"> -como propuso la mayo</w:t>
      </w:r>
      <w:r w:rsidRPr="0029329A">
        <w:rPr>
          <w:rFonts w:ascii="Times New Roman" w:hAnsi="Times New Roman" w:cs="Times New Roman"/>
          <w:bCs/>
          <w:iCs/>
          <w:sz w:val="28"/>
          <w:szCs w:val="28"/>
        </w:rPr>
        <w:t xml:space="preserve">ría- </w:t>
      </w:r>
      <w:r w:rsidRPr="0029329A">
        <w:rPr>
          <w:rFonts w:ascii="Times New Roman" w:hAnsi="Times New Roman" w:cs="Times New Roman"/>
          <w:bCs/>
          <w:iCs/>
          <w:sz w:val="28"/>
          <w:szCs w:val="28"/>
        </w:rPr>
        <w:t xml:space="preserve">que la tasa prevista en el artículo 135 solo </w:t>
      </w:r>
      <w:r w:rsidRPr="0029329A">
        <w:rPr>
          <w:rFonts w:ascii="Times New Roman" w:hAnsi="Times New Roman" w:cs="Times New Roman"/>
          <w:bCs/>
          <w:iCs/>
          <w:sz w:val="28"/>
          <w:szCs w:val="28"/>
        </w:rPr>
        <w:t>tenía</w:t>
      </w:r>
      <w:r w:rsidRPr="0029329A">
        <w:rPr>
          <w:rFonts w:ascii="Times New Roman" w:hAnsi="Times New Roman" w:cs="Times New Roman"/>
          <w:bCs/>
          <w:iCs/>
          <w:sz w:val="28"/>
          <w:szCs w:val="28"/>
        </w:rPr>
        <w:t xml:space="preserve"> por objeto financiar al ICANH y que por lo mismo no guarda</w:t>
      </w:r>
      <w:r w:rsidRPr="0029329A">
        <w:rPr>
          <w:rFonts w:ascii="Times New Roman" w:hAnsi="Times New Roman" w:cs="Times New Roman"/>
          <w:bCs/>
          <w:iCs/>
          <w:sz w:val="28"/>
          <w:szCs w:val="28"/>
        </w:rPr>
        <w:t>ba</w:t>
      </w:r>
      <w:r w:rsidRPr="0029329A">
        <w:rPr>
          <w:rFonts w:ascii="Times New Roman" w:hAnsi="Times New Roman" w:cs="Times New Roman"/>
          <w:bCs/>
          <w:iCs/>
          <w:sz w:val="28"/>
          <w:szCs w:val="28"/>
        </w:rPr>
        <w:t xml:space="preserve"> relación con el plan nacional de desarrollo</w:t>
      </w:r>
      <w:r w:rsidRPr="0029329A">
        <w:rPr>
          <w:rFonts w:ascii="Times New Roman" w:hAnsi="Times New Roman" w:cs="Times New Roman"/>
          <w:bCs/>
          <w:iCs/>
          <w:sz w:val="28"/>
          <w:szCs w:val="28"/>
        </w:rPr>
        <w:t xml:space="preserve"> ni con los derechos de los pueblos étnicos allí contenidos</w:t>
      </w:r>
      <w:r w:rsidRPr="0029329A">
        <w:rPr>
          <w:rFonts w:ascii="Times New Roman" w:hAnsi="Times New Roman" w:cs="Times New Roman"/>
          <w:bCs/>
          <w:iCs/>
          <w:sz w:val="28"/>
          <w:szCs w:val="28"/>
        </w:rPr>
        <w:t>, implica desconocer el contexto ampl</w:t>
      </w:r>
      <w:r w:rsidRPr="0029329A">
        <w:rPr>
          <w:rFonts w:ascii="Times New Roman" w:hAnsi="Times New Roman" w:cs="Times New Roman"/>
          <w:bCs/>
          <w:iCs/>
          <w:sz w:val="28"/>
          <w:szCs w:val="28"/>
        </w:rPr>
        <w:t xml:space="preserve">io en el que se enmarca esta disposición y las </w:t>
      </w:r>
      <w:r w:rsidRPr="0029329A">
        <w:rPr>
          <w:rFonts w:ascii="Times New Roman" w:hAnsi="Times New Roman" w:cs="Times New Roman"/>
          <w:bCs/>
          <w:iCs/>
          <w:sz w:val="28"/>
          <w:szCs w:val="28"/>
        </w:rPr>
        <w:t>valiosas</w:t>
      </w:r>
      <w:r w:rsidRPr="0029329A">
        <w:rPr>
          <w:rFonts w:ascii="Times New Roman" w:hAnsi="Times New Roman" w:cs="Times New Roman"/>
          <w:bCs/>
          <w:iCs/>
          <w:sz w:val="28"/>
          <w:szCs w:val="28"/>
        </w:rPr>
        <w:t xml:space="preserve"> conexiones que pueden surgir entre cultura, paz, diversidad y pueblos étnicos. </w:t>
      </w:r>
      <w:r w:rsidRPr="0029329A">
        <w:rPr>
          <w:rFonts w:ascii="Times New Roman" w:hAnsi="Times New Roman" w:cs="Times New Roman"/>
          <w:bCs/>
          <w:iCs/>
          <w:sz w:val="28"/>
          <w:szCs w:val="28"/>
        </w:rPr>
        <w:t>Principios, valores y derechos que</w:t>
      </w:r>
      <w:r w:rsidRPr="0029329A">
        <w:rPr>
          <w:rFonts w:ascii="Times New Roman" w:hAnsi="Times New Roman" w:cs="Times New Roman"/>
          <w:bCs/>
          <w:iCs/>
          <w:sz w:val="28"/>
          <w:szCs w:val="28"/>
        </w:rPr>
        <w:t xml:space="preserve"> no </w:t>
      </w:r>
      <w:r w:rsidRPr="0029329A">
        <w:rPr>
          <w:rFonts w:ascii="Times New Roman" w:hAnsi="Times New Roman" w:cs="Times New Roman"/>
          <w:bCs/>
          <w:iCs/>
          <w:sz w:val="28"/>
          <w:szCs w:val="28"/>
        </w:rPr>
        <w:t xml:space="preserve">son </w:t>
      </w:r>
      <w:r w:rsidRPr="0029329A">
        <w:rPr>
          <w:rFonts w:ascii="Times New Roman" w:hAnsi="Times New Roman" w:cs="Times New Roman"/>
          <w:bCs/>
          <w:iCs/>
          <w:sz w:val="28"/>
          <w:szCs w:val="28"/>
        </w:rPr>
        <w:t xml:space="preserve">compartimentos aislados e incomunicados </w:t>
      </w:r>
      <w:r w:rsidRPr="0029329A">
        <w:rPr>
          <w:rFonts w:ascii="Times New Roman" w:hAnsi="Times New Roman" w:cs="Times New Roman"/>
          <w:bCs/>
          <w:iCs/>
          <w:sz w:val="28"/>
          <w:szCs w:val="28"/>
        </w:rPr>
        <w:t xml:space="preserve">entre sí, </w:t>
      </w:r>
      <w:r w:rsidRPr="0029329A">
        <w:rPr>
          <w:rFonts w:ascii="Times New Roman" w:hAnsi="Times New Roman" w:cs="Times New Roman"/>
          <w:bCs/>
          <w:iCs/>
          <w:sz w:val="28"/>
          <w:szCs w:val="28"/>
        </w:rPr>
        <w:t xml:space="preserve">como sugiere la sentencia de </w:t>
      </w:r>
      <w:r w:rsidRPr="0029329A">
        <w:rPr>
          <w:rFonts w:ascii="Times New Roman" w:hAnsi="Times New Roman" w:cs="Times New Roman"/>
          <w:bCs/>
          <w:iCs/>
          <w:sz w:val="28"/>
          <w:szCs w:val="28"/>
        </w:rPr>
        <w:t>la que nos apartamos.</w:t>
      </w:r>
    </w:p>
    <w:p w:rsidR="004A1C78" w:rsidRPr="0029329A" w:rsidRDefault="0029329A" w:rsidP="00D21BAE">
      <w:pPr>
        <w:pStyle w:val="Prrafodelista"/>
        <w:tabs>
          <w:tab w:val="left" w:pos="426"/>
        </w:tabs>
        <w:jc w:val="both"/>
        <w:rPr>
          <w:rFonts w:ascii="Times New Roman" w:hAnsi="Times New Roman" w:cs="Times New Roman"/>
          <w:iCs/>
          <w:sz w:val="28"/>
          <w:szCs w:val="28"/>
        </w:rPr>
      </w:pPr>
    </w:p>
    <w:p w:rsidR="00C47584"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De ahí también que </w:t>
      </w:r>
      <w:r w:rsidRPr="0029329A">
        <w:rPr>
          <w:rFonts w:ascii="Times New Roman" w:hAnsi="Times New Roman" w:cs="Times New Roman"/>
          <w:bCs/>
          <w:iCs/>
          <w:sz w:val="28"/>
          <w:szCs w:val="28"/>
        </w:rPr>
        <w:t xml:space="preserve">el </w:t>
      </w:r>
      <w:r w:rsidRPr="0029329A">
        <w:rPr>
          <w:rFonts w:ascii="Times New Roman" w:hAnsi="Times New Roman" w:cs="Times New Roman"/>
          <w:sz w:val="28"/>
          <w:szCs w:val="28"/>
        </w:rPr>
        <w:t>Plan Nacional de Inversiones proyectó un valor preliminar total de $744,2 billones de pesos para alcanzar las metas relacionadas con la transformación del componente “seguridad humana y justicia social” del Plan Nacional de Desarrollo, con el fin de garant</w:t>
      </w:r>
      <w:r w:rsidRPr="0029329A">
        <w:rPr>
          <w:rFonts w:ascii="Times New Roman" w:hAnsi="Times New Roman" w:cs="Times New Roman"/>
          <w:sz w:val="28"/>
          <w:szCs w:val="28"/>
        </w:rPr>
        <w:t xml:space="preserve">izar la dignidad humana, el ejercicio de las libertades y el desarrollo de las capacidades necesarias para que las personas y los hogares puedan llevar a cabo su plan de vida. De manera puntual, la tasa </w:t>
      </w:r>
      <w:r w:rsidRPr="0029329A">
        <w:rPr>
          <w:rFonts w:ascii="Times New Roman" w:hAnsi="Times New Roman" w:cs="Times New Roman"/>
          <w:sz w:val="28"/>
          <w:szCs w:val="28"/>
        </w:rPr>
        <w:t>en cuestión</w:t>
      </w:r>
      <w:r w:rsidRPr="0029329A">
        <w:rPr>
          <w:rFonts w:ascii="Times New Roman" w:hAnsi="Times New Roman" w:cs="Times New Roman"/>
          <w:sz w:val="28"/>
          <w:szCs w:val="28"/>
        </w:rPr>
        <w:t xml:space="preserve"> estaba vinculada con la línea de inversió</w:t>
      </w:r>
      <w:r w:rsidRPr="0029329A">
        <w:rPr>
          <w:rFonts w:ascii="Times New Roman" w:hAnsi="Times New Roman" w:cs="Times New Roman"/>
          <w:sz w:val="28"/>
          <w:szCs w:val="28"/>
        </w:rPr>
        <w:t>n “artes, cultura y saberes para la vida, la paz y el cuidado del planeta”, y con aquella titulada “administración pública, fortalecimiento institucional y lucha contra la corrupción”. Asimismo, estaba relacionada con proyecto</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 estratégico de impacto nacio</w:t>
      </w:r>
      <w:r w:rsidRPr="0029329A">
        <w:rPr>
          <w:rFonts w:ascii="Times New Roman" w:hAnsi="Times New Roman" w:cs="Times New Roman"/>
          <w:sz w:val="28"/>
          <w:szCs w:val="28"/>
        </w:rPr>
        <w:t>nal</w:t>
      </w:r>
      <w:r w:rsidRPr="0029329A">
        <w:rPr>
          <w:rFonts w:ascii="Times New Roman" w:hAnsi="Times New Roman" w:cs="Times New Roman"/>
          <w:sz w:val="28"/>
          <w:szCs w:val="28"/>
        </w:rPr>
        <w:t>, entre otros, los</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p</w:t>
      </w:r>
      <w:r w:rsidRPr="0029329A">
        <w:rPr>
          <w:rFonts w:ascii="Times New Roman" w:hAnsi="Times New Roman" w:cs="Times New Roman"/>
          <w:sz w:val="28"/>
          <w:szCs w:val="28"/>
        </w:rPr>
        <w:t>untos de cultura: activación de espacios y procesos que desarrollen actividades de creación, circulación y apropiación de las arte, saberes y cultura viva comunitaria”</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De hecho, estos proyectos de r</w:t>
      </w:r>
      <w:r w:rsidRPr="0029329A">
        <w:rPr>
          <w:rFonts w:ascii="Times New Roman" w:hAnsi="Times New Roman" w:cs="Times New Roman"/>
          <w:sz w:val="28"/>
          <w:szCs w:val="28"/>
        </w:rPr>
        <w:t xml:space="preserve">evitalización de parques </w:t>
      </w:r>
      <w:r w:rsidRPr="0029329A">
        <w:rPr>
          <w:rFonts w:ascii="Times New Roman" w:hAnsi="Times New Roman" w:cs="Times New Roman"/>
          <w:sz w:val="28"/>
          <w:szCs w:val="28"/>
        </w:rPr>
        <w:t>a</w:t>
      </w:r>
      <w:r w:rsidRPr="0029329A">
        <w:rPr>
          <w:rFonts w:ascii="Times New Roman" w:hAnsi="Times New Roman" w:cs="Times New Roman"/>
          <w:sz w:val="28"/>
          <w:szCs w:val="28"/>
        </w:rPr>
        <w:t>rqueoló</w:t>
      </w:r>
      <w:r w:rsidRPr="0029329A">
        <w:rPr>
          <w:rFonts w:ascii="Times New Roman" w:hAnsi="Times New Roman" w:cs="Times New Roman"/>
          <w:sz w:val="28"/>
          <w:szCs w:val="28"/>
        </w:rPr>
        <w:t xml:space="preserve">gicos, centros históricos y bienes de interés cultural, </w:t>
      </w:r>
      <w:r w:rsidRPr="0029329A">
        <w:rPr>
          <w:rFonts w:ascii="Times New Roman" w:hAnsi="Times New Roman" w:cs="Times New Roman"/>
          <w:sz w:val="28"/>
          <w:szCs w:val="28"/>
        </w:rPr>
        <w:t xml:space="preserve">como ejercicios de </w:t>
      </w:r>
      <w:r w:rsidRPr="0029329A">
        <w:rPr>
          <w:rFonts w:ascii="Times New Roman" w:hAnsi="Times New Roman" w:cs="Times New Roman"/>
          <w:sz w:val="28"/>
          <w:szCs w:val="28"/>
        </w:rPr>
        <w:t>memoria colectiva e histórica</w:t>
      </w:r>
      <w:r w:rsidRPr="0029329A">
        <w:rPr>
          <w:rFonts w:ascii="Times New Roman" w:hAnsi="Times New Roman" w:cs="Times New Roman"/>
          <w:sz w:val="28"/>
          <w:szCs w:val="28"/>
        </w:rPr>
        <w:t>, fueron sugeridos por las propias comunidades. Y requerían para su correcta puesta en marcha la recuperación y preservación de bienes arqueológicos, pa</w:t>
      </w:r>
      <w:r w:rsidRPr="0029329A">
        <w:rPr>
          <w:rFonts w:ascii="Times New Roman" w:hAnsi="Times New Roman" w:cs="Times New Roman"/>
          <w:sz w:val="28"/>
          <w:szCs w:val="28"/>
        </w:rPr>
        <w:t xml:space="preserve">ra lo cual </w:t>
      </w:r>
      <w:r w:rsidRPr="0029329A">
        <w:rPr>
          <w:rFonts w:ascii="Times New Roman" w:hAnsi="Times New Roman" w:cs="Times New Roman"/>
          <w:sz w:val="28"/>
          <w:szCs w:val="28"/>
        </w:rPr>
        <w:t>era</w:t>
      </w:r>
      <w:r w:rsidRPr="0029329A">
        <w:rPr>
          <w:rFonts w:ascii="Times New Roman" w:hAnsi="Times New Roman" w:cs="Times New Roman"/>
          <w:sz w:val="28"/>
          <w:szCs w:val="28"/>
        </w:rPr>
        <w:t xml:space="preserve"> clave la tasa prevista en el artículo 135.</w:t>
      </w:r>
    </w:p>
    <w:p w:rsidR="00C47584" w:rsidRPr="0029329A" w:rsidRDefault="0029329A" w:rsidP="00D21BAE">
      <w:pPr>
        <w:tabs>
          <w:tab w:val="left" w:pos="426"/>
        </w:tabs>
        <w:jc w:val="both"/>
        <w:rPr>
          <w:rFonts w:ascii="Times New Roman" w:hAnsi="Times New Roman" w:cs="Times New Roman"/>
          <w:sz w:val="28"/>
          <w:szCs w:val="28"/>
        </w:rPr>
      </w:pPr>
    </w:p>
    <w:p w:rsidR="003D7289"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Visto así, </w:t>
      </w:r>
      <w:r w:rsidRPr="0029329A">
        <w:rPr>
          <w:rFonts w:ascii="Times New Roman" w:hAnsi="Times New Roman" w:cs="Times New Roman"/>
          <w:bCs/>
          <w:iCs/>
          <w:sz w:val="28"/>
          <w:szCs w:val="28"/>
        </w:rPr>
        <w:t xml:space="preserve">nos parecía evidente la </w:t>
      </w:r>
      <w:r w:rsidRPr="0029329A">
        <w:rPr>
          <w:rFonts w:ascii="Times New Roman" w:hAnsi="Times New Roman" w:cs="Times New Roman"/>
          <w:bCs/>
          <w:iCs/>
          <w:sz w:val="28"/>
          <w:szCs w:val="28"/>
        </w:rPr>
        <w:t>conexidad directa e inmediata entre la norma acusada y los objetivos, metas o estrategias del plan nacional de desarrollo</w:t>
      </w:r>
      <w:r w:rsidRPr="0029329A">
        <w:rPr>
          <w:rFonts w:ascii="Times New Roman" w:hAnsi="Times New Roman" w:cs="Times New Roman"/>
          <w:bCs/>
          <w:iCs/>
          <w:sz w:val="28"/>
          <w:szCs w:val="28"/>
        </w:rPr>
        <w:t xml:space="preserve">, su documento de base y el plan </w:t>
      </w:r>
      <w:r w:rsidRPr="0029329A">
        <w:rPr>
          <w:rFonts w:ascii="Times New Roman" w:hAnsi="Times New Roman" w:cs="Times New Roman"/>
          <w:bCs/>
          <w:iCs/>
          <w:sz w:val="28"/>
          <w:szCs w:val="28"/>
        </w:rPr>
        <w:t>plurianual de inversión</w:t>
      </w:r>
      <w:r w:rsidRPr="0029329A">
        <w:rPr>
          <w:rFonts w:ascii="Times New Roman" w:hAnsi="Times New Roman" w:cs="Times New Roman"/>
          <w:bCs/>
          <w:iCs/>
          <w:sz w:val="28"/>
          <w:szCs w:val="28"/>
        </w:rPr>
        <w:t xml:space="preserve">. </w:t>
      </w:r>
      <w:r w:rsidRPr="0029329A">
        <w:rPr>
          <w:rFonts w:ascii="Times New Roman" w:hAnsi="Times New Roman" w:cs="Times New Roman"/>
          <w:sz w:val="28"/>
          <w:szCs w:val="28"/>
        </w:rPr>
        <w:t xml:space="preserve">¿Qué </w:t>
      </w:r>
      <w:r w:rsidRPr="0029329A">
        <w:rPr>
          <w:rFonts w:ascii="Times New Roman" w:hAnsi="Times New Roman" w:cs="Times New Roman"/>
          <w:sz w:val="28"/>
          <w:szCs w:val="28"/>
        </w:rPr>
        <w:t>más haría falta para demostrar</w:t>
      </w:r>
      <w:r w:rsidRPr="0029329A">
        <w:rPr>
          <w:rFonts w:ascii="Times New Roman" w:hAnsi="Times New Roman" w:cs="Times New Roman"/>
          <w:sz w:val="28"/>
          <w:szCs w:val="28"/>
        </w:rPr>
        <w:t xml:space="preserve"> el carácter planificador </w:t>
      </w:r>
      <w:r w:rsidRPr="0029329A">
        <w:rPr>
          <w:rFonts w:ascii="Times New Roman" w:hAnsi="Times New Roman" w:cs="Times New Roman"/>
          <w:sz w:val="28"/>
          <w:szCs w:val="28"/>
        </w:rPr>
        <w:t>de una norma tributaria dentro del plan nacional de desarrollo</w:t>
      </w:r>
      <w:r w:rsidRPr="0029329A">
        <w:rPr>
          <w:rFonts w:ascii="Times New Roman" w:hAnsi="Times New Roman" w:cs="Times New Roman"/>
          <w:sz w:val="28"/>
          <w:szCs w:val="28"/>
        </w:rPr>
        <w:t xml:space="preserve">? Esta </w:t>
      </w:r>
      <w:r w:rsidRPr="0029329A">
        <w:rPr>
          <w:rFonts w:ascii="Times New Roman" w:hAnsi="Times New Roman" w:cs="Times New Roman"/>
          <w:sz w:val="28"/>
          <w:szCs w:val="28"/>
        </w:rPr>
        <w:t>decisión</w:t>
      </w:r>
      <w:r w:rsidRPr="0029329A">
        <w:rPr>
          <w:rFonts w:ascii="Times New Roman" w:hAnsi="Times New Roman" w:cs="Times New Roman"/>
          <w:sz w:val="28"/>
          <w:szCs w:val="28"/>
        </w:rPr>
        <w:t xml:space="preserve"> no ofrece una respuesta clara</w:t>
      </w:r>
      <w:r w:rsidRPr="0029329A">
        <w:rPr>
          <w:rFonts w:ascii="Times New Roman" w:hAnsi="Times New Roman" w:cs="Times New Roman"/>
          <w:sz w:val="28"/>
          <w:szCs w:val="28"/>
        </w:rPr>
        <w:t>,</w:t>
      </w:r>
      <w:r w:rsidRPr="0029329A">
        <w:rPr>
          <w:rFonts w:ascii="Times New Roman" w:hAnsi="Times New Roman" w:cs="Times New Roman"/>
          <w:sz w:val="28"/>
          <w:szCs w:val="28"/>
        </w:rPr>
        <w:t xml:space="preserve"> más allá de afirmar</w:t>
      </w:r>
      <w:r w:rsidRPr="0029329A">
        <w:rPr>
          <w:rFonts w:ascii="Times New Roman" w:hAnsi="Times New Roman" w:cs="Times New Roman"/>
          <w:sz w:val="28"/>
          <w:szCs w:val="28"/>
        </w:rPr>
        <w:t xml:space="preserve"> que se requiere un análisis más riguroso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de la Corte</w:t>
      </w:r>
      <w:r w:rsidRPr="0029329A">
        <w:rPr>
          <w:rFonts w:ascii="Times New Roman" w:hAnsi="Times New Roman" w:cs="Times New Roman"/>
          <w:sz w:val="28"/>
          <w:szCs w:val="28"/>
        </w:rPr>
        <w:t xml:space="preserve"> (</w:t>
      </w:r>
      <w:r w:rsidRPr="0029329A">
        <w:rPr>
          <w:rFonts w:ascii="Times New Roman" w:hAnsi="Times New Roman" w:cs="Times New Roman"/>
          <w:i/>
          <w:iCs/>
          <w:sz w:val="28"/>
          <w:szCs w:val="28"/>
        </w:rPr>
        <w:t>supra</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120)</w:t>
      </w:r>
      <w:r w:rsidRPr="0029329A">
        <w:rPr>
          <w:rFonts w:ascii="Times New Roman" w:hAnsi="Times New Roman" w:cs="Times New Roman"/>
          <w:sz w:val="28"/>
          <w:szCs w:val="28"/>
        </w:rPr>
        <w:t xml:space="preserve">. Parece incluso como si la </w:t>
      </w:r>
      <w:r w:rsidRPr="0029329A">
        <w:rPr>
          <w:rFonts w:ascii="Times New Roman" w:hAnsi="Times New Roman" w:cs="Times New Roman"/>
          <w:sz w:val="28"/>
          <w:szCs w:val="28"/>
        </w:rPr>
        <w:t>vocación de permanencia</w:t>
      </w:r>
      <w:r w:rsidRPr="0029329A">
        <w:rPr>
          <w:rFonts w:ascii="Times New Roman" w:hAnsi="Times New Roman" w:cs="Times New Roman"/>
          <w:sz w:val="28"/>
          <w:szCs w:val="28"/>
        </w:rPr>
        <w:t xml:space="preserve"> o el carácter tributario de una norma</w:t>
      </w:r>
      <w:r w:rsidRPr="0029329A">
        <w:rPr>
          <w:rFonts w:ascii="Times New Roman" w:hAnsi="Times New Roman" w:cs="Times New Roman"/>
          <w:sz w:val="28"/>
          <w:szCs w:val="28"/>
        </w:rPr>
        <w:t>, por sí solo</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constituyeran </w:t>
      </w:r>
      <w:r w:rsidRPr="0029329A">
        <w:rPr>
          <w:rFonts w:ascii="Times New Roman" w:hAnsi="Times New Roman" w:cs="Times New Roman"/>
          <w:sz w:val="28"/>
          <w:szCs w:val="28"/>
        </w:rPr>
        <w:t xml:space="preserve">razón </w:t>
      </w:r>
      <w:r w:rsidRPr="0029329A">
        <w:rPr>
          <w:rFonts w:ascii="Times New Roman" w:hAnsi="Times New Roman" w:cs="Times New Roman"/>
          <w:sz w:val="28"/>
          <w:szCs w:val="28"/>
        </w:rPr>
        <w:t>suficiente para determinar su inconstitucionalidad. Los magistrados disidentes no compart</w:t>
      </w:r>
      <w:r w:rsidRPr="0029329A">
        <w:rPr>
          <w:rFonts w:ascii="Times New Roman" w:hAnsi="Times New Roman" w:cs="Times New Roman"/>
          <w:sz w:val="28"/>
          <w:szCs w:val="28"/>
        </w:rPr>
        <w:t>imos</w:t>
      </w:r>
      <w:r w:rsidRPr="0029329A">
        <w:rPr>
          <w:rFonts w:ascii="Times New Roman" w:hAnsi="Times New Roman" w:cs="Times New Roman"/>
          <w:sz w:val="28"/>
          <w:szCs w:val="28"/>
        </w:rPr>
        <w:t xml:space="preserve"> esta aproximación, pues la </w:t>
      </w:r>
      <w:r w:rsidRPr="0029329A">
        <w:rPr>
          <w:rFonts w:ascii="Times New Roman" w:hAnsi="Times New Roman" w:cs="Times New Roman"/>
          <w:i/>
          <w:iCs/>
          <w:sz w:val="28"/>
          <w:szCs w:val="28"/>
        </w:rPr>
        <w:t>temporalidad</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o el carácter tributario </w:t>
      </w:r>
      <w:r w:rsidRPr="0029329A">
        <w:rPr>
          <w:rFonts w:ascii="Times New Roman" w:hAnsi="Times New Roman" w:cs="Times New Roman"/>
          <w:sz w:val="28"/>
          <w:szCs w:val="28"/>
        </w:rPr>
        <w:t xml:space="preserve">de </w:t>
      </w:r>
      <w:r w:rsidRPr="0029329A">
        <w:rPr>
          <w:rFonts w:ascii="Times New Roman" w:hAnsi="Times New Roman" w:cs="Times New Roman"/>
          <w:sz w:val="28"/>
          <w:szCs w:val="28"/>
        </w:rPr>
        <w:t xml:space="preserve">una </w:t>
      </w:r>
      <w:r w:rsidRPr="0029329A">
        <w:rPr>
          <w:rFonts w:ascii="Times New Roman" w:hAnsi="Times New Roman" w:cs="Times New Roman"/>
          <w:sz w:val="28"/>
          <w:szCs w:val="28"/>
        </w:rPr>
        <w:t xml:space="preserve">norma </w:t>
      </w:r>
      <w:r w:rsidRPr="0029329A">
        <w:rPr>
          <w:rFonts w:ascii="Times New Roman" w:hAnsi="Times New Roman" w:cs="Times New Roman"/>
          <w:sz w:val="28"/>
          <w:szCs w:val="28"/>
        </w:rPr>
        <w:t xml:space="preserve">son </w:t>
      </w:r>
      <w:r w:rsidRPr="0029329A">
        <w:rPr>
          <w:rFonts w:ascii="Times New Roman" w:hAnsi="Times New Roman" w:cs="Times New Roman"/>
          <w:sz w:val="28"/>
          <w:szCs w:val="28"/>
        </w:rPr>
        <w:t xml:space="preserve">apenas uno de los elementos que debe valorar la Corte Constitucional, de manera conjunta con los demás criterios </w:t>
      </w:r>
      <w:r w:rsidRPr="0029329A">
        <w:rPr>
          <w:rFonts w:ascii="Times New Roman" w:hAnsi="Times New Roman" w:cs="Times New Roman"/>
          <w:sz w:val="28"/>
          <w:szCs w:val="28"/>
        </w:rPr>
        <w:t xml:space="preserve">que rigen </w:t>
      </w:r>
      <w:r w:rsidRPr="0029329A">
        <w:rPr>
          <w:rFonts w:ascii="Times New Roman" w:hAnsi="Times New Roman" w:cs="Times New Roman"/>
          <w:sz w:val="28"/>
          <w:szCs w:val="28"/>
        </w:rPr>
        <w:t>la</w:t>
      </w:r>
      <w:r w:rsidRPr="0029329A">
        <w:rPr>
          <w:rFonts w:ascii="Times New Roman" w:hAnsi="Times New Roman" w:cs="Times New Roman"/>
          <w:sz w:val="28"/>
          <w:szCs w:val="28"/>
        </w:rPr>
        <w:t xml:space="preserve"> unidad de materia.</w:t>
      </w:r>
    </w:p>
    <w:p w:rsidR="003D7289" w:rsidRPr="0029329A" w:rsidRDefault="0029329A" w:rsidP="00D21BAE">
      <w:pPr>
        <w:rPr>
          <w:rFonts w:ascii="Times New Roman" w:hAnsi="Times New Roman" w:cs="Times New Roman"/>
          <w:sz w:val="28"/>
          <w:szCs w:val="28"/>
        </w:rPr>
      </w:pPr>
    </w:p>
    <w:p w:rsidR="003D7289" w:rsidRPr="0029329A" w:rsidRDefault="0029329A" w:rsidP="00C477EA">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La tesis que siguió la mayo</w:t>
      </w:r>
      <w:r w:rsidRPr="0029329A">
        <w:rPr>
          <w:rFonts w:ascii="Times New Roman" w:hAnsi="Times New Roman" w:cs="Times New Roman"/>
          <w:sz w:val="28"/>
          <w:szCs w:val="28"/>
        </w:rPr>
        <w:t xml:space="preserve">ría es inconsistente con la jurisprudencia de </w:t>
      </w:r>
      <w:r w:rsidRPr="0029329A">
        <w:rPr>
          <w:rFonts w:ascii="Times New Roman" w:hAnsi="Times New Roman" w:cs="Times New Roman"/>
          <w:sz w:val="28"/>
          <w:szCs w:val="28"/>
        </w:rPr>
        <w:t xml:space="preserve">esta Corte </w:t>
      </w:r>
      <w:r w:rsidRPr="0029329A">
        <w:rPr>
          <w:rFonts w:ascii="Times New Roman" w:hAnsi="Times New Roman" w:cs="Times New Roman"/>
          <w:sz w:val="28"/>
          <w:szCs w:val="28"/>
        </w:rPr>
        <w:t>porque</w:t>
      </w:r>
      <w:r w:rsidRPr="0029329A">
        <w:rPr>
          <w:rFonts w:ascii="Times New Roman" w:hAnsi="Times New Roman" w:cs="Times New Roman"/>
          <w:sz w:val="28"/>
          <w:szCs w:val="28"/>
        </w:rPr>
        <w:t xml:space="preserve">, sin proponer de manera expresa un cambio en la línea jurisprudencial, aplicó un estándar de análisis con una rigurosidad inusual para esta materia. La conclusión de la mayoría parte de una visión muy restringida del alcance que tiene este instrumento de </w:t>
      </w:r>
      <w:r w:rsidRPr="0029329A">
        <w:rPr>
          <w:rFonts w:ascii="Times New Roman" w:hAnsi="Times New Roman" w:cs="Times New Roman"/>
          <w:sz w:val="28"/>
          <w:szCs w:val="28"/>
        </w:rPr>
        <w:t xml:space="preserve">planificación, al imponer una limitación que no se encuentra expresa o tácitamente en la Constitución Política. El texto constitucional previó la importancia del </w:t>
      </w:r>
      <w:r w:rsidRPr="0029329A">
        <w:rPr>
          <w:rFonts w:ascii="Times New Roman" w:hAnsi="Times New Roman" w:cs="Times New Roman"/>
          <w:sz w:val="28"/>
          <w:szCs w:val="28"/>
        </w:rPr>
        <w:t>p</w:t>
      </w:r>
      <w:r w:rsidRPr="0029329A">
        <w:rPr>
          <w:rFonts w:ascii="Times New Roman" w:hAnsi="Times New Roman" w:cs="Times New Roman"/>
          <w:sz w:val="28"/>
          <w:szCs w:val="28"/>
        </w:rPr>
        <w:t xml:space="preserve">lan </w:t>
      </w:r>
      <w:r w:rsidRPr="0029329A">
        <w:rPr>
          <w:rFonts w:ascii="Times New Roman" w:hAnsi="Times New Roman" w:cs="Times New Roman"/>
          <w:sz w:val="28"/>
          <w:szCs w:val="28"/>
        </w:rPr>
        <w:t>n</w:t>
      </w:r>
      <w:r w:rsidRPr="0029329A">
        <w:rPr>
          <w:rFonts w:ascii="Times New Roman" w:hAnsi="Times New Roman" w:cs="Times New Roman"/>
          <w:sz w:val="28"/>
          <w:szCs w:val="28"/>
        </w:rPr>
        <w:t xml:space="preserve">acional de </w:t>
      </w:r>
      <w:r w:rsidRPr="0029329A">
        <w:rPr>
          <w:rFonts w:ascii="Times New Roman" w:hAnsi="Times New Roman" w:cs="Times New Roman"/>
          <w:sz w:val="28"/>
          <w:szCs w:val="28"/>
        </w:rPr>
        <w:t>d</w:t>
      </w:r>
      <w:r w:rsidRPr="0029329A">
        <w:rPr>
          <w:rFonts w:ascii="Times New Roman" w:hAnsi="Times New Roman" w:cs="Times New Roman"/>
          <w:sz w:val="28"/>
          <w:szCs w:val="28"/>
        </w:rPr>
        <w:t>esarrollo dentro de la estructura del Estado colombiano, como instrumento pa</w:t>
      </w:r>
      <w:r w:rsidRPr="0029329A">
        <w:rPr>
          <w:rFonts w:ascii="Times New Roman" w:hAnsi="Times New Roman" w:cs="Times New Roman"/>
          <w:sz w:val="28"/>
          <w:szCs w:val="28"/>
        </w:rPr>
        <w:t xml:space="preserve">ra plasmar los propósitos y objetivos nacionales de largo plazo, las metas y prioridades de la acción estatal a mediano plazo y las estrategias y orientaciones generales de la política económica, social y ambiental. </w:t>
      </w:r>
    </w:p>
    <w:p w:rsidR="003D7289" w:rsidRPr="0029329A" w:rsidRDefault="0029329A" w:rsidP="00D21BAE">
      <w:pPr>
        <w:pStyle w:val="Prrafodelista"/>
        <w:rPr>
          <w:rFonts w:ascii="Times New Roman" w:hAnsi="Times New Roman" w:cs="Times New Roman"/>
          <w:sz w:val="28"/>
          <w:szCs w:val="28"/>
        </w:rPr>
      </w:pPr>
    </w:p>
    <w:p w:rsidR="006C0EF8"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sz w:val="28"/>
          <w:szCs w:val="28"/>
        </w:rPr>
        <w:t xml:space="preserve">Hay un último punto que </w:t>
      </w:r>
      <w:r w:rsidRPr="0029329A">
        <w:rPr>
          <w:rFonts w:ascii="Times New Roman" w:hAnsi="Times New Roman" w:cs="Times New Roman"/>
          <w:sz w:val="28"/>
          <w:szCs w:val="28"/>
        </w:rPr>
        <w:t>queremos desta</w:t>
      </w:r>
      <w:r w:rsidRPr="0029329A">
        <w:rPr>
          <w:rFonts w:ascii="Times New Roman" w:hAnsi="Times New Roman" w:cs="Times New Roman"/>
          <w:sz w:val="28"/>
          <w:szCs w:val="28"/>
        </w:rPr>
        <w:t>car</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relacionado con</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la poca atención que mereció </w:t>
      </w:r>
      <w:r w:rsidRPr="0029329A">
        <w:rPr>
          <w:rFonts w:ascii="Times New Roman" w:hAnsi="Times New Roman" w:cs="Times New Roman"/>
          <w:sz w:val="28"/>
          <w:szCs w:val="28"/>
        </w:rPr>
        <w:t>en la decisión</w:t>
      </w:r>
      <w:r w:rsidRPr="0029329A">
        <w:rPr>
          <w:rFonts w:ascii="Times New Roman" w:hAnsi="Times New Roman" w:cs="Times New Roman"/>
          <w:sz w:val="28"/>
          <w:szCs w:val="28"/>
        </w:rPr>
        <w:t xml:space="preserve"> la intervención del Instituto Colombiano de </w:t>
      </w:r>
      <w:r w:rsidRPr="0029329A">
        <w:rPr>
          <w:rFonts w:ascii="Times New Roman" w:hAnsi="Times New Roman" w:cs="Times New Roman"/>
          <w:bCs/>
          <w:sz w:val="28"/>
          <w:szCs w:val="28"/>
        </w:rPr>
        <w:t xml:space="preserve">Antropología e Historia (ICANH) en la cual manifestó </w:t>
      </w:r>
      <w:r w:rsidRPr="0029329A">
        <w:rPr>
          <w:rFonts w:ascii="Times New Roman" w:hAnsi="Times New Roman" w:cs="Times New Roman"/>
          <w:bCs/>
          <w:sz w:val="28"/>
          <w:szCs w:val="28"/>
        </w:rPr>
        <w:t>la urgencia de la tasa bajo análisis</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E</w:t>
      </w:r>
      <w:r w:rsidRPr="0029329A">
        <w:rPr>
          <w:rFonts w:ascii="Times New Roman" w:hAnsi="Times New Roman" w:cs="Times New Roman"/>
          <w:bCs/>
          <w:sz w:val="28"/>
          <w:szCs w:val="28"/>
        </w:rPr>
        <w:t xml:space="preserve">sta entidad </w:t>
      </w:r>
      <w:r w:rsidRPr="0029329A">
        <w:rPr>
          <w:rFonts w:ascii="Times New Roman" w:hAnsi="Times New Roman" w:cs="Times New Roman"/>
          <w:bCs/>
          <w:sz w:val="28"/>
          <w:szCs w:val="28"/>
        </w:rPr>
        <w:t xml:space="preserve">explicó </w:t>
      </w:r>
      <w:r w:rsidRPr="0029329A">
        <w:rPr>
          <w:rFonts w:ascii="Times New Roman" w:hAnsi="Times New Roman" w:cs="Times New Roman"/>
          <w:bCs/>
          <w:sz w:val="28"/>
          <w:szCs w:val="28"/>
        </w:rPr>
        <w:t xml:space="preserve">que, sin </w:t>
      </w:r>
      <w:r w:rsidRPr="0029329A">
        <w:rPr>
          <w:rFonts w:ascii="Times New Roman" w:hAnsi="Times New Roman" w:cs="Times New Roman"/>
          <w:bCs/>
          <w:sz w:val="28"/>
          <w:szCs w:val="28"/>
        </w:rPr>
        <w:t xml:space="preserve">la </w:t>
      </w:r>
      <w:r w:rsidRPr="0029329A">
        <w:rPr>
          <w:rFonts w:ascii="Times New Roman" w:hAnsi="Times New Roman" w:cs="Times New Roman"/>
          <w:bCs/>
          <w:sz w:val="28"/>
          <w:szCs w:val="28"/>
        </w:rPr>
        <w:t xml:space="preserve">tasa, </w:t>
      </w:r>
      <w:r w:rsidRPr="0029329A">
        <w:rPr>
          <w:rFonts w:ascii="Times New Roman" w:hAnsi="Times New Roman" w:cs="Times New Roman"/>
          <w:bCs/>
          <w:sz w:val="28"/>
          <w:szCs w:val="28"/>
        </w:rPr>
        <w:t xml:space="preserve">tendría </w:t>
      </w:r>
      <w:r w:rsidRPr="0029329A">
        <w:rPr>
          <w:rFonts w:ascii="Times New Roman" w:hAnsi="Times New Roman" w:cs="Times New Roman"/>
          <w:bCs/>
          <w:sz w:val="28"/>
          <w:szCs w:val="28"/>
        </w:rPr>
        <w:t xml:space="preserve">una </w:t>
      </w:r>
      <w:r w:rsidRPr="0029329A">
        <w:rPr>
          <w:rFonts w:ascii="Times New Roman" w:hAnsi="Times New Roman" w:cs="Times New Roman"/>
          <w:bCs/>
          <w:sz w:val="28"/>
          <w:szCs w:val="28"/>
        </w:rPr>
        <w:t>“imposibilidad de materializar”</w:t>
      </w:r>
      <w:r w:rsidRPr="0029329A">
        <w:rPr>
          <w:rFonts w:ascii="Times New Roman" w:hAnsi="Times New Roman" w:cs="Times New Roman"/>
          <w:bCs/>
          <w:sz w:val="28"/>
          <w:szCs w:val="28"/>
        </w:rPr>
        <w:t xml:space="preserve"> su misionalidad</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 xml:space="preserve">sobre todo cuando los trámites a su cargo “irán en aumento, pues en 2019 el ICANH recibió 5223 solicitudes, mientras que en 2022 recibió 8701”. Es más, el ICAHN </w:t>
      </w:r>
      <w:r w:rsidRPr="0029329A">
        <w:rPr>
          <w:rFonts w:ascii="Times New Roman" w:hAnsi="Times New Roman" w:cs="Times New Roman"/>
          <w:bCs/>
          <w:sz w:val="28"/>
          <w:szCs w:val="28"/>
        </w:rPr>
        <w:t>advirtió</w:t>
      </w:r>
      <w:r w:rsidRPr="0029329A">
        <w:rPr>
          <w:rFonts w:ascii="Times New Roman" w:hAnsi="Times New Roman" w:cs="Times New Roman"/>
          <w:bCs/>
          <w:sz w:val="28"/>
          <w:szCs w:val="28"/>
        </w:rPr>
        <w:t xml:space="preserve"> a la Corte que, “para garantizar la o</w:t>
      </w:r>
      <w:r w:rsidRPr="0029329A">
        <w:rPr>
          <w:rFonts w:ascii="Times New Roman" w:hAnsi="Times New Roman" w:cs="Times New Roman"/>
          <w:bCs/>
          <w:sz w:val="28"/>
          <w:szCs w:val="28"/>
        </w:rPr>
        <w:t>peración que se requiere para resolver los 8701 trámites anuales asociados a Programas de Arqueología Preventiva, el ICANH únicamente cuenta con 25 profesionales en arqueología y 5 apoyos técnicos administrativos”</w:t>
      </w:r>
      <w:r w:rsidRPr="0029329A">
        <w:rPr>
          <w:rFonts w:ascii="Times New Roman" w:hAnsi="Times New Roman" w:cs="Times New Roman"/>
          <w:bCs/>
          <w:sz w:val="28"/>
          <w:szCs w:val="28"/>
        </w:rPr>
        <w:t>.</w:t>
      </w:r>
      <w:r w:rsidRPr="0029329A">
        <w:rPr>
          <w:rFonts w:ascii="Times New Roman" w:hAnsi="Times New Roman" w:cs="Times New Roman"/>
          <w:bCs/>
          <w:sz w:val="28"/>
          <w:szCs w:val="28"/>
        </w:rPr>
        <w:t xml:space="preserve"> Esto no es un asunto menor, pues el ICANH</w:t>
      </w:r>
      <w:r w:rsidRPr="0029329A">
        <w:rPr>
          <w:rFonts w:ascii="Times New Roman" w:hAnsi="Times New Roman" w:cs="Times New Roman"/>
          <w:bCs/>
          <w:sz w:val="28"/>
          <w:szCs w:val="28"/>
        </w:rPr>
        <w:t xml:space="preserve"> es la entidad que protege el patrimonio arqueológico del país </w:t>
      </w:r>
      <w:r w:rsidRPr="0029329A">
        <w:rPr>
          <w:rFonts w:ascii="Times New Roman" w:hAnsi="Times New Roman" w:cs="Times New Roman"/>
          <w:bCs/>
          <w:sz w:val="28"/>
          <w:szCs w:val="28"/>
        </w:rPr>
        <w:t>y,</w:t>
      </w:r>
      <w:r w:rsidRPr="0029329A">
        <w:rPr>
          <w:rFonts w:ascii="Times New Roman" w:hAnsi="Times New Roman" w:cs="Times New Roman"/>
          <w:bCs/>
          <w:sz w:val="28"/>
          <w:szCs w:val="28"/>
        </w:rPr>
        <w:t xml:space="preserve"> a la fecha, ni siquiera </w:t>
      </w:r>
      <w:r w:rsidRPr="0029329A">
        <w:rPr>
          <w:rFonts w:ascii="Times New Roman" w:hAnsi="Times New Roman" w:cs="Times New Roman"/>
          <w:bCs/>
          <w:sz w:val="28"/>
          <w:szCs w:val="28"/>
        </w:rPr>
        <w:t xml:space="preserve">cuenta con </w:t>
      </w:r>
      <w:r w:rsidRPr="0029329A">
        <w:rPr>
          <w:rFonts w:ascii="Times New Roman" w:hAnsi="Times New Roman" w:cs="Times New Roman"/>
          <w:bCs/>
          <w:sz w:val="28"/>
          <w:szCs w:val="28"/>
        </w:rPr>
        <w:t xml:space="preserve">un depósito </w:t>
      </w:r>
      <w:r w:rsidRPr="0029329A">
        <w:rPr>
          <w:rFonts w:ascii="Times New Roman" w:hAnsi="Times New Roman" w:cs="Times New Roman"/>
          <w:bCs/>
          <w:sz w:val="28"/>
          <w:szCs w:val="28"/>
        </w:rPr>
        <w:t xml:space="preserve">apropiado </w:t>
      </w:r>
      <w:r w:rsidRPr="0029329A">
        <w:rPr>
          <w:rFonts w:ascii="Times New Roman" w:hAnsi="Times New Roman" w:cs="Times New Roman"/>
          <w:bCs/>
          <w:sz w:val="28"/>
          <w:szCs w:val="28"/>
        </w:rPr>
        <w:t xml:space="preserve">para </w:t>
      </w:r>
      <w:r w:rsidRPr="0029329A">
        <w:rPr>
          <w:rFonts w:ascii="Times New Roman" w:hAnsi="Times New Roman" w:cs="Times New Roman"/>
          <w:bCs/>
          <w:sz w:val="28"/>
          <w:szCs w:val="28"/>
        </w:rPr>
        <w:t xml:space="preserve">resguardar los </w:t>
      </w:r>
      <w:r w:rsidRPr="0029329A">
        <w:rPr>
          <w:rFonts w:ascii="Times New Roman" w:hAnsi="Times New Roman" w:cs="Times New Roman"/>
          <w:bCs/>
          <w:sz w:val="28"/>
          <w:szCs w:val="28"/>
        </w:rPr>
        <w:t>objetos</w:t>
      </w:r>
      <w:r w:rsidRPr="0029329A">
        <w:rPr>
          <w:rFonts w:ascii="Times New Roman" w:hAnsi="Times New Roman" w:cs="Times New Roman"/>
          <w:bCs/>
          <w:sz w:val="28"/>
          <w:szCs w:val="28"/>
        </w:rPr>
        <w:t xml:space="preserve"> que hacen parte de esa riqueza nacional</w:t>
      </w:r>
      <w:r w:rsidRPr="0029329A">
        <w:rPr>
          <w:rStyle w:val="Refdenotaalpie"/>
          <w:rFonts w:ascii="Times New Roman" w:hAnsi="Times New Roman"/>
          <w:bCs/>
          <w:sz w:val="28"/>
          <w:szCs w:val="28"/>
          <w:lang w:val="es-CO"/>
        </w:rPr>
        <w:footnoteReference w:id="159"/>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El sector cultura por lo general no ha tenido un presupuesto su</w:t>
      </w:r>
      <w:r w:rsidRPr="0029329A">
        <w:rPr>
          <w:rFonts w:ascii="Times New Roman" w:hAnsi="Times New Roman" w:cs="Times New Roman"/>
          <w:bCs/>
          <w:sz w:val="28"/>
          <w:szCs w:val="28"/>
        </w:rPr>
        <w:t>ficiente en el Estado colombiano</w:t>
      </w:r>
      <w:r w:rsidRPr="0029329A">
        <w:rPr>
          <w:rFonts w:ascii="Times New Roman" w:hAnsi="Times New Roman" w:cs="Times New Roman"/>
          <w:bCs/>
          <w:sz w:val="28"/>
          <w:szCs w:val="28"/>
        </w:rPr>
        <w:t xml:space="preserve">, situación que la mayoría </w:t>
      </w:r>
      <w:r w:rsidRPr="0029329A">
        <w:rPr>
          <w:rFonts w:ascii="Times New Roman" w:hAnsi="Times New Roman" w:cs="Times New Roman"/>
          <w:bCs/>
          <w:sz w:val="28"/>
          <w:szCs w:val="28"/>
        </w:rPr>
        <w:t xml:space="preserve">no </w:t>
      </w:r>
      <w:r w:rsidRPr="0029329A">
        <w:rPr>
          <w:rFonts w:ascii="Times New Roman" w:hAnsi="Times New Roman" w:cs="Times New Roman"/>
          <w:bCs/>
          <w:sz w:val="28"/>
          <w:szCs w:val="28"/>
        </w:rPr>
        <w:t>consider</w:t>
      </w:r>
      <w:r w:rsidRPr="0029329A">
        <w:rPr>
          <w:rFonts w:ascii="Times New Roman" w:hAnsi="Times New Roman" w:cs="Times New Roman"/>
          <w:bCs/>
          <w:sz w:val="28"/>
          <w:szCs w:val="28"/>
        </w:rPr>
        <w:t>ó</w:t>
      </w:r>
      <w:r w:rsidRPr="0029329A">
        <w:rPr>
          <w:rFonts w:ascii="Times New Roman" w:hAnsi="Times New Roman" w:cs="Times New Roman"/>
          <w:bCs/>
          <w:sz w:val="28"/>
          <w:szCs w:val="28"/>
        </w:rPr>
        <w:t xml:space="preserve"> adecuadamente</w:t>
      </w:r>
      <w:r w:rsidRPr="0029329A">
        <w:rPr>
          <w:rFonts w:ascii="Times New Roman" w:hAnsi="Times New Roman" w:cs="Times New Roman"/>
          <w:bCs/>
          <w:sz w:val="28"/>
          <w:szCs w:val="28"/>
        </w:rPr>
        <w:t xml:space="preserve">, </w:t>
      </w:r>
      <w:r w:rsidRPr="0029329A">
        <w:rPr>
          <w:rFonts w:ascii="Times New Roman" w:hAnsi="Times New Roman" w:cs="Times New Roman"/>
          <w:bCs/>
          <w:sz w:val="28"/>
          <w:szCs w:val="28"/>
        </w:rPr>
        <w:t xml:space="preserve">al privilegiar </w:t>
      </w:r>
      <w:r w:rsidRPr="0029329A">
        <w:rPr>
          <w:rFonts w:ascii="Times New Roman" w:hAnsi="Times New Roman" w:cs="Times New Roman"/>
          <w:bCs/>
          <w:sz w:val="28"/>
          <w:szCs w:val="28"/>
        </w:rPr>
        <w:t>una distinción artificial entre el funcionamiento de la entidad y la protección del patrimonio cultural, como si lo segundo fuera posible sin lo primero.</w:t>
      </w:r>
    </w:p>
    <w:p w:rsidR="006C0EF8" w:rsidRPr="0029329A" w:rsidRDefault="0029329A" w:rsidP="00D21BAE">
      <w:pPr>
        <w:tabs>
          <w:tab w:val="left" w:pos="426"/>
        </w:tabs>
        <w:jc w:val="both"/>
        <w:rPr>
          <w:rFonts w:ascii="Times New Roman" w:hAnsi="Times New Roman" w:cs="Times New Roman"/>
          <w:sz w:val="28"/>
          <w:szCs w:val="28"/>
        </w:rPr>
      </w:pPr>
    </w:p>
    <w:p w:rsidR="00023A3B" w:rsidRPr="0029329A" w:rsidRDefault="0029329A" w:rsidP="00D21BAE">
      <w:pPr>
        <w:pStyle w:val="Prrafodelista"/>
        <w:numPr>
          <w:ilvl w:val="0"/>
          <w:numId w:val="3"/>
        </w:numPr>
        <w:tabs>
          <w:tab w:val="left" w:pos="426"/>
        </w:tabs>
        <w:ind w:left="0" w:firstLine="0"/>
        <w:jc w:val="both"/>
        <w:rPr>
          <w:rFonts w:ascii="Times New Roman" w:hAnsi="Times New Roman" w:cs="Times New Roman"/>
          <w:sz w:val="28"/>
          <w:szCs w:val="28"/>
        </w:rPr>
      </w:pPr>
      <w:r w:rsidRPr="0029329A">
        <w:rPr>
          <w:rFonts w:ascii="Times New Roman" w:hAnsi="Times New Roman" w:cs="Times New Roman"/>
          <w:bCs/>
          <w:iCs/>
          <w:sz w:val="28"/>
          <w:szCs w:val="28"/>
        </w:rPr>
        <w:t xml:space="preserve">Pese a este complejo panorama, la </w:t>
      </w:r>
      <w:r w:rsidRPr="0029329A">
        <w:rPr>
          <w:rFonts w:ascii="Times New Roman" w:hAnsi="Times New Roman" w:cs="Times New Roman"/>
          <w:bCs/>
          <w:iCs/>
          <w:sz w:val="28"/>
          <w:szCs w:val="28"/>
        </w:rPr>
        <w:t>mayoría</w:t>
      </w:r>
      <w:r w:rsidRPr="0029329A">
        <w:rPr>
          <w:rFonts w:ascii="Times New Roman" w:hAnsi="Times New Roman" w:cs="Times New Roman"/>
          <w:bCs/>
          <w:iCs/>
          <w:sz w:val="28"/>
          <w:szCs w:val="28"/>
        </w:rPr>
        <w:t xml:space="preserve"> descartó alternativas de solución como, por ejemplo, una exequibilidad con efectos diferidos que le habría permito al ICANH cobrar la tasa y seguir funcionando por un tiempo, mientras que el Congreso decidía si regulaba la materia a través del trámite leg</w:t>
      </w:r>
      <w:r w:rsidRPr="0029329A">
        <w:rPr>
          <w:rFonts w:ascii="Times New Roman" w:hAnsi="Times New Roman" w:cs="Times New Roman"/>
          <w:bCs/>
          <w:iCs/>
          <w:sz w:val="28"/>
          <w:szCs w:val="28"/>
        </w:rPr>
        <w:t>islativo ordinario. No obstante, en otras ocasiones como en las sentencias C-219 de 2019, C-068 de 2020 o C-276 de 2021, la Corte decidió posponer los efectos de la declaración de inconstitucionalidad luego de advertir que la expulsión inmediata de las nor</w:t>
      </w:r>
      <w:r w:rsidRPr="0029329A">
        <w:rPr>
          <w:rFonts w:ascii="Times New Roman" w:hAnsi="Times New Roman" w:cs="Times New Roman"/>
          <w:bCs/>
          <w:iCs/>
          <w:sz w:val="28"/>
          <w:szCs w:val="28"/>
        </w:rPr>
        <w:t>mas afectar</w:t>
      </w:r>
      <w:r w:rsidRPr="0029329A">
        <w:rPr>
          <w:rFonts w:ascii="Times New Roman" w:hAnsi="Times New Roman" w:cs="Times New Roman"/>
          <w:bCs/>
          <w:iCs/>
          <w:sz w:val="28"/>
          <w:szCs w:val="28"/>
        </w:rPr>
        <w:t>ía</w:t>
      </w:r>
      <w:r w:rsidRPr="0029329A">
        <w:rPr>
          <w:rFonts w:ascii="Times New Roman" w:hAnsi="Times New Roman" w:cs="Times New Roman"/>
          <w:bCs/>
          <w:iCs/>
          <w:sz w:val="28"/>
          <w:szCs w:val="28"/>
        </w:rPr>
        <w:t xml:space="preserve"> principios y derechos constitucionales importantes. </w:t>
      </w:r>
    </w:p>
    <w:p w:rsidR="00023A3B" w:rsidRPr="0029329A" w:rsidRDefault="0029329A" w:rsidP="00D21BAE">
      <w:pPr>
        <w:pStyle w:val="Prrafodelista"/>
        <w:tabs>
          <w:tab w:val="left" w:pos="426"/>
        </w:tabs>
        <w:jc w:val="both"/>
        <w:rPr>
          <w:rFonts w:ascii="Times New Roman" w:hAnsi="Times New Roman" w:cs="Times New Roman"/>
          <w:sz w:val="28"/>
          <w:szCs w:val="28"/>
        </w:rPr>
      </w:pPr>
    </w:p>
    <w:p w:rsidR="00974D63" w:rsidRPr="0029329A" w:rsidRDefault="0029329A" w:rsidP="00D21BAE">
      <w:pPr>
        <w:jc w:val="both"/>
        <w:rPr>
          <w:rFonts w:ascii="Times New Roman" w:hAnsi="Times New Roman" w:cs="Times New Roman"/>
          <w:i/>
          <w:sz w:val="28"/>
          <w:szCs w:val="28"/>
        </w:rPr>
      </w:pPr>
      <w:r w:rsidRPr="0029329A">
        <w:rPr>
          <w:rFonts w:ascii="Times New Roman" w:hAnsi="Times New Roman" w:cs="Times New Roman"/>
          <w:i/>
          <w:sz w:val="28"/>
          <w:szCs w:val="28"/>
        </w:rPr>
        <w:t>Fecha ut supra</w:t>
      </w:r>
      <w:r w:rsidRPr="0029329A">
        <w:rPr>
          <w:rFonts w:ascii="Times New Roman" w:hAnsi="Times New Roman" w:cs="Times New Roman"/>
          <w:i/>
          <w:sz w:val="28"/>
          <w:szCs w:val="28"/>
        </w:rPr>
        <w:t>,</w:t>
      </w: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p>
    <w:p w:rsidR="00602064" w:rsidRPr="0029329A" w:rsidRDefault="0029329A" w:rsidP="00602064">
      <w:pPr>
        <w:jc w:val="center"/>
        <w:rPr>
          <w:rFonts w:ascii="Times New Roman" w:hAnsi="Times New Roman" w:cs="Times New Roman"/>
          <w:b/>
          <w:bCs/>
          <w:sz w:val="28"/>
          <w:szCs w:val="28"/>
        </w:rPr>
      </w:pPr>
    </w:p>
    <w:p w:rsidR="00602064"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NATALIA ÁNGEL CABO</w:t>
      </w: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Magistrada</w:t>
      </w: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JUAN CARLOS CORTÉS GONZÁLEZ</w:t>
      </w: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Magistrado</w:t>
      </w: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DIANA FAJARDO RIVERA</w:t>
      </w:r>
    </w:p>
    <w:p w:rsidR="00663522" w:rsidRPr="0029329A" w:rsidRDefault="0029329A" w:rsidP="00602064">
      <w:pPr>
        <w:jc w:val="center"/>
        <w:rPr>
          <w:rFonts w:ascii="Times New Roman" w:hAnsi="Times New Roman" w:cs="Times New Roman"/>
          <w:b/>
          <w:bCs/>
          <w:sz w:val="28"/>
          <w:szCs w:val="28"/>
        </w:rPr>
      </w:pPr>
      <w:r w:rsidRPr="0029329A">
        <w:rPr>
          <w:rFonts w:ascii="Times New Roman" w:hAnsi="Times New Roman" w:cs="Times New Roman"/>
          <w:b/>
          <w:bCs/>
          <w:sz w:val="28"/>
          <w:szCs w:val="28"/>
        </w:rPr>
        <w:t>Magistrada</w:t>
      </w:r>
    </w:p>
    <w:p w:rsidR="00696504" w:rsidRPr="0029329A" w:rsidRDefault="0029329A" w:rsidP="00AC52AB">
      <w:pPr>
        <w:spacing w:after="0" w:line="240" w:lineRule="auto"/>
        <w:jc w:val="center"/>
        <w:rPr>
          <w:rFonts w:ascii="Times New Roman" w:hAnsi="Times New Roman" w:cs="Times New Roman"/>
          <w:b/>
          <w:bCs/>
          <w:color w:val="000000" w:themeColor="text1"/>
          <w:sz w:val="28"/>
          <w:szCs w:val="28"/>
        </w:rPr>
      </w:pPr>
    </w:p>
    <w:p w:rsidR="00696504" w:rsidRPr="0029329A" w:rsidRDefault="0029329A" w:rsidP="00AC52AB">
      <w:pPr>
        <w:spacing w:after="0" w:line="240" w:lineRule="auto"/>
        <w:jc w:val="center"/>
        <w:rPr>
          <w:rFonts w:ascii="Times New Roman" w:hAnsi="Times New Roman" w:cs="Times New Roman"/>
          <w:b/>
          <w:bCs/>
          <w:color w:val="000000" w:themeColor="text1"/>
          <w:sz w:val="28"/>
          <w:szCs w:val="28"/>
        </w:rPr>
      </w:pPr>
    </w:p>
    <w:p w:rsidR="00BD3BB7" w:rsidRPr="0029329A" w:rsidRDefault="0029329A" w:rsidP="00AC52AB">
      <w:pPr>
        <w:spacing w:after="0" w:line="240" w:lineRule="auto"/>
        <w:jc w:val="center"/>
        <w:rPr>
          <w:rFonts w:ascii="Times New Roman" w:hAnsi="Times New Roman" w:cs="Times New Roman"/>
          <w:b/>
          <w:bCs/>
          <w:color w:val="000000" w:themeColor="text1"/>
          <w:sz w:val="28"/>
          <w:szCs w:val="28"/>
        </w:rPr>
      </w:pPr>
      <w:r w:rsidRPr="0029329A">
        <w:rPr>
          <w:rFonts w:ascii="Times New Roman" w:hAnsi="Times New Roman" w:cs="Times New Roman"/>
          <w:b/>
          <w:bCs/>
          <w:color w:val="000000" w:themeColor="text1"/>
          <w:sz w:val="28"/>
          <w:szCs w:val="28"/>
        </w:rPr>
        <w:t>ACLARACIÓN</w:t>
      </w:r>
      <w:r w:rsidRPr="0029329A">
        <w:rPr>
          <w:rFonts w:ascii="Times New Roman" w:hAnsi="Times New Roman" w:cs="Times New Roman"/>
          <w:b/>
          <w:bCs/>
          <w:color w:val="000000" w:themeColor="text1"/>
          <w:sz w:val="28"/>
          <w:szCs w:val="28"/>
        </w:rPr>
        <w:t xml:space="preserve"> DE VOTO DEL MAGISTRADO</w:t>
      </w:r>
      <w:r w:rsidRPr="0029329A">
        <w:rPr>
          <w:rFonts w:ascii="Times New Roman" w:hAnsi="Times New Roman" w:cs="Times New Roman"/>
          <w:b/>
          <w:bCs/>
          <w:color w:val="000000" w:themeColor="text1"/>
          <w:sz w:val="28"/>
          <w:szCs w:val="28"/>
        </w:rPr>
        <w:br/>
      </w:r>
      <w:r w:rsidRPr="0029329A">
        <w:rPr>
          <w:rFonts w:ascii="Times New Roman" w:hAnsi="Times New Roman" w:cs="Times New Roman"/>
          <w:b/>
          <w:bCs/>
          <w:color w:val="000000" w:themeColor="text1"/>
          <w:sz w:val="28"/>
          <w:szCs w:val="28"/>
        </w:rPr>
        <w:t xml:space="preserve">JORGE ENRIQUE IBÁÑEZ NAJAR </w:t>
      </w:r>
    </w:p>
    <w:p w:rsidR="00157B34" w:rsidRPr="0029329A" w:rsidRDefault="0029329A" w:rsidP="00AC52AB">
      <w:pPr>
        <w:spacing w:after="0" w:line="240" w:lineRule="auto"/>
        <w:jc w:val="center"/>
        <w:rPr>
          <w:rFonts w:ascii="Times New Roman" w:hAnsi="Times New Roman" w:cs="Times New Roman"/>
          <w:b/>
          <w:bCs/>
          <w:color w:val="000000" w:themeColor="text1"/>
          <w:sz w:val="28"/>
          <w:szCs w:val="28"/>
        </w:rPr>
      </w:pPr>
      <w:r w:rsidRPr="0029329A">
        <w:rPr>
          <w:rFonts w:ascii="Times New Roman" w:hAnsi="Times New Roman" w:cs="Times New Roman"/>
          <w:b/>
          <w:bCs/>
          <w:color w:val="000000" w:themeColor="text1"/>
          <w:sz w:val="28"/>
          <w:szCs w:val="28"/>
        </w:rPr>
        <w:t xml:space="preserve">A LA SENTENCIA </w:t>
      </w:r>
      <w:r w:rsidRPr="0029329A">
        <w:rPr>
          <w:rFonts w:ascii="Times New Roman" w:hAnsi="Times New Roman" w:cs="Times New Roman"/>
          <w:b/>
          <w:bCs/>
          <w:color w:val="000000" w:themeColor="text1"/>
          <w:sz w:val="28"/>
          <w:szCs w:val="28"/>
        </w:rPr>
        <w:t>C-</w:t>
      </w:r>
      <w:r w:rsidRPr="0029329A">
        <w:rPr>
          <w:rFonts w:ascii="Times New Roman" w:hAnsi="Times New Roman" w:cs="Times New Roman"/>
          <w:b/>
          <w:bCs/>
          <w:color w:val="000000" w:themeColor="text1"/>
          <w:sz w:val="28"/>
          <w:szCs w:val="28"/>
        </w:rPr>
        <w:t>117</w:t>
      </w:r>
      <w:r w:rsidRPr="0029329A">
        <w:rPr>
          <w:rFonts w:ascii="Times New Roman" w:hAnsi="Times New Roman" w:cs="Times New Roman"/>
          <w:b/>
          <w:bCs/>
          <w:color w:val="000000" w:themeColor="text1"/>
          <w:sz w:val="28"/>
          <w:szCs w:val="28"/>
        </w:rPr>
        <w:t>/</w:t>
      </w:r>
      <w:r w:rsidRPr="0029329A">
        <w:rPr>
          <w:rFonts w:ascii="Times New Roman" w:hAnsi="Times New Roman" w:cs="Times New Roman"/>
          <w:b/>
          <w:bCs/>
          <w:color w:val="000000" w:themeColor="text1"/>
          <w:sz w:val="28"/>
          <w:szCs w:val="28"/>
        </w:rPr>
        <w:t>2</w:t>
      </w:r>
      <w:r w:rsidRPr="0029329A">
        <w:rPr>
          <w:rFonts w:ascii="Times New Roman" w:hAnsi="Times New Roman" w:cs="Times New Roman"/>
          <w:b/>
          <w:bCs/>
          <w:color w:val="000000" w:themeColor="text1"/>
          <w:sz w:val="28"/>
          <w:szCs w:val="28"/>
        </w:rPr>
        <w:t>4</w:t>
      </w:r>
    </w:p>
    <w:p w:rsidR="00A656FE" w:rsidRPr="0029329A" w:rsidRDefault="0029329A" w:rsidP="00AC52AB">
      <w:pPr>
        <w:spacing w:after="0" w:line="240" w:lineRule="auto"/>
        <w:jc w:val="center"/>
        <w:rPr>
          <w:rFonts w:ascii="Times New Roman" w:hAnsi="Times New Roman" w:cs="Times New Roman"/>
          <w:b/>
          <w:bCs/>
          <w:color w:val="000000" w:themeColor="text1"/>
          <w:sz w:val="28"/>
          <w:szCs w:val="28"/>
        </w:rPr>
      </w:pPr>
    </w:p>
    <w:p w:rsidR="00BD3BB7" w:rsidRPr="0029329A" w:rsidRDefault="0029329A" w:rsidP="00AC52AB">
      <w:pPr>
        <w:spacing w:after="0" w:line="240" w:lineRule="auto"/>
        <w:jc w:val="center"/>
        <w:rPr>
          <w:rFonts w:ascii="Times New Roman" w:hAnsi="Times New Roman" w:cs="Times New Roman"/>
          <w:b/>
          <w:bCs/>
          <w:color w:val="000000" w:themeColor="text1"/>
          <w:sz w:val="28"/>
          <w:szCs w:val="28"/>
        </w:rPr>
      </w:pPr>
    </w:p>
    <w:p w:rsidR="00157B34" w:rsidRPr="0029329A" w:rsidRDefault="0029329A" w:rsidP="00AC52AB">
      <w:pPr>
        <w:pStyle w:val="Style3"/>
        <w:ind w:left="3540" w:right="-36"/>
        <w:jc w:val="both"/>
        <w:rPr>
          <w:bCs/>
          <w:color w:val="000000" w:themeColor="text1"/>
          <w:sz w:val="28"/>
          <w:szCs w:val="28"/>
          <w:lang w:eastAsia="es-ES_tradnl"/>
        </w:rPr>
      </w:pPr>
      <w:r w:rsidRPr="0029329A">
        <w:rPr>
          <w:rStyle w:val="FontStyle19"/>
          <w:bCs/>
          <w:color w:val="000000" w:themeColor="text1"/>
          <w:sz w:val="28"/>
          <w:szCs w:val="28"/>
        </w:rPr>
        <w:t>Expediente:</w:t>
      </w:r>
      <w:r w:rsidRPr="0029329A">
        <w:rPr>
          <w:bCs/>
          <w:color w:val="000000" w:themeColor="text1"/>
          <w:sz w:val="28"/>
          <w:szCs w:val="28"/>
          <w:lang w:bidi="es-ES"/>
        </w:rPr>
        <w:t xml:space="preserve"> </w:t>
      </w:r>
      <w:r w:rsidRPr="0029329A">
        <w:rPr>
          <w:bCs/>
          <w:color w:val="000000" w:themeColor="text1"/>
          <w:sz w:val="28"/>
          <w:szCs w:val="28"/>
          <w:lang w:bidi="es-ES"/>
        </w:rPr>
        <w:t>D-1</w:t>
      </w:r>
      <w:r w:rsidRPr="0029329A">
        <w:rPr>
          <w:bCs/>
          <w:color w:val="000000" w:themeColor="text1"/>
          <w:sz w:val="28"/>
          <w:szCs w:val="28"/>
          <w:lang w:bidi="es-ES"/>
        </w:rPr>
        <w:t>5</w:t>
      </w:r>
      <w:r w:rsidRPr="0029329A">
        <w:rPr>
          <w:bCs/>
          <w:color w:val="000000" w:themeColor="text1"/>
          <w:sz w:val="28"/>
          <w:szCs w:val="28"/>
          <w:lang w:bidi="es-ES"/>
        </w:rPr>
        <w:t>.</w:t>
      </w:r>
      <w:r w:rsidRPr="0029329A">
        <w:rPr>
          <w:bCs/>
          <w:color w:val="000000" w:themeColor="text1"/>
          <w:sz w:val="28"/>
          <w:szCs w:val="28"/>
          <w:lang w:bidi="es-ES"/>
        </w:rPr>
        <w:t>466</w:t>
      </w:r>
    </w:p>
    <w:p w:rsidR="00614C1D" w:rsidRPr="0029329A" w:rsidRDefault="0029329A" w:rsidP="00AC52AB">
      <w:pPr>
        <w:pStyle w:val="Style3"/>
        <w:ind w:left="3540" w:right="-36"/>
        <w:jc w:val="both"/>
        <w:rPr>
          <w:bCs/>
          <w:color w:val="000000" w:themeColor="text1"/>
          <w:sz w:val="28"/>
          <w:szCs w:val="28"/>
        </w:rPr>
      </w:pPr>
    </w:p>
    <w:p w:rsidR="00157B34" w:rsidRPr="0029329A" w:rsidRDefault="0029329A" w:rsidP="00AC52AB">
      <w:pPr>
        <w:pStyle w:val="Style3"/>
        <w:ind w:left="3540" w:right="-36"/>
        <w:jc w:val="both"/>
        <w:rPr>
          <w:bCs/>
          <w:color w:val="000000" w:themeColor="text1"/>
          <w:sz w:val="28"/>
          <w:szCs w:val="28"/>
        </w:rPr>
      </w:pPr>
      <w:r w:rsidRPr="0029329A">
        <w:rPr>
          <w:bCs/>
          <w:color w:val="000000" w:themeColor="text1"/>
          <w:sz w:val="28"/>
          <w:szCs w:val="28"/>
        </w:rPr>
        <w:t>Magistrad</w:t>
      </w:r>
      <w:r w:rsidRPr="0029329A">
        <w:rPr>
          <w:bCs/>
          <w:color w:val="000000" w:themeColor="text1"/>
          <w:sz w:val="28"/>
          <w:szCs w:val="28"/>
        </w:rPr>
        <w:t>o</w:t>
      </w:r>
      <w:r w:rsidRPr="0029329A">
        <w:rPr>
          <w:bCs/>
          <w:color w:val="000000" w:themeColor="text1"/>
          <w:sz w:val="28"/>
          <w:szCs w:val="28"/>
        </w:rPr>
        <w:t xml:space="preserve"> ponente: </w:t>
      </w:r>
      <w:r w:rsidRPr="0029329A">
        <w:rPr>
          <w:bCs/>
          <w:color w:val="000000" w:themeColor="text1"/>
          <w:sz w:val="28"/>
          <w:szCs w:val="28"/>
        </w:rPr>
        <w:t>Cristina Pardo Schlesinger</w:t>
      </w:r>
    </w:p>
    <w:p w:rsidR="00A656FE" w:rsidRPr="0029329A" w:rsidRDefault="0029329A" w:rsidP="00AC52AB">
      <w:pPr>
        <w:spacing w:after="0" w:line="240" w:lineRule="auto"/>
        <w:rPr>
          <w:rFonts w:ascii="Times New Roman" w:hAnsi="Times New Roman" w:cs="Times New Roman"/>
          <w:sz w:val="28"/>
          <w:szCs w:val="28"/>
        </w:rPr>
      </w:pPr>
    </w:p>
    <w:p w:rsidR="00BD3BB7" w:rsidRPr="0029329A" w:rsidRDefault="0029329A" w:rsidP="00AC52AB">
      <w:pPr>
        <w:spacing w:after="0" w:line="240" w:lineRule="auto"/>
        <w:rPr>
          <w:rFonts w:ascii="Times New Roman" w:hAnsi="Times New Roman" w:cs="Times New Roman"/>
          <w:sz w:val="28"/>
          <w:szCs w:val="28"/>
        </w:rPr>
      </w:pPr>
    </w:p>
    <w:p w:rsidR="0032330E" w:rsidRPr="0029329A" w:rsidRDefault="0029329A" w:rsidP="00AC52AB">
      <w:pPr>
        <w:spacing w:after="0" w:line="240" w:lineRule="auto"/>
        <w:jc w:val="both"/>
        <w:rPr>
          <w:rFonts w:ascii="Times New Roman" w:hAnsi="Times New Roman" w:cs="Times New Roman"/>
          <w:sz w:val="28"/>
          <w:szCs w:val="28"/>
        </w:rPr>
      </w:pPr>
      <w:r w:rsidRPr="0029329A">
        <w:rPr>
          <w:rFonts w:ascii="Times New Roman" w:hAnsi="Times New Roman" w:cs="Times New Roman"/>
          <w:sz w:val="28"/>
          <w:szCs w:val="28"/>
        </w:rPr>
        <w:t>Con el acostumbrado respeto por l</w:t>
      </w:r>
      <w:r w:rsidRPr="0029329A">
        <w:rPr>
          <w:rFonts w:ascii="Times New Roman" w:hAnsi="Times New Roman" w:cs="Times New Roman"/>
          <w:sz w:val="28"/>
          <w:szCs w:val="28"/>
        </w:rPr>
        <w:t>a decisión</w:t>
      </w:r>
      <w:r w:rsidRPr="0029329A">
        <w:rPr>
          <w:rFonts w:ascii="Times New Roman" w:hAnsi="Times New Roman" w:cs="Times New Roman"/>
          <w:sz w:val="28"/>
          <w:szCs w:val="28"/>
        </w:rPr>
        <w:t xml:space="preserve"> adoptada por la mayoría de la Sala </w:t>
      </w:r>
      <w:r w:rsidRPr="0029329A">
        <w:rPr>
          <w:rFonts w:ascii="Times New Roman" w:hAnsi="Times New Roman" w:cs="Times New Roman"/>
          <w:sz w:val="28"/>
          <w:szCs w:val="28"/>
        </w:rPr>
        <w:t>Plena</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de la Corte C</w:t>
      </w:r>
      <w:r w:rsidRPr="0029329A">
        <w:rPr>
          <w:rFonts w:ascii="Times New Roman" w:hAnsi="Times New Roman" w:cs="Times New Roman"/>
          <w:sz w:val="28"/>
          <w:szCs w:val="28"/>
        </w:rPr>
        <w:t>o</w:t>
      </w:r>
      <w:r w:rsidRPr="0029329A">
        <w:rPr>
          <w:rFonts w:ascii="Times New Roman" w:hAnsi="Times New Roman" w:cs="Times New Roman"/>
          <w:sz w:val="28"/>
          <w:szCs w:val="28"/>
        </w:rPr>
        <w:t>nstitucional</w:t>
      </w:r>
      <w:r w:rsidRPr="0029329A">
        <w:rPr>
          <w:rFonts w:ascii="Times New Roman" w:hAnsi="Times New Roman" w:cs="Times New Roman"/>
          <w:sz w:val="28"/>
          <w:szCs w:val="28"/>
        </w:rPr>
        <w:t xml:space="preserve">, me permito </w:t>
      </w:r>
      <w:r w:rsidRPr="0029329A">
        <w:rPr>
          <w:rFonts w:ascii="Times New Roman" w:hAnsi="Times New Roman" w:cs="Times New Roman"/>
          <w:sz w:val="28"/>
          <w:szCs w:val="28"/>
        </w:rPr>
        <w:t xml:space="preserve">manifestar que comparto la decisión de </w:t>
      </w:r>
      <w:r w:rsidRPr="0029329A">
        <w:rPr>
          <w:rFonts w:ascii="Times New Roman" w:hAnsi="Times New Roman" w:cs="Times New Roman"/>
          <w:sz w:val="28"/>
          <w:szCs w:val="28"/>
        </w:rPr>
        <w:t>inexequibilidad</w:t>
      </w:r>
      <w:r w:rsidRPr="0029329A">
        <w:rPr>
          <w:rFonts w:ascii="Times New Roman" w:hAnsi="Times New Roman" w:cs="Times New Roman"/>
          <w:sz w:val="28"/>
          <w:szCs w:val="28"/>
        </w:rPr>
        <w:t xml:space="preserve"> en el caso </w:t>
      </w:r>
      <w:r w:rsidRPr="0029329A">
        <w:rPr>
          <w:rFonts w:ascii="Times New Roman" w:hAnsi="Times New Roman" w:cs="Times New Roman"/>
          <w:i/>
          <w:iCs/>
          <w:sz w:val="28"/>
          <w:szCs w:val="28"/>
        </w:rPr>
        <w:t>sub examine</w:t>
      </w:r>
      <w:r w:rsidRPr="0029329A">
        <w:rPr>
          <w:rFonts w:ascii="Times New Roman" w:hAnsi="Times New Roman" w:cs="Times New Roman"/>
          <w:i/>
          <w:iCs/>
          <w:sz w:val="28"/>
          <w:szCs w:val="28"/>
        </w:rPr>
        <w:t>.</w:t>
      </w:r>
      <w:r w:rsidRPr="0029329A">
        <w:rPr>
          <w:rFonts w:ascii="Times New Roman" w:hAnsi="Times New Roman" w:cs="Times New Roman"/>
          <w:i/>
          <w:iCs/>
          <w:sz w:val="28"/>
          <w:szCs w:val="28"/>
        </w:rPr>
        <w:t xml:space="preserve"> </w:t>
      </w:r>
      <w:r w:rsidRPr="0029329A">
        <w:rPr>
          <w:rFonts w:ascii="Times New Roman" w:hAnsi="Times New Roman" w:cs="Times New Roman"/>
          <w:sz w:val="28"/>
          <w:szCs w:val="28"/>
        </w:rPr>
        <w:t>S</w:t>
      </w:r>
      <w:r w:rsidRPr="0029329A">
        <w:rPr>
          <w:rFonts w:ascii="Times New Roman" w:hAnsi="Times New Roman" w:cs="Times New Roman"/>
          <w:sz w:val="28"/>
          <w:szCs w:val="28"/>
        </w:rPr>
        <w:t xml:space="preserve">in embargo, </w:t>
      </w:r>
      <w:r w:rsidRPr="0029329A">
        <w:rPr>
          <w:rFonts w:ascii="Times New Roman" w:hAnsi="Times New Roman" w:cs="Times New Roman"/>
          <w:sz w:val="28"/>
          <w:szCs w:val="28"/>
        </w:rPr>
        <w:t xml:space="preserve">he decidido </w:t>
      </w:r>
      <w:r w:rsidRPr="0029329A">
        <w:rPr>
          <w:rFonts w:ascii="Times New Roman" w:hAnsi="Times New Roman" w:cs="Times New Roman"/>
          <w:sz w:val="28"/>
          <w:szCs w:val="28"/>
        </w:rPr>
        <w:t>aclarar mi voto</w:t>
      </w:r>
      <w:r w:rsidRPr="0029329A">
        <w:rPr>
          <w:rFonts w:ascii="Times New Roman" w:hAnsi="Times New Roman" w:cs="Times New Roman"/>
          <w:sz w:val="28"/>
          <w:szCs w:val="28"/>
        </w:rPr>
        <w:t xml:space="preserve"> en relación con la construcción del parámetro</w:t>
      </w:r>
      <w:r w:rsidRPr="0029329A">
        <w:rPr>
          <w:rFonts w:ascii="Times New Roman" w:hAnsi="Times New Roman" w:cs="Times New Roman"/>
          <w:sz w:val="28"/>
          <w:szCs w:val="28"/>
        </w:rPr>
        <w:t>, pues el</w:t>
      </w:r>
      <w:r w:rsidRPr="0029329A">
        <w:rPr>
          <w:rFonts w:ascii="Times New Roman" w:hAnsi="Times New Roman" w:cs="Times New Roman"/>
          <w:sz w:val="28"/>
          <w:szCs w:val="28"/>
        </w:rPr>
        <w:t xml:space="preserve"> principio de unidad de materia de las normas instrumentales contenidas en la ley </w:t>
      </w:r>
      <w:r w:rsidRPr="0029329A">
        <w:rPr>
          <w:rFonts w:ascii="Times New Roman" w:hAnsi="Times New Roman" w:cs="Times New Roman"/>
          <w:sz w:val="28"/>
          <w:szCs w:val="28"/>
        </w:rPr>
        <w:t xml:space="preserve">aprobatoria del Plan Nacional de Inversiones </w:t>
      </w:r>
      <w:r w:rsidRPr="0029329A">
        <w:rPr>
          <w:rFonts w:ascii="Times New Roman" w:hAnsi="Times New Roman" w:cs="Times New Roman"/>
          <w:sz w:val="28"/>
          <w:szCs w:val="28"/>
        </w:rPr>
        <w:t xml:space="preserve">exige </w:t>
      </w:r>
      <w:r w:rsidRPr="0029329A">
        <w:rPr>
          <w:rFonts w:ascii="Times New Roman" w:hAnsi="Times New Roman" w:cs="Times New Roman"/>
          <w:sz w:val="28"/>
          <w:szCs w:val="28"/>
        </w:rPr>
        <w:t>aplicarse en relación con los programas y proyectos de inversión pública nacional y los presupuestos plurianuales de los mismos, junto con la determinación o especificación concreta de los recursos financi</w:t>
      </w:r>
      <w:r w:rsidRPr="0029329A">
        <w:rPr>
          <w:rFonts w:ascii="Times New Roman" w:hAnsi="Times New Roman" w:cs="Times New Roman"/>
          <w:sz w:val="28"/>
          <w:szCs w:val="28"/>
        </w:rPr>
        <w:t>eros y apropiaciones requeridos que se autoricen para su ejecución.</w:t>
      </w:r>
    </w:p>
    <w:p w:rsidR="002E39B3" w:rsidRPr="0029329A" w:rsidRDefault="0029329A" w:rsidP="00AC52AB">
      <w:pPr>
        <w:spacing w:after="0" w:line="240" w:lineRule="auto"/>
        <w:jc w:val="both"/>
        <w:rPr>
          <w:rFonts w:ascii="Times New Roman" w:hAnsi="Times New Roman" w:cs="Times New Roman"/>
          <w:sz w:val="28"/>
          <w:szCs w:val="28"/>
        </w:rPr>
      </w:pPr>
    </w:p>
    <w:p w:rsidR="0010677F" w:rsidRPr="0029329A" w:rsidRDefault="0029329A" w:rsidP="00AC52AB">
      <w:pPr>
        <w:spacing w:after="0" w:line="240" w:lineRule="auto"/>
        <w:jc w:val="both"/>
        <w:rPr>
          <w:rFonts w:ascii="Times New Roman" w:hAnsi="Times New Roman" w:cs="Times New Roman"/>
          <w:sz w:val="28"/>
          <w:szCs w:val="28"/>
        </w:rPr>
      </w:pPr>
      <w:r w:rsidRPr="0029329A">
        <w:rPr>
          <w:rFonts w:ascii="Times New Roman" w:hAnsi="Times New Roman" w:cs="Times New Roman"/>
          <w:sz w:val="28"/>
          <w:szCs w:val="28"/>
        </w:rPr>
        <w:t>En la Sentencia C-063 de 2021, la Sala Plena precisó</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la conformación de</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l</w:t>
      </w:r>
      <w:r w:rsidRPr="0029329A">
        <w:rPr>
          <w:rFonts w:ascii="Times New Roman" w:hAnsi="Times New Roman" w:cs="Times New Roman"/>
          <w:sz w:val="28"/>
          <w:szCs w:val="28"/>
        </w:rPr>
        <w:t>a Ley aprobatoria del Plan Nacional de Inversiones y el</w:t>
      </w:r>
      <w:r w:rsidRPr="0029329A">
        <w:rPr>
          <w:rFonts w:ascii="Times New Roman" w:hAnsi="Times New Roman" w:cs="Times New Roman"/>
          <w:sz w:val="28"/>
          <w:szCs w:val="28"/>
        </w:rPr>
        <w:t xml:space="preserve"> Plan Nacional de Desarrollo</w:t>
      </w:r>
      <w:r w:rsidRPr="0029329A">
        <w:rPr>
          <w:rFonts w:ascii="Times New Roman" w:hAnsi="Times New Roman" w:cs="Times New Roman"/>
          <w:sz w:val="28"/>
          <w:szCs w:val="28"/>
        </w:rPr>
        <w:t xml:space="preserve"> y destacó </w:t>
      </w:r>
      <w:r w:rsidRPr="0029329A">
        <w:rPr>
          <w:rFonts w:ascii="Times New Roman" w:hAnsi="Times New Roman" w:cs="Times New Roman"/>
          <w:sz w:val="28"/>
          <w:szCs w:val="28"/>
        </w:rPr>
        <w:t xml:space="preserve">su importancia para </w:t>
      </w:r>
      <w:r w:rsidRPr="0029329A">
        <w:rPr>
          <w:rFonts w:ascii="Times New Roman" w:hAnsi="Times New Roman" w:cs="Times New Roman"/>
          <w:sz w:val="28"/>
          <w:szCs w:val="28"/>
        </w:rPr>
        <w:t>determinar</w:t>
      </w:r>
      <w:r w:rsidRPr="0029329A">
        <w:rPr>
          <w:rFonts w:ascii="Times New Roman" w:hAnsi="Times New Roman" w:cs="Times New Roman"/>
          <w:sz w:val="28"/>
          <w:szCs w:val="28"/>
        </w:rPr>
        <w:t xml:space="preserve"> el alcance del principio de unidad de materia.</w:t>
      </w:r>
      <w:r w:rsidRPr="0029329A">
        <w:rPr>
          <w:rFonts w:ascii="Times New Roman" w:hAnsi="Times New Roman" w:cs="Times New Roman"/>
          <w:sz w:val="28"/>
          <w:szCs w:val="28"/>
        </w:rPr>
        <w:t xml:space="preserve"> La Corte </w:t>
      </w:r>
      <w:r w:rsidRPr="0029329A">
        <w:rPr>
          <w:rFonts w:ascii="Times New Roman" w:hAnsi="Times New Roman" w:cs="Times New Roman"/>
          <w:sz w:val="28"/>
          <w:szCs w:val="28"/>
          <w:lang w:val="es-ES_tradnl"/>
        </w:rPr>
        <w:t xml:space="preserve">encontró que la metodología </w:t>
      </w:r>
      <w:r w:rsidRPr="0029329A">
        <w:rPr>
          <w:rFonts w:ascii="Times New Roman" w:hAnsi="Times New Roman" w:cs="Times New Roman"/>
          <w:sz w:val="28"/>
          <w:szCs w:val="28"/>
          <w:lang w:val="es-ES_tradnl"/>
        </w:rPr>
        <w:t>para determinar el cumplimiento de</w:t>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lang w:val="es-ES_tradnl"/>
        </w:rPr>
        <w:t>este principio</w:t>
      </w:r>
      <w:r w:rsidRPr="0029329A">
        <w:rPr>
          <w:rFonts w:ascii="Times New Roman" w:hAnsi="Times New Roman" w:cs="Times New Roman"/>
          <w:sz w:val="28"/>
          <w:szCs w:val="28"/>
          <w:lang w:val="es-ES_tradnl"/>
        </w:rPr>
        <w:t xml:space="preserve"> en </w:t>
      </w:r>
      <w:r w:rsidRPr="0029329A">
        <w:rPr>
          <w:rFonts w:ascii="Times New Roman" w:hAnsi="Times New Roman" w:cs="Times New Roman"/>
          <w:sz w:val="28"/>
          <w:szCs w:val="28"/>
          <w:lang w:val="es-ES_tradnl"/>
        </w:rPr>
        <w:t>este tipo de leyes</w:t>
      </w:r>
      <w:r w:rsidRPr="0029329A">
        <w:rPr>
          <w:rFonts w:ascii="Times New Roman" w:hAnsi="Times New Roman" w:cs="Times New Roman"/>
          <w:sz w:val="28"/>
          <w:szCs w:val="28"/>
          <w:lang w:val="es-ES_tradnl"/>
        </w:rPr>
        <w:t xml:space="preserve"> era insuficiente. </w:t>
      </w:r>
      <w:r w:rsidRPr="0029329A">
        <w:rPr>
          <w:rFonts w:ascii="Times New Roman" w:hAnsi="Times New Roman" w:cs="Times New Roman"/>
          <w:sz w:val="28"/>
          <w:szCs w:val="28"/>
          <w:lang w:val="es-ES_tradnl"/>
        </w:rPr>
        <w:t>Antes de</w:t>
      </w:r>
      <w:r w:rsidRPr="0029329A">
        <w:rPr>
          <w:rFonts w:ascii="Times New Roman" w:hAnsi="Times New Roman" w:cs="Times New Roman"/>
          <w:sz w:val="28"/>
          <w:szCs w:val="28"/>
          <w:lang w:val="es-ES_tradnl"/>
        </w:rPr>
        <w:t xml:space="preserve"> la expedición </w:t>
      </w:r>
      <w:r w:rsidRPr="0029329A">
        <w:rPr>
          <w:rFonts w:ascii="Times New Roman" w:hAnsi="Times New Roman" w:cs="Times New Roman"/>
          <w:sz w:val="28"/>
          <w:szCs w:val="28"/>
          <w:lang w:val="es-ES_tradnl"/>
        </w:rPr>
        <w:t xml:space="preserve">de </w:t>
      </w:r>
      <w:r w:rsidRPr="0029329A">
        <w:rPr>
          <w:rFonts w:ascii="Times New Roman" w:hAnsi="Times New Roman" w:cs="Times New Roman"/>
          <w:sz w:val="28"/>
          <w:szCs w:val="28"/>
          <w:lang w:val="es-ES_tradnl"/>
        </w:rPr>
        <w:t>dicha sentencia</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lang w:val="es-ES_tradnl"/>
        </w:rPr>
        <w:t xml:space="preserve">el estándar para juzgar la conexidad de las normas instrumentales </w:t>
      </w:r>
      <w:r w:rsidRPr="0029329A">
        <w:rPr>
          <w:rFonts w:ascii="Times New Roman" w:hAnsi="Times New Roman" w:cs="Times New Roman"/>
          <w:sz w:val="28"/>
          <w:szCs w:val="28"/>
          <w:lang w:val="es-ES_tradnl"/>
        </w:rPr>
        <w:t xml:space="preserve">se basaba en </w:t>
      </w:r>
      <w:r w:rsidRPr="0029329A">
        <w:rPr>
          <w:rFonts w:ascii="Times New Roman" w:hAnsi="Times New Roman" w:cs="Times New Roman"/>
          <w:sz w:val="28"/>
          <w:szCs w:val="28"/>
          <w:lang w:val="es-ES_tradnl"/>
        </w:rPr>
        <w:t xml:space="preserve">las metas incorporadas en la parte general del Plan, </w:t>
      </w:r>
      <w:r w:rsidRPr="0029329A">
        <w:rPr>
          <w:rFonts w:ascii="Times New Roman" w:hAnsi="Times New Roman" w:cs="Times New Roman"/>
          <w:sz w:val="28"/>
          <w:szCs w:val="28"/>
          <w:lang w:val="es-ES_tradnl"/>
        </w:rPr>
        <w:t xml:space="preserve">lo </w:t>
      </w:r>
      <w:r w:rsidRPr="0029329A">
        <w:rPr>
          <w:rFonts w:ascii="Times New Roman" w:hAnsi="Times New Roman" w:cs="Times New Roman"/>
          <w:sz w:val="28"/>
          <w:szCs w:val="28"/>
          <w:lang w:val="es-ES_tradnl"/>
        </w:rPr>
        <w:t>que generaba</w:t>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lang w:val="es-ES_tradnl"/>
        </w:rPr>
        <w:t>incertidumbre en el contro</w:t>
      </w:r>
      <w:r w:rsidRPr="0029329A">
        <w:rPr>
          <w:rFonts w:ascii="Times New Roman" w:hAnsi="Times New Roman" w:cs="Times New Roman"/>
          <w:sz w:val="28"/>
          <w:szCs w:val="28"/>
          <w:lang w:val="es-ES_tradnl"/>
        </w:rPr>
        <w:t xml:space="preserve">l, ya que </w:t>
      </w:r>
      <w:r w:rsidRPr="0029329A">
        <w:rPr>
          <w:rFonts w:ascii="Times New Roman" w:hAnsi="Times New Roman" w:cs="Times New Roman"/>
          <w:sz w:val="28"/>
          <w:szCs w:val="28"/>
          <w:lang w:val="es-ES_tradnl"/>
        </w:rPr>
        <w:t>dependía de documentos abstractos y generales de política pública</w:t>
      </w:r>
      <w:r w:rsidRPr="0029329A">
        <w:rPr>
          <w:rFonts w:ascii="Times New Roman" w:hAnsi="Times New Roman" w:cs="Times New Roman"/>
          <w:sz w:val="28"/>
          <w:szCs w:val="28"/>
          <w:lang w:val="es-ES_tradnl"/>
        </w:rPr>
        <w:t>, los c</w:t>
      </w:r>
      <w:r w:rsidRPr="0029329A">
        <w:rPr>
          <w:rFonts w:ascii="Times New Roman" w:hAnsi="Times New Roman" w:cs="Times New Roman"/>
          <w:sz w:val="28"/>
          <w:szCs w:val="28"/>
          <w:lang w:val="es-ES_tradnl"/>
        </w:rPr>
        <w:t>uales podían ser interpretados</w:t>
      </w:r>
      <w:r w:rsidRPr="0029329A">
        <w:rPr>
          <w:rFonts w:ascii="Times New Roman" w:hAnsi="Times New Roman" w:cs="Times New Roman"/>
          <w:sz w:val="28"/>
          <w:szCs w:val="28"/>
          <w:lang w:val="es-ES_tradnl"/>
        </w:rPr>
        <w:t xml:space="preserve"> </w:t>
      </w:r>
      <w:r w:rsidRPr="0029329A">
        <w:rPr>
          <w:rFonts w:ascii="Times New Roman" w:hAnsi="Times New Roman" w:cs="Times New Roman"/>
          <w:sz w:val="28"/>
          <w:szCs w:val="28"/>
          <w:lang w:val="es-ES_tradnl"/>
        </w:rPr>
        <w:t xml:space="preserve">de manera tan amplia </w:t>
      </w:r>
      <w:r w:rsidRPr="0029329A">
        <w:rPr>
          <w:rFonts w:ascii="Times New Roman" w:hAnsi="Times New Roman" w:cs="Times New Roman"/>
          <w:sz w:val="28"/>
          <w:szCs w:val="28"/>
          <w:lang w:val="es-ES_tradnl"/>
        </w:rPr>
        <w:t xml:space="preserve">que cualquier norma instrumental </w:t>
      </w:r>
      <w:r w:rsidRPr="0029329A">
        <w:rPr>
          <w:rFonts w:ascii="Times New Roman" w:hAnsi="Times New Roman" w:cs="Times New Roman"/>
          <w:sz w:val="28"/>
          <w:szCs w:val="28"/>
          <w:lang w:val="es-ES_tradnl"/>
        </w:rPr>
        <w:t>podría</w:t>
      </w:r>
      <w:r w:rsidRPr="0029329A">
        <w:rPr>
          <w:rFonts w:ascii="Times New Roman" w:hAnsi="Times New Roman" w:cs="Times New Roman"/>
          <w:sz w:val="28"/>
          <w:szCs w:val="28"/>
          <w:lang w:val="es-ES_tradnl"/>
        </w:rPr>
        <w:t xml:space="preserve"> superar el juicio. Además, el alcance temporal también se veía afectado, </w:t>
      </w:r>
      <w:r w:rsidRPr="0029329A">
        <w:rPr>
          <w:rFonts w:ascii="Times New Roman" w:hAnsi="Times New Roman" w:cs="Times New Roman"/>
          <w:sz w:val="28"/>
          <w:szCs w:val="28"/>
          <w:lang w:val="es-ES_tradnl"/>
        </w:rPr>
        <w:t>dado que</w:t>
      </w:r>
      <w:r w:rsidRPr="0029329A">
        <w:rPr>
          <w:rFonts w:ascii="Times New Roman" w:hAnsi="Times New Roman" w:cs="Times New Roman"/>
          <w:sz w:val="28"/>
          <w:szCs w:val="28"/>
          <w:lang w:val="es-ES_tradnl"/>
        </w:rPr>
        <w:t xml:space="preserve"> las metas de la parte general tienen una proyección a mediano y largo plazo.</w:t>
      </w:r>
    </w:p>
    <w:p w:rsidR="0010677F" w:rsidRPr="0029329A" w:rsidRDefault="0029329A" w:rsidP="00AC52AB">
      <w:pPr>
        <w:spacing w:after="0" w:line="240" w:lineRule="auto"/>
        <w:jc w:val="both"/>
        <w:rPr>
          <w:rFonts w:ascii="Times New Roman" w:hAnsi="Times New Roman" w:cs="Times New Roman"/>
          <w:sz w:val="28"/>
          <w:szCs w:val="28"/>
        </w:rPr>
      </w:pPr>
    </w:p>
    <w:p w:rsidR="00862446" w:rsidRPr="0029329A" w:rsidRDefault="0029329A" w:rsidP="00AC52AB">
      <w:pPr>
        <w:spacing w:after="0" w:line="240" w:lineRule="auto"/>
        <w:jc w:val="both"/>
        <w:rPr>
          <w:rFonts w:ascii="Times New Roman" w:hAnsi="Times New Roman" w:cs="Times New Roman"/>
          <w:sz w:val="28"/>
          <w:szCs w:val="28"/>
        </w:rPr>
      </w:pPr>
      <w:r w:rsidRPr="0029329A">
        <w:rPr>
          <w:rFonts w:ascii="Times New Roman" w:hAnsi="Times New Roman" w:cs="Times New Roman"/>
          <w:sz w:val="28"/>
          <w:szCs w:val="28"/>
        </w:rPr>
        <w:t>En e</w:t>
      </w:r>
      <w:r w:rsidRPr="0029329A">
        <w:rPr>
          <w:rFonts w:ascii="Times New Roman" w:hAnsi="Times New Roman" w:cs="Times New Roman"/>
          <w:sz w:val="28"/>
          <w:szCs w:val="28"/>
        </w:rPr>
        <w:t xml:space="preserve">ste sentido, </w:t>
      </w:r>
      <w:r w:rsidRPr="0029329A">
        <w:rPr>
          <w:rFonts w:ascii="Times New Roman" w:hAnsi="Times New Roman" w:cs="Times New Roman"/>
          <w:sz w:val="28"/>
          <w:szCs w:val="28"/>
        </w:rPr>
        <w:t xml:space="preserve">la Corte Constitucional </w:t>
      </w:r>
      <w:r w:rsidRPr="0029329A">
        <w:rPr>
          <w:rFonts w:ascii="Times New Roman" w:hAnsi="Times New Roman" w:cs="Times New Roman"/>
          <w:sz w:val="28"/>
          <w:szCs w:val="28"/>
        </w:rPr>
        <w:t>determinó que el Plan Nacional de Desarrollo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está</w:t>
      </w:r>
      <w:r w:rsidRPr="0029329A">
        <w:rPr>
          <w:rFonts w:ascii="Times New Roman" w:hAnsi="Times New Roman" w:cs="Times New Roman"/>
          <w:sz w:val="28"/>
          <w:szCs w:val="28"/>
        </w:rPr>
        <w:t xml:space="preserve"> conformado por tres partes predefinidas</w:t>
      </w:r>
      <w:r w:rsidRPr="0029329A">
        <w:rPr>
          <w:rFonts w:ascii="Times New Roman" w:hAnsi="Times New Roman" w:cs="Times New Roman"/>
          <w:sz w:val="28"/>
          <w:szCs w:val="28"/>
        </w:rPr>
        <w:t xml:space="preserve"> así:</w:t>
      </w:r>
    </w:p>
    <w:p w:rsidR="00A974E9" w:rsidRPr="0029329A" w:rsidRDefault="0029329A" w:rsidP="00AC52AB">
      <w:pPr>
        <w:spacing w:after="0" w:line="240" w:lineRule="auto"/>
        <w:jc w:val="both"/>
        <w:rPr>
          <w:rFonts w:ascii="Times New Roman" w:hAnsi="Times New Roman" w:cs="Times New Roman"/>
          <w:sz w:val="28"/>
          <w:szCs w:val="28"/>
        </w:rPr>
      </w:pPr>
    </w:p>
    <w:p w:rsidR="00A974E9" w:rsidRPr="0029329A" w:rsidRDefault="0029329A" w:rsidP="00A974E9">
      <w:pPr>
        <w:widowControl w:val="0"/>
        <w:tabs>
          <w:tab w:val="left" w:pos="1018"/>
          <w:tab w:val="center" w:pos="3611"/>
        </w:tabs>
        <w:ind w:left="708"/>
        <w:jc w:val="both"/>
        <w:rPr>
          <w:rFonts w:ascii="Times New Roman" w:hAnsi="Times New Roman" w:cs="Times New Roman"/>
          <w:sz w:val="28"/>
          <w:szCs w:val="24"/>
        </w:rPr>
      </w:pPr>
      <w:r w:rsidRPr="0029329A">
        <w:rPr>
          <w:rFonts w:ascii="Times New Roman" w:hAnsi="Times New Roman" w:cs="Times New Roman"/>
          <w:sz w:val="28"/>
          <w:szCs w:val="24"/>
        </w:rPr>
        <w:t>“</w:t>
      </w:r>
      <w:r w:rsidRPr="0029329A">
        <w:rPr>
          <w:rFonts w:ascii="Times New Roman" w:hAnsi="Times New Roman" w:cs="Times New Roman"/>
          <w:sz w:val="28"/>
          <w:szCs w:val="24"/>
        </w:rPr>
        <w:t>(i) </w:t>
      </w:r>
      <w:r w:rsidRPr="0029329A">
        <w:rPr>
          <w:rFonts w:ascii="Times New Roman" w:hAnsi="Times New Roman" w:cs="Times New Roman"/>
          <w:b/>
          <w:bCs/>
          <w:sz w:val="28"/>
          <w:szCs w:val="24"/>
        </w:rPr>
        <w:t>Una Parte General</w:t>
      </w:r>
      <w:r w:rsidRPr="0029329A">
        <w:rPr>
          <w:rFonts w:ascii="Times New Roman" w:hAnsi="Times New Roman" w:cs="Times New Roman"/>
          <w:sz w:val="28"/>
          <w:szCs w:val="24"/>
        </w:rPr>
        <w:t>, que debe contener los propósitos y objetivos nacionales de largo plazo, los cuales deben incluir los sectoriales, según resulte del diagnóstico general de la economía y de sus principales sectores y grupos sociales y de la consulta que se realiza o verif</w:t>
      </w:r>
      <w:r w:rsidRPr="0029329A">
        <w:rPr>
          <w:rFonts w:ascii="Times New Roman" w:hAnsi="Times New Roman" w:cs="Times New Roman"/>
          <w:sz w:val="28"/>
          <w:szCs w:val="24"/>
        </w:rPr>
        <w:t>ica con el Consejo Nacional de Planeación en el cual tienen participación representantes de los sectores económicos, sociales, ecológicos, comunitarios y culturales; las metas y prioridades de la acción estatal a mediano plazo -esto es, las que persiguen e</w:t>
      </w:r>
      <w:r w:rsidRPr="0029329A">
        <w:rPr>
          <w:rFonts w:ascii="Times New Roman" w:hAnsi="Times New Roman" w:cs="Times New Roman"/>
          <w:sz w:val="28"/>
          <w:szCs w:val="24"/>
        </w:rPr>
        <w:t xml:space="preserve">n el Plan Nacional todas las entidades que integran las ramas y organizaciones y demás órganos del poder público  en todos sus niveles- y los procedimientos y mecanismos generales para lograrlos; y, las estrategias y orientaciones generales de la política </w:t>
      </w:r>
      <w:r w:rsidRPr="0029329A">
        <w:rPr>
          <w:rFonts w:ascii="Times New Roman" w:hAnsi="Times New Roman" w:cs="Times New Roman"/>
          <w:sz w:val="28"/>
          <w:szCs w:val="24"/>
        </w:rPr>
        <w:t>económica, social y ambiental que serán adoptadas por el Gobierno.</w:t>
      </w:r>
    </w:p>
    <w:p w:rsidR="00A974E9" w:rsidRPr="0029329A" w:rsidRDefault="0029329A" w:rsidP="00A974E9">
      <w:pPr>
        <w:widowControl w:val="0"/>
        <w:tabs>
          <w:tab w:val="left" w:pos="1018"/>
          <w:tab w:val="center" w:pos="3611"/>
        </w:tabs>
        <w:ind w:left="708"/>
        <w:jc w:val="both"/>
        <w:rPr>
          <w:rFonts w:ascii="Times New Roman" w:hAnsi="Times New Roman" w:cs="Times New Roman"/>
          <w:sz w:val="28"/>
          <w:szCs w:val="24"/>
        </w:rPr>
      </w:pPr>
      <w:r w:rsidRPr="0029329A">
        <w:rPr>
          <w:rFonts w:ascii="Times New Roman" w:hAnsi="Times New Roman" w:cs="Times New Roman"/>
          <w:sz w:val="28"/>
          <w:szCs w:val="24"/>
        </w:rPr>
        <w:t> </w:t>
      </w:r>
    </w:p>
    <w:p w:rsidR="00A974E9" w:rsidRPr="0029329A" w:rsidRDefault="0029329A" w:rsidP="00876EF6">
      <w:pPr>
        <w:widowControl w:val="0"/>
        <w:tabs>
          <w:tab w:val="left" w:pos="1018"/>
          <w:tab w:val="center" w:pos="3611"/>
        </w:tabs>
        <w:ind w:left="708"/>
        <w:jc w:val="both"/>
        <w:rPr>
          <w:rFonts w:ascii="Times New Roman" w:hAnsi="Times New Roman" w:cs="Times New Roman"/>
          <w:sz w:val="28"/>
          <w:szCs w:val="24"/>
        </w:rPr>
      </w:pPr>
      <w:r w:rsidRPr="0029329A">
        <w:rPr>
          <w:rFonts w:ascii="Times New Roman" w:hAnsi="Times New Roman" w:cs="Times New Roman"/>
          <w:sz w:val="28"/>
          <w:szCs w:val="24"/>
        </w:rPr>
        <w:t>(ii) </w:t>
      </w:r>
      <w:r w:rsidRPr="0029329A">
        <w:rPr>
          <w:rFonts w:ascii="Times New Roman" w:hAnsi="Times New Roman" w:cs="Times New Roman"/>
          <w:b/>
          <w:bCs/>
          <w:sz w:val="28"/>
          <w:szCs w:val="24"/>
        </w:rPr>
        <w:t>El Plan Nacional de Inversiones</w:t>
      </w:r>
      <w:r w:rsidRPr="0029329A">
        <w:rPr>
          <w:rFonts w:ascii="Times New Roman" w:hAnsi="Times New Roman" w:cs="Times New Roman"/>
          <w:sz w:val="28"/>
          <w:szCs w:val="24"/>
        </w:rPr>
        <w:t>, que es el único que está contenido en una ley, con las características y trámite para su expedición previstos en los precisos términos de los artícul</w:t>
      </w:r>
      <w:r w:rsidRPr="0029329A">
        <w:rPr>
          <w:rFonts w:ascii="Times New Roman" w:hAnsi="Times New Roman" w:cs="Times New Roman"/>
          <w:sz w:val="28"/>
          <w:szCs w:val="24"/>
        </w:rPr>
        <w:t>os 150 numeral 3, 339, 341 y 342 de la Constitución, o en un Decreto con fuerza de ley dictado por el Gobierno Nacional si aquella no se expide, el cual debe contener los principales programas y proyectos de inversión pública nacional, lo cual implica su d</w:t>
      </w:r>
      <w:r w:rsidRPr="0029329A">
        <w:rPr>
          <w:rFonts w:ascii="Times New Roman" w:hAnsi="Times New Roman" w:cs="Times New Roman"/>
          <w:sz w:val="28"/>
          <w:szCs w:val="24"/>
        </w:rPr>
        <w:t>eterminación o descripción concreta o detallada y no una simple enunciación general; y, los presupuestos plurianuales de tales principales programas y proyectos de inversión pública nacional y la determinación o especificación concreta de los recursos fina</w:t>
      </w:r>
      <w:r w:rsidRPr="0029329A">
        <w:rPr>
          <w:rFonts w:ascii="Times New Roman" w:hAnsi="Times New Roman" w:cs="Times New Roman"/>
          <w:sz w:val="28"/>
          <w:szCs w:val="24"/>
        </w:rPr>
        <w:t>ncieros y apropiaciones requeridos y que se autoricen para su ejecución, dentro de un marco que garantice la sostenibilidad fiscal.   </w:t>
      </w:r>
    </w:p>
    <w:p w:rsidR="00B50A35" w:rsidRPr="0029329A" w:rsidRDefault="0029329A" w:rsidP="00B24102">
      <w:pPr>
        <w:widowControl w:val="0"/>
        <w:tabs>
          <w:tab w:val="left" w:pos="1018"/>
          <w:tab w:val="center" w:pos="3611"/>
        </w:tabs>
        <w:ind w:left="708"/>
        <w:jc w:val="both"/>
        <w:rPr>
          <w:rFonts w:ascii="Times New Roman" w:hAnsi="Times New Roman" w:cs="Times New Roman"/>
          <w:sz w:val="28"/>
          <w:szCs w:val="24"/>
        </w:rPr>
      </w:pPr>
      <w:r w:rsidRPr="0029329A">
        <w:rPr>
          <w:rFonts w:ascii="Times New Roman" w:hAnsi="Times New Roman" w:cs="Times New Roman"/>
          <w:sz w:val="28"/>
          <w:szCs w:val="24"/>
        </w:rPr>
        <w:t>(iii) Los mecanismos </w:t>
      </w:r>
      <w:r w:rsidRPr="0029329A">
        <w:rPr>
          <w:rFonts w:ascii="Times New Roman" w:hAnsi="Times New Roman" w:cs="Times New Roman"/>
          <w:b/>
          <w:bCs/>
          <w:sz w:val="28"/>
          <w:szCs w:val="24"/>
        </w:rPr>
        <w:t>instrumentales idóneos o </w:t>
      </w:r>
      <w:r w:rsidRPr="0029329A">
        <w:rPr>
          <w:rFonts w:ascii="Times New Roman" w:hAnsi="Times New Roman" w:cs="Times New Roman"/>
          <w:sz w:val="28"/>
          <w:szCs w:val="24"/>
        </w:rPr>
        <w:t xml:space="preserve">apropiados para su armonización y para la sujeción a ellos de los </w:t>
      </w:r>
      <w:r w:rsidRPr="0029329A">
        <w:rPr>
          <w:rFonts w:ascii="Times New Roman" w:hAnsi="Times New Roman" w:cs="Times New Roman"/>
          <w:sz w:val="28"/>
          <w:szCs w:val="24"/>
        </w:rPr>
        <w:t>presupuestos oficiales, con la especificación de las </w:t>
      </w:r>
      <w:r w:rsidRPr="0029329A">
        <w:rPr>
          <w:rFonts w:ascii="Times New Roman" w:hAnsi="Times New Roman" w:cs="Times New Roman"/>
          <w:b/>
          <w:bCs/>
          <w:sz w:val="28"/>
          <w:szCs w:val="24"/>
        </w:rPr>
        <w:t>medidas necesarias para impulsar el cumplimiento o ejecución de los mismos</w:t>
      </w:r>
      <w:r w:rsidRPr="0029329A">
        <w:rPr>
          <w:rFonts w:ascii="Times New Roman" w:hAnsi="Times New Roman" w:cs="Times New Roman"/>
          <w:sz w:val="28"/>
          <w:szCs w:val="24"/>
        </w:rPr>
        <w:t>.</w:t>
      </w:r>
      <w:r w:rsidRPr="0029329A">
        <w:rPr>
          <w:rFonts w:ascii="Times New Roman" w:hAnsi="Times New Roman" w:cs="Times New Roman"/>
          <w:sz w:val="28"/>
          <w:szCs w:val="24"/>
        </w:rPr>
        <w:t>”</w:t>
      </w:r>
      <w:r w:rsidRPr="0029329A">
        <w:rPr>
          <w:rStyle w:val="Refdenotaalpie"/>
          <w:rFonts w:ascii="Times New Roman" w:hAnsi="Times New Roman"/>
          <w:sz w:val="28"/>
          <w:szCs w:val="24"/>
        </w:rPr>
        <w:footnoteReference w:id="160"/>
      </w:r>
    </w:p>
    <w:p w:rsidR="00B24102" w:rsidRPr="0029329A" w:rsidRDefault="0029329A" w:rsidP="00B510A4">
      <w:pPr>
        <w:widowControl w:val="0"/>
        <w:tabs>
          <w:tab w:val="left" w:pos="1018"/>
          <w:tab w:val="center" w:pos="3611"/>
        </w:tabs>
        <w:jc w:val="both"/>
        <w:rPr>
          <w:rFonts w:ascii="Times New Roman" w:hAnsi="Times New Roman" w:cs="Times New Roman"/>
          <w:sz w:val="28"/>
          <w:szCs w:val="24"/>
        </w:rPr>
      </w:pPr>
    </w:p>
    <w:p w:rsidR="00237A79" w:rsidRPr="0029329A" w:rsidRDefault="0029329A" w:rsidP="00B50A35">
      <w:pPr>
        <w:jc w:val="both"/>
        <w:rPr>
          <w:rFonts w:ascii="Times New Roman" w:hAnsi="Times New Roman" w:cs="Times New Roman"/>
          <w:sz w:val="28"/>
          <w:szCs w:val="28"/>
          <w:lang w:val="es-ES_tradnl"/>
        </w:rPr>
      </w:pPr>
      <w:r w:rsidRPr="0029329A">
        <w:rPr>
          <w:rFonts w:ascii="Times New Roman" w:hAnsi="Times New Roman" w:cs="Times New Roman"/>
          <w:sz w:val="28"/>
          <w:szCs w:val="28"/>
          <w:lang w:val="es-ES_tradnl"/>
        </w:rPr>
        <w:t>L</w:t>
      </w:r>
      <w:r w:rsidRPr="0029329A">
        <w:rPr>
          <w:rFonts w:ascii="Times New Roman" w:hAnsi="Times New Roman" w:cs="Times New Roman"/>
          <w:sz w:val="28"/>
          <w:szCs w:val="28"/>
          <w:lang w:val="es-ES_tradnl"/>
        </w:rPr>
        <w:t xml:space="preserve">a Sala Plena </w:t>
      </w:r>
      <w:r w:rsidRPr="0029329A">
        <w:rPr>
          <w:rFonts w:ascii="Times New Roman" w:hAnsi="Times New Roman" w:cs="Times New Roman"/>
          <w:sz w:val="28"/>
          <w:szCs w:val="28"/>
          <w:lang w:val="es-ES_tradnl"/>
        </w:rPr>
        <w:t>aclaró que e</w:t>
      </w:r>
      <w:r w:rsidRPr="0029329A">
        <w:rPr>
          <w:rFonts w:ascii="Times New Roman" w:hAnsi="Times New Roman" w:cs="Times New Roman"/>
          <w:sz w:val="28"/>
          <w:szCs w:val="28"/>
          <w:lang w:val="es-ES_tradnl"/>
        </w:rPr>
        <w:t xml:space="preserve">l artículo 341 de la Constitución Política establece que el Plan Nacional de Inversiones se debe </w:t>
      </w:r>
      <w:r w:rsidRPr="0029329A">
        <w:rPr>
          <w:rFonts w:ascii="Times New Roman" w:hAnsi="Times New Roman" w:cs="Times New Roman"/>
          <w:sz w:val="28"/>
          <w:szCs w:val="28"/>
          <w:lang w:val="es-ES_tradnl"/>
        </w:rPr>
        <w:t>expedir mediante una ley que tiene prelación sobre las demás. En este sentido, los programas y proyectos de inversión pública nacionales</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junto con sus presupuestos plurianuales y la determinación de los recursos financieros </w:t>
      </w:r>
      <w:r w:rsidRPr="0029329A">
        <w:rPr>
          <w:rFonts w:ascii="Times New Roman" w:hAnsi="Times New Roman" w:cs="Times New Roman"/>
          <w:sz w:val="28"/>
          <w:szCs w:val="28"/>
          <w:lang w:val="es-ES_tradnl"/>
        </w:rPr>
        <w:t>necesarios</w:t>
      </w:r>
      <w:r w:rsidRPr="0029329A">
        <w:rPr>
          <w:rFonts w:ascii="Times New Roman" w:hAnsi="Times New Roman" w:cs="Times New Roman"/>
          <w:sz w:val="28"/>
          <w:szCs w:val="28"/>
          <w:lang w:val="es-ES_tradnl"/>
        </w:rPr>
        <w:t xml:space="preserve"> para su ejecución</w:t>
      </w:r>
      <w:r w:rsidRPr="0029329A">
        <w:rPr>
          <w:rFonts w:ascii="Times New Roman" w:hAnsi="Times New Roman" w:cs="Times New Roman"/>
          <w:sz w:val="28"/>
          <w:szCs w:val="28"/>
          <w:lang w:val="es-ES_tradnl"/>
        </w:rPr>
        <w:t>,</w:t>
      </w:r>
      <w:r w:rsidRPr="0029329A">
        <w:rPr>
          <w:rFonts w:ascii="Times New Roman" w:hAnsi="Times New Roman" w:cs="Times New Roman"/>
          <w:sz w:val="28"/>
          <w:szCs w:val="28"/>
          <w:lang w:val="es-ES_tradnl"/>
        </w:rPr>
        <w:t xml:space="preserve"> d</w:t>
      </w:r>
      <w:r w:rsidRPr="0029329A">
        <w:rPr>
          <w:rFonts w:ascii="Times New Roman" w:hAnsi="Times New Roman" w:cs="Times New Roman"/>
          <w:sz w:val="28"/>
          <w:szCs w:val="28"/>
          <w:lang w:val="es-ES_tradnl"/>
        </w:rPr>
        <w:t xml:space="preserve">eben </w:t>
      </w:r>
      <w:r w:rsidRPr="0029329A">
        <w:rPr>
          <w:rFonts w:ascii="Times New Roman" w:hAnsi="Times New Roman" w:cs="Times New Roman"/>
          <w:sz w:val="28"/>
          <w:szCs w:val="28"/>
          <w:lang w:val="es-ES_tradnl"/>
        </w:rPr>
        <w:t>ser incluidos</w:t>
      </w:r>
      <w:r w:rsidRPr="0029329A">
        <w:rPr>
          <w:rFonts w:ascii="Times New Roman" w:hAnsi="Times New Roman" w:cs="Times New Roman"/>
          <w:sz w:val="28"/>
          <w:szCs w:val="28"/>
          <w:lang w:val="es-ES_tradnl"/>
        </w:rPr>
        <w:t xml:space="preserve"> en una ley que </w:t>
      </w:r>
      <w:r w:rsidRPr="0029329A">
        <w:rPr>
          <w:rFonts w:ascii="Times New Roman" w:hAnsi="Times New Roman" w:cs="Times New Roman"/>
          <w:sz w:val="28"/>
          <w:szCs w:val="28"/>
          <w:lang w:val="es-ES_tradnl"/>
        </w:rPr>
        <w:t>se somete al</w:t>
      </w:r>
      <w:r w:rsidRPr="0029329A">
        <w:rPr>
          <w:rFonts w:ascii="Times New Roman" w:hAnsi="Times New Roman" w:cs="Times New Roman"/>
          <w:sz w:val="28"/>
          <w:szCs w:val="28"/>
          <w:lang w:val="es-ES_tradnl"/>
        </w:rPr>
        <w:t xml:space="preserve"> proceso de aprobación </w:t>
      </w:r>
      <w:r w:rsidRPr="0029329A">
        <w:rPr>
          <w:rFonts w:ascii="Times New Roman" w:hAnsi="Times New Roman" w:cs="Times New Roman"/>
          <w:sz w:val="28"/>
          <w:szCs w:val="28"/>
          <w:lang w:val="es-ES_tradnl"/>
        </w:rPr>
        <w:t>en</w:t>
      </w:r>
      <w:r w:rsidRPr="0029329A">
        <w:rPr>
          <w:rFonts w:ascii="Times New Roman" w:hAnsi="Times New Roman" w:cs="Times New Roman"/>
          <w:sz w:val="28"/>
          <w:szCs w:val="28"/>
          <w:lang w:val="es-ES_tradnl"/>
        </w:rPr>
        <w:t xml:space="preserve"> el Congreso de la República. Además, estos deben ser desarrollados </w:t>
      </w:r>
      <w:r w:rsidRPr="0029329A">
        <w:rPr>
          <w:rFonts w:ascii="Times New Roman" w:hAnsi="Times New Roman" w:cs="Times New Roman"/>
          <w:sz w:val="28"/>
          <w:szCs w:val="28"/>
          <w:lang w:val="es-ES_tradnl"/>
        </w:rPr>
        <w:t>a través</w:t>
      </w:r>
      <w:r w:rsidRPr="0029329A">
        <w:rPr>
          <w:rFonts w:ascii="Times New Roman" w:hAnsi="Times New Roman" w:cs="Times New Roman"/>
          <w:sz w:val="28"/>
          <w:szCs w:val="28"/>
          <w:lang w:val="es-ES_tradnl"/>
        </w:rPr>
        <w:t xml:space="preserve"> de</w:t>
      </w:r>
      <w:r w:rsidRPr="0029329A">
        <w:rPr>
          <w:rFonts w:ascii="Times New Roman" w:hAnsi="Times New Roman" w:cs="Times New Roman"/>
          <w:sz w:val="28"/>
          <w:szCs w:val="28"/>
          <w:lang w:val="es-ES_tradnl"/>
        </w:rPr>
        <w:t xml:space="preserve"> las normas instrumentales del Plan.</w:t>
      </w:r>
      <w:r w:rsidRPr="0029329A">
        <w:rPr>
          <w:rStyle w:val="Refdenotaalpie"/>
          <w:rFonts w:ascii="Times New Roman" w:hAnsi="Times New Roman"/>
          <w:sz w:val="28"/>
          <w:szCs w:val="28"/>
          <w:lang w:val="es-ES_tradnl"/>
        </w:rPr>
        <w:footnoteReference w:id="161"/>
      </w:r>
    </w:p>
    <w:p w:rsidR="00B50A35" w:rsidRPr="0029329A" w:rsidRDefault="0029329A" w:rsidP="00B50A35">
      <w:pPr>
        <w:jc w:val="both"/>
        <w:rPr>
          <w:rFonts w:ascii="Times New Roman" w:hAnsi="Times New Roman" w:cs="Times New Roman"/>
          <w:sz w:val="28"/>
          <w:szCs w:val="28"/>
          <w:lang w:val="es-ES_tradnl"/>
        </w:rPr>
      </w:pPr>
      <w:r w:rsidRPr="0029329A">
        <w:rPr>
          <w:rFonts w:ascii="Times New Roman" w:hAnsi="Times New Roman" w:cs="Times New Roman"/>
          <w:sz w:val="28"/>
          <w:szCs w:val="28"/>
        </w:rPr>
        <w:t>Así, la Sentencia C-063 de 2021 precisó que “</w:t>
      </w:r>
      <w:r w:rsidRPr="0029329A">
        <w:rPr>
          <w:rFonts w:ascii="Times New Roman" w:hAnsi="Times New Roman" w:cs="Times New Roman"/>
          <w:i/>
          <w:iCs/>
          <w:sz w:val="28"/>
          <w:szCs w:val="28"/>
        </w:rPr>
        <w:t xml:space="preserve">el </w:t>
      </w:r>
      <w:r w:rsidRPr="0029329A">
        <w:rPr>
          <w:rFonts w:ascii="Times New Roman" w:hAnsi="Times New Roman" w:cs="Times New Roman"/>
          <w:b/>
          <w:bCs/>
          <w:i/>
          <w:iCs/>
          <w:sz w:val="28"/>
          <w:szCs w:val="28"/>
          <w:u w:val="single"/>
        </w:rPr>
        <w:t xml:space="preserve">principio de unidad </w:t>
      </w:r>
      <w:r w:rsidRPr="0029329A">
        <w:rPr>
          <w:rFonts w:ascii="Times New Roman" w:hAnsi="Times New Roman" w:cs="Times New Roman"/>
          <w:b/>
          <w:bCs/>
          <w:i/>
          <w:iCs/>
          <w:sz w:val="28"/>
          <w:szCs w:val="28"/>
          <w:u w:val="single"/>
        </w:rPr>
        <w:t>de materia</w:t>
      </w:r>
      <w:r w:rsidRPr="0029329A">
        <w:rPr>
          <w:rFonts w:ascii="Times New Roman" w:hAnsi="Times New Roman" w:cs="Times New Roman"/>
          <w:i/>
          <w:iCs/>
          <w:sz w:val="28"/>
          <w:szCs w:val="28"/>
        </w:rPr>
        <w:t xml:space="preserve"> de las normas instrumentales contenidas en la ley del Plan Nacional de Inversiones exige aplicarse </w:t>
      </w:r>
      <w:r w:rsidRPr="0029329A">
        <w:rPr>
          <w:rFonts w:ascii="Times New Roman" w:hAnsi="Times New Roman" w:cs="Times New Roman"/>
          <w:b/>
          <w:bCs/>
          <w:i/>
          <w:iCs/>
          <w:sz w:val="28"/>
          <w:szCs w:val="28"/>
          <w:u w:val="single"/>
        </w:rPr>
        <w:t xml:space="preserve">en relación con los programas y proyectos de inversión pública nacional y los presupuestos plurianuales de los mismos, junto con la determinación </w:t>
      </w:r>
      <w:r w:rsidRPr="0029329A">
        <w:rPr>
          <w:rFonts w:ascii="Times New Roman" w:hAnsi="Times New Roman" w:cs="Times New Roman"/>
          <w:b/>
          <w:bCs/>
          <w:i/>
          <w:iCs/>
          <w:sz w:val="28"/>
          <w:szCs w:val="28"/>
          <w:u w:val="single"/>
        </w:rPr>
        <w:t>o especificación concreta de los recursos financieros y apropiaciones requeridos que se autoricen para su ejecución,</w:t>
      </w:r>
      <w:r w:rsidRPr="0029329A">
        <w:rPr>
          <w:rFonts w:ascii="Times New Roman" w:hAnsi="Times New Roman" w:cs="Times New Roman"/>
          <w:i/>
          <w:iCs/>
          <w:sz w:val="28"/>
          <w:szCs w:val="28"/>
        </w:rPr>
        <w:t xml:space="preserve"> definidos de manera concreta y detallada en la Ley que contiene el Plan Nacional de Inversiones, previsto de manera precisa en el artículo </w:t>
      </w:r>
      <w:r w:rsidRPr="0029329A">
        <w:rPr>
          <w:rFonts w:ascii="Times New Roman" w:hAnsi="Times New Roman" w:cs="Times New Roman"/>
          <w:i/>
          <w:iCs/>
          <w:sz w:val="28"/>
          <w:szCs w:val="28"/>
        </w:rPr>
        <w:t>341 de la misma, cuyo contenido y expedición se concreta en los términos que señala dicha norma constitucional y la Ley 152 de 1994, orgánica de planeación, según lo exigen los artículos 151 y 342 de la Constitución con el propósito de materializar los obj</w:t>
      </w:r>
      <w:r w:rsidRPr="0029329A">
        <w:rPr>
          <w:rFonts w:ascii="Times New Roman" w:hAnsi="Times New Roman" w:cs="Times New Roman"/>
          <w:i/>
          <w:iCs/>
          <w:sz w:val="28"/>
          <w:szCs w:val="28"/>
        </w:rPr>
        <w:t>etivos, metas y propósitos generales del Plan Nacional de Desarrollo previsto en el artículo 339 de la Constitución”.</w:t>
      </w:r>
    </w:p>
    <w:p w:rsidR="00904C73" w:rsidRPr="0029329A" w:rsidRDefault="0029329A" w:rsidP="00904C73">
      <w:pPr>
        <w:jc w:val="both"/>
        <w:rPr>
          <w:rFonts w:ascii="Times New Roman" w:hAnsi="Times New Roman" w:cs="Times New Roman"/>
          <w:sz w:val="28"/>
          <w:szCs w:val="28"/>
        </w:rPr>
      </w:pPr>
      <w:r w:rsidRPr="0029329A">
        <w:rPr>
          <w:rFonts w:ascii="Times New Roman" w:hAnsi="Times New Roman" w:cs="Times New Roman"/>
          <w:sz w:val="28"/>
          <w:szCs w:val="28"/>
          <w:lang w:val="es-ES_tradnl"/>
        </w:rPr>
        <w:t xml:space="preserve">Ahora bien, esta decisión </w:t>
      </w:r>
      <w:r w:rsidRPr="0029329A">
        <w:rPr>
          <w:rFonts w:ascii="Times New Roman" w:hAnsi="Times New Roman" w:cs="Times New Roman"/>
          <w:sz w:val="28"/>
          <w:szCs w:val="28"/>
        </w:rPr>
        <w:t xml:space="preserve">señala a lo largo del acápite </w:t>
      </w:r>
      <w:r w:rsidRPr="0029329A">
        <w:rPr>
          <w:rFonts w:ascii="Times New Roman" w:eastAsia="Calibri" w:hAnsi="Times New Roman" w:cs="Times New Roman"/>
          <w:bCs/>
          <w:color w:val="000000" w:themeColor="text1"/>
          <w:sz w:val="28"/>
          <w:szCs w:val="28"/>
          <w:lang w:val="es-ES_tradnl"/>
        </w:rPr>
        <w:t xml:space="preserve">titulado </w:t>
      </w:r>
      <w:r w:rsidRPr="0029329A">
        <w:rPr>
          <w:rFonts w:ascii="Times New Roman" w:eastAsia="Calibri" w:hAnsi="Times New Roman" w:cs="Times New Roman"/>
          <w:bCs/>
          <w:i/>
          <w:iCs/>
          <w:color w:val="000000" w:themeColor="text1"/>
          <w:sz w:val="28"/>
          <w:szCs w:val="28"/>
          <w:lang w:val="es-ES_tradnl"/>
        </w:rPr>
        <w:t>“[e]</w:t>
      </w:r>
      <w:r w:rsidRPr="0029329A">
        <w:rPr>
          <w:rFonts w:ascii="Times New Roman" w:hAnsi="Times New Roman" w:cs="Times New Roman"/>
          <w:i/>
          <w:iCs/>
          <w:sz w:val="28"/>
          <w:szCs w:val="28"/>
        </w:rPr>
        <w:t xml:space="preserve">l principio de unidad de materia en los planes nacionales de </w:t>
      </w:r>
      <w:r w:rsidRPr="0029329A">
        <w:rPr>
          <w:rFonts w:ascii="Times New Roman" w:hAnsi="Times New Roman" w:cs="Times New Roman"/>
          <w:i/>
          <w:iCs/>
          <w:sz w:val="28"/>
          <w:szCs w:val="28"/>
        </w:rPr>
        <w:t>desarrollo. Reiteración de jurisprudencia”</w:t>
      </w:r>
      <w:r w:rsidRPr="0029329A">
        <w:rPr>
          <w:rFonts w:ascii="Times New Roman" w:hAnsi="Times New Roman" w:cs="Times New Roman"/>
          <w:i/>
          <w:iCs/>
          <w:sz w:val="28"/>
          <w:szCs w:val="28"/>
        </w:rPr>
        <w:t>,</w:t>
      </w:r>
      <w:r w:rsidRPr="0029329A">
        <w:rPr>
          <w:rFonts w:ascii="Times New Roman" w:hAnsi="Times New Roman" w:cs="Times New Roman"/>
          <w:sz w:val="28"/>
          <w:szCs w:val="28"/>
        </w:rPr>
        <w:t xml:space="preserve"> que </w:t>
      </w:r>
      <w:r w:rsidRPr="0029329A">
        <w:rPr>
          <w:rFonts w:ascii="Times New Roman" w:hAnsi="Times New Roman" w:cs="Times New Roman"/>
          <w:sz w:val="28"/>
          <w:szCs w:val="28"/>
        </w:rPr>
        <w:t xml:space="preserve">este principio </w:t>
      </w:r>
      <w:r w:rsidRPr="0029329A">
        <w:rPr>
          <w:rFonts w:ascii="Times New Roman" w:hAnsi="Times New Roman" w:cs="Times New Roman"/>
          <w:sz w:val="28"/>
          <w:szCs w:val="28"/>
        </w:rPr>
        <w:t>exige una conexidad entre las reglas instrumentales y las normas generales que contienen las metas del respectivo cuatrienio.</w:t>
      </w:r>
      <w:r w:rsidRPr="0029329A">
        <w:rPr>
          <w:rFonts w:ascii="Times New Roman" w:hAnsi="Times New Roman" w:cs="Times New Roman"/>
          <w:sz w:val="28"/>
          <w:szCs w:val="28"/>
        </w:rPr>
        <w:t xml:space="preserve"> </w:t>
      </w:r>
      <w:r w:rsidRPr="0029329A">
        <w:rPr>
          <w:rFonts w:ascii="Times New Roman" w:hAnsi="Times New Roman" w:cs="Times New Roman"/>
          <w:sz w:val="28"/>
          <w:szCs w:val="28"/>
        </w:rPr>
        <w:t xml:space="preserve">Sin embargo, </w:t>
      </w:r>
      <w:r w:rsidRPr="0029329A">
        <w:rPr>
          <w:rFonts w:ascii="Times New Roman" w:hAnsi="Times New Roman" w:cs="Times New Roman"/>
          <w:sz w:val="28"/>
          <w:szCs w:val="28"/>
        </w:rPr>
        <w:t>dicha interpretación se aparta de la regla vigente ado</w:t>
      </w:r>
      <w:r w:rsidRPr="0029329A">
        <w:rPr>
          <w:rFonts w:ascii="Times New Roman" w:hAnsi="Times New Roman" w:cs="Times New Roman"/>
          <w:sz w:val="28"/>
          <w:szCs w:val="28"/>
        </w:rPr>
        <w:t xml:space="preserve">ptada por la Sala Plena en esta </w:t>
      </w:r>
      <w:r w:rsidRPr="0029329A">
        <w:rPr>
          <w:rFonts w:ascii="Times New Roman" w:hAnsi="Times New Roman" w:cs="Times New Roman"/>
          <w:sz w:val="28"/>
          <w:szCs w:val="28"/>
        </w:rPr>
        <w:t>materia</w:t>
      </w:r>
      <w:r w:rsidRPr="0029329A">
        <w:rPr>
          <w:rFonts w:ascii="Times New Roman" w:hAnsi="Times New Roman" w:cs="Times New Roman"/>
          <w:sz w:val="28"/>
          <w:szCs w:val="28"/>
        </w:rPr>
        <w:t>.</w:t>
      </w:r>
    </w:p>
    <w:p w:rsidR="00A974E9" w:rsidRPr="0029329A" w:rsidRDefault="0029329A" w:rsidP="00A974E9">
      <w:pPr>
        <w:jc w:val="both"/>
        <w:rPr>
          <w:rFonts w:ascii="Times New Roman" w:hAnsi="Times New Roman" w:cs="Times New Roman"/>
          <w:sz w:val="28"/>
          <w:szCs w:val="28"/>
        </w:rPr>
      </w:pPr>
      <w:r w:rsidRPr="0029329A">
        <w:rPr>
          <w:rFonts w:ascii="Times New Roman" w:hAnsi="Times New Roman" w:cs="Times New Roman"/>
          <w:sz w:val="28"/>
          <w:szCs w:val="28"/>
        </w:rPr>
        <w:t xml:space="preserve">De esta forma, la regla de decisión se debe precisar en los términos expuestos. Lo cual  se traduce en que, para efectos de determinar si una norma instrumental cumple  el principio de unidad de materia en </w:t>
      </w:r>
      <w:r w:rsidRPr="0029329A">
        <w:rPr>
          <w:rFonts w:ascii="Times New Roman" w:hAnsi="Times New Roman" w:cs="Times New Roman"/>
          <w:sz w:val="28"/>
          <w:szCs w:val="28"/>
        </w:rPr>
        <w:t>la ley ap</w:t>
      </w:r>
      <w:r w:rsidRPr="0029329A">
        <w:rPr>
          <w:rFonts w:ascii="Times New Roman" w:hAnsi="Times New Roman" w:cs="Times New Roman"/>
          <w:sz w:val="28"/>
          <w:szCs w:val="28"/>
        </w:rPr>
        <w:t xml:space="preserve">robatoria del Plan Nacional de Inversiones y </w:t>
      </w:r>
      <w:r w:rsidRPr="0029329A">
        <w:rPr>
          <w:rFonts w:ascii="Times New Roman" w:hAnsi="Times New Roman" w:cs="Times New Roman"/>
          <w:sz w:val="28"/>
          <w:szCs w:val="28"/>
        </w:rPr>
        <w:t xml:space="preserve">Plan Nacional de Desarrollo </w:t>
      </w:r>
      <w:r w:rsidRPr="0029329A">
        <w:rPr>
          <w:rFonts w:ascii="Times New Roman" w:hAnsi="Times New Roman" w:cs="Times New Roman"/>
          <w:sz w:val="28"/>
          <w:szCs w:val="28"/>
        </w:rPr>
        <w:t xml:space="preserve">será necesario establecer si esta guarda una relación instrumental con </w:t>
      </w:r>
      <w:r w:rsidRPr="0029329A">
        <w:rPr>
          <w:rFonts w:ascii="Times New Roman" w:hAnsi="Times New Roman" w:cs="Times New Roman"/>
          <w:b/>
          <w:bCs/>
          <w:sz w:val="28"/>
          <w:szCs w:val="28"/>
          <w:u w:val="single"/>
        </w:rPr>
        <w:t>los programas y proyectos de inversión pública nacional, los presupuestos plurianuales de estos y la determinaci</w:t>
      </w:r>
      <w:r w:rsidRPr="0029329A">
        <w:rPr>
          <w:rFonts w:ascii="Times New Roman" w:hAnsi="Times New Roman" w:cs="Times New Roman"/>
          <w:b/>
          <w:bCs/>
          <w:sz w:val="28"/>
          <w:szCs w:val="28"/>
          <w:u w:val="single"/>
        </w:rPr>
        <w:t>ón o especificación concreta de los recursos financieros y apropiaciones requeridos y que se autoricen para su ejecución. En otras palabras, el Plan Nacional de Inversiones.</w:t>
      </w:r>
      <w:r w:rsidRPr="0029329A">
        <w:rPr>
          <w:rFonts w:ascii="Times New Roman" w:hAnsi="Times New Roman" w:cs="Times New Roman"/>
          <w:sz w:val="28"/>
          <w:szCs w:val="28"/>
        </w:rPr>
        <w:t xml:space="preserve"> </w:t>
      </w:r>
    </w:p>
    <w:p w:rsidR="0008344E" w:rsidRPr="0029329A" w:rsidRDefault="0029329A" w:rsidP="00AC238A">
      <w:pPr>
        <w:pStyle w:val="Prrafodelista"/>
        <w:jc w:val="both"/>
        <w:rPr>
          <w:rFonts w:ascii="Times New Roman" w:hAnsi="Times New Roman" w:cs="Times New Roman"/>
          <w:bCs/>
          <w:sz w:val="28"/>
          <w:szCs w:val="28"/>
        </w:rPr>
      </w:pPr>
    </w:p>
    <w:p w:rsidR="008953C5" w:rsidRPr="0029329A" w:rsidRDefault="0029329A" w:rsidP="00AC238A">
      <w:pPr>
        <w:pStyle w:val="Prrafodelista"/>
        <w:jc w:val="both"/>
        <w:rPr>
          <w:rFonts w:ascii="Times New Roman" w:hAnsi="Times New Roman" w:cs="Times New Roman"/>
          <w:sz w:val="28"/>
          <w:szCs w:val="28"/>
          <w:lang w:val="es-MX"/>
        </w:rPr>
      </w:pPr>
      <w:r w:rsidRPr="0029329A">
        <w:rPr>
          <w:rFonts w:ascii="Times New Roman" w:hAnsi="Times New Roman" w:cs="Times New Roman"/>
          <w:bCs/>
          <w:sz w:val="28"/>
          <w:szCs w:val="28"/>
        </w:rPr>
        <w:t>En esos términos aclaro mi voto respecto de la decisión mayoritaria</w:t>
      </w:r>
      <w:r w:rsidRPr="0029329A">
        <w:rPr>
          <w:rFonts w:ascii="Times New Roman" w:hAnsi="Times New Roman" w:cs="Times New Roman"/>
          <w:bCs/>
          <w:sz w:val="28"/>
          <w:szCs w:val="28"/>
        </w:rPr>
        <w:t>.</w:t>
      </w:r>
      <w:r w:rsidRPr="0029329A">
        <w:rPr>
          <w:rFonts w:ascii="Times New Roman" w:hAnsi="Times New Roman" w:cs="Times New Roman"/>
          <w:sz w:val="28"/>
          <w:szCs w:val="28"/>
        </w:rPr>
        <w:t xml:space="preserve"> </w:t>
      </w:r>
    </w:p>
    <w:p w:rsidR="007A738A" w:rsidRPr="0029329A" w:rsidRDefault="0029329A" w:rsidP="00AC52AB">
      <w:pPr>
        <w:pStyle w:val="Prrafodelista"/>
        <w:jc w:val="both"/>
        <w:rPr>
          <w:rFonts w:ascii="Times New Roman" w:hAnsi="Times New Roman" w:cs="Times New Roman"/>
          <w:sz w:val="28"/>
          <w:szCs w:val="28"/>
          <w:lang w:val="es-MX"/>
        </w:rPr>
      </w:pPr>
    </w:p>
    <w:p w:rsidR="00BB1E35" w:rsidRPr="0029329A" w:rsidRDefault="0029329A" w:rsidP="00AC52AB">
      <w:pPr>
        <w:spacing w:after="0" w:line="240" w:lineRule="auto"/>
        <w:jc w:val="both"/>
        <w:rPr>
          <w:rFonts w:ascii="Times New Roman" w:hAnsi="Times New Roman" w:cs="Times New Roman"/>
          <w:bCs/>
          <w:i/>
          <w:iCs/>
          <w:sz w:val="28"/>
          <w:szCs w:val="28"/>
        </w:rPr>
      </w:pPr>
      <w:r w:rsidRPr="0029329A">
        <w:rPr>
          <w:rFonts w:ascii="Times New Roman" w:hAnsi="Times New Roman" w:cs="Times New Roman"/>
          <w:bCs/>
          <w:sz w:val="28"/>
          <w:szCs w:val="28"/>
        </w:rPr>
        <w:t xml:space="preserve">Fecha </w:t>
      </w:r>
      <w:r w:rsidRPr="0029329A">
        <w:rPr>
          <w:rFonts w:ascii="Times New Roman" w:hAnsi="Times New Roman" w:cs="Times New Roman"/>
          <w:bCs/>
          <w:i/>
          <w:iCs/>
          <w:sz w:val="28"/>
          <w:szCs w:val="28"/>
        </w:rPr>
        <w:t xml:space="preserve">ut </w:t>
      </w:r>
      <w:r w:rsidRPr="0029329A">
        <w:rPr>
          <w:rFonts w:ascii="Times New Roman" w:hAnsi="Times New Roman" w:cs="Times New Roman"/>
          <w:bCs/>
          <w:i/>
          <w:iCs/>
          <w:sz w:val="28"/>
          <w:szCs w:val="28"/>
        </w:rPr>
        <w:t>supra,</w:t>
      </w:r>
    </w:p>
    <w:p w:rsidR="00BB1E35" w:rsidRPr="0029329A" w:rsidRDefault="0029329A" w:rsidP="00CB0241">
      <w:pPr>
        <w:spacing w:after="0" w:line="240" w:lineRule="auto"/>
        <w:rPr>
          <w:rFonts w:ascii="Times New Roman" w:hAnsi="Times New Roman" w:cs="Times New Roman"/>
          <w:color w:val="000000" w:themeColor="text1"/>
          <w:sz w:val="28"/>
          <w:szCs w:val="28"/>
          <w:lang w:val="es-ES_tradnl"/>
        </w:rPr>
      </w:pPr>
    </w:p>
    <w:p w:rsidR="00F93CC7" w:rsidRPr="0029329A" w:rsidRDefault="0029329A" w:rsidP="00CB0241">
      <w:pPr>
        <w:spacing w:after="0" w:line="240" w:lineRule="auto"/>
        <w:rPr>
          <w:rFonts w:ascii="Times New Roman" w:hAnsi="Times New Roman" w:cs="Times New Roman"/>
          <w:color w:val="000000" w:themeColor="text1"/>
          <w:sz w:val="28"/>
          <w:szCs w:val="28"/>
          <w:lang w:val="es-ES_tradnl"/>
        </w:rPr>
      </w:pPr>
    </w:p>
    <w:p w:rsidR="00F93CC7" w:rsidRPr="0029329A" w:rsidRDefault="0029329A" w:rsidP="00CB0241">
      <w:pPr>
        <w:spacing w:after="0" w:line="240" w:lineRule="auto"/>
        <w:rPr>
          <w:rFonts w:ascii="Times New Roman" w:hAnsi="Times New Roman" w:cs="Times New Roman"/>
          <w:color w:val="000000" w:themeColor="text1"/>
          <w:sz w:val="28"/>
          <w:szCs w:val="28"/>
          <w:lang w:val="es-ES_tradnl"/>
        </w:rPr>
      </w:pPr>
    </w:p>
    <w:p w:rsidR="00F93CC7" w:rsidRPr="0029329A" w:rsidRDefault="0029329A" w:rsidP="00F93CC7">
      <w:pPr>
        <w:spacing w:after="0" w:line="240" w:lineRule="auto"/>
        <w:jc w:val="center"/>
        <w:rPr>
          <w:rFonts w:ascii="Times New Roman" w:hAnsi="Times New Roman" w:cs="Times New Roman"/>
          <w:b/>
          <w:bCs/>
          <w:color w:val="000000" w:themeColor="text1"/>
          <w:sz w:val="28"/>
          <w:szCs w:val="28"/>
          <w:lang w:val="es-ES_tradnl"/>
        </w:rPr>
      </w:pPr>
      <w:r w:rsidRPr="0029329A">
        <w:rPr>
          <w:rFonts w:ascii="Times New Roman" w:hAnsi="Times New Roman" w:cs="Times New Roman"/>
          <w:b/>
          <w:bCs/>
          <w:color w:val="000000" w:themeColor="text1"/>
          <w:sz w:val="28"/>
          <w:szCs w:val="28"/>
          <w:lang w:val="es-ES_tradnl"/>
        </w:rPr>
        <w:t xml:space="preserve">JORGE ENRIQUE IBÁÑEZ NAJAR </w:t>
      </w:r>
    </w:p>
    <w:p w:rsidR="00F93CC7" w:rsidRPr="0029329A" w:rsidRDefault="0029329A" w:rsidP="00F93CC7">
      <w:pPr>
        <w:spacing w:after="0" w:line="240" w:lineRule="auto"/>
        <w:jc w:val="center"/>
        <w:rPr>
          <w:rFonts w:ascii="Times New Roman" w:hAnsi="Times New Roman" w:cs="Times New Roman"/>
          <w:b/>
          <w:bCs/>
          <w:color w:val="000000" w:themeColor="text1"/>
          <w:sz w:val="28"/>
          <w:szCs w:val="28"/>
          <w:lang w:val="es-ES_tradnl"/>
        </w:rPr>
      </w:pPr>
      <w:r w:rsidRPr="0029329A">
        <w:rPr>
          <w:rFonts w:ascii="Times New Roman" w:hAnsi="Times New Roman" w:cs="Times New Roman"/>
          <w:b/>
          <w:bCs/>
          <w:color w:val="000000" w:themeColor="text1"/>
          <w:sz w:val="28"/>
          <w:szCs w:val="28"/>
          <w:lang w:val="es-ES_tradnl"/>
        </w:rPr>
        <w:t>Magistrado</w:t>
      </w:r>
    </w:p>
    <w:p w:rsidR="00967649" w:rsidRPr="0029329A" w:rsidRDefault="0029329A" w:rsidP="00174FE0">
      <w:pPr>
        <w:ind w:left="-142"/>
        <w:jc w:val="center"/>
        <w:rPr>
          <w:rFonts w:ascii="Times New Roman" w:eastAsia="Times New Roman" w:hAnsi="Times New Roman" w:cs="Times New Roman"/>
          <w:b/>
          <w:sz w:val="28"/>
          <w:szCs w:val="28"/>
          <w:lang w:eastAsia="es-ES_tradnl"/>
        </w:rPr>
      </w:pPr>
    </w:p>
    <w:p w:rsidR="00967649" w:rsidRPr="0029329A" w:rsidRDefault="0029329A" w:rsidP="00174FE0">
      <w:pPr>
        <w:ind w:left="-142"/>
        <w:jc w:val="center"/>
        <w:rPr>
          <w:rFonts w:ascii="Times New Roman" w:eastAsia="Times New Roman" w:hAnsi="Times New Roman" w:cs="Times New Roman"/>
          <w:b/>
          <w:sz w:val="28"/>
          <w:szCs w:val="28"/>
          <w:lang w:eastAsia="es-ES_tradnl"/>
        </w:rPr>
      </w:pPr>
    </w:p>
    <w:p w:rsidR="008C743A" w:rsidRPr="0029329A" w:rsidRDefault="0029329A" w:rsidP="00174FE0">
      <w:pPr>
        <w:ind w:left="-142"/>
        <w:jc w:val="center"/>
        <w:rPr>
          <w:rFonts w:ascii="Times New Roman" w:eastAsia="Times New Roman" w:hAnsi="Times New Roman" w:cs="Times New Roman"/>
          <w:b/>
          <w:sz w:val="28"/>
          <w:szCs w:val="28"/>
          <w:lang w:eastAsia="es-ES_tradnl"/>
        </w:rPr>
      </w:pPr>
      <w:r w:rsidRPr="0029329A">
        <w:rPr>
          <w:rFonts w:ascii="Times New Roman" w:eastAsia="Times New Roman" w:hAnsi="Times New Roman" w:cs="Times New Roman"/>
          <w:b/>
          <w:sz w:val="28"/>
          <w:szCs w:val="28"/>
          <w:lang w:eastAsia="es-ES_tradnl"/>
        </w:rPr>
        <w:t>ACLARACIÓN</w:t>
      </w:r>
      <w:r w:rsidRPr="0029329A">
        <w:rPr>
          <w:rFonts w:ascii="Times New Roman" w:eastAsia="Times New Roman" w:hAnsi="Times New Roman" w:cs="Times New Roman"/>
          <w:b/>
          <w:sz w:val="28"/>
          <w:szCs w:val="28"/>
          <w:lang w:eastAsia="es-ES_tradnl"/>
        </w:rPr>
        <w:t xml:space="preserve"> DE VOTO</w:t>
      </w:r>
      <w:r w:rsidRPr="0029329A">
        <w:rPr>
          <w:rFonts w:ascii="Times New Roman" w:eastAsia="Times New Roman" w:hAnsi="Times New Roman" w:cs="Times New Roman"/>
          <w:b/>
          <w:sz w:val="28"/>
          <w:szCs w:val="28"/>
          <w:lang w:eastAsia="es-ES_tradnl"/>
        </w:rPr>
        <w:t xml:space="preserve"> </w:t>
      </w:r>
      <w:r w:rsidRPr="0029329A">
        <w:rPr>
          <w:rFonts w:ascii="Times New Roman" w:eastAsia="Times New Roman" w:hAnsi="Times New Roman" w:cs="Times New Roman"/>
          <w:b/>
          <w:sz w:val="28"/>
          <w:szCs w:val="28"/>
          <w:lang w:eastAsia="es-ES_tradnl"/>
        </w:rPr>
        <w:t>DEL MAGISTRADO</w:t>
      </w:r>
      <w:r w:rsidRPr="0029329A">
        <w:rPr>
          <w:rFonts w:ascii="Times New Roman" w:eastAsia="Times New Roman" w:hAnsi="Times New Roman" w:cs="Times New Roman"/>
          <w:b/>
          <w:sz w:val="28"/>
          <w:szCs w:val="28"/>
          <w:lang w:eastAsia="es-ES_tradnl"/>
        </w:rPr>
        <w:t xml:space="preserve"> </w:t>
      </w:r>
    </w:p>
    <w:p w:rsidR="00FE2352" w:rsidRPr="0029329A" w:rsidRDefault="0029329A" w:rsidP="00174FE0">
      <w:pPr>
        <w:ind w:left="-142"/>
        <w:jc w:val="center"/>
        <w:rPr>
          <w:rFonts w:ascii="Times New Roman" w:eastAsia="Times New Roman" w:hAnsi="Times New Roman" w:cs="Times New Roman"/>
          <w:b/>
          <w:sz w:val="28"/>
          <w:szCs w:val="28"/>
          <w:lang w:eastAsia="es-ES_tradnl"/>
        </w:rPr>
      </w:pPr>
      <w:r w:rsidRPr="0029329A">
        <w:rPr>
          <w:rFonts w:ascii="Times New Roman" w:eastAsia="Times New Roman" w:hAnsi="Times New Roman" w:cs="Times New Roman"/>
          <w:b/>
          <w:sz w:val="28"/>
          <w:szCs w:val="28"/>
          <w:lang w:eastAsia="es-ES_tradnl"/>
        </w:rPr>
        <w:t>ANTONIO JOSÉ LIZARAZO OCAMPO</w:t>
      </w:r>
    </w:p>
    <w:p w:rsidR="00FE2352" w:rsidRPr="0029329A" w:rsidRDefault="0029329A" w:rsidP="00174FE0">
      <w:pPr>
        <w:tabs>
          <w:tab w:val="left" w:pos="2270"/>
          <w:tab w:val="center" w:pos="4419"/>
        </w:tabs>
        <w:ind w:left="-142"/>
        <w:jc w:val="center"/>
        <w:rPr>
          <w:rFonts w:ascii="Times New Roman" w:eastAsia="Times New Roman" w:hAnsi="Times New Roman" w:cs="Times New Roman"/>
          <w:b/>
          <w:sz w:val="28"/>
          <w:szCs w:val="28"/>
          <w:lang w:eastAsia="es-ES_tradnl"/>
        </w:rPr>
      </w:pPr>
      <w:r w:rsidRPr="0029329A">
        <w:rPr>
          <w:rFonts w:ascii="Times New Roman" w:eastAsia="Times New Roman" w:hAnsi="Times New Roman" w:cs="Times New Roman"/>
          <w:b/>
          <w:sz w:val="28"/>
          <w:szCs w:val="28"/>
          <w:lang w:eastAsia="es-ES_tradnl"/>
        </w:rPr>
        <w:t xml:space="preserve">A LA SENTENCIA </w:t>
      </w:r>
      <w:r w:rsidRPr="0029329A">
        <w:rPr>
          <w:rFonts w:ascii="Times New Roman" w:eastAsia="Times New Roman" w:hAnsi="Times New Roman" w:cs="Times New Roman"/>
          <w:b/>
          <w:sz w:val="28"/>
          <w:szCs w:val="28"/>
          <w:lang w:eastAsia="es-ES_tradnl"/>
        </w:rPr>
        <w:t>C-</w:t>
      </w:r>
      <w:r w:rsidRPr="0029329A">
        <w:rPr>
          <w:rFonts w:ascii="Times New Roman" w:eastAsia="Times New Roman" w:hAnsi="Times New Roman" w:cs="Times New Roman"/>
          <w:b/>
          <w:sz w:val="28"/>
          <w:szCs w:val="28"/>
          <w:lang w:eastAsia="es-ES_tradnl"/>
        </w:rPr>
        <w:t>1</w:t>
      </w:r>
      <w:r w:rsidRPr="0029329A">
        <w:rPr>
          <w:rFonts w:ascii="Times New Roman" w:eastAsia="Times New Roman" w:hAnsi="Times New Roman" w:cs="Times New Roman"/>
          <w:b/>
          <w:sz w:val="28"/>
          <w:szCs w:val="28"/>
          <w:lang w:eastAsia="es-ES_tradnl"/>
        </w:rPr>
        <w:t>17</w:t>
      </w:r>
      <w:r w:rsidRPr="0029329A">
        <w:rPr>
          <w:rFonts w:ascii="Times New Roman" w:eastAsia="Times New Roman" w:hAnsi="Times New Roman" w:cs="Times New Roman"/>
          <w:b/>
          <w:sz w:val="28"/>
          <w:szCs w:val="28"/>
          <w:lang w:eastAsia="es-ES_tradnl"/>
        </w:rPr>
        <w:t>/</w:t>
      </w:r>
      <w:r w:rsidRPr="0029329A">
        <w:rPr>
          <w:rFonts w:ascii="Times New Roman" w:eastAsia="Times New Roman" w:hAnsi="Times New Roman" w:cs="Times New Roman"/>
          <w:b/>
          <w:sz w:val="28"/>
          <w:szCs w:val="28"/>
          <w:lang w:eastAsia="es-ES_tradnl"/>
        </w:rPr>
        <w:t>2</w:t>
      </w:r>
      <w:r w:rsidRPr="0029329A">
        <w:rPr>
          <w:rFonts w:ascii="Times New Roman" w:eastAsia="Times New Roman" w:hAnsi="Times New Roman" w:cs="Times New Roman"/>
          <w:b/>
          <w:sz w:val="28"/>
          <w:szCs w:val="28"/>
          <w:lang w:eastAsia="es-ES_tradnl"/>
        </w:rPr>
        <w:t>4</w:t>
      </w:r>
    </w:p>
    <w:p w:rsidR="00423BA6" w:rsidRPr="0029329A" w:rsidRDefault="0029329A" w:rsidP="00174FE0">
      <w:pPr>
        <w:tabs>
          <w:tab w:val="left" w:pos="2270"/>
          <w:tab w:val="center" w:pos="4419"/>
        </w:tabs>
        <w:ind w:left="-142"/>
        <w:jc w:val="center"/>
        <w:rPr>
          <w:rFonts w:ascii="Times New Roman" w:eastAsia="Times New Roman" w:hAnsi="Times New Roman" w:cs="Times New Roman"/>
          <w:b/>
          <w:sz w:val="28"/>
          <w:szCs w:val="28"/>
          <w:lang w:eastAsia="es-ES_tradnl"/>
        </w:rPr>
      </w:pPr>
    </w:p>
    <w:p w:rsidR="00FE2352" w:rsidRPr="0029329A" w:rsidRDefault="0029329A" w:rsidP="00FE2352">
      <w:pPr>
        <w:jc w:val="center"/>
        <w:rPr>
          <w:rFonts w:ascii="Times New Roman" w:eastAsia="Times New Roman" w:hAnsi="Times New Roman" w:cs="Times New Roman"/>
          <w:sz w:val="28"/>
          <w:szCs w:val="28"/>
          <w:lang w:eastAsia="es-ES_tradnl"/>
        </w:rPr>
      </w:pPr>
    </w:p>
    <w:p w:rsidR="00FE2352" w:rsidRPr="0029329A" w:rsidRDefault="0029329A" w:rsidP="00423BA6">
      <w:pPr>
        <w:ind w:left="3969"/>
        <w:rPr>
          <w:rFonts w:ascii="Times New Roman" w:eastAsia="Times New Roman" w:hAnsi="Times New Roman" w:cs="Times New Roman"/>
          <w:sz w:val="28"/>
          <w:szCs w:val="28"/>
          <w:lang w:eastAsia="es-ES_tradnl"/>
        </w:rPr>
      </w:pPr>
      <w:r w:rsidRPr="0029329A">
        <w:rPr>
          <w:rFonts w:ascii="Times New Roman" w:eastAsia="Times New Roman" w:hAnsi="Times New Roman" w:cs="Times New Roman"/>
          <w:sz w:val="28"/>
          <w:szCs w:val="28"/>
          <w:lang w:eastAsia="es-ES_tradnl"/>
        </w:rPr>
        <w:t>Expediente: D-</w:t>
      </w:r>
      <w:r w:rsidRPr="0029329A">
        <w:rPr>
          <w:rFonts w:ascii="Times New Roman" w:eastAsia="Times New Roman" w:hAnsi="Times New Roman" w:cs="Times New Roman"/>
          <w:sz w:val="28"/>
          <w:szCs w:val="28"/>
          <w:lang w:eastAsia="es-ES_tradnl"/>
        </w:rPr>
        <w:t>15466</w:t>
      </w:r>
    </w:p>
    <w:p w:rsidR="00FE2352" w:rsidRPr="0029329A" w:rsidRDefault="0029329A" w:rsidP="00423BA6">
      <w:pPr>
        <w:ind w:left="3969"/>
        <w:rPr>
          <w:rFonts w:ascii="Times New Roman" w:eastAsia="Times New Roman" w:hAnsi="Times New Roman" w:cs="Times New Roman"/>
          <w:sz w:val="28"/>
          <w:szCs w:val="28"/>
          <w:lang w:eastAsia="es-ES_tradnl"/>
        </w:rPr>
      </w:pPr>
    </w:p>
    <w:p w:rsidR="009A4D55" w:rsidRPr="0029329A" w:rsidRDefault="0029329A" w:rsidP="00423BA6">
      <w:pPr>
        <w:ind w:left="3969"/>
        <w:rPr>
          <w:rFonts w:ascii="Times New Roman" w:eastAsia="Times New Roman" w:hAnsi="Times New Roman" w:cs="Times New Roman"/>
          <w:i/>
          <w:sz w:val="28"/>
          <w:szCs w:val="28"/>
          <w:lang w:eastAsia="es-ES_tradnl"/>
        </w:rPr>
      </w:pPr>
      <w:r w:rsidRPr="0029329A">
        <w:rPr>
          <w:rFonts w:ascii="Times New Roman" w:eastAsia="Times New Roman" w:hAnsi="Times New Roman" w:cs="Times New Roman"/>
          <w:iCs/>
          <w:sz w:val="28"/>
          <w:szCs w:val="28"/>
          <w:lang w:eastAsia="es-ES_tradnl"/>
        </w:rPr>
        <w:t xml:space="preserve">Demanda de inconstitucionalidad contra </w:t>
      </w:r>
      <w:r w:rsidRPr="0029329A">
        <w:rPr>
          <w:rFonts w:ascii="Times New Roman" w:eastAsia="Times New Roman" w:hAnsi="Times New Roman" w:cs="Times New Roman"/>
          <w:iCs/>
          <w:sz w:val="28"/>
          <w:szCs w:val="28"/>
          <w:lang w:eastAsia="es-ES_tradnl"/>
        </w:rPr>
        <w:t>los artículos 135 y 169 de la Ley 2294 de 2023, “por la</w:t>
      </w:r>
      <w:r w:rsidRPr="0029329A">
        <w:rPr>
          <w:rFonts w:ascii="Times New Roman" w:eastAsia="Times New Roman" w:hAnsi="Times New Roman" w:cs="Times New Roman"/>
          <w:iCs/>
          <w:sz w:val="28"/>
          <w:szCs w:val="28"/>
          <w:lang w:eastAsia="es-ES_tradnl"/>
        </w:rPr>
        <w:t xml:space="preserve"> cual se expide el Plan Nacional de Desarrollo 2022-2026 “Colombia Potencia Mundial de la Vida””</w:t>
      </w:r>
    </w:p>
    <w:p w:rsidR="00FE2352" w:rsidRPr="0029329A" w:rsidRDefault="0029329A">
      <w:pPr>
        <w:rPr>
          <w:rFonts w:ascii="Times New Roman" w:hAnsi="Times New Roman" w:cs="Times New Roman"/>
          <w:sz w:val="28"/>
          <w:szCs w:val="28"/>
        </w:rPr>
      </w:pPr>
    </w:p>
    <w:p w:rsidR="00423BA6" w:rsidRPr="0029329A" w:rsidRDefault="0029329A">
      <w:pPr>
        <w:rPr>
          <w:rFonts w:ascii="Times New Roman"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Pese a estar de acuerdo con la decisión adoptada por la mayoría de la Sala sobre la parte resolutiva de la sentencia, aclaro mi voto sobre algunos aspectos q</w:t>
      </w:r>
      <w:r w:rsidRPr="0029329A">
        <w:rPr>
          <w:rFonts w:ascii="Times New Roman" w:eastAsia="Calibri" w:hAnsi="Times New Roman" w:cs="Times New Roman"/>
          <w:sz w:val="28"/>
          <w:szCs w:val="28"/>
        </w:rPr>
        <w:t>ue, en mi opinión, requieren precisiones en relación con el control de constitucionalidad de las leyes aprobatorias de los planes nacionales de desarrollo, tanto por su contenido material -en particular por in</w:t>
      </w:r>
      <w:r w:rsidRPr="0029329A">
        <w:rPr>
          <w:rFonts w:ascii="Times New Roman" w:eastAsia="Calibri" w:hAnsi="Times New Roman" w:cs="Times New Roman"/>
          <w:sz w:val="28"/>
          <w:szCs w:val="28"/>
        </w:rPr>
        <w:t xml:space="preserve">cumplimiento del </w:t>
      </w:r>
      <w:r w:rsidRPr="0029329A">
        <w:rPr>
          <w:rFonts w:ascii="Times New Roman" w:eastAsia="Calibri" w:hAnsi="Times New Roman" w:cs="Times New Roman"/>
          <w:sz w:val="28"/>
          <w:szCs w:val="28"/>
        </w:rPr>
        <w:t>principio de unidad de materia</w:t>
      </w:r>
      <w:r w:rsidRPr="0029329A">
        <w:rPr>
          <w:rFonts w:ascii="Times New Roman" w:eastAsia="Calibri" w:hAnsi="Times New Roman" w:cs="Times New Roman"/>
          <w:sz w:val="28"/>
          <w:szCs w:val="28"/>
        </w:rPr>
        <w:t>-, como por vicios de procedimiento en la elaboración y aprobación del plan</w:t>
      </w:r>
      <w:r w:rsidRPr="0029329A">
        <w:rPr>
          <w:rFonts w:ascii="Times New Roman" w:eastAsia="Calibri" w:hAnsi="Times New Roman" w:cs="Times New Roman"/>
          <w:sz w:val="28"/>
          <w:szCs w:val="28"/>
        </w:rPr>
        <w:t xml:space="preserve">. </w:t>
      </w: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w:t>
      </w: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1. En primer lugar, es necesario reconocer las diferencias en cuanto al contenido, la competencia y el procedimiento de elaboración del plan nacional de desarrollo, por una par</w:t>
      </w:r>
      <w:r w:rsidRPr="0029329A">
        <w:rPr>
          <w:rFonts w:ascii="Times New Roman" w:eastAsia="Calibri" w:hAnsi="Times New Roman" w:cs="Times New Roman"/>
          <w:sz w:val="28"/>
          <w:szCs w:val="28"/>
        </w:rPr>
        <w:t>te, y el contenido, la competencia y el procedimiento de expedición de la ley mediante la cual se aprueba dicho plan, por la otra. Esta distinción es importante para identificar respecto de qué contenidos y en relación con qué otros contenidos o referentes</w:t>
      </w:r>
      <w:r w:rsidRPr="0029329A">
        <w:rPr>
          <w:rFonts w:ascii="Times New Roman" w:eastAsia="Calibri" w:hAnsi="Times New Roman" w:cs="Times New Roman"/>
          <w:sz w:val="28"/>
          <w:szCs w:val="28"/>
        </w:rPr>
        <w:t xml:space="preserve"> es exigible la unidad de materia, así como para ubicar la configuración de los vicios de procedimiento y sus implicaciones en la validez de la ley aprobatoria.  </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En este sentido es preciso recordar que la elaboración del plan nacional de desarrollo es co</w:t>
      </w:r>
      <w:r w:rsidRPr="0029329A">
        <w:rPr>
          <w:rFonts w:ascii="Times New Roman" w:eastAsia="Calibri" w:hAnsi="Times New Roman" w:cs="Times New Roman"/>
          <w:sz w:val="28"/>
          <w:szCs w:val="28"/>
        </w:rPr>
        <w:t xml:space="preserve">mpetencia exclusiva del gobierno nacional mediante un procedimiento participativo que involucra a las entidades territoriales, a organizaciones de la sociedad civil y al Consejo Superior de la Judicatura. El plan está conformado por una parte general y un </w:t>
      </w:r>
      <w:r w:rsidRPr="0029329A">
        <w:rPr>
          <w:rFonts w:ascii="Times New Roman" w:eastAsia="Calibri" w:hAnsi="Times New Roman" w:cs="Times New Roman"/>
          <w:sz w:val="28"/>
          <w:szCs w:val="28"/>
        </w:rPr>
        <w:t>plan de inversiones de las entidades públicas del orden nacional. La parte general contiene los propósitos y objetivos nacionales de largo plazo, las metas y prioridades de la acción estatal a mediano plazo y las estrategias y orientaciones generales de la</w:t>
      </w:r>
      <w:r w:rsidRPr="0029329A">
        <w:rPr>
          <w:rFonts w:ascii="Times New Roman" w:eastAsia="Calibri" w:hAnsi="Times New Roman" w:cs="Times New Roman"/>
          <w:sz w:val="28"/>
          <w:szCs w:val="28"/>
        </w:rPr>
        <w:t xml:space="preserve"> política económica, social y ambiental que serán adoptadas por el Gobierno. El plan de inversiones públicas, por su parte, contendrá los presupuestos plurianuales de los principales programas y proyectos de inversión pública nacional y la especificación d</w:t>
      </w:r>
      <w:r w:rsidRPr="0029329A">
        <w:rPr>
          <w:rFonts w:ascii="Times New Roman" w:eastAsia="Calibri" w:hAnsi="Times New Roman" w:cs="Times New Roman"/>
          <w:sz w:val="28"/>
          <w:szCs w:val="28"/>
        </w:rPr>
        <w:t>e los recursos financieros requeridos para su ejecución, dentro de un marco que garantice la sostenibilidad fiscal.</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La aprobación del </w:t>
      </w:r>
      <w:r w:rsidRPr="0029329A">
        <w:rPr>
          <w:rFonts w:ascii="Times New Roman" w:eastAsia="Calibri" w:hAnsi="Times New Roman" w:cs="Times New Roman"/>
          <w:i/>
          <w:iCs/>
          <w:sz w:val="28"/>
          <w:szCs w:val="28"/>
        </w:rPr>
        <w:t>plan nacional de desarrollo y de inversiones públicas</w:t>
      </w:r>
      <w:r w:rsidRPr="0029329A">
        <w:rPr>
          <w:rFonts w:ascii="Times New Roman" w:eastAsia="Calibri" w:hAnsi="Times New Roman" w:cs="Times New Roman"/>
          <w:sz w:val="28"/>
          <w:szCs w:val="28"/>
        </w:rPr>
        <w:t xml:space="preserve"> corresponde al Congreso mediante ley ordinaria de iniciativa gubernamental tramitada mediante un procedimiento legislativo especial. Esta ley debe contener el plan nacional de inversiones públicas y determinar los recursos y apropiaciones que se autoricen</w:t>
      </w:r>
      <w:r w:rsidRPr="0029329A">
        <w:rPr>
          <w:rFonts w:ascii="Times New Roman" w:eastAsia="Calibri" w:hAnsi="Times New Roman" w:cs="Times New Roman"/>
          <w:sz w:val="28"/>
          <w:szCs w:val="28"/>
        </w:rPr>
        <w:t xml:space="preserve"> para su ejecución, así como las medidas necesarias para impulsar su cumplimiento.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eastAsia="Calibri" w:hAnsi="Times New Roman" w:cs="Times New Roman"/>
          <w:sz w:val="28"/>
          <w:szCs w:val="28"/>
        </w:rPr>
        <w:t>2. En segundo lugar, es importante tener en cuenta la función de la planeación en el cumplimiento de los fines esenciales del Estado. En efecto, el plan nacional de desarro</w:t>
      </w:r>
      <w:r w:rsidRPr="0029329A">
        <w:rPr>
          <w:rFonts w:ascii="Times New Roman" w:eastAsia="Calibri" w:hAnsi="Times New Roman" w:cs="Times New Roman"/>
          <w:sz w:val="28"/>
          <w:szCs w:val="28"/>
        </w:rPr>
        <w:t xml:space="preserve">llo es un </w:t>
      </w:r>
      <w:r w:rsidRPr="0029329A">
        <w:rPr>
          <w:rFonts w:ascii="Times New Roman" w:hAnsi="Times New Roman" w:cs="Times New Roman"/>
          <w:sz w:val="28"/>
          <w:szCs w:val="28"/>
        </w:rPr>
        <w:t xml:space="preserve">instrumento de la política económica del Estado y de buena </w:t>
      </w:r>
      <w:r w:rsidRPr="0029329A">
        <w:rPr>
          <w:rFonts w:ascii="Times New Roman" w:hAnsi="Times New Roman" w:cs="Times New Roman"/>
          <w:i/>
          <w:iCs/>
          <w:sz w:val="28"/>
          <w:szCs w:val="28"/>
        </w:rPr>
        <w:t>gobernanza</w:t>
      </w:r>
      <w:r w:rsidRPr="0029329A">
        <w:rPr>
          <w:rFonts w:ascii="Times New Roman" w:hAnsi="Times New Roman" w:cs="Times New Roman"/>
          <w:sz w:val="28"/>
          <w:szCs w:val="28"/>
        </w:rPr>
        <w:t xml:space="preserve"> que forma parte “</w:t>
      </w:r>
      <w:r w:rsidRPr="0029329A">
        <w:rPr>
          <w:rFonts w:ascii="Times New Roman" w:hAnsi="Times New Roman" w:cs="Times New Roman"/>
          <w:i/>
          <w:iCs/>
          <w:sz w:val="28"/>
          <w:szCs w:val="28"/>
        </w:rPr>
        <w:t>Del régimen económico y de la hacienda pública</w:t>
      </w:r>
      <w:r w:rsidRPr="0029329A">
        <w:rPr>
          <w:rFonts w:ascii="Times New Roman" w:hAnsi="Times New Roman" w:cs="Times New Roman"/>
          <w:sz w:val="28"/>
          <w:szCs w:val="28"/>
        </w:rPr>
        <w:t xml:space="preserve">” regulado en el título XII de la Constitución. Por ello el constituyente señaló directamente su </w:t>
      </w:r>
      <w:r w:rsidRPr="0029329A">
        <w:rPr>
          <w:rFonts w:ascii="Times New Roman" w:hAnsi="Times New Roman" w:cs="Times New Roman"/>
          <w:i/>
          <w:iCs/>
          <w:sz w:val="28"/>
          <w:szCs w:val="28"/>
        </w:rPr>
        <w:t>conformación</w:t>
      </w:r>
      <w:r w:rsidRPr="0029329A">
        <w:rPr>
          <w:rFonts w:ascii="Times New Roman" w:hAnsi="Times New Roman" w:cs="Times New Roman"/>
          <w:sz w:val="28"/>
          <w:szCs w:val="28"/>
        </w:rPr>
        <w:t xml:space="preserve"> (ar</w:t>
      </w:r>
      <w:r w:rsidRPr="0029329A">
        <w:rPr>
          <w:rFonts w:ascii="Times New Roman" w:hAnsi="Times New Roman" w:cs="Times New Roman"/>
          <w:sz w:val="28"/>
          <w:szCs w:val="28"/>
        </w:rPr>
        <w:t>tículo 339), dispuso la creación e integración del Consejo Nacional de Planeación como foro para la discusión del plan (artículo 340), y reguló los aspectos básicos de su elaboración y aprobación (artículo 341).</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 xml:space="preserve">La regulación de los aspectos no previstos </w:t>
      </w:r>
      <w:r w:rsidRPr="0029329A">
        <w:rPr>
          <w:rFonts w:ascii="Times New Roman" w:hAnsi="Times New Roman" w:cs="Times New Roman"/>
          <w:sz w:val="28"/>
          <w:szCs w:val="28"/>
        </w:rPr>
        <w:t xml:space="preserve">en la Constitución en cuanto a su </w:t>
      </w:r>
      <w:r w:rsidRPr="0029329A">
        <w:rPr>
          <w:rFonts w:ascii="Times New Roman" w:hAnsi="Times New Roman" w:cs="Times New Roman"/>
          <w:i/>
          <w:iCs/>
          <w:sz w:val="28"/>
          <w:szCs w:val="28"/>
        </w:rPr>
        <w:t>elaboración</w:t>
      </w:r>
      <w:r w:rsidRPr="0029329A">
        <w:rPr>
          <w:rFonts w:ascii="Times New Roman" w:hAnsi="Times New Roman" w:cs="Times New Roman"/>
          <w:sz w:val="28"/>
          <w:szCs w:val="28"/>
        </w:rPr>
        <w:t xml:space="preserve">, </w:t>
      </w:r>
      <w:r w:rsidRPr="0029329A">
        <w:rPr>
          <w:rFonts w:ascii="Times New Roman" w:hAnsi="Times New Roman" w:cs="Times New Roman"/>
          <w:i/>
          <w:iCs/>
          <w:sz w:val="28"/>
          <w:szCs w:val="28"/>
        </w:rPr>
        <w:t>aprobación</w:t>
      </w:r>
      <w:r w:rsidRPr="0029329A">
        <w:rPr>
          <w:rFonts w:ascii="Times New Roman" w:hAnsi="Times New Roman" w:cs="Times New Roman"/>
          <w:sz w:val="28"/>
          <w:szCs w:val="28"/>
        </w:rPr>
        <w:t xml:space="preserve">, </w:t>
      </w:r>
      <w:r w:rsidRPr="0029329A">
        <w:rPr>
          <w:rFonts w:ascii="Times New Roman" w:hAnsi="Times New Roman" w:cs="Times New Roman"/>
          <w:i/>
          <w:iCs/>
          <w:sz w:val="28"/>
          <w:szCs w:val="28"/>
        </w:rPr>
        <w:t>ejecución y evaluación</w:t>
      </w:r>
      <w:r w:rsidRPr="0029329A">
        <w:rPr>
          <w:rFonts w:ascii="Times New Roman" w:hAnsi="Times New Roman" w:cs="Times New Roman"/>
          <w:sz w:val="28"/>
          <w:szCs w:val="28"/>
        </w:rPr>
        <w:t xml:space="preserve">, fue reservada por el constituyente al legislador orgánico, el cual debe disponer, adicionalmente, </w:t>
      </w:r>
      <w:r w:rsidRPr="0029329A">
        <w:rPr>
          <w:rFonts w:ascii="Times New Roman" w:hAnsi="Times New Roman" w:cs="Times New Roman"/>
          <w:i/>
          <w:iCs/>
          <w:sz w:val="28"/>
          <w:szCs w:val="28"/>
        </w:rPr>
        <w:t>los mecanismos apropiados para la sujeción de los presupuestos oficiales</w:t>
      </w:r>
      <w:r w:rsidRPr="0029329A">
        <w:rPr>
          <w:rFonts w:ascii="Times New Roman" w:hAnsi="Times New Roman" w:cs="Times New Roman"/>
          <w:sz w:val="28"/>
          <w:szCs w:val="28"/>
        </w:rPr>
        <w:t xml:space="preserve"> </w:t>
      </w:r>
      <w:r w:rsidRPr="0029329A">
        <w:rPr>
          <w:rFonts w:ascii="Times New Roman" w:hAnsi="Times New Roman" w:cs="Times New Roman"/>
          <w:i/>
          <w:iCs/>
          <w:sz w:val="28"/>
          <w:szCs w:val="28"/>
        </w:rPr>
        <w:t xml:space="preserve">a </w:t>
      </w:r>
      <w:r w:rsidRPr="0029329A">
        <w:rPr>
          <w:rFonts w:ascii="Times New Roman" w:hAnsi="Times New Roman" w:cs="Times New Roman"/>
          <w:i/>
          <w:iCs/>
          <w:sz w:val="28"/>
          <w:szCs w:val="28"/>
        </w:rPr>
        <w:t xml:space="preserve">los planes de desarrollo </w:t>
      </w:r>
      <w:r w:rsidRPr="0029329A">
        <w:rPr>
          <w:rFonts w:ascii="Times New Roman" w:hAnsi="Times New Roman" w:cs="Times New Roman"/>
          <w:sz w:val="28"/>
          <w:szCs w:val="28"/>
        </w:rPr>
        <w:t>(artículos 342, 343 y 344 de la Constitución).</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 xml:space="preserve">3. Por razón de su papel en la materialización de los fines esenciales del Estado y como ya anticipé, el proceso de elaboración de los planes de desarrollo, por mandato constitucional, es de carácter </w:t>
      </w:r>
      <w:r w:rsidRPr="0029329A">
        <w:rPr>
          <w:rFonts w:ascii="Times New Roman" w:hAnsi="Times New Roman" w:cs="Times New Roman"/>
          <w:i/>
          <w:iCs/>
          <w:sz w:val="28"/>
          <w:szCs w:val="28"/>
        </w:rPr>
        <w:t>participativo</w:t>
      </w:r>
      <w:r w:rsidRPr="0029329A">
        <w:rPr>
          <w:rFonts w:ascii="Times New Roman" w:hAnsi="Times New Roman" w:cs="Times New Roman"/>
          <w:sz w:val="28"/>
          <w:szCs w:val="28"/>
        </w:rPr>
        <w:t>, conforme a las siguientes disposiciones:</w:t>
      </w:r>
    </w:p>
    <w:p w:rsidR="00ED670B" w:rsidRPr="0029329A" w:rsidRDefault="0029329A" w:rsidP="00ED670B">
      <w:pPr>
        <w:rPr>
          <w:rFonts w:ascii="Times New Roman" w:hAnsi="Times New Roman" w:cs="Times New Roman"/>
          <w:sz w:val="28"/>
          <w:szCs w:val="28"/>
        </w:rPr>
      </w:pPr>
    </w:p>
    <w:p w:rsidR="00ED670B" w:rsidRPr="0029329A" w:rsidRDefault="0029329A" w:rsidP="00ED670B">
      <w:pPr>
        <w:pStyle w:val="Prrafodelista"/>
        <w:numPr>
          <w:ilvl w:val="0"/>
          <w:numId w:val="5"/>
        </w:numPr>
        <w:jc w:val="both"/>
        <w:rPr>
          <w:rFonts w:ascii="Times New Roman" w:hAnsi="Times New Roman" w:cs="Times New Roman"/>
          <w:sz w:val="28"/>
        </w:rPr>
      </w:pPr>
      <w:r w:rsidRPr="0029329A">
        <w:rPr>
          <w:rFonts w:ascii="Times New Roman" w:hAnsi="Times New Roman" w:cs="Times New Roman"/>
          <w:sz w:val="28"/>
        </w:rPr>
        <w:t>El artículo 340</w:t>
      </w:r>
      <w:r w:rsidRPr="0029329A">
        <w:rPr>
          <w:rStyle w:val="Refdenotaalpie"/>
          <w:rFonts w:ascii="Times New Roman" w:hAnsi="Times New Roman"/>
          <w:sz w:val="28"/>
        </w:rPr>
        <w:footnoteReference w:id="162"/>
      </w:r>
      <w:r w:rsidRPr="0029329A">
        <w:rPr>
          <w:rFonts w:ascii="Times New Roman" w:hAnsi="Times New Roman" w:cs="Times New Roman"/>
          <w:sz w:val="28"/>
        </w:rPr>
        <w:t xml:space="preserve"> establece que habrá un Consejo Nacional de Planeación</w:t>
      </w:r>
      <w:r w:rsidRPr="0029329A">
        <w:rPr>
          <w:rFonts w:ascii="Times New Roman" w:hAnsi="Times New Roman" w:cs="Times New Roman"/>
          <w:i/>
          <w:iCs/>
          <w:sz w:val="28"/>
        </w:rPr>
        <w:t xml:space="preserve"> integrado por representantes de las entidades territoriales y de los sectores económicos, sociales, ecológicos, comunitarios y culturales</w:t>
      </w:r>
      <w:r w:rsidRPr="0029329A">
        <w:rPr>
          <w:rFonts w:ascii="Times New Roman" w:hAnsi="Times New Roman" w:cs="Times New Roman"/>
          <w:sz w:val="28"/>
        </w:rPr>
        <w:t xml:space="preserve">, el cual tendrá carácter </w:t>
      </w:r>
      <w:r w:rsidRPr="0029329A">
        <w:rPr>
          <w:rFonts w:ascii="Times New Roman" w:hAnsi="Times New Roman" w:cs="Times New Roman"/>
          <w:i/>
          <w:iCs/>
          <w:sz w:val="28"/>
        </w:rPr>
        <w:t>consultivo</w:t>
      </w:r>
      <w:r w:rsidRPr="0029329A">
        <w:rPr>
          <w:rFonts w:ascii="Times New Roman" w:hAnsi="Times New Roman" w:cs="Times New Roman"/>
          <w:sz w:val="28"/>
        </w:rPr>
        <w:t xml:space="preserve"> y servirá </w:t>
      </w:r>
      <w:r w:rsidRPr="0029329A">
        <w:rPr>
          <w:rFonts w:ascii="Times New Roman" w:hAnsi="Times New Roman" w:cs="Times New Roman"/>
          <w:sz w:val="28"/>
        </w:rPr>
        <w:t xml:space="preserve">de </w:t>
      </w:r>
      <w:r w:rsidRPr="0029329A">
        <w:rPr>
          <w:rFonts w:ascii="Times New Roman" w:hAnsi="Times New Roman" w:cs="Times New Roman"/>
          <w:i/>
          <w:iCs/>
          <w:sz w:val="28"/>
        </w:rPr>
        <w:t xml:space="preserve">foro para la discusión </w:t>
      </w:r>
      <w:r w:rsidRPr="0029329A">
        <w:rPr>
          <w:rFonts w:ascii="Times New Roman" w:hAnsi="Times New Roman" w:cs="Times New Roman"/>
          <w:sz w:val="28"/>
        </w:rPr>
        <w:t>del plan nacional de desarrollo.</w:t>
      </w:r>
    </w:p>
    <w:p w:rsidR="00ED670B" w:rsidRPr="0029329A" w:rsidRDefault="0029329A" w:rsidP="00ED670B">
      <w:pPr>
        <w:pStyle w:val="Prrafodelista"/>
        <w:numPr>
          <w:ilvl w:val="0"/>
          <w:numId w:val="5"/>
        </w:numPr>
        <w:jc w:val="both"/>
        <w:rPr>
          <w:rFonts w:ascii="Times New Roman" w:hAnsi="Times New Roman" w:cs="Times New Roman"/>
          <w:sz w:val="28"/>
        </w:rPr>
      </w:pPr>
      <w:bookmarkStart w:id="20" w:name="341"/>
      <w:r w:rsidRPr="0029329A">
        <w:rPr>
          <w:rFonts w:ascii="Times New Roman" w:hAnsi="Times New Roman" w:cs="Times New Roman"/>
          <w:sz w:val="28"/>
        </w:rPr>
        <w:t>El artículo 341</w:t>
      </w:r>
      <w:r w:rsidRPr="0029329A">
        <w:rPr>
          <w:rStyle w:val="Refdenotaalpie"/>
          <w:rFonts w:ascii="Times New Roman" w:hAnsi="Times New Roman"/>
          <w:sz w:val="28"/>
        </w:rPr>
        <w:footnoteReference w:id="163"/>
      </w:r>
      <w:r w:rsidRPr="0029329A">
        <w:rPr>
          <w:rFonts w:ascii="Times New Roman" w:hAnsi="Times New Roman" w:cs="Times New Roman"/>
          <w:sz w:val="28"/>
        </w:rPr>
        <w:t xml:space="preserve"> dispone que </w:t>
      </w:r>
      <w:bookmarkEnd w:id="20"/>
      <w:r w:rsidRPr="0029329A">
        <w:rPr>
          <w:rFonts w:ascii="Times New Roman" w:hAnsi="Times New Roman" w:cs="Times New Roman"/>
          <w:sz w:val="28"/>
        </w:rPr>
        <w:t xml:space="preserve">el gobierno (i) elaborará el Plan Nacional de Desarrollo con </w:t>
      </w:r>
      <w:r w:rsidRPr="0029329A">
        <w:rPr>
          <w:rFonts w:ascii="Times New Roman" w:hAnsi="Times New Roman" w:cs="Times New Roman"/>
          <w:i/>
          <w:iCs/>
          <w:sz w:val="28"/>
        </w:rPr>
        <w:t>participación activa</w:t>
      </w:r>
      <w:r w:rsidRPr="0029329A">
        <w:rPr>
          <w:rFonts w:ascii="Times New Roman" w:hAnsi="Times New Roman" w:cs="Times New Roman"/>
          <w:sz w:val="28"/>
        </w:rPr>
        <w:t xml:space="preserve"> de las autoridades de planeación, de las entidades territoriales y del Consejo Superio</w:t>
      </w:r>
      <w:r w:rsidRPr="0029329A">
        <w:rPr>
          <w:rFonts w:ascii="Times New Roman" w:hAnsi="Times New Roman" w:cs="Times New Roman"/>
          <w:sz w:val="28"/>
        </w:rPr>
        <w:t xml:space="preserve">r de la Judicatura; (ii) someterá el proyecto correspondiente al </w:t>
      </w:r>
      <w:r w:rsidRPr="0029329A">
        <w:rPr>
          <w:rFonts w:ascii="Times New Roman" w:hAnsi="Times New Roman" w:cs="Times New Roman"/>
          <w:i/>
          <w:iCs/>
          <w:sz w:val="28"/>
        </w:rPr>
        <w:t>concepto</w:t>
      </w:r>
      <w:r w:rsidRPr="0029329A">
        <w:rPr>
          <w:rFonts w:ascii="Times New Roman" w:hAnsi="Times New Roman" w:cs="Times New Roman"/>
          <w:sz w:val="28"/>
        </w:rPr>
        <w:t xml:space="preserve"> del Consejo Nacional de Planeación; y (iii) efectuará las enmiendas que considere pertinentes luego de oída la </w:t>
      </w:r>
      <w:r w:rsidRPr="0029329A">
        <w:rPr>
          <w:rFonts w:ascii="Times New Roman" w:hAnsi="Times New Roman" w:cs="Times New Roman"/>
          <w:i/>
          <w:iCs/>
          <w:sz w:val="28"/>
        </w:rPr>
        <w:t>opinión</w:t>
      </w:r>
      <w:r w:rsidRPr="0029329A">
        <w:rPr>
          <w:rFonts w:ascii="Times New Roman" w:hAnsi="Times New Roman" w:cs="Times New Roman"/>
          <w:sz w:val="28"/>
        </w:rPr>
        <w:t xml:space="preserve"> del Consejo Nacional de Planeación;</w:t>
      </w:r>
    </w:p>
    <w:p w:rsidR="00ED670B" w:rsidRPr="0029329A" w:rsidRDefault="0029329A" w:rsidP="00ED670B">
      <w:pPr>
        <w:pStyle w:val="Prrafodelista"/>
        <w:numPr>
          <w:ilvl w:val="0"/>
          <w:numId w:val="5"/>
        </w:numPr>
        <w:jc w:val="both"/>
        <w:rPr>
          <w:rFonts w:ascii="Times New Roman" w:hAnsi="Times New Roman" w:cs="Times New Roman"/>
          <w:sz w:val="28"/>
        </w:rPr>
      </w:pPr>
      <w:r w:rsidRPr="0029329A">
        <w:rPr>
          <w:rFonts w:ascii="Times New Roman" w:hAnsi="Times New Roman" w:cs="Times New Roman"/>
          <w:sz w:val="28"/>
        </w:rPr>
        <w:t>El artículo 342</w:t>
      </w:r>
      <w:r w:rsidRPr="0029329A">
        <w:rPr>
          <w:rStyle w:val="Refdenotaalpie"/>
          <w:rFonts w:ascii="Times New Roman" w:hAnsi="Times New Roman"/>
          <w:sz w:val="28"/>
        </w:rPr>
        <w:footnoteReference w:id="164"/>
      </w:r>
      <w:r w:rsidRPr="0029329A">
        <w:rPr>
          <w:rFonts w:ascii="Times New Roman" w:hAnsi="Times New Roman" w:cs="Times New Roman"/>
          <w:sz w:val="28"/>
        </w:rPr>
        <w:t>, por su pa</w:t>
      </w:r>
      <w:r w:rsidRPr="0029329A">
        <w:rPr>
          <w:rFonts w:ascii="Times New Roman" w:hAnsi="Times New Roman" w:cs="Times New Roman"/>
          <w:sz w:val="28"/>
        </w:rPr>
        <w:t xml:space="preserve">rte, establece que la ley orgánica de planeación determinará los </w:t>
      </w:r>
      <w:r w:rsidRPr="0029329A">
        <w:rPr>
          <w:rFonts w:ascii="Times New Roman" w:hAnsi="Times New Roman" w:cs="Times New Roman"/>
          <w:i/>
          <w:iCs/>
          <w:sz w:val="28"/>
        </w:rPr>
        <w:t>procedimientos conforme a los cuales se hará efectiva la participación ciudadana</w:t>
      </w:r>
      <w:r w:rsidRPr="0029329A">
        <w:rPr>
          <w:rFonts w:ascii="Times New Roman" w:hAnsi="Times New Roman" w:cs="Times New Roman"/>
          <w:sz w:val="28"/>
        </w:rPr>
        <w:t xml:space="preserve"> en la discusión de los planes de desarrollo y en las modificaciones correspondientes.</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4. En cuanto al conteni</w:t>
      </w:r>
      <w:r w:rsidRPr="0029329A">
        <w:rPr>
          <w:rFonts w:ascii="Times New Roman" w:eastAsia="Calibri" w:hAnsi="Times New Roman" w:cs="Times New Roman"/>
          <w:sz w:val="28"/>
          <w:szCs w:val="28"/>
        </w:rPr>
        <w:t>do del plan, la Ley Orgánica del Plan de Desarrollo, en sus artículos 4, 5 y 6, en desarrollo del artículo 339 de la Constitución, regula su contenido, así:</w:t>
      </w:r>
    </w:p>
    <w:p w:rsidR="00ED670B" w:rsidRPr="0029329A" w:rsidRDefault="0029329A" w:rsidP="00ED670B">
      <w:pPr>
        <w:rPr>
          <w:rFonts w:ascii="Times New Roman" w:eastAsia="Calibri" w:hAnsi="Times New Roman" w:cs="Times New Roman"/>
          <w:sz w:val="28"/>
          <w:szCs w:val="28"/>
          <w:u w:val="single"/>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La </w:t>
      </w:r>
      <w:r w:rsidRPr="0029329A">
        <w:rPr>
          <w:rFonts w:ascii="Times New Roman" w:eastAsia="Calibri" w:hAnsi="Times New Roman" w:cs="Times New Roman"/>
          <w:i/>
          <w:iCs/>
          <w:sz w:val="28"/>
          <w:szCs w:val="28"/>
          <w:u w:val="single"/>
        </w:rPr>
        <w:t>parte general</w:t>
      </w:r>
      <w:r w:rsidRPr="0029329A">
        <w:rPr>
          <w:rFonts w:ascii="Times New Roman" w:eastAsia="Calibri" w:hAnsi="Times New Roman" w:cs="Times New Roman"/>
          <w:i/>
          <w:iCs/>
          <w:sz w:val="28"/>
          <w:szCs w:val="28"/>
        </w:rPr>
        <w:t xml:space="preserve"> del plan</w:t>
      </w:r>
      <w:r w:rsidRPr="0029329A">
        <w:rPr>
          <w:rFonts w:ascii="Times New Roman" w:eastAsia="Calibri" w:hAnsi="Times New Roman" w:cs="Times New Roman"/>
          <w:sz w:val="28"/>
          <w:szCs w:val="28"/>
        </w:rPr>
        <w:t xml:space="preserve"> contendrá: (i) los </w:t>
      </w:r>
      <w:r w:rsidRPr="0029329A">
        <w:rPr>
          <w:rFonts w:ascii="Times New Roman" w:eastAsia="Calibri" w:hAnsi="Times New Roman" w:cs="Times New Roman"/>
          <w:i/>
          <w:iCs/>
          <w:sz w:val="28"/>
          <w:szCs w:val="28"/>
        </w:rPr>
        <w:t>objetivos nacionales y sectoriales de la acción estat</w:t>
      </w:r>
      <w:r w:rsidRPr="0029329A">
        <w:rPr>
          <w:rFonts w:ascii="Times New Roman" w:eastAsia="Calibri" w:hAnsi="Times New Roman" w:cs="Times New Roman"/>
          <w:i/>
          <w:iCs/>
          <w:sz w:val="28"/>
          <w:szCs w:val="28"/>
        </w:rPr>
        <w:t>al a mediano y largo plazo</w:t>
      </w:r>
      <w:r w:rsidRPr="0029329A">
        <w:rPr>
          <w:rFonts w:ascii="Times New Roman" w:eastAsia="Calibri" w:hAnsi="Times New Roman" w:cs="Times New Roman"/>
          <w:sz w:val="28"/>
          <w:szCs w:val="28"/>
        </w:rPr>
        <w:t xml:space="preserve">, (ii) las </w:t>
      </w:r>
      <w:r w:rsidRPr="0029329A">
        <w:rPr>
          <w:rFonts w:ascii="Times New Roman" w:eastAsia="Calibri" w:hAnsi="Times New Roman" w:cs="Times New Roman"/>
          <w:i/>
          <w:iCs/>
          <w:sz w:val="28"/>
          <w:szCs w:val="28"/>
        </w:rPr>
        <w:t>metas nacionales y sectoriales de la acción estatal a mediano y largo plazo</w:t>
      </w:r>
      <w:r w:rsidRPr="0029329A">
        <w:rPr>
          <w:rFonts w:ascii="Times New Roman" w:eastAsia="Calibri" w:hAnsi="Times New Roman" w:cs="Times New Roman"/>
          <w:sz w:val="28"/>
          <w:szCs w:val="28"/>
        </w:rPr>
        <w:t xml:space="preserve"> y los </w:t>
      </w:r>
      <w:r w:rsidRPr="0029329A">
        <w:rPr>
          <w:rFonts w:ascii="Times New Roman" w:eastAsia="Calibri" w:hAnsi="Times New Roman" w:cs="Times New Roman"/>
          <w:i/>
          <w:iCs/>
          <w:sz w:val="28"/>
          <w:szCs w:val="28"/>
        </w:rPr>
        <w:t>procedimientos y mecanismos generales para lograrlos</w:t>
      </w:r>
      <w:r w:rsidRPr="0029329A">
        <w:rPr>
          <w:rFonts w:ascii="Times New Roman" w:eastAsia="Calibri" w:hAnsi="Times New Roman" w:cs="Times New Roman"/>
          <w:sz w:val="28"/>
          <w:szCs w:val="28"/>
        </w:rPr>
        <w:t xml:space="preserve">, (iii) las </w:t>
      </w:r>
      <w:r w:rsidRPr="0029329A">
        <w:rPr>
          <w:rFonts w:ascii="Times New Roman" w:eastAsia="Calibri" w:hAnsi="Times New Roman" w:cs="Times New Roman"/>
          <w:i/>
          <w:iCs/>
          <w:sz w:val="28"/>
          <w:szCs w:val="28"/>
          <w:u w:val="single"/>
        </w:rPr>
        <w:t>estrategias y políticas en materia económica, social y ambiental que guia</w:t>
      </w:r>
      <w:r w:rsidRPr="0029329A">
        <w:rPr>
          <w:rFonts w:ascii="Times New Roman" w:eastAsia="Calibri" w:hAnsi="Times New Roman" w:cs="Times New Roman"/>
          <w:i/>
          <w:iCs/>
          <w:sz w:val="28"/>
          <w:szCs w:val="28"/>
          <w:u w:val="single"/>
        </w:rPr>
        <w:t>rán la acción del Gobierno para alcanzar los objetivos y metas que se hayan definido</w:t>
      </w:r>
      <w:r w:rsidRPr="0029329A">
        <w:rPr>
          <w:rFonts w:ascii="Times New Roman" w:eastAsia="Calibri" w:hAnsi="Times New Roman" w:cs="Times New Roman"/>
          <w:sz w:val="28"/>
          <w:szCs w:val="28"/>
        </w:rPr>
        <w:t xml:space="preserve">, y (iv) el señalamiento de las formas, medios e </w:t>
      </w:r>
      <w:r w:rsidRPr="0029329A">
        <w:rPr>
          <w:rFonts w:ascii="Times New Roman" w:eastAsia="Calibri" w:hAnsi="Times New Roman" w:cs="Times New Roman"/>
          <w:i/>
          <w:iCs/>
          <w:sz w:val="28"/>
          <w:szCs w:val="28"/>
        </w:rPr>
        <w:t>instrumentos de vinculación y armonización de la planeación nacional</w:t>
      </w:r>
      <w:r w:rsidRPr="0029329A">
        <w:rPr>
          <w:rFonts w:ascii="Times New Roman" w:eastAsia="Calibri" w:hAnsi="Times New Roman" w:cs="Times New Roman"/>
          <w:b/>
          <w:bCs/>
          <w:i/>
          <w:iCs/>
          <w:sz w:val="28"/>
          <w:szCs w:val="28"/>
        </w:rPr>
        <w:t xml:space="preserve"> </w:t>
      </w:r>
      <w:r w:rsidRPr="0029329A">
        <w:rPr>
          <w:rFonts w:ascii="Times New Roman" w:eastAsia="Calibri" w:hAnsi="Times New Roman" w:cs="Times New Roman"/>
          <w:i/>
          <w:iCs/>
          <w:sz w:val="28"/>
          <w:szCs w:val="28"/>
        </w:rPr>
        <w:t xml:space="preserve">con la planeación sectorial, regional, departamental, </w:t>
      </w:r>
      <w:r w:rsidRPr="0029329A">
        <w:rPr>
          <w:rFonts w:ascii="Times New Roman" w:eastAsia="Calibri" w:hAnsi="Times New Roman" w:cs="Times New Roman"/>
          <w:i/>
          <w:iCs/>
          <w:sz w:val="28"/>
          <w:szCs w:val="28"/>
        </w:rPr>
        <w:t>municipal, distrital y de las entidades territoriales indígenas</w:t>
      </w:r>
      <w:r w:rsidRPr="0029329A">
        <w:rPr>
          <w:rFonts w:ascii="Times New Roman" w:eastAsia="Calibri" w:hAnsi="Times New Roman" w:cs="Times New Roman"/>
          <w:sz w:val="28"/>
          <w:szCs w:val="28"/>
        </w:rPr>
        <w:t>, y de aquellas otras entidades territoriales que se constituyan en aplicación de las normas constitucionales vigentes.</w:t>
      </w:r>
    </w:p>
    <w:p w:rsidR="00ED670B" w:rsidRPr="0029329A" w:rsidRDefault="0029329A" w:rsidP="00ED670B">
      <w:pPr>
        <w:rPr>
          <w:rFonts w:ascii="Times New Roman" w:eastAsia="Calibri" w:hAnsi="Times New Roman" w:cs="Times New Roman"/>
          <w:sz w:val="28"/>
          <w:szCs w:val="28"/>
          <w:u w:val="single"/>
        </w:rPr>
      </w:pPr>
    </w:p>
    <w:p w:rsidR="00ED670B" w:rsidRPr="0029329A" w:rsidRDefault="0029329A" w:rsidP="00ED670B">
      <w:pPr>
        <w:rPr>
          <w:rFonts w:ascii="Times New Roman" w:eastAsia="Calibri" w:hAnsi="Times New Roman" w:cs="Times New Roman"/>
          <w:i/>
          <w:iCs/>
          <w:sz w:val="28"/>
          <w:szCs w:val="28"/>
        </w:rPr>
      </w:pPr>
      <w:r w:rsidRPr="0029329A">
        <w:rPr>
          <w:rFonts w:ascii="Times New Roman" w:eastAsia="Calibri" w:hAnsi="Times New Roman" w:cs="Times New Roman"/>
          <w:sz w:val="28"/>
          <w:szCs w:val="28"/>
        </w:rPr>
        <w:t xml:space="preserve">En cuanto al </w:t>
      </w:r>
      <w:r w:rsidRPr="0029329A">
        <w:rPr>
          <w:rFonts w:ascii="Times New Roman" w:eastAsia="Calibri" w:hAnsi="Times New Roman" w:cs="Times New Roman"/>
          <w:i/>
          <w:iCs/>
          <w:sz w:val="28"/>
          <w:szCs w:val="28"/>
          <w:u w:val="single"/>
        </w:rPr>
        <w:t>plan de inversiones</w:t>
      </w:r>
      <w:r w:rsidRPr="0029329A">
        <w:rPr>
          <w:rFonts w:ascii="Times New Roman" w:eastAsia="Calibri" w:hAnsi="Times New Roman" w:cs="Times New Roman"/>
          <w:sz w:val="28"/>
          <w:szCs w:val="28"/>
        </w:rPr>
        <w:t xml:space="preserve">, el artículo 6 de la ley establece que </w:t>
      </w:r>
      <w:r w:rsidRPr="0029329A">
        <w:rPr>
          <w:rFonts w:ascii="Times New Roman" w:eastAsia="Calibri" w:hAnsi="Times New Roman" w:cs="Times New Roman"/>
          <w:sz w:val="28"/>
          <w:szCs w:val="28"/>
        </w:rPr>
        <w:t xml:space="preserve">contendrá: (i) la </w:t>
      </w:r>
      <w:r w:rsidRPr="0029329A">
        <w:rPr>
          <w:rFonts w:ascii="Times New Roman" w:eastAsia="Calibri" w:hAnsi="Times New Roman" w:cs="Times New Roman"/>
          <w:i/>
          <w:iCs/>
          <w:sz w:val="28"/>
          <w:szCs w:val="28"/>
        </w:rPr>
        <w:t>proyección de los recursos financieros disponibles para su ejecución</w:t>
      </w:r>
      <w:r w:rsidRPr="0029329A">
        <w:rPr>
          <w:rFonts w:ascii="Times New Roman" w:eastAsia="Calibri" w:hAnsi="Times New Roman" w:cs="Times New Roman"/>
          <w:sz w:val="28"/>
          <w:szCs w:val="28"/>
        </w:rPr>
        <w:t xml:space="preserve"> y su armonización con los planes de gasto público, (ii) la </w:t>
      </w:r>
      <w:r w:rsidRPr="0029329A">
        <w:rPr>
          <w:rFonts w:ascii="Times New Roman" w:eastAsia="Calibri" w:hAnsi="Times New Roman" w:cs="Times New Roman"/>
          <w:i/>
          <w:iCs/>
          <w:sz w:val="28"/>
          <w:szCs w:val="28"/>
        </w:rPr>
        <w:t>descripción de los principales programas y subprogramas, con indicación de sus objetivos y metas nacionales, r</w:t>
      </w:r>
      <w:r w:rsidRPr="0029329A">
        <w:rPr>
          <w:rFonts w:ascii="Times New Roman" w:eastAsia="Calibri" w:hAnsi="Times New Roman" w:cs="Times New Roman"/>
          <w:i/>
          <w:iCs/>
          <w:sz w:val="28"/>
          <w:szCs w:val="28"/>
        </w:rPr>
        <w:t>egionales y sectoriales y los proyectos prioritarios de inversión</w:t>
      </w:r>
      <w:r w:rsidRPr="0029329A">
        <w:rPr>
          <w:rFonts w:ascii="Times New Roman" w:eastAsia="Calibri" w:hAnsi="Times New Roman" w:cs="Times New Roman"/>
          <w:sz w:val="28"/>
          <w:szCs w:val="28"/>
        </w:rPr>
        <w:t xml:space="preserve">, (iii) los </w:t>
      </w:r>
      <w:r w:rsidRPr="0029329A">
        <w:rPr>
          <w:rFonts w:ascii="Times New Roman" w:eastAsia="Calibri" w:hAnsi="Times New Roman" w:cs="Times New Roman"/>
          <w:i/>
          <w:iCs/>
          <w:sz w:val="28"/>
          <w:szCs w:val="28"/>
        </w:rPr>
        <w:t>presupuestos plurianuales</w:t>
      </w:r>
      <w:r w:rsidRPr="0029329A">
        <w:rPr>
          <w:rFonts w:ascii="Times New Roman" w:eastAsia="Calibri" w:hAnsi="Times New Roman" w:cs="Times New Roman"/>
          <w:sz w:val="28"/>
          <w:szCs w:val="28"/>
        </w:rPr>
        <w:t xml:space="preserve"> mediante los cuales se proyectarán los costos de los </w:t>
      </w:r>
      <w:r w:rsidRPr="0029329A">
        <w:rPr>
          <w:rFonts w:ascii="Times New Roman" w:eastAsia="Calibri" w:hAnsi="Times New Roman" w:cs="Times New Roman"/>
          <w:i/>
          <w:iCs/>
          <w:sz w:val="28"/>
          <w:szCs w:val="28"/>
        </w:rPr>
        <w:t>programas más importantes de inversión pública contemplados en la parte general</w:t>
      </w:r>
      <w:r w:rsidRPr="0029329A">
        <w:rPr>
          <w:rFonts w:ascii="Times New Roman" w:eastAsia="Calibri" w:hAnsi="Times New Roman" w:cs="Times New Roman"/>
          <w:sz w:val="28"/>
          <w:szCs w:val="28"/>
        </w:rPr>
        <w:t>, y (iv) l</w:t>
      </w:r>
      <w:r w:rsidRPr="0029329A">
        <w:rPr>
          <w:rFonts w:ascii="Times New Roman" w:eastAsia="Calibri" w:hAnsi="Times New Roman" w:cs="Times New Roman"/>
          <w:i/>
          <w:iCs/>
          <w:sz w:val="28"/>
          <w:szCs w:val="28"/>
        </w:rPr>
        <w:t>a especific</w:t>
      </w:r>
      <w:r w:rsidRPr="0029329A">
        <w:rPr>
          <w:rFonts w:ascii="Times New Roman" w:eastAsia="Calibri" w:hAnsi="Times New Roman" w:cs="Times New Roman"/>
          <w:i/>
          <w:iCs/>
          <w:sz w:val="28"/>
          <w:szCs w:val="28"/>
        </w:rPr>
        <w:t>ación de los mecanismos idóneos para su ejecución.</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Conforme al artículo 3 de la Ley, la parte general tiene un </w:t>
      </w:r>
      <w:r w:rsidRPr="0029329A">
        <w:rPr>
          <w:rFonts w:ascii="Times New Roman" w:eastAsia="Calibri" w:hAnsi="Times New Roman" w:cs="Times New Roman"/>
          <w:i/>
          <w:iCs/>
          <w:sz w:val="28"/>
          <w:szCs w:val="28"/>
        </w:rPr>
        <w:t>carácter estratégico</w:t>
      </w:r>
      <w:r w:rsidRPr="0029329A">
        <w:rPr>
          <w:rFonts w:ascii="Times New Roman" w:eastAsia="Calibri" w:hAnsi="Times New Roman" w:cs="Times New Roman"/>
          <w:sz w:val="28"/>
          <w:szCs w:val="28"/>
        </w:rPr>
        <w:t xml:space="preserve"> mientras que el plan de inversiones tiene </w:t>
      </w:r>
      <w:r w:rsidRPr="0029329A">
        <w:rPr>
          <w:rFonts w:ascii="Times New Roman" w:eastAsia="Calibri" w:hAnsi="Times New Roman" w:cs="Times New Roman"/>
          <w:i/>
          <w:iCs/>
          <w:sz w:val="28"/>
          <w:szCs w:val="28"/>
        </w:rPr>
        <w:t>carácter operativo</w:t>
      </w:r>
      <w:r w:rsidRPr="0029329A">
        <w:rPr>
          <w:rFonts w:ascii="Times New Roman" w:eastAsia="Calibri" w:hAnsi="Times New Roman" w:cs="Times New Roman"/>
          <w:sz w:val="28"/>
          <w:szCs w:val="28"/>
        </w:rPr>
        <w:t>.</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5. En cuanto al contenido de la ley, los artículos 150.3 y 3</w:t>
      </w:r>
      <w:r w:rsidRPr="0029329A">
        <w:rPr>
          <w:rFonts w:ascii="Times New Roman" w:eastAsia="Calibri" w:hAnsi="Times New Roman" w:cs="Times New Roman"/>
          <w:sz w:val="28"/>
          <w:szCs w:val="28"/>
        </w:rPr>
        <w:t xml:space="preserve">41 de la Constitución y los artículos 5 y 6 de la Ley 152 de 1994, disponen que debe contener el plan nacional de inversiones públicas, los recursos y apropiaciones que se autoricen para su ejecución, </w:t>
      </w:r>
      <w:r w:rsidRPr="0029329A">
        <w:rPr>
          <w:rFonts w:ascii="Times New Roman" w:hAnsi="Times New Roman" w:cs="Times New Roman"/>
          <w:sz w:val="28"/>
          <w:szCs w:val="28"/>
        </w:rPr>
        <w:t>los mecanismos idóneos para la ejecución del plan de in</w:t>
      </w:r>
      <w:r w:rsidRPr="0029329A">
        <w:rPr>
          <w:rFonts w:ascii="Times New Roman" w:hAnsi="Times New Roman" w:cs="Times New Roman"/>
          <w:sz w:val="28"/>
          <w:szCs w:val="28"/>
        </w:rPr>
        <w:t>versiones</w:t>
      </w:r>
      <w:r w:rsidRPr="0029329A">
        <w:rPr>
          <w:rStyle w:val="Refdenotaalpie"/>
          <w:rFonts w:ascii="Times New Roman" w:hAnsi="Times New Roman"/>
          <w:sz w:val="28"/>
          <w:szCs w:val="28"/>
        </w:rPr>
        <w:footnoteReference w:id="165"/>
      </w:r>
      <w:r w:rsidRPr="0029329A">
        <w:rPr>
          <w:rFonts w:ascii="Times New Roman" w:hAnsi="Times New Roman" w:cs="Times New Roman"/>
          <w:sz w:val="28"/>
          <w:szCs w:val="28"/>
        </w:rPr>
        <w:t xml:space="preserve">, y </w:t>
      </w:r>
      <w:r w:rsidRPr="0029329A">
        <w:rPr>
          <w:rFonts w:ascii="Times New Roman" w:eastAsia="Calibri" w:hAnsi="Times New Roman" w:cs="Times New Roman"/>
          <w:sz w:val="28"/>
          <w:szCs w:val="28"/>
        </w:rPr>
        <w:t>las medidas necesarias para impulsar el cumplimiento del plan. Si el Congreso no aprueba el Plan Nacional de Inversiones Públicas en un término de tres meses después de presentado, el gobierno podrá ponerlo en vigencia mediante decreto con fu</w:t>
      </w:r>
      <w:r w:rsidRPr="0029329A">
        <w:rPr>
          <w:rFonts w:ascii="Times New Roman" w:eastAsia="Calibri" w:hAnsi="Times New Roman" w:cs="Times New Roman"/>
          <w:sz w:val="28"/>
          <w:szCs w:val="28"/>
        </w:rPr>
        <w:t>erza de ley.</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6. La ley aprobatoria del plan nacional de desarrollo es una ley ordinaria y, por tanto, su aprobación sólo requiere la mayoría de los votos de los asistentes (mayoría simple). La ley se tramita mediante un procedimiento especial regulado en </w:t>
      </w:r>
      <w:r w:rsidRPr="0029329A">
        <w:rPr>
          <w:rFonts w:ascii="Times New Roman" w:eastAsia="Calibri" w:hAnsi="Times New Roman" w:cs="Times New Roman"/>
          <w:sz w:val="28"/>
          <w:szCs w:val="28"/>
        </w:rPr>
        <w:t>el artículo 341 de la Constitución y en la Ley Orgánica 152 de 1994, procedimiento</w:t>
      </w:r>
      <w:r w:rsidRPr="0029329A">
        <w:rPr>
          <w:rFonts w:ascii="Times New Roman" w:eastAsia="Calibri" w:hAnsi="Times New Roman" w:cs="Times New Roman"/>
          <w:sz w:val="28"/>
          <w:szCs w:val="28"/>
        </w:rPr>
        <w:t xml:space="preserve"> que, como se verá enseguida, resulta ser más restrictivo que el procedimiento legislativo ordinario</w:t>
      </w:r>
      <w:r w:rsidRPr="0029329A">
        <w:rPr>
          <w:rFonts w:ascii="Times New Roman" w:eastAsia="Calibri" w:hAnsi="Times New Roman" w:cs="Times New Roman"/>
          <w:sz w:val="28"/>
          <w:szCs w:val="28"/>
        </w:rPr>
        <w:t>.</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Esto es así porque esa fue la decisión expresa del constituyente al dec</w:t>
      </w:r>
      <w:r w:rsidRPr="0029329A">
        <w:rPr>
          <w:rFonts w:ascii="Times New Roman" w:hAnsi="Times New Roman" w:cs="Times New Roman"/>
          <w:sz w:val="28"/>
          <w:szCs w:val="28"/>
        </w:rPr>
        <w:t xml:space="preserve">idir sobre la competencia del congreso en relación con el plan nacional de desarrollo. En efecto, en los debates de sesión plenaria, al decidir sobre el papel del congreso en materia de planeación, se acordó dejar entre corchetes la palabra “aprobar” (ver </w:t>
      </w:r>
      <w:r w:rsidRPr="0029329A">
        <w:rPr>
          <w:rFonts w:ascii="Times New Roman" w:hAnsi="Times New Roman" w:cs="Times New Roman"/>
          <w:sz w:val="28"/>
          <w:szCs w:val="28"/>
        </w:rPr>
        <w:t>transcripción sesión Junio 11 de 1991). Luego en la Comisión codificadora (junio 14 de 1991), se dijo:</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p>
    <w:p w:rsidR="00ED670B" w:rsidRPr="0029329A" w:rsidRDefault="0029329A" w:rsidP="00ED670B">
      <w:pPr>
        <w:pStyle w:val="NormalWeb"/>
        <w:spacing w:before="0" w:beforeAutospacing="0" w:after="0" w:afterAutospacing="0"/>
        <w:ind w:left="708"/>
        <w:jc w:val="both"/>
        <w:rPr>
          <w:rFonts w:ascii="Times New Roman" w:hAnsi="Times New Roman" w:cs="Times New Roman"/>
          <w:i/>
          <w:iCs/>
          <w:sz w:val="28"/>
        </w:rPr>
      </w:pPr>
      <w:r w:rsidRPr="0029329A">
        <w:rPr>
          <w:rFonts w:ascii="Times New Roman" w:hAnsi="Times New Roman" w:cs="Times New Roman"/>
          <w:i/>
          <w:iCs/>
          <w:sz w:val="28"/>
        </w:rPr>
        <w:t xml:space="preserve">“(...) la intención, al menos en las discusiones en la comisión, era la de circunscribir la función del Congreso, la función legislativa, a la </w:t>
      </w:r>
      <w:r w:rsidRPr="0029329A">
        <w:rPr>
          <w:rFonts w:ascii="Times New Roman" w:hAnsi="Times New Roman" w:cs="Times New Roman"/>
          <w:i/>
          <w:iCs/>
          <w:sz w:val="28"/>
          <w:u w:val="single"/>
        </w:rPr>
        <w:t>aprobació</w:t>
      </w:r>
      <w:r w:rsidRPr="0029329A">
        <w:rPr>
          <w:rFonts w:ascii="Times New Roman" w:hAnsi="Times New Roman" w:cs="Times New Roman"/>
          <w:i/>
          <w:iCs/>
          <w:sz w:val="28"/>
          <w:u w:val="single"/>
        </w:rPr>
        <w:t>n</w:t>
      </w:r>
      <w:r w:rsidRPr="0029329A">
        <w:rPr>
          <w:rFonts w:ascii="Times New Roman" w:hAnsi="Times New Roman" w:cs="Times New Roman"/>
          <w:i/>
          <w:iCs/>
          <w:sz w:val="28"/>
        </w:rPr>
        <w:t xml:space="preserve">, por considerar que el verbo </w:t>
      </w:r>
      <w:r w:rsidRPr="0029329A">
        <w:rPr>
          <w:rFonts w:ascii="Times New Roman" w:hAnsi="Times New Roman" w:cs="Times New Roman"/>
          <w:i/>
          <w:iCs/>
          <w:sz w:val="28"/>
          <w:u w:val="single"/>
        </w:rPr>
        <w:t>fijar</w:t>
      </w:r>
      <w:r w:rsidRPr="0029329A">
        <w:rPr>
          <w:rFonts w:ascii="Times New Roman" w:hAnsi="Times New Roman" w:cs="Times New Roman"/>
          <w:i/>
          <w:iCs/>
          <w:sz w:val="28"/>
        </w:rPr>
        <w:t xml:space="preserve"> tenía una connotación más amplia, ese fue un criterio que se tuvo en cuenta en las discusiones en la Comisión”.</w:t>
      </w:r>
    </w:p>
    <w:p w:rsidR="00ED670B" w:rsidRPr="0029329A" w:rsidRDefault="0029329A" w:rsidP="00ED670B">
      <w:pPr>
        <w:pStyle w:val="NormalWeb"/>
        <w:spacing w:before="0" w:beforeAutospacing="0" w:after="0" w:afterAutospacing="0"/>
        <w:ind w:left="708"/>
        <w:jc w:val="both"/>
        <w:rPr>
          <w:rFonts w:ascii="Times New Roman" w:hAnsi="Times New Roman" w:cs="Times New Roman"/>
          <w:i/>
          <w:iCs/>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 xml:space="preserve">Así mismo, dicha Comisión, al examinar la redacción del artículo 150.3, hizo alusión a la redacción del </w:t>
      </w:r>
      <w:r w:rsidRPr="0029329A">
        <w:rPr>
          <w:rFonts w:ascii="Times New Roman" w:hAnsi="Times New Roman" w:cs="Times New Roman"/>
          <w:sz w:val="28"/>
          <w:szCs w:val="28"/>
        </w:rPr>
        <w:t>numeral 4 del artículo 76 de la Constitución anterior, para explicar el cambio de la palabra “fijar” por el de “aprobar” con el propósito explícito de limitar la competencia del Congreso:</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p>
    <w:p w:rsidR="00ED670B" w:rsidRPr="0029329A" w:rsidRDefault="0029329A" w:rsidP="00ED670B">
      <w:pPr>
        <w:pStyle w:val="NormalWeb"/>
        <w:spacing w:before="0" w:beforeAutospacing="0" w:after="0" w:afterAutospacing="0"/>
        <w:ind w:left="708"/>
        <w:jc w:val="both"/>
        <w:rPr>
          <w:rFonts w:ascii="Times New Roman" w:hAnsi="Times New Roman" w:cs="Times New Roman"/>
          <w:i/>
          <w:iCs/>
          <w:sz w:val="28"/>
        </w:rPr>
      </w:pPr>
      <w:r w:rsidRPr="0029329A">
        <w:rPr>
          <w:rFonts w:ascii="Times New Roman" w:hAnsi="Times New Roman" w:cs="Times New Roman"/>
          <w:i/>
          <w:iCs/>
          <w:sz w:val="28"/>
        </w:rPr>
        <w:t>“(...) está más preciso el numeral cuarto actual del artículo 76 qu</w:t>
      </w:r>
      <w:r w:rsidRPr="0029329A">
        <w:rPr>
          <w:rFonts w:ascii="Times New Roman" w:hAnsi="Times New Roman" w:cs="Times New Roman"/>
          <w:i/>
          <w:iCs/>
          <w:sz w:val="28"/>
        </w:rPr>
        <w:t xml:space="preserve">e este proyecto que se hizo, que es un recorte del actual numeral 4, que no es especialmente afortunado, salvo en cuanto a lo que la Comisión Quinta en lugar de dejar la expresión </w:t>
      </w:r>
      <w:r w:rsidRPr="0029329A">
        <w:rPr>
          <w:rFonts w:ascii="Times New Roman" w:hAnsi="Times New Roman" w:cs="Times New Roman"/>
          <w:i/>
          <w:iCs/>
          <w:sz w:val="28"/>
          <w:u w:val="single"/>
        </w:rPr>
        <w:t>fijar</w:t>
      </w:r>
      <w:r w:rsidRPr="0029329A">
        <w:rPr>
          <w:rFonts w:ascii="Times New Roman" w:hAnsi="Times New Roman" w:cs="Times New Roman"/>
          <w:i/>
          <w:iCs/>
          <w:sz w:val="28"/>
        </w:rPr>
        <w:t xml:space="preserve"> los planes que tiene el artículo actual, puso </w:t>
      </w:r>
      <w:r w:rsidRPr="0029329A">
        <w:rPr>
          <w:rFonts w:ascii="Times New Roman" w:hAnsi="Times New Roman" w:cs="Times New Roman"/>
          <w:i/>
          <w:iCs/>
          <w:sz w:val="28"/>
          <w:u w:val="single"/>
        </w:rPr>
        <w:t xml:space="preserve">aprobar, para disminuir </w:t>
      </w:r>
      <w:r w:rsidRPr="0029329A">
        <w:rPr>
          <w:rFonts w:ascii="Times New Roman" w:hAnsi="Times New Roman" w:cs="Times New Roman"/>
          <w:i/>
          <w:iCs/>
          <w:sz w:val="28"/>
          <w:u w:val="single"/>
        </w:rPr>
        <w:t>un poco esa facultad del Congreso</w:t>
      </w:r>
      <w:r w:rsidRPr="0029329A">
        <w:rPr>
          <w:rFonts w:ascii="Times New Roman" w:hAnsi="Times New Roman" w:cs="Times New Roman"/>
          <w:i/>
          <w:iCs/>
          <w:sz w:val="28"/>
        </w:rPr>
        <w:t>”.</w:t>
      </w:r>
    </w:p>
    <w:p w:rsidR="00ED670B" w:rsidRPr="0029329A" w:rsidRDefault="0029329A" w:rsidP="00ED670B">
      <w:pPr>
        <w:rPr>
          <w:rFonts w:ascii="Times New Roman" w:hAnsi="Times New Roman" w:cs="Times New Roman"/>
          <w:sz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7. En concordancia con tal determinación del constituyente, la Ley Orgánica 152 de 1994 reguló un procedimiento de aprobación del plan nacional de desarrollo que resulta ser el más restrictivo de todos los procedimiento</w:t>
      </w:r>
      <w:r w:rsidRPr="0029329A">
        <w:rPr>
          <w:rFonts w:ascii="Times New Roman" w:eastAsia="Calibri" w:hAnsi="Times New Roman" w:cs="Times New Roman"/>
          <w:sz w:val="28"/>
          <w:szCs w:val="28"/>
        </w:rPr>
        <w:t>s legislativos de formación de las leyes.</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En efecto, el plan debe ser aprobado en un término máximo de tres meses después de presentado por el Gobierno pues, si no lo hace, el Congreso pierde competencia y corresponderá al Gobierno poner en vigencia el pl</w:t>
      </w:r>
      <w:r w:rsidRPr="0029329A">
        <w:rPr>
          <w:rFonts w:ascii="Times New Roman" w:eastAsia="Calibri" w:hAnsi="Times New Roman" w:cs="Times New Roman"/>
          <w:sz w:val="28"/>
          <w:szCs w:val="28"/>
        </w:rPr>
        <w:t>an de inversiones públicas mediante decreto con fuerza de ley. El primer debate se adelantará en las comisiones de asuntos económicos de ambas Cámaras en sesión conjunta, en un término improrrogable de cuarenta y cinco días. Con fundamento en el informe qu</w:t>
      </w:r>
      <w:r w:rsidRPr="0029329A">
        <w:rPr>
          <w:rFonts w:ascii="Times New Roman" w:eastAsia="Calibri" w:hAnsi="Times New Roman" w:cs="Times New Roman"/>
          <w:sz w:val="28"/>
          <w:szCs w:val="28"/>
        </w:rPr>
        <w:t>e elaboren las comisiones conjuntas de asuntos económicos cada una de las Cámaras en sesión plenaria discutirá y decidirá sobre el proyecto presentado en un término improrrogable de cuarenta y cinco días.</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El Congreso carece de competencia para introducir </w:t>
      </w:r>
      <w:r w:rsidRPr="0029329A">
        <w:rPr>
          <w:rFonts w:ascii="Times New Roman" w:eastAsia="Calibri" w:hAnsi="Times New Roman" w:cs="Times New Roman"/>
          <w:sz w:val="28"/>
          <w:szCs w:val="28"/>
        </w:rPr>
        <w:t xml:space="preserve">modificaciones a la parte general del plan y, por tal razón, sus desacuerdos con el contenido de esta parte </w:t>
      </w:r>
      <w:r w:rsidRPr="0029329A">
        <w:rPr>
          <w:rFonts w:ascii="Times New Roman" w:eastAsia="Calibri" w:hAnsi="Times New Roman" w:cs="Times New Roman"/>
          <w:i/>
          <w:iCs/>
          <w:sz w:val="28"/>
          <w:szCs w:val="28"/>
        </w:rPr>
        <w:t>no serán obstáculo para que el gobierno ejecute las políticas propuestas en lo que sea de su competencia</w:t>
      </w:r>
      <w:r w:rsidRPr="0029329A">
        <w:rPr>
          <w:rFonts w:ascii="Times New Roman" w:eastAsia="Calibri" w:hAnsi="Times New Roman" w:cs="Times New Roman"/>
          <w:sz w:val="28"/>
          <w:szCs w:val="28"/>
        </w:rPr>
        <w:t>. Sin embargo, puede introducir modificacion</w:t>
      </w:r>
      <w:r w:rsidRPr="0029329A">
        <w:rPr>
          <w:rFonts w:ascii="Times New Roman" w:eastAsia="Calibri" w:hAnsi="Times New Roman" w:cs="Times New Roman"/>
          <w:sz w:val="28"/>
          <w:szCs w:val="28"/>
        </w:rPr>
        <w:t>es al</w:t>
      </w:r>
      <w:r w:rsidRPr="0029329A">
        <w:rPr>
          <w:rFonts w:ascii="Times New Roman" w:eastAsia="Calibri" w:hAnsi="Times New Roman" w:cs="Times New Roman"/>
          <w:i/>
          <w:iCs/>
          <w:sz w:val="28"/>
          <w:szCs w:val="28"/>
        </w:rPr>
        <w:t xml:space="preserve"> Plan de Inversiones Públicas</w:t>
      </w:r>
      <w:r w:rsidRPr="0029329A">
        <w:rPr>
          <w:rFonts w:ascii="Times New Roman" w:eastAsia="Calibri" w:hAnsi="Times New Roman" w:cs="Times New Roman"/>
          <w:sz w:val="28"/>
          <w:szCs w:val="28"/>
        </w:rPr>
        <w:t xml:space="preserve"> pero sólo si cuenta previamente con </w:t>
      </w:r>
      <w:r w:rsidRPr="0029329A">
        <w:rPr>
          <w:rFonts w:ascii="Times New Roman" w:eastAsia="Calibri" w:hAnsi="Times New Roman" w:cs="Times New Roman"/>
          <w:i/>
          <w:iCs/>
          <w:sz w:val="28"/>
          <w:szCs w:val="28"/>
        </w:rPr>
        <w:t>aprobación por escrito del Ministro de Hacienda</w:t>
      </w:r>
      <w:r w:rsidRPr="0029329A">
        <w:rPr>
          <w:rFonts w:ascii="Times New Roman" w:eastAsia="Calibri" w:hAnsi="Times New Roman" w:cs="Times New Roman"/>
          <w:sz w:val="28"/>
          <w:szCs w:val="28"/>
        </w:rPr>
        <w:t xml:space="preserve"> y Crédito Público y siempre y cuando se mantenga el equilibrio financiero.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8. Conforme al anterior marco constitucional y legal, caben l</w:t>
      </w:r>
      <w:r w:rsidRPr="0029329A">
        <w:rPr>
          <w:rFonts w:ascii="Times New Roman" w:eastAsia="Calibri" w:hAnsi="Times New Roman" w:cs="Times New Roman"/>
          <w:sz w:val="28"/>
          <w:szCs w:val="28"/>
        </w:rPr>
        <w:t>as siguientes consideraciones:</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eastAsia="Calibri" w:hAnsi="Times New Roman" w:cs="Times New Roman"/>
          <w:sz w:val="28"/>
          <w:szCs w:val="28"/>
        </w:rPr>
        <w:t xml:space="preserve">8.1. </w:t>
      </w:r>
      <w:r w:rsidRPr="0029329A">
        <w:rPr>
          <w:rFonts w:ascii="Times New Roman" w:eastAsia="Calibri" w:hAnsi="Times New Roman" w:cs="Times New Roman"/>
          <w:sz w:val="28"/>
          <w:szCs w:val="28"/>
          <w:u w:val="single"/>
        </w:rPr>
        <w:t>En relación con el principio de unidad de materia</w:t>
      </w:r>
      <w:r w:rsidRPr="0029329A">
        <w:rPr>
          <w:rFonts w:ascii="Times New Roman" w:eastAsia="Calibri" w:hAnsi="Times New Roman" w:cs="Times New Roman"/>
          <w:sz w:val="28"/>
          <w:szCs w:val="28"/>
        </w:rPr>
        <w:t>. El contenido del plan nacional de desarrollo es muy amplio pues abarca los diversos objetivos y metas nacionales y sectoriales de la acción estatal en el mediano y en e</w:t>
      </w:r>
      <w:r w:rsidRPr="0029329A">
        <w:rPr>
          <w:rFonts w:ascii="Times New Roman" w:eastAsia="Calibri" w:hAnsi="Times New Roman" w:cs="Times New Roman"/>
          <w:sz w:val="28"/>
          <w:szCs w:val="28"/>
        </w:rPr>
        <w:t xml:space="preserve">l largo plazo; las estrategias y políticas en materia económica, social y ambiental conducentes a realizar tales objetivos y metas; y los programas y proyectos de inversión que, en virtud del principio de coherencia, </w:t>
      </w:r>
      <w:r w:rsidRPr="0029329A">
        <w:rPr>
          <w:rFonts w:ascii="Times New Roman" w:hAnsi="Times New Roman" w:cs="Times New Roman"/>
          <w:sz w:val="28"/>
          <w:szCs w:val="28"/>
        </w:rPr>
        <w:t>deben tener una relación efectiva con l</w:t>
      </w:r>
      <w:r w:rsidRPr="0029329A">
        <w:rPr>
          <w:rFonts w:ascii="Times New Roman" w:hAnsi="Times New Roman" w:cs="Times New Roman"/>
          <w:sz w:val="28"/>
          <w:szCs w:val="28"/>
        </w:rPr>
        <w:t>as estrategias y políticas que el gobierno pretende implementar durante su período.</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La Corte, sin embargo, al abordar el cumplimiento del principio de unidad de materia en las leyes aprobatorias de los planes de desarrollo, no ha sido precisa al señalar e</w:t>
      </w:r>
      <w:r w:rsidRPr="0029329A">
        <w:rPr>
          <w:rFonts w:ascii="Times New Roman" w:hAnsi="Times New Roman" w:cs="Times New Roman"/>
          <w:sz w:val="28"/>
          <w:szCs w:val="28"/>
        </w:rPr>
        <w:t>l contenido del plan respecto del cual cabe exigir que las disposiciones de la ley aprobatoria tengan unidad material o temática. En efecto, la Corte se ha referido indistintamente a la parte general, a los objetivos y metas de la acción estatal, a las bas</w:t>
      </w:r>
      <w:r w:rsidRPr="0029329A">
        <w:rPr>
          <w:rFonts w:ascii="Times New Roman" w:hAnsi="Times New Roman" w:cs="Times New Roman"/>
          <w:sz w:val="28"/>
          <w:szCs w:val="28"/>
        </w:rPr>
        <w:t>es generales del plan, a las estrategias y políticas del gobierno, a los programas de inversión, etc., razón por la que resulta indispensable establecer con precisión el contenido del plan que ha de servir de referente para dicho análisis.</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hAnsi="Times New Roman" w:cs="Times New Roman"/>
          <w:sz w:val="28"/>
          <w:szCs w:val="28"/>
        </w:rPr>
        <w:t>En mi opinión t</w:t>
      </w:r>
      <w:r w:rsidRPr="0029329A">
        <w:rPr>
          <w:rFonts w:ascii="Times New Roman" w:hAnsi="Times New Roman" w:cs="Times New Roman"/>
          <w:sz w:val="28"/>
          <w:szCs w:val="28"/>
        </w:rPr>
        <w:t>al referente no puede ser otro que</w:t>
      </w:r>
      <w:r w:rsidRPr="0029329A">
        <w:rPr>
          <w:rFonts w:ascii="Times New Roman" w:eastAsia="Calibri" w:hAnsi="Times New Roman" w:cs="Times New Roman"/>
          <w:sz w:val="28"/>
          <w:szCs w:val="28"/>
        </w:rPr>
        <w:t xml:space="preserve"> las</w:t>
      </w:r>
      <w:r w:rsidRPr="0029329A">
        <w:rPr>
          <w:rFonts w:ascii="Times New Roman" w:eastAsia="Calibri" w:hAnsi="Times New Roman" w:cs="Times New Roman"/>
          <w:i/>
          <w:iCs/>
          <w:sz w:val="28"/>
          <w:szCs w:val="28"/>
        </w:rPr>
        <w:t xml:space="preserve"> estrategias y políticas en materia económica, social y ambiental </w:t>
      </w:r>
      <w:r w:rsidRPr="0029329A">
        <w:rPr>
          <w:rFonts w:ascii="Times New Roman" w:eastAsia="Calibri" w:hAnsi="Times New Roman" w:cs="Times New Roman"/>
          <w:sz w:val="28"/>
          <w:szCs w:val="28"/>
        </w:rPr>
        <w:t>que guiarán la acción del gobierno durante el período para el cual fue elegido con el propósito de realizar los objetivos y metas nacionales y sectorial</w:t>
      </w:r>
      <w:r w:rsidRPr="0029329A">
        <w:rPr>
          <w:rFonts w:ascii="Times New Roman" w:eastAsia="Calibri" w:hAnsi="Times New Roman" w:cs="Times New Roman"/>
          <w:sz w:val="28"/>
          <w:szCs w:val="28"/>
        </w:rPr>
        <w:t>es de la acción estatal.</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eastAsia="Calibri" w:hAnsi="Times New Roman" w:cs="Times New Roman"/>
          <w:sz w:val="28"/>
          <w:szCs w:val="28"/>
        </w:rPr>
        <w:t xml:space="preserve">En efecto, si bien la parte general, de conformidad con los </w:t>
      </w:r>
      <w:r w:rsidRPr="0029329A">
        <w:rPr>
          <w:rFonts w:ascii="Times New Roman" w:hAnsi="Times New Roman" w:cs="Times New Roman"/>
          <w:sz w:val="28"/>
          <w:szCs w:val="28"/>
        </w:rPr>
        <w:t>artículos 4, 5 y 6 de la Ley Orgánica del Plan, debe contener los objetivos y metas nacionales y sectoriales de la acción estatal a mediano y largo plazo, lo cierto es qu</w:t>
      </w:r>
      <w:r w:rsidRPr="0029329A">
        <w:rPr>
          <w:rFonts w:ascii="Times New Roman" w:hAnsi="Times New Roman" w:cs="Times New Roman"/>
          <w:sz w:val="28"/>
          <w:szCs w:val="28"/>
        </w:rPr>
        <w:t>e las estrategias y políticas en materia económica, social y ambiental, deben formularse en términos de guía de la acción del Gobierno durante su respectivo período para alcanzar los objetivos y metas nacionales y sectoriales de la acción estatal que se ha</w:t>
      </w:r>
      <w:r w:rsidRPr="0029329A">
        <w:rPr>
          <w:rFonts w:ascii="Times New Roman" w:hAnsi="Times New Roman" w:cs="Times New Roman"/>
          <w:sz w:val="28"/>
          <w:szCs w:val="28"/>
        </w:rPr>
        <w:t xml:space="preserve">yan definido, como lo entendieron </w:t>
      </w:r>
      <w:r w:rsidRPr="0029329A">
        <w:rPr>
          <w:rFonts w:ascii="Times New Roman" w:eastAsia="Calibri" w:hAnsi="Times New Roman" w:cs="Times New Roman"/>
          <w:sz w:val="28"/>
          <w:szCs w:val="28"/>
        </w:rPr>
        <w:t>desde la formulación del proyecto de ley orgánica tanto el gobierno como el Congreso.</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 xml:space="preserve">Es decir que en las estrategias y políticas se concretan los objetivos y metas nacionales y sectoriales de la acción del Estado que el </w:t>
      </w:r>
      <w:r w:rsidRPr="0029329A">
        <w:rPr>
          <w:rFonts w:ascii="Times New Roman" w:hAnsi="Times New Roman" w:cs="Times New Roman"/>
          <w:sz w:val="28"/>
          <w:szCs w:val="28"/>
        </w:rPr>
        <w:t xml:space="preserve">Gobierno pretende realizar durante el período para el cual fue elegido y es, por tanto, respecto de dichas </w:t>
      </w:r>
      <w:r w:rsidRPr="0029329A">
        <w:rPr>
          <w:rFonts w:ascii="Times New Roman" w:hAnsi="Times New Roman" w:cs="Times New Roman"/>
          <w:i/>
          <w:iCs/>
          <w:sz w:val="28"/>
          <w:szCs w:val="28"/>
        </w:rPr>
        <w:t>estrategias y políticas</w:t>
      </w:r>
      <w:r w:rsidRPr="0029329A">
        <w:rPr>
          <w:rFonts w:ascii="Times New Roman" w:hAnsi="Times New Roman" w:cs="Times New Roman"/>
          <w:sz w:val="28"/>
          <w:szCs w:val="28"/>
        </w:rPr>
        <w:t xml:space="preserve"> gubernamentales que tiene sentido predicar el principio de unidad de materia pues las medidas instrumentales que se pueden in</w:t>
      </w:r>
      <w:r w:rsidRPr="0029329A">
        <w:rPr>
          <w:rFonts w:ascii="Times New Roman" w:hAnsi="Times New Roman" w:cs="Times New Roman"/>
          <w:sz w:val="28"/>
          <w:szCs w:val="28"/>
        </w:rPr>
        <w:t>cluir en la ley aprobatoria deben tener por finalidad impulsar el cumplimiento del plan que, en lo fundamental, tiene por objeto determinar las “</w:t>
      </w:r>
      <w:r w:rsidRPr="0029329A">
        <w:rPr>
          <w:rFonts w:ascii="Times New Roman" w:hAnsi="Times New Roman" w:cs="Times New Roman"/>
          <w:b/>
          <w:bCs/>
          <w:i/>
          <w:iCs/>
          <w:sz w:val="28"/>
          <w:szCs w:val="28"/>
        </w:rPr>
        <w:t xml:space="preserve">estrategias y políticas en materia económica, social y ambiental que guiarán la acción del Gobierno para </w:t>
      </w:r>
      <w:r w:rsidRPr="0029329A">
        <w:rPr>
          <w:rFonts w:ascii="Times New Roman" w:hAnsi="Times New Roman" w:cs="Times New Roman"/>
          <w:b/>
          <w:bCs/>
          <w:i/>
          <w:iCs/>
          <w:sz w:val="28"/>
          <w:szCs w:val="28"/>
        </w:rPr>
        <w:t>alcanzar los objetivos y metas que se hayan definido</w:t>
      </w:r>
      <w:r w:rsidRPr="0029329A">
        <w:rPr>
          <w:rFonts w:ascii="Times New Roman" w:hAnsi="Times New Roman" w:cs="Times New Roman"/>
          <w:sz w:val="28"/>
          <w:szCs w:val="28"/>
        </w:rPr>
        <w:t>” (Literal c) del Artículo 5 de la Ley 152 de 1994).</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hAnsi="Times New Roman" w:cs="Times New Roman"/>
          <w:sz w:val="28"/>
          <w:szCs w:val="28"/>
        </w:rPr>
        <w:t xml:space="preserve">Los programas y proyectos del plan de inversiones, por su parte, también deben </w:t>
      </w:r>
      <w:r w:rsidRPr="0029329A">
        <w:rPr>
          <w:rFonts w:ascii="Times New Roman" w:eastAsia="Calibri" w:hAnsi="Times New Roman" w:cs="Times New Roman"/>
          <w:sz w:val="28"/>
          <w:szCs w:val="28"/>
        </w:rPr>
        <w:t>tener una “relación efectiva con las estrategias y objetivos” estableci</w:t>
      </w:r>
      <w:r w:rsidRPr="0029329A">
        <w:rPr>
          <w:rFonts w:ascii="Times New Roman" w:eastAsia="Calibri" w:hAnsi="Times New Roman" w:cs="Times New Roman"/>
          <w:sz w:val="28"/>
          <w:szCs w:val="28"/>
        </w:rPr>
        <w:t>dos en la parte general, conforme al principio de coherencia que, entre otros, rige las actuaciones de las autoridades nacionales, regionales y territoriales en materia de planeación, de conformidad con lo señalado en el artículo 3 de la Ley 152 de 1994 (O</w:t>
      </w:r>
      <w:r w:rsidRPr="0029329A">
        <w:rPr>
          <w:rFonts w:ascii="Times New Roman" w:eastAsia="Calibri" w:hAnsi="Times New Roman" w:cs="Times New Roman"/>
          <w:sz w:val="28"/>
          <w:szCs w:val="28"/>
        </w:rPr>
        <w:t>rgánica del Plan).</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eastAsia="Calibri" w:hAnsi="Times New Roman" w:cs="Times New Roman"/>
          <w:sz w:val="28"/>
          <w:szCs w:val="28"/>
        </w:rPr>
        <w:t xml:space="preserve">En este sentido, también cabe predicar el principio de unidad de materia de las disposiciones que se incluyan en la ley aprobatoria del plan nacional de desarrollo -es decir de aquellas que determinan los recursos y apropiaciones </w:t>
      </w:r>
      <w:r w:rsidRPr="0029329A">
        <w:rPr>
          <w:rFonts w:ascii="Times New Roman" w:hAnsi="Times New Roman" w:cs="Times New Roman"/>
          <w:sz w:val="28"/>
          <w:szCs w:val="28"/>
        </w:rPr>
        <w:t>para l</w:t>
      </w:r>
      <w:r w:rsidRPr="0029329A">
        <w:rPr>
          <w:rFonts w:ascii="Times New Roman" w:hAnsi="Times New Roman" w:cs="Times New Roman"/>
          <w:sz w:val="28"/>
          <w:szCs w:val="28"/>
        </w:rPr>
        <w:t>a ejecución del plan, las medidas necesarias para impulsar su cumplimiento, los mecanismos idóneos para la ejecución del plan de inversiones y los procedimientos y mecanismos generales para lograrlos-, respecto de los programas y proyectos del plan de inve</w:t>
      </w:r>
      <w:r w:rsidRPr="0029329A">
        <w:rPr>
          <w:rFonts w:ascii="Times New Roman" w:hAnsi="Times New Roman" w:cs="Times New Roman"/>
          <w:sz w:val="28"/>
          <w:szCs w:val="28"/>
        </w:rPr>
        <w:t>rsiones que, a su vez, en virtud del principio de coherencia, tienen por finalidad alcanzar los objetivos y metas de la parte general.</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Cabe concluir sobre éste punto que el principio de unidad de materia de las disposiciones que el numeral 3 del articulo</w:t>
      </w:r>
      <w:r w:rsidRPr="0029329A">
        <w:rPr>
          <w:rFonts w:ascii="Times New Roman" w:hAnsi="Times New Roman" w:cs="Times New Roman"/>
          <w:sz w:val="28"/>
          <w:szCs w:val="28"/>
        </w:rPr>
        <w:t xml:space="preserve"> 150 de la Constitución dispone incluir en la ley aprobatoria del plan nacional de desarrollo y de inversiones públicas, es exigible respecto de las “</w:t>
      </w:r>
      <w:r w:rsidRPr="0029329A">
        <w:rPr>
          <w:rFonts w:ascii="Times New Roman" w:hAnsi="Times New Roman" w:cs="Times New Roman"/>
          <w:i/>
          <w:iCs/>
          <w:sz w:val="28"/>
          <w:szCs w:val="28"/>
          <w:u w:val="single"/>
        </w:rPr>
        <w:t>estrategias y políticas en materia económica, social y ambiental que guiarán la acción del Gobierno</w:t>
      </w:r>
      <w:r w:rsidRPr="0029329A">
        <w:rPr>
          <w:rFonts w:ascii="Times New Roman" w:hAnsi="Times New Roman" w:cs="Times New Roman"/>
          <w:i/>
          <w:iCs/>
          <w:sz w:val="28"/>
          <w:szCs w:val="28"/>
        </w:rPr>
        <w:t>”</w:t>
      </w:r>
      <w:r w:rsidRPr="0029329A">
        <w:rPr>
          <w:rFonts w:ascii="Times New Roman" w:hAnsi="Times New Roman" w:cs="Times New Roman"/>
          <w:sz w:val="28"/>
          <w:szCs w:val="28"/>
        </w:rPr>
        <w:t xml:space="preserve"> para </w:t>
      </w:r>
      <w:r w:rsidRPr="0029329A">
        <w:rPr>
          <w:rFonts w:ascii="Times New Roman" w:hAnsi="Times New Roman" w:cs="Times New Roman"/>
          <w:sz w:val="28"/>
          <w:szCs w:val="28"/>
        </w:rPr>
        <w:t xml:space="preserve">alcanzar los objetivos y metas que se hayan definido (Literal c) del Artículo 5 de la Ley 152 de 1994) señaladas en la parte general, así como respecto de los </w:t>
      </w:r>
      <w:r w:rsidRPr="0029329A">
        <w:rPr>
          <w:rFonts w:ascii="Times New Roman" w:hAnsi="Times New Roman" w:cs="Times New Roman"/>
          <w:i/>
          <w:iCs/>
          <w:sz w:val="28"/>
          <w:szCs w:val="28"/>
        </w:rPr>
        <w:t>programas</w:t>
      </w:r>
      <w:r w:rsidRPr="0029329A">
        <w:rPr>
          <w:rFonts w:ascii="Times New Roman" w:hAnsi="Times New Roman" w:cs="Times New Roman"/>
          <w:sz w:val="28"/>
          <w:szCs w:val="28"/>
        </w:rPr>
        <w:t xml:space="preserve"> y </w:t>
      </w:r>
      <w:r w:rsidRPr="0029329A">
        <w:rPr>
          <w:rFonts w:ascii="Times New Roman" w:hAnsi="Times New Roman" w:cs="Times New Roman"/>
          <w:i/>
          <w:iCs/>
          <w:sz w:val="28"/>
          <w:szCs w:val="28"/>
        </w:rPr>
        <w:t>proyectos</w:t>
      </w:r>
      <w:r w:rsidRPr="0029329A">
        <w:rPr>
          <w:rFonts w:ascii="Times New Roman" w:hAnsi="Times New Roman" w:cs="Times New Roman"/>
          <w:sz w:val="28"/>
          <w:szCs w:val="28"/>
        </w:rPr>
        <w:t xml:space="preserve"> de inversión del plan de inversiones los que, a su vez, deben tener </w:t>
      </w:r>
      <w:r w:rsidRPr="0029329A">
        <w:rPr>
          <w:rFonts w:ascii="Times New Roman" w:hAnsi="Times New Roman" w:cs="Times New Roman"/>
          <w:i/>
          <w:iCs/>
          <w:sz w:val="28"/>
          <w:szCs w:val="28"/>
        </w:rPr>
        <w:t>relació</w:t>
      </w:r>
      <w:r w:rsidRPr="0029329A">
        <w:rPr>
          <w:rFonts w:ascii="Times New Roman" w:hAnsi="Times New Roman" w:cs="Times New Roman"/>
          <w:i/>
          <w:iCs/>
          <w:sz w:val="28"/>
          <w:szCs w:val="28"/>
        </w:rPr>
        <w:t>n efectiva con las estrategias y objetivos</w:t>
      </w:r>
      <w:r w:rsidRPr="0029329A">
        <w:rPr>
          <w:rFonts w:ascii="Times New Roman" w:hAnsi="Times New Roman" w:cs="Times New Roman"/>
          <w:sz w:val="28"/>
          <w:szCs w:val="28"/>
        </w:rPr>
        <w:t xml:space="preserve"> establecidos en la parte general (principio de coherencia).</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Esta primera conclusión permite descartar que la unidad de materia se pueda exigir respecto de la parte general o, en particular, de los objetivos y met</w:t>
      </w:r>
      <w:r w:rsidRPr="0029329A">
        <w:rPr>
          <w:rFonts w:ascii="Times New Roman" w:hAnsi="Times New Roman" w:cs="Times New Roman"/>
          <w:sz w:val="28"/>
          <w:szCs w:val="28"/>
        </w:rPr>
        <w:t>as de la parte general, por cuanto tales objetivos y metas de mediano y largo plazo se formulan en forma genérica respecto del Estado con la finalidad de fijar, a partir de ellas, las estrategias y políticas económicas, sociales y ambientales que guiarán l</w:t>
      </w:r>
      <w:r w:rsidRPr="0029329A">
        <w:rPr>
          <w:rFonts w:ascii="Times New Roman" w:hAnsi="Times New Roman" w:cs="Times New Roman"/>
          <w:sz w:val="28"/>
          <w:szCs w:val="28"/>
        </w:rPr>
        <w:t>a acción del gobierno durante el respectivo período cuatrienal. Además, porque es el cumplimiento de estas políticas y estrategias durante el periodo de cuatro años para el cual fue elegido el presidente el que resulta procedente impulsar mediante la aprop</w:t>
      </w:r>
      <w:r w:rsidRPr="0029329A">
        <w:rPr>
          <w:rFonts w:ascii="Times New Roman" w:hAnsi="Times New Roman" w:cs="Times New Roman"/>
          <w:sz w:val="28"/>
          <w:szCs w:val="28"/>
        </w:rPr>
        <w:t>iación de recursos y la adopción de las medidas a que se refiere el numeral 3 del articulo 150 de las Constitución.</w:t>
      </w:r>
    </w:p>
    <w:p w:rsidR="00ED670B" w:rsidRPr="0029329A" w:rsidRDefault="0029329A" w:rsidP="00ED670B">
      <w:pPr>
        <w:pStyle w:val="NormalWeb"/>
        <w:spacing w:before="0" w:beforeAutospacing="0" w:after="0" w:afterAutospacing="0"/>
        <w:jc w:val="both"/>
        <w:rPr>
          <w:rStyle w:val="apple-converted-space"/>
          <w:rFonts w:ascii="Times New Roman" w:hAnsi="Times New Roman" w:cs="Times New Roman"/>
          <w:sz w:val="28"/>
        </w:rPr>
      </w:pPr>
    </w:p>
    <w:p w:rsidR="00ED670B" w:rsidRPr="0029329A" w:rsidRDefault="0029329A" w:rsidP="00ED670B">
      <w:pPr>
        <w:pStyle w:val="NormalWeb"/>
        <w:spacing w:before="0" w:beforeAutospacing="0" w:after="0" w:afterAutospacing="0"/>
        <w:jc w:val="both"/>
        <w:rPr>
          <w:rStyle w:val="apple-converted-space"/>
          <w:rFonts w:ascii="Times New Roman" w:hAnsi="Times New Roman" w:cs="Times New Roman"/>
          <w:sz w:val="28"/>
          <w:szCs w:val="28"/>
        </w:rPr>
      </w:pPr>
      <w:r w:rsidRPr="0029329A">
        <w:rPr>
          <w:rStyle w:val="apple-converted-space"/>
          <w:rFonts w:ascii="Times New Roman" w:hAnsi="Times New Roman" w:cs="Times New Roman"/>
          <w:sz w:val="28"/>
          <w:szCs w:val="28"/>
        </w:rPr>
        <w:t xml:space="preserve">8.2. </w:t>
      </w:r>
      <w:r w:rsidRPr="0029329A">
        <w:rPr>
          <w:rStyle w:val="apple-converted-space"/>
          <w:rFonts w:ascii="Times New Roman" w:hAnsi="Times New Roman" w:cs="Times New Roman"/>
          <w:sz w:val="28"/>
          <w:szCs w:val="28"/>
          <w:u w:val="single"/>
        </w:rPr>
        <w:t>En relación con la competencia para configurar o modificar el ordenamiento jurídico</w:t>
      </w:r>
      <w:r w:rsidRPr="0029329A">
        <w:rPr>
          <w:rStyle w:val="apple-converted-space"/>
          <w:rFonts w:ascii="Times New Roman" w:hAnsi="Times New Roman" w:cs="Times New Roman"/>
          <w:sz w:val="28"/>
          <w:szCs w:val="28"/>
        </w:rPr>
        <w:t>. La competencia del Congreso al aprobar el plan na</w:t>
      </w:r>
      <w:r w:rsidRPr="0029329A">
        <w:rPr>
          <w:rStyle w:val="apple-converted-space"/>
          <w:rFonts w:ascii="Times New Roman" w:hAnsi="Times New Roman" w:cs="Times New Roman"/>
          <w:sz w:val="28"/>
          <w:szCs w:val="28"/>
        </w:rPr>
        <w:t>cional de desarrollo y de inversiones públicas es, como ya se vio, limitada y se encuentra determinada en la Constitución y en la Ley 152 de 1994 (Orgánica del Plan).</w:t>
      </w:r>
    </w:p>
    <w:p w:rsidR="00ED670B" w:rsidRPr="0029329A" w:rsidRDefault="0029329A" w:rsidP="00ED670B">
      <w:pPr>
        <w:pStyle w:val="NormalWeb"/>
        <w:spacing w:before="0" w:beforeAutospacing="0" w:after="0" w:afterAutospacing="0"/>
        <w:jc w:val="both"/>
        <w:rPr>
          <w:rStyle w:val="apple-converted-space"/>
          <w:rFonts w:ascii="Times New Roman"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Style w:val="apple-converted-space"/>
          <w:rFonts w:ascii="Times New Roman" w:hAnsi="Times New Roman" w:cs="Times New Roman"/>
          <w:sz w:val="28"/>
          <w:szCs w:val="28"/>
        </w:rPr>
        <w:t xml:space="preserve">El articulo 150, numeral 3 de la Constitución, establece que corresponde al Congreso </w:t>
      </w:r>
      <w:r w:rsidRPr="0029329A">
        <w:rPr>
          <w:rFonts w:ascii="Times New Roman" w:hAnsi="Times New Roman" w:cs="Times New Roman"/>
          <w:sz w:val="28"/>
          <w:szCs w:val="28"/>
        </w:rPr>
        <w:t>hac</w:t>
      </w:r>
      <w:r w:rsidRPr="0029329A">
        <w:rPr>
          <w:rFonts w:ascii="Times New Roman" w:hAnsi="Times New Roman" w:cs="Times New Roman"/>
          <w:sz w:val="28"/>
          <w:szCs w:val="28"/>
        </w:rPr>
        <w:t xml:space="preserve">er las leyes y que, por medio de ellas ejerce, entre otras, la función de “Aprobar el plan nacional de desarrollo y de inversiones públicas que hayan de emprenderse o continuarse, </w:t>
      </w:r>
      <w:r w:rsidRPr="0029329A">
        <w:rPr>
          <w:rFonts w:ascii="Times New Roman" w:hAnsi="Times New Roman" w:cs="Times New Roman"/>
          <w:i/>
          <w:iCs/>
          <w:sz w:val="28"/>
          <w:szCs w:val="28"/>
          <w:u w:val="single"/>
        </w:rPr>
        <w:t>con la determinación de los recursos y apropiaciones que se autoricen para s</w:t>
      </w:r>
      <w:r w:rsidRPr="0029329A">
        <w:rPr>
          <w:rFonts w:ascii="Times New Roman" w:hAnsi="Times New Roman" w:cs="Times New Roman"/>
          <w:i/>
          <w:iCs/>
          <w:sz w:val="28"/>
          <w:szCs w:val="28"/>
          <w:u w:val="single"/>
        </w:rPr>
        <w:t>u ejecución, y las medidas necesarias para impulsar el cumplimiento de los mismos</w:t>
      </w:r>
      <w:r w:rsidRPr="0029329A">
        <w:rPr>
          <w:rFonts w:ascii="Times New Roman" w:hAnsi="Times New Roman" w:cs="Times New Roman"/>
          <w:sz w:val="28"/>
          <w:szCs w:val="28"/>
        </w:rPr>
        <w:t>.</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 xml:space="preserve">Por su parte la Ley 152 de 1994 establece, al regular el contenido de la parte general, que en esta se determinarán “los </w:t>
      </w:r>
      <w:r w:rsidRPr="0029329A">
        <w:rPr>
          <w:rFonts w:ascii="Times New Roman" w:hAnsi="Times New Roman" w:cs="Times New Roman"/>
          <w:i/>
          <w:iCs/>
          <w:sz w:val="28"/>
          <w:szCs w:val="28"/>
          <w:u w:val="single"/>
        </w:rPr>
        <w:t>procedimientos y mecanismos generales</w:t>
      </w:r>
      <w:r w:rsidRPr="0029329A">
        <w:rPr>
          <w:rFonts w:ascii="Times New Roman" w:hAnsi="Times New Roman" w:cs="Times New Roman"/>
          <w:sz w:val="28"/>
          <w:szCs w:val="28"/>
        </w:rPr>
        <w:t xml:space="preserve">” para lograr </w:t>
      </w:r>
      <w:r w:rsidRPr="0029329A">
        <w:rPr>
          <w:rFonts w:ascii="Times New Roman" w:hAnsi="Times New Roman" w:cs="Times New Roman"/>
          <w:sz w:val="28"/>
          <w:szCs w:val="28"/>
        </w:rPr>
        <w:t>los objetivos y metas y, al regular el contenido del plan de inversiones, que contendrá  “</w:t>
      </w:r>
      <w:r w:rsidRPr="0029329A">
        <w:rPr>
          <w:rFonts w:ascii="Times New Roman" w:hAnsi="Times New Roman" w:cs="Times New Roman"/>
          <w:i/>
          <w:iCs/>
          <w:sz w:val="28"/>
          <w:szCs w:val="28"/>
        </w:rPr>
        <w:t xml:space="preserve">la especificación de los </w:t>
      </w:r>
      <w:r w:rsidRPr="0029329A">
        <w:rPr>
          <w:rFonts w:ascii="Times New Roman" w:hAnsi="Times New Roman" w:cs="Times New Roman"/>
          <w:i/>
          <w:iCs/>
          <w:sz w:val="28"/>
          <w:szCs w:val="28"/>
          <w:u w:val="single"/>
        </w:rPr>
        <w:t>mecanismos idóneos para su ejecución</w:t>
      </w:r>
      <w:r w:rsidRPr="0029329A">
        <w:rPr>
          <w:rFonts w:ascii="Times New Roman" w:hAnsi="Times New Roman" w:cs="Times New Roman"/>
          <w:sz w:val="28"/>
          <w:szCs w:val="28"/>
        </w:rPr>
        <w:t>”.</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Por ello la jurisprudencia ha señalado que se trata de medidas instrumentales que cumplen un fin plan</w:t>
      </w:r>
      <w:r w:rsidRPr="0029329A">
        <w:rPr>
          <w:rFonts w:ascii="Times New Roman" w:hAnsi="Times New Roman" w:cs="Times New Roman"/>
          <w:sz w:val="28"/>
          <w:szCs w:val="28"/>
        </w:rPr>
        <w:t>ificador y de impulso a la ejecución del plan. No es posible, en consecuencia, interpretar que dichas disposiciones contemplan la posibilidad de ejercer, al expedir la ley aprobatoria del plan nacional de desarrollo y de inversiones públicas, las facultade</w:t>
      </w:r>
      <w:r w:rsidRPr="0029329A">
        <w:rPr>
          <w:rFonts w:ascii="Times New Roman" w:hAnsi="Times New Roman" w:cs="Times New Roman"/>
          <w:sz w:val="28"/>
          <w:szCs w:val="28"/>
        </w:rPr>
        <w:t>s legislativas ordinarias o las propias del legislador orgánico o estatutario.</w:t>
      </w:r>
    </w:p>
    <w:p w:rsidR="00ED670B" w:rsidRPr="0029329A" w:rsidRDefault="0029329A" w:rsidP="00ED670B">
      <w:pPr>
        <w:pStyle w:val="NormalWeb"/>
        <w:spacing w:before="0" w:beforeAutospacing="0" w:after="0" w:afterAutospacing="0"/>
        <w:jc w:val="both"/>
        <w:rPr>
          <w:rStyle w:val="apple-converted-space"/>
          <w:rFonts w:ascii="Times New Roman"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Otras razones refuerzan esta conclusión. El plan nacional de desarrollo y de inversiones públicas se aprueba mediante ley ordinaria para cuya adopción se requiere mayoría simpl</w:t>
      </w:r>
      <w:r w:rsidRPr="0029329A">
        <w:rPr>
          <w:rFonts w:ascii="Times New Roman" w:hAnsi="Times New Roman" w:cs="Times New Roman"/>
          <w:sz w:val="28"/>
          <w:szCs w:val="28"/>
        </w:rPr>
        <w:t>e. No es necesario, entonces, construir amplios consensos para su aprobación, y no resulta indispensable, en consecuencia, mayor deliberación, pues basta con que la aprueben la mayoría de los asistentes a cada sesión. Cabría señalar, al menos por este aspe</w:t>
      </w:r>
      <w:r w:rsidRPr="0029329A">
        <w:rPr>
          <w:rFonts w:ascii="Times New Roman" w:hAnsi="Times New Roman" w:cs="Times New Roman"/>
          <w:sz w:val="28"/>
          <w:szCs w:val="28"/>
        </w:rPr>
        <w:t>cto, que en la ley aprobatoria del plan no se pueden regular materias que requieran mayoría absoluta u otro tipo de mayorías especiales.</w:t>
      </w: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Por tal razón, </w:t>
      </w:r>
      <w:r w:rsidRPr="0029329A">
        <w:rPr>
          <w:rFonts w:ascii="Times New Roman" w:eastAsia="Calibri" w:hAnsi="Times New Roman" w:cs="Times New Roman"/>
          <w:sz w:val="28"/>
          <w:szCs w:val="28"/>
        </w:rPr>
        <w:t>en la ley aprobatoria del Plan Nacional de Desarrollo no se pueden adoptar medidas que requieran procedi</w:t>
      </w:r>
      <w:r w:rsidRPr="0029329A">
        <w:rPr>
          <w:rFonts w:ascii="Times New Roman" w:eastAsia="Calibri" w:hAnsi="Times New Roman" w:cs="Times New Roman"/>
          <w:sz w:val="28"/>
          <w:szCs w:val="28"/>
        </w:rPr>
        <w:t>mientos especiales o mayorías calificadas, en particular no pueden modificar leyes orgánicas, estatutarias, establecer impuestos, determinar la estructura de la administración ni, mucho menos, conferir facultades extraordinarias al presidente de la Repúbli</w:t>
      </w:r>
      <w:r w:rsidRPr="0029329A">
        <w:rPr>
          <w:rFonts w:ascii="Times New Roman" w:eastAsia="Calibri" w:hAnsi="Times New Roman" w:cs="Times New Roman"/>
          <w:sz w:val="28"/>
          <w:szCs w:val="28"/>
        </w:rPr>
        <w:t>ca.</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8.3. </w:t>
      </w:r>
      <w:r w:rsidRPr="0029329A">
        <w:rPr>
          <w:rFonts w:ascii="Times New Roman" w:eastAsia="Calibri" w:hAnsi="Times New Roman" w:cs="Times New Roman"/>
          <w:sz w:val="28"/>
          <w:szCs w:val="28"/>
          <w:u w:val="single"/>
        </w:rPr>
        <w:t>En cuanto a la temporalidad de la ley</w:t>
      </w:r>
      <w:r w:rsidRPr="0029329A">
        <w:rPr>
          <w:rFonts w:ascii="Times New Roman" w:eastAsia="Calibri" w:hAnsi="Times New Roman" w:cs="Times New Roman"/>
          <w:sz w:val="28"/>
          <w:szCs w:val="28"/>
        </w:rPr>
        <w:t xml:space="preserve">. No se debe olvidar que el plan nacional de desarrollo tiene una vigencia de cuatro años y que, por tanto, </w:t>
      </w:r>
      <w:r w:rsidRPr="0029329A">
        <w:rPr>
          <w:rFonts w:ascii="Times New Roman" w:eastAsia="Calibri" w:hAnsi="Times New Roman" w:cs="Times New Roman"/>
          <w:sz w:val="28"/>
          <w:szCs w:val="28"/>
        </w:rPr>
        <w:t>la</w:t>
      </w:r>
      <w:r w:rsidRPr="0029329A">
        <w:rPr>
          <w:rFonts w:ascii="Times New Roman" w:eastAsia="Calibri" w:hAnsi="Times New Roman" w:cs="Times New Roman"/>
          <w:sz w:val="28"/>
          <w:szCs w:val="28"/>
        </w:rPr>
        <w:t>s disposiciones que se incorporan a la ley aprobatoria para impulsar su cumplimiento deben tener la</w:t>
      </w:r>
      <w:r w:rsidRPr="0029329A">
        <w:rPr>
          <w:rFonts w:ascii="Times New Roman" w:eastAsia="Calibri" w:hAnsi="Times New Roman" w:cs="Times New Roman"/>
          <w:sz w:val="28"/>
          <w:szCs w:val="28"/>
        </w:rPr>
        <w:t xml:space="preserve"> misma vigencia, pues no tendría sentido que las medidas adoptadas para impulsar el cumplimiento del plan de 4 años pudieran tener una vigencia superior a las estrategias y políticas que pretenden impulsar. Por tal razón, son medidas de carácter temporal, </w:t>
      </w:r>
      <w:r w:rsidRPr="0029329A">
        <w:rPr>
          <w:rFonts w:ascii="Times New Roman" w:eastAsia="Calibri" w:hAnsi="Times New Roman" w:cs="Times New Roman"/>
          <w:sz w:val="28"/>
          <w:szCs w:val="28"/>
        </w:rPr>
        <w:t xml:space="preserve">como lo es el plan, y deben cumplir un fin planificador y de impulso a la ejecución del plan. Por tal razón, tampoco pueden prorrogar de manera indefinida </w:t>
      </w:r>
      <w:r w:rsidRPr="0029329A">
        <w:rPr>
          <w:rFonts w:ascii="Times New Roman" w:eastAsia="Calibri" w:hAnsi="Times New Roman" w:cs="Times New Roman"/>
          <w:sz w:val="28"/>
          <w:szCs w:val="28"/>
        </w:rPr>
        <w:t>normas</w:t>
      </w:r>
      <w:r w:rsidRPr="0029329A">
        <w:rPr>
          <w:rFonts w:ascii="Times New Roman" w:eastAsia="Calibri" w:hAnsi="Times New Roman" w:cs="Times New Roman"/>
          <w:sz w:val="28"/>
          <w:szCs w:val="28"/>
        </w:rPr>
        <w:t xml:space="preserve"> contenidas en las leyes aprobatorias de planes correspondientes a períodos presidenciales ante</w:t>
      </w:r>
      <w:r w:rsidRPr="0029329A">
        <w:rPr>
          <w:rFonts w:ascii="Times New Roman" w:eastAsia="Calibri" w:hAnsi="Times New Roman" w:cs="Times New Roman"/>
          <w:sz w:val="28"/>
          <w:szCs w:val="28"/>
        </w:rPr>
        <w:t xml:space="preserve">riores, pues al expedirse el plan del nuevo Gobierno, incluido el plan de inversiones que han de continuarse (como lo dispone el numeral 3 del artículo 150 de la Constitución), el adoptado por el anterior Gobierno ha de entenderse derogado y, por la misma </w:t>
      </w:r>
      <w:r w:rsidRPr="0029329A">
        <w:rPr>
          <w:rFonts w:ascii="Times New Roman" w:eastAsia="Calibri" w:hAnsi="Times New Roman" w:cs="Times New Roman"/>
          <w:sz w:val="28"/>
          <w:szCs w:val="28"/>
        </w:rPr>
        <w:t>razón, las medidas adoptadas por el legislador para impulsar su cumplimiento.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En este sentido,</w:t>
      </w:r>
      <w:r w:rsidRPr="0029329A">
        <w:rPr>
          <w:rFonts w:ascii="Times New Roman" w:eastAsia="Calibri" w:hAnsi="Times New Roman" w:cs="Times New Roman"/>
          <w:sz w:val="28"/>
          <w:szCs w:val="28"/>
        </w:rPr>
        <w:t xml:space="preserve"> </w:t>
      </w:r>
      <w:r w:rsidRPr="0029329A">
        <w:rPr>
          <w:rFonts w:ascii="Times New Roman" w:eastAsia="Calibri" w:hAnsi="Times New Roman" w:cs="Times New Roman"/>
          <w:sz w:val="28"/>
          <w:szCs w:val="28"/>
        </w:rPr>
        <w:t xml:space="preserve">prorrogar disposiciones contenidas en las leyes del plan correspondientes a periodos cuatrienales anteriores o adoptar normas con vigencia </w:t>
      </w:r>
      <w:r w:rsidRPr="0029329A">
        <w:rPr>
          <w:rFonts w:ascii="Times New Roman" w:eastAsia="Calibri" w:hAnsi="Times New Roman" w:cs="Times New Roman"/>
          <w:sz w:val="28"/>
          <w:szCs w:val="28"/>
        </w:rPr>
        <w:t xml:space="preserve">indefinida en los </w:t>
      </w:r>
      <w:r w:rsidRPr="0029329A">
        <w:rPr>
          <w:rFonts w:ascii="Times New Roman" w:eastAsia="Calibri" w:hAnsi="Times New Roman" w:cs="Times New Roman"/>
          <w:sz w:val="28"/>
          <w:szCs w:val="28"/>
        </w:rPr>
        <w:t>planes nacionales de desarrollo,</w:t>
      </w:r>
      <w:r w:rsidRPr="0029329A">
        <w:rPr>
          <w:rFonts w:ascii="Times New Roman" w:eastAsia="Calibri" w:hAnsi="Times New Roman" w:cs="Times New Roman"/>
          <w:sz w:val="28"/>
          <w:szCs w:val="28"/>
        </w:rPr>
        <w:t xml:space="preserve"> desconoce</w:t>
      </w:r>
      <w:r w:rsidRPr="0029329A">
        <w:rPr>
          <w:rFonts w:ascii="Times New Roman" w:eastAsia="Calibri" w:hAnsi="Times New Roman" w:cs="Times New Roman"/>
          <w:sz w:val="28"/>
          <w:szCs w:val="28"/>
        </w:rPr>
        <w:t xml:space="preserve"> (i) el carácter temporal de las normas del plan nacional de desarrollo, (ii) la función de planificación y de impulso a los planes de desarrollo en función de objetivos de política propios de cada gobierno, y (iii</w:t>
      </w:r>
      <w:r w:rsidRPr="0029329A">
        <w:rPr>
          <w:rFonts w:ascii="Times New Roman" w:eastAsia="Calibri" w:hAnsi="Times New Roman" w:cs="Times New Roman"/>
          <w:sz w:val="28"/>
          <w:szCs w:val="28"/>
        </w:rPr>
        <w:t>) que se trata de una ley aprobatoria con un trámite legislativo abreviado y unas mayorías simples, lo cual exige un análisis más exigente por parte de la Corte Constitucional para establecer el cumplimiento de las reglas propias del debate democrático pro</w:t>
      </w:r>
      <w:r w:rsidRPr="0029329A">
        <w:rPr>
          <w:rFonts w:ascii="Times New Roman" w:eastAsia="Calibri" w:hAnsi="Times New Roman" w:cs="Times New Roman"/>
          <w:sz w:val="28"/>
          <w:szCs w:val="28"/>
        </w:rPr>
        <w:t>pio del procedimiento legislativo previsto en la Constitución para la configuración y modificación del ordenamiento jurídico.</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Otra razón tiene que ver con el procedimiento abreviado para la aprobación de esta ley. El constituyente estableció un plazo de 3</w:t>
      </w:r>
      <w:r w:rsidRPr="0029329A">
        <w:rPr>
          <w:rFonts w:ascii="Times New Roman" w:hAnsi="Times New Roman" w:cs="Times New Roman"/>
          <w:sz w:val="28"/>
          <w:szCs w:val="28"/>
        </w:rPr>
        <w:t xml:space="preserve"> meses para su </w:t>
      </w:r>
      <w:r w:rsidRPr="0029329A">
        <w:rPr>
          <w:rFonts w:ascii="Times New Roman" w:hAnsi="Times New Roman" w:cs="Times New Roman"/>
          <w:i/>
          <w:iCs/>
          <w:sz w:val="28"/>
          <w:szCs w:val="28"/>
        </w:rPr>
        <w:t>aprobación</w:t>
      </w:r>
      <w:r w:rsidRPr="0029329A">
        <w:rPr>
          <w:rFonts w:ascii="Times New Roman" w:hAnsi="Times New Roman" w:cs="Times New Roman"/>
          <w:sz w:val="28"/>
          <w:szCs w:val="28"/>
        </w:rPr>
        <w:t xml:space="preserve"> por parte del Congreso (la mitad del establecido para su elaboración por parte del Gobierno), y la Ley 152 de 1994 señaló que el primer debate se debe adelantar en sesión conjunta de las comisiones económicas en un plazo improrrog</w:t>
      </w:r>
      <w:r w:rsidRPr="0029329A">
        <w:rPr>
          <w:rFonts w:ascii="Times New Roman" w:hAnsi="Times New Roman" w:cs="Times New Roman"/>
          <w:sz w:val="28"/>
          <w:szCs w:val="28"/>
        </w:rPr>
        <w:t>able de 45 días, y que el segundo debate en cada cámara se debe adelantar igualmente en un plazo improrrogable de otros 45 días. Este breve plazo, el más reducido de todos los procedimientos legislativos, sumado al requisito de mayoría simple para su aprob</w:t>
      </w:r>
      <w:r w:rsidRPr="0029329A">
        <w:rPr>
          <w:rFonts w:ascii="Times New Roman" w:hAnsi="Times New Roman" w:cs="Times New Roman"/>
          <w:sz w:val="28"/>
          <w:szCs w:val="28"/>
        </w:rPr>
        <w:t xml:space="preserve">ación y las facultades limitadas del Congreso para introducir modificaciones al proyecto del Gobierno, permiten afirmar que la deliberación democrática, la participación de las minorías y las posibilidades de construir amplios consensos como resultado del </w:t>
      </w:r>
      <w:r w:rsidRPr="0029329A">
        <w:rPr>
          <w:rFonts w:ascii="Times New Roman" w:hAnsi="Times New Roman" w:cs="Times New Roman"/>
          <w:sz w:val="28"/>
          <w:szCs w:val="28"/>
        </w:rPr>
        <w:t>debate, se encuentran severamente limitadas por razón del objeto de la ley: aprobar el plan nacional de desarrollo y de inversiones públicas del Gobierno, el cual contiene las estrategias, políticas, programas y proyectos de inversión que el Gobierno prete</w:t>
      </w:r>
      <w:r w:rsidRPr="0029329A">
        <w:rPr>
          <w:rFonts w:ascii="Times New Roman" w:hAnsi="Times New Roman" w:cs="Times New Roman"/>
          <w:sz w:val="28"/>
          <w:szCs w:val="28"/>
        </w:rPr>
        <w:t>nde ejecutar durante el periodo de 4 años para el cual fue elegido el presidente.</w:t>
      </w:r>
    </w:p>
    <w:p w:rsidR="00ED670B" w:rsidRPr="0029329A" w:rsidRDefault="0029329A" w:rsidP="00ED670B">
      <w:pPr>
        <w:pStyle w:val="NormalWeb"/>
        <w:spacing w:before="0" w:beforeAutospacing="0" w:after="0" w:afterAutospacing="0"/>
        <w:jc w:val="both"/>
        <w:rPr>
          <w:rFonts w:ascii="Times New Roman" w:hAnsi="Times New Roman" w:cs="Times New Roman"/>
          <w:sz w:val="28"/>
          <w:szCs w:val="28"/>
        </w:rPr>
      </w:pPr>
      <w:r w:rsidRPr="0029329A">
        <w:rPr>
          <w:rFonts w:ascii="Times New Roman" w:hAnsi="Times New Roman" w:cs="Times New Roman"/>
          <w:sz w:val="28"/>
          <w:szCs w:val="28"/>
        </w:rPr>
        <w:t xml:space="preserve"> </w:t>
      </w: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Adicionalmente, el proceso de aprobación de la ley en relación con la parte general del plan se regula por reglas diferentes de las aplicables a la aprobación del plan de i</w:t>
      </w:r>
      <w:r w:rsidRPr="0029329A">
        <w:rPr>
          <w:rFonts w:ascii="Times New Roman" w:hAnsi="Times New Roman" w:cs="Times New Roman"/>
          <w:sz w:val="28"/>
          <w:szCs w:val="28"/>
        </w:rPr>
        <w:t>nversiones. Ello se explica porque la parte general del plan contiene las estrategias y políticas que el gobierno ejecutará durante su cuatrienio, lo cual, en principio, no requiere aprobación del Congreso pues, como se dijo en la Asamblea Constituyente, e</w:t>
      </w:r>
      <w:r w:rsidRPr="0029329A">
        <w:rPr>
          <w:rFonts w:ascii="Times New Roman" w:hAnsi="Times New Roman" w:cs="Times New Roman"/>
          <w:sz w:val="28"/>
          <w:szCs w:val="28"/>
        </w:rPr>
        <w:t>stas ya fueron aprobadas por el pueblo al elegir al presidente.</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hAnsi="Times New Roman" w:cs="Times New Roman"/>
          <w:sz w:val="28"/>
          <w:szCs w:val="28"/>
        </w:rPr>
      </w:pPr>
      <w:r w:rsidRPr="0029329A">
        <w:rPr>
          <w:rFonts w:ascii="Times New Roman" w:hAnsi="Times New Roman" w:cs="Times New Roman"/>
          <w:sz w:val="28"/>
          <w:szCs w:val="28"/>
        </w:rPr>
        <w:t>Así las cosas, (i) mientras el gobierno puede introducir modificaciones a cualquiera de las partes del plan, el Congreso sólo puede introducirlas respecto del plan de inversiones y previa apr</w:t>
      </w:r>
      <w:r w:rsidRPr="0029329A">
        <w:rPr>
          <w:rFonts w:ascii="Times New Roman" w:hAnsi="Times New Roman" w:cs="Times New Roman"/>
          <w:sz w:val="28"/>
          <w:szCs w:val="28"/>
        </w:rPr>
        <w:t>obación del gobierno, (ii) los desacuerdos del Congreso con la parte general, si los hubiere, no serán obstáculo para que el gobierno ejecute las políticas propuestas en lo que sea de su competencia, y (iii) la falta de aprobación de la parte general no re</w:t>
      </w:r>
      <w:r w:rsidRPr="0029329A">
        <w:rPr>
          <w:rFonts w:ascii="Times New Roman" w:hAnsi="Times New Roman" w:cs="Times New Roman"/>
          <w:sz w:val="28"/>
          <w:szCs w:val="28"/>
        </w:rPr>
        <w:t xml:space="preserve">quiere su adopción mediante decreto con fuerza de ley, mientras que el </w:t>
      </w:r>
      <w:r w:rsidRPr="0029329A">
        <w:rPr>
          <w:rFonts w:ascii="Times New Roman" w:hAnsi="Times New Roman" w:cs="Times New Roman"/>
          <w:i/>
          <w:iCs/>
          <w:sz w:val="28"/>
          <w:szCs w:val="28"/>
        </w:rPr>
        <w:t>plan nacional de inversiones</w:t>
      </w:r>
      <w:r w:rsidRPr="0029329A">
        <w:rPr>
          <w:rFonts w:ascii="Times New Roman" w:hAnsi="Times New Roman" w:cs="Times New Roman"/>
          <w:sz w:val="28"/>
          <w:szCs w:val="28"/>
        </w:rPr>
        <w:t xml:space="preserve"> siempre deberá ser aprobado mediante ley o decreto con fuerza de ley.</w:t>
      </w:r>
    </w:p>
    <w:p w:rsidR="00ED670B" w:rsidRPr="0029329A" w:rsidRDefault="0029329A" w:rsidP="00ED670B">
      <w:pPr>
        <w:rPr>
          <w:rFonts w:ascii="Times New Roman"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8.4. </w:t>
      </w:r>
      <w:r w:rsidRPr="0029329A">
        <w:rPr>
          <w:rFonts w:ascii="Times New Roman" w:eastAsia="Calibri" w:hAnsi="Times New Roman" w:cs="Times New Roman"/>
          <w:sz w:val="28"/>
          <w:szCs w:val="28"/>
          <w:u w:val="single"/>
        </w:rPr>
        <w:t>En relación con el estándar aplicable al control</w:t>
      </w:r>
      <w:r w:rsidRPr="0029329A">
        <w:rPr>
          <w:rFonts w:ascii="Times New Roman" w:eastAsia="Calibri" w:hAnsi="Times New Roman" w:cs="Times New Roman"/>
          <w:sz w:val="28"/>
          <w:szCs w:val="28"/>
        </w:rPr>
        <w:t xml:space="preserve">. En este sentido, mientras que </w:t>
      </w:r>
      <w:r w:rsidRPr="0029329A">
        <w:rPr>
          <w:rFonts w:ascii="Times New Roman" w:eastAsia="Calibri" w:hAnsi="Times New Roman" w:cs="Times New Roman"/>
          <w:sz w:val="28"/>
          <w:szCs w:val="28"/>
        </w:rPr>
        <w:t>el estándar de control constitucional para evidenciar el desconocimiento del principio de unidad de materia para la generalidad de las leyes es de carácter flexible, dúctil o leve, para el caso de la ley aprobatoria del Plan Nacional de Desarrollo el están</w:t>
      </w:r>
      <w:r w:rsidRPr="0029329A">
        <w:rPr>
          <w:rFonts w:ascii="Times New Roman" w:eastAsia="Calibri" w:hAnsi="Times New Roman" w:cs="Times New Roman"/>
          <w:sz w:val="28"/>
          <w:szCs w:val="28"/>
        </w:rPr>
        <w:t>dar es estricto. De no ser así, se podría incluir cualquier medida en la ley aprobatoria del plan y, en consecuencia, se vaciarían las competencias legislativas ordinarias del Congreso.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No obstante, el análisis de las disposiciones que introducen cambios </w:t>
      </w:r>
      <w:r w:rsidRPr="0029329A">
        <w:rPr>
          <w:rFonts w:ascii="Times New Roman" w:eastAsia="Calibri" w:hAnsi="Times New Roman" w:cs="Times New Roman"/>
          <w:sz w:val="28"/>
          <w:szCs w:val="28"/>
        </w:rPr>
        <w:t>a la legislación permanente requiere un análisis adicional. De acuerdo con la jurisprudencia constitucional, estas disposiciones son compatibles con el principio de unidad de materia solo si cumplen con tres exigencias: (i) que tengan un carácter instrumen</w:t>
      </w:r>
      <w:r w:rsidRPr="0029329A">
        <w:rPr>
          <w:rFonts w:ascii="Times New Roman" w:eastAsia="Calibri" w:hAnsi="Times New Roman" w:cs="Times New Roman"/>
          <w:sz w:val="28"/>
          <w:szCs w:val="28"/>
        </w:rPr>
        <w:t>tal, es decir, que contengan alguna medida que impulse el cumplimiento del plan, o incluso la apropiación de recursos necesarios para su ejecución; (ii) que persigan un fin planificador y de impulso al cumplimiento del plan; y (iii) que guarden conexidad e</w:t>
      </w:r>
      <w:r w:rsidRPr="0029329A">
        <w:rPr>
          <w:rFonts w:ascii="Times New Roman" w:eastAsia="Calibri" w:hAnsi="Times New Roman" w:cs="Times New Roman"/>
          <w:sz w:val="28"/>
          <w:szCs w:val="28"/>
        </w:rPr>
        <w:t>strecha, directa e inmediata con las estrategias y políticas fijadas en la parte general del plan o con los programas y proyectos de inversión incluidos en el plan de inversiones. En cualquier caso, su vigencia no puede ser superior a la de la ley aprobato</w:t>
      </w:r>
      <w:r w:rsidRPr="0029329A">
        <w:rPr>
          <w:rFonts w:ascii="Times New Roman" w:eastAsia="Calibri" w:hAnsi="Times New Roman" w:cs="Times New Roman"/>
          <w:sz w:val="28"/>
          <w:szCs w:val="28"/>
        </w:rPr>
        <w:t>ria del plan.</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9. Otras consideraciones:</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 xml:space="preserve">El </w:t>
      </w:r>
      <w:r w:rsidRPr="0029329A">
        <w:rPr>
          <w:rFonts w:ascii="Times New Roman" w:eastAsia="Calibri" w:hAnsi="Times New Roman" w:cs="Times New Roman"/>
          <w:sz w:val="28"/>
          <w:szCs w:val="28"/>
        </w:rPr>
        <w:t xml:space="preserve">principio de unidad de materia de la ley aprobatoria del plan, garantiza que las medidas adoptadas en la ley tengan conexidad directa, teleológica y estrecha, de manera directa e inmediata, con las estrategias, </w:t>
      </w:r>
      <w:r w:rsidRPr="0029329A">
        <w:rPr>
          <w:rFonts w:ascii="Times New Roman" w:eastAsia="Calibri" w:hAnsi="Times New Roman" w:cs="Times New Roman"/>
          <w:sz w:val="28"/>
          <w:szCs w:val="28"/>
        </w:rPr>
        <w:t xml:space="preserve">políticas y programas del plan </w:t>
      </w:r>
      <w:r w:rsidRPr="0029329A">
        <w:rPr>
          <w:rFonts w:ascii="Times New Roman" w:eastAsia="Calibri" w:hAnsi="Times New Roman" w:cs="Times New Roman"/>
          <w:sz w:val="28"/>
          <w:szCs w:val="28"/>
        </w:rPr>
        <w:t xml:space="preserve">y deben tener un carácter </w:t>
      </w:r>
      <w:r w:rsidRPr="0029329A">
        <w:rPr>
          <w:rFonts w:ascii="Times New Roman" w:eastAsia="Calibri" w:hAnsi="Times New Roman" w:cs="Times New Roman"/>
          <w:sz w:val="28"/>
          <w:szCs w:val="28"/>
        </w:rPr>
        <w:t>instrumental, temporal y estar dirigidas a impulsar el cumplimiento del plan de desarrollo.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La temporalidad y el carácter instrumental de la medida, como criterios que permiten evaluar el cumplimien</w:t>
      </w:r>
      <w:r w:rsidRPr="0029329A">
        <w:rPr>
          <w:rFonts w:ascii="Times New Roman" w:eastAsia="Calibri" w:hAnsi="Times New Roman" w:cs="Times New Roman"/>
          <w:sz w:val="28"/>
          <w:szCs w:val="28"/>
        </w:rPr>
        <w:t>to del requisito de conexidad que acrediten el respeto del principio de unidad de materia, permiten maximizar el principio democrático. La ley del plan de desarrollo tiene una finalidad específica que se fundamenta en la facultad que la Constitución le atr</w:t>
      </w:r>
      <w:r w:rsidRPr="0029329A">
        <w:rPr>
          <w:rFonts w:ascii="Times New Roman" w:eastAsia="Calibri" w:hAnsi="Times New Roman" w:cs="Times New Roman"/>
          <w:sz w:val="28"/>
          <w:szCs w:val="28"/>
        </w:rPr>
        <w:t>ibuye al legislador en el artículo 150.3 superior.</w:t>
      </w: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Dada la naturaleza especial y los objetivos específicos de la ley del plan, la misma no está diseñada constitucionalmente para ser un cuerpo normativo con la aptitud de modificar de manera irrestricta cont</w:t>
      </w:r>
      <w:r w:rsidRPr="0029329A">
        <w:rPr>
          <w:rFonts w:ascii="Times New Roman" w:eastAsia="Calibri" w:hAnsi="Times New Roman" w:cs="Times New Roman"/>
          <w:sz w:val="28"/>
          <w:szCs w:val="28"/>
        </w:rPr>
        <w:t>enidos propios de leyes que se expiden con fundamento en otras facultades de las que también dispone el legislador en virtud del artículo 150 superior. Si bien el análisis del asunto dependerá del caso en concreto, como lo ha hecho la Corte en su jurisprud</w:t>
      </w:r>
      <w:r w:rsidRPr="0029329A">
        <w:rPr>
          <w:rFonts w:ascii="Times New Roman" w:eastAsia="Calibri" w:hAnsi="Times New Roman" w:cs="Times New Roman"/>
          <w:sz w:val="28"/>
          <w:szCs w:val="28"/>
        </w:rPr>
        <w:t>encia, el principio de unidad de materia se evalúa también en virtud de la naturaleza del plan de desarrollo.</w:t>
      </w:r>
    </w:p>
    <w:p w:rsidR="00ED670B" w:rsidRPr="0029329A" w:rsidRDefault="0029329A" w:rsidP="00ED670B">
      <w:pPr>
        <w:rPr>
          <w:rFonts w:ascii="Times New Roman" w:eastAsia="Calibri" w:hAnsi="Times New Roman" w:cs="Times New Roman"/>
          <w:sz w:val="28"/>
          <w:szCs w:val="28"/>
        </w:rPr>
      </w:pPr>
    </w:p>
    <w:p w:rsidR="00ED670B"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Adicionalmente, es de recalcar que la ley aprobatoria del</w:t>
      </w:r>
      <w:r w:rsidRPr="0029329A">
        <w:rPr>
          <w:rFonts w:ascii="Times New Roman" w:eastAsia="Calibri" w:hAnsi="Times New Roman" w:cs="Times New Roman"/>
          <w:sz w:val="28"/>
          <w:szCs w:val="28"/>
        </w:rPr>
        <w:t xml:space="preserve"> Plan Nacional de Desarrollo no es una herramienta para subsanar vacíos normativos exist</w:t>
      </w:r>
      <w:r w:rsidRPr="0029329A">
        <w:rPr>
          <w:rFonts w:ascii="Times New Roman" w:eastAsia="Calibri" w:hAnsi="Times New Roman" w:cs="Times New Roman"/>
          <w:sz w:val="28"/>
          <w:szCs w:val="28"/>
        </w:rPr>
        <w:t>entes en otras leyes ordinarias</w:t>
      </w:r>
      <w:r w:rsidRPr="0029329A">
        <w:rPr>
          <w:rFonts w:ascii="Times New Roman" w:eastAsia="Calibri" w:hAnsi="Times New Roman" w:cs="Times New Roman"/>
          <w:sz w:val="28"/>
          <w:szCs w:val="28"/>
          <w:vertAlign w:val="superscript"/>
        </w:rPr>
        <w:footnoteReference w:id="166"/>
      </w:r>
      <w:r w:rsidRPr="0029329A">
        <w:rPr>
          <w:rFonts w:ascii="Times New Roman" w:eastAsia="Calibri" w:hAnsi="Times New Roman" w:cs="Times New Roman"/>
          <w:sz w:val="28"/>
          <w:szCs w:val="28"/>
        </w:rPr>
        <w:t xml:space="preserve">. Es decir, si una política estatal enfrenta una falencia estructural, cuya naturaleza excede la órbita de acción de un gobierno, la medida legislativa adoptada para solucionar dicha falencia debe ser, por su naturaleza, de </w:t>
      </w:r>
      <w:r w:rsidRPr="0029329A">
        <w:rPr>
          <w:rFonts w:ascii="Times New Roman" w:eastAsia="Calibri" w:hAnsi="Times New Roman" w:cs="Times New Roman"/>
          <w:sz w:val="28"/>
          <w:szCs w:val="28"/>
        </w:rPr>
        <w:t>carácter permanente.</w:t>
      </w:r>
    </w:p>
    <w:p w:rsidR="00ED670B" w:rsidRPr="0029329A" w:rsidRDefault="0029329A" w:rsidP="00ED670B">
      <w:pPr>
        <w:rPr>
          <w:rFonts w:ascii="Times New Roman" w:eastAsia="Calibri" w:hAnsi="Times New Roman" w:cs="Times New Roman"/>
          <w:sz w:val="28"/>
          <w:szCs w:val="28"/>
        </w:rPr>
      </w:pPr>
    </w:p>
    <w:p w:rsidR="008C743A" w:rsidRPr="0029329A" w:rsidRDefault="0029329A" w:rsidP="00ED670B">
      <w:pPr>
        <w:rPr>
          <w:rFonts w:ascii="Times New Roman" w:eastAsia="Calibri" w:hAnsi="Times New Roman" w:cs="Times New Roman"/>
          <w:sz w:val="28"/>
          <w:szCs w:val="28"/>
        </w:rPr>
      </w:pPr>
      <w:r w:rsidRPr="0029329A">
        <w:rPr>
          <w:rFonts w:ascii="Times New Roman" w:eastAsia="Calibri" w:hAnsi="Times New Roman" w:cs="Times New Roman"/>
          <w:sz w:val="28"/>
          <w:szCs w:val="28"/>
        </w:rPr>
        <w:t>De lo contrario se desconocería la vocación de temporalidad del plan, las medidas normativas del plan excederían la función constitucional de impulsar su cumplimiento, y el plan se convertiría en un mecanismo para llenar vacíos legale</w:t>
      </w:r>
      <w:r w:rsidRPr="0029329A">
        <w:rPr>
          <w:rFonts w:ascii="Times New Roman" w:eastAsia="Calibri" w:hAnsi="Times New Roman" w:cs="Times New Roman"/>
          <w:sz w:val="28"/>
          <w:szCs w:val="28"/>
        </w:rPr>
        <w:t>s que indudablemente corresponde tramitar al legislador, pero mediante el procedimiento legislativo propio de las leyes que los contengan. Es decir, si la norma impugnada no es instrumental sino que, por ejemplo, realizara intervenciones estructurales y pe</w:t>
      </w:r>
      <w:r w:rsidRPr="0029329A">
        <w:rPr>
          <w:rFonts w:ascii="Times New Roman" w:eastAsia="Calibri" w:hAnsi="Times New Roman" w:cs="Times New Roman"/>
          <w:sz w:val="28"/>
          <w:szCs w:val="28"/>
        </w:rPr>
        <w:t>rmanentes no cumple el requisito de unidad de materia pues desbordaría la naturaleza del plan y su vocación de temporalidad, además de que desconocería el proceso legislativo previsto en la Constitución y cuyo trámite no está sujeto a las restricciones del</w:t>
      </w:r>
      <w:r w:rsidRPr="0029329A">
        <w:rPr>
          <w:rFonts w:ascii="Times New Roman" w:eastAsia="Calibri" w:hAnsi="Times New Roman" w:cs="Times New Roman"/>
          <w:sz w:val="28"/>
          <w:szCs w:val="28"/>
        </w:rPr>
        <w:t xml:space="preserve"> debate de la ley del plan, afectándose el principio democrático.</w:t>
      </w:r>
    </w:p>
    <w:p w:rsidR="00AA3D4F" w:rsidRPr="0029329A" w:rsidRDefault="0029329A" w:rsidP="00ED670B">
      <w:pPr>
        <w:rPr>
          <w:rFonts w:ascii="Times New Roman" w:eastAsia="Calibri" w:hAnsi="Times New Roman" w:cs="Times New Roman"/>
          <w:sz w:val="28"/>
          <w:szCs w:val="28"/>
        </w:rPr>
      </w:pPr>
    </w:p>
    <w:p w:rsidR="00AA3D4F" w:rsidRPr="0029329A" w:rsidRDefault="0029329A" w:rsidP="00ED670B">
      <w:pPr>
        <w:rPr>
          <w:rFonts w:ascii="Times New Roman" w:eastAsia="Calibri" w:hAnsi="Times New Roman" w:cs="Times New Roman"/>
          <w:sz w:val="28"/>
          <w:szCs w:val="28"/>
        </w:rPr>
      </w:pPr>
    </w:p>
    <w:p w:rsidR="00AA3D4F" w:rsidRPr="0029329A" w:rsidRDefault="0029329A" w:rsidP="00AA3D4F">
      <w:pPr>
        <w:jc w:val="center"/>
        <w:rPr>
          <w:rFonts w:ascii="Times New Roman" w:eastAsia="Calibri" w:hAnsi="Times New Roman" w:cs="Times New Roman"/>
          <w:b/>
          <w:bCs/>
          <w:sz w:val="28"/>
          <w:szCs w:val="28"/>
        </w:rPr>
      </w:pPr>
      <w:r w:rsidRPr="0029329A">
        <w:rPr>
          <w:rFonts w:ascii="Times New Roman" w:eastAsia="Calibri" w:hAnsi="Times New Roman" w:cs="Times New Roman"/>
          <w:b/>
          <w:bCs/>
          <w:sz w:val="28"/>
          <w:szCs w:val="28"/>
        </w:rPr>
        <w:t>ANTONIO JOSÉ LIZARAZO OCAMPO</w:t>
      </w:r>
    </w:p>
    <w:p w:rsidR="00AA3D4F" w:rsidRPr="0029329A" w:rsidRDefault="0029329A" w:rsidP="00AA3D4F">
      <w:pPr>
        <w:jc w:val="center"/>
        <w:rPr>
          <w:rFonts w:ascii="Times New Roman" w:eastAsia="Calibri" w:hAnsi="Times New Roman" w:cs="Times New Roman"/>
          <w:b/>
          <w:bCs/>
          <w:sz w:val="28"/>
          <w:szCs w:val="28"/>
        </w:rPr>
      </w:pPr>
      <w:r w:rsidRPr="0029329A">
        <w:rPr>
          <w:rFonts w:ascii="Times New Roman" w:eastAsia="Calibri" w:hAnsi="Times New Roman" w:cs="Times New Roman"/>
          <w:b/>
          <w:bCs/>
          <w:sz w:val="28"/>
          <w:szCs w:val="28"/>
        </w:rPr>
        <w:t>Magistrado</w:t>
      </w:r>
    </w:p>
    <w:sectPr w:rsidR="00AA3D4F" w:rsidRPr="0029329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329A">
      <w:pPr>
        <w:spacing w:after="0" w:line="240" w:lineRule="auto"/>
      </w:pPr>
      <w:r>
        <w:separator/>
      </w:r>
    </w:p>
  </w:endnote>
  <w:endnote w:type="continuationSeparator" w:id="0">
    <w:p w:rsidR="00000000" w:rsidRDefault="00293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9329A">
      <w:pPr>
        <w:spacing w:after="0" w:line="240" w:lineRule="auto"/>
      </w:pPr>
      <w:r>
        <w:separator/>
      </w:r>
    </w:p>
  </w:footnote>
  <w:footnote w:type="continuationSeparator" w:id="0">
    <w:p w:rsidR="00000000" w:rsidRDefault="0029329A">
      <w:pPr>
        <w:spacing w:after="0" w:line="240" w:lineRule="auto"/>
      </w:pPr>
      <w:r>
        <w:continuationSeparator/>
      </w:r>
    </w:p>
  </w:footnote>
  <w:footnote w:id="1">
    <w:p w:rsidR="002F51CB" w:rsidRDefault="0029329A" w:rsidP="002B6B74">
      <w:pPr>
        <w:pStyle w:val="Textonotapie"/>
        <w:spacing w:after="0"/>
        <w:jc w:val="both"/>
      </w:pPr>
      <w:r w:rsidRPr="001E2BB5">
        <w:rPr>
          <w:rStyle w:val="Refdenotaalpie"/>
          <w:vertAlign w:val="superscript"/>
        </w:rPr>
        <w:footnoteRef/>
      </w:r>
      <w:r>
        <w:t xml:space="preserve"> Carlos Mario Restrepo Pineda, José Darío Zuluaga Calle, Andrés Felipe Roncancio Bedoya, Edwin Alberto Vélez Jaramillo y Mario Heimer Flórez Guzmán</w:t>
      </w:r>
      <w:r>
        <w:t>.</w:t>
      </w:r>
    </w:p>
  </w:footnote>
  <w:footnote w:id="2">
    <w:p w:rsidR="002F51CB" w:rsidRPr="00457730" w:rsidRDefault="0029329A" w:rsidP="009D1D56">
      <w:pPr>
        <w:pStyle w:val="Textonotapie"/>
        <w:spacing w:after="0"/>
        <w:jc w:val="both"/>
      </w:pPr>
      <w:r w:rsidRPr="00D478DC">
        <w:rPr>
          <w:rStyle w:val="Refdenotaalpie"/>
          <w:vertAlign w:val="superscript"/>
        </w:rPr>
        <w:footnoteRef/>
      </w:r>
      <w:r w:rsidRPr="00D478DC">
        <w:rPr>
          <w:vertAlign w:val="superscript"/>
        </w:rPr>
        <w:t xml:space="preserve"> </w:t>
      </w:r>
      <w:r w:rsidRPr="00457730">
        <w:t xml:space="preserve">Ibidem. </w:t>
      </w:r>
    </w:p>
  </w:footnote>
  <w:footnote w:id="3">
    <w:p w:rsidR="002F51CB" w:rsidRPr="00457730" w:rsidRDefault="0029329A" w:rsidP="009D1D56">
      <w:pPr>
        <w:pStyle w:val="Textonotapie"/>
        <w:spacing w:after="0"/>
        <w:jc w:val="both"/>
      </w:pPr>
      <w:r w:rsidRPr="00D478DC">
        <w:rPr>
          <w:rStyle w:val="Refdenotaalpie"/>
          <w:vertAlign w:val="superscript"/>
        </w:rPr>
        <w:footnoteRef/>
      </w:r>
      <w:r w:rsidRPr="00457730">
        <w:t xml:space="preserve"> Expediente digital, demanda D-15466, folio 13.</w:t>
      </w:r>
    </w:p>
  </w:footnote>
  <w:footnote w:id="4">
    <w:p w:rsidR="002F51CB" w:rsidRPr="00457730" w:rsidRDefault="0029329A" w:rsidP="00C07886">
      <w:pPr>
        <w:pStyle w:val="Textonotapie"/>
        <w:spacing w:after="0"/>
        <w:jc w:val="both"/>
      </w:pPr>
      <w:r w:rsidRPr="00D478DC">
        <w:rPr>
          <w:rStyle w:val="Refdenotaalpie"/>
          <w:vertAlign w:val="superscript"/>
        </w:rPr>
        <w:footnoteRef/>
      </w:r>
      <w:r w:rsidRPr="00457730">
        <w:t xml:space="preserve"> Expediente digital, demanda D-15466, folio 17.</w:t>
      </w:r>
    </w:p>
  </w:footnote>
  <w:footnote w:id="5">
    <w:p w:rsidR="002F51CB" w:rsidRDefault="0029329A" w:rsidP="002B6B74">
      <w:pPr>
        <w:pStyle w:val="Textonotapie"/>
        <w:spacing w:after="0"/>
      </w:pPr>
      <w:r w:rsidRPr="00D478DC">
        <w:rPr>
          <w:rStyle w:val="Refdenotaalpie"/>
          <w:vertAlign w:val="superscript"/>
        </w:rPr>
        <w:footnoteRef/>
      </w:r>
      <w:r w:rsidRPr="00D478DC">
        <w:rPr>
          <w:vertAlign w:val="superscript"/>
        </w:rPr>
        <w:t xml:space="preserve"> </w:t>
      </w:r>
      <w:r w:rsidRPr="00113197">
        <w:t>Expediente digital, demanda D-15466, folio</w:t>
      </w:r>
      <w:r>
        <w:t xml:space="preserve"> 21. </w:t>
      </w:r>
    </w:p>
  </w:footnote>
  <w:footnote w:id="6">
    <w:p w:rsidR="002F51CB" w:rsidRDefault="0029329A" w:rsidP="00C07886">
      <w:pPr>
        <w:pStyle w:val="Textonotapie"/>
        <w:spacing w:after="0"/>
      </w:pPr>
      <w:r w:rsidRPr="00D478DC">
        <w:rPr>
          <w:rStyle w:val="Refdenotaalpie"/>
          <w:vertAlign w:val="superscript"/>
        </w:rPr>
        <w:footnoteRef/>
      </w:r>
      <w:r w:rsidRPr="00D478DC">
        <w:rPr>
          <w:vertAlign w:val="superscript"/>
        </w:rPr>
        <w:t xml:space="preserve"> </w:t>
      </w:r>
      <w:r>
        <w:t>Expediente digital, (</w:t>
      </w:r>
      <w:hyperlink r:id="rId1" w:history="1">
        <w:r w:rsidRPr="00846E55">
          <w:rPr>
            <w:rStyle w:val="Hipervnculo"/>
          </w:rPr>
          <w:t>https://www.corteconstitucional.gov.co/secretaria/archivo.php?id=69857</w:t>
        </w:r>
      </w:hyperlink>
      <w:r>
        <w:t xml:space="preserve">), folio 18. </w:t>
      </w:r>
    </w:p>
  </w:footnote>
  <w:footnote w:id="7">
    <w:p w:rsidR="002F51CB" w:rsidRDefault="0029329A" w:rsidP="00C07886">
      <w:pPr>
        <w:pStyle w:val="Textonotapie"/>
        <w:spacing w:after="0"/>
      </w:pPr>
      <w:r w:rsidRPr="00D478DC">
        <w:rPr>
          <w:rStyle w:val="Refdenotaalpie"/>
          <w:vertAlign w:val="superscript"/>
        </w:rPr>
        <w:footnoteRef/>
      </w:r>
      <w:r w:rsidRPr="00D478DC">
        <w:rPr>
          <w:vertAlign w:val="superscript"/>
        </w:rPr>
        <w:t xml:space="preserve"> </w:t>
      </w:r>
      <w:r>
        <w:t xml:space="preserve">Ibidem, folio 24. </w:t>
      </w:r>
    </w:p>
  </w:footnote>
  <w:footnote w:id="8">
    <w:p w:rsidR="002F51CB" w:rsidRPr="00F464A6" w:rsidRDefault="0029329A" w:rsidP="00C07886">
      <w:pPr>
        <w:pStyle w:val="Textonotapie"/>
        <w:spacing w:after="0"/>
      </w:pPr>
      <w:r w:rsidRPr="00D478DC">
        <w:rPr>
          <w:rStyle w:val="Refdenotaalpie"/>
          <w:vertAlign w:val="superscript"/>
        </w:rPr>
        <w:footnoteRef/>
      </w:r>
      <w:r>
        <w:t xml:space="preserve"> </w:t>
      </w:r>
      <w:r w:rsidRPr="00E5430D">
        <w:t>Expediente digital</w:t>
      </w:r>
      <w:r w:rsidRPr="00F464A6">
        <w:t>, (</w:t>
      </w:r>
      <w:hyperlink r:id="rId2" w:history="1">
        <w:r w:rsidRPr="00F464A6">
          <w:rPr>
            <w:rStyle w:val="Hipervnculo"/>
            <w:color w:val="auto"/>
            <w:u w:val="none"/>
          </w:rPr>
          <w:t>https://www.corteconstitucional.gov.co/secretaria/archivo.php?id=69857</w:t>
        </w:r>
      </w:hyperlink>
      <w:r w:rsidRPr="00F464A6">
        <w:t xml:space="preserve">), folio 33. </w:t>
      </w:r>
    </w:p>
  </w:footnote>
  <w:footnote w:id="9">
    <w:p w:rsidR="002F51CB" w:rsidRDefault="0029329A" w:rsidP="00C07886">
      <w:pPr>
        <w:pStyle w:val="Textonotapie"/>
        <w:spacing w:after="0"/>
      </w:pPr>
      <w:r w:rsidRPr="00D478DC">
        <w:rPr>
          <w:rStyle w:val="Refdenotaalpie"/>
          <w:vertAlign w:val="superscript"/>
        </w:rPr>
        <w:footnoteRef/>
      </w:r>
      <w:r w:rsidRPr="00D478DC">
        <w:rPr>
          <w:vertAlign w:val="superscript"/>
        </w:rPr>
        <w:t xml:space="preserve"> </w:t>
      </w:r>
      <w:r>
        <w:t>Expediente digital, (</w:t>
      </w:r>
      <w:hyperlink r:id="rId3" w:history="1">
        <w:r w:rsidRPr="00846E55">
          <w:rPr>
            <w:rStyle w:val="Hipervnculo"/>
          </w:rPr>
          <w:t>https://www.corteconstitucional.gov.co/secretaria/archivo.php?id=69807</w:t>
        </w:r>
      </w:hyperlink>
      <w:r>
        <w:t>), folio 4</w:t>
      </w:r>
    </w:p>
  </w:footnote>
  <w:footnote w:id="10">
    <w:p w:rsidR="002F51CB" w:rsidRDefault="0029329A" w:rsidP="00C07886">
      <w:pPr>
        <w:pStyle w:val="Textonotapie"/>
        <w:spacing w:after="0"/>
      </w:pPr>
      <w:r w:rsidRPr="00D478DC">
        <w:rPr>
          <w:rStyle w:val="Refdenotaalpie"/>
          <w:vertAlign w:val="superscript"/>
        </w:rPr>
        <w:footnoteRef/>
      </w:r>
      <w:r w:rsidRPr="00D478DC">
        <w:rPr>
          <w:vertAlign w:val="superscript"/>
        </w:rPr>
        <w:t xml:space="preserve"> </w:t>
      </w:r>
      <w:r>
        <w:t xml:space="preserve">Ibidem. </w:t>
      </w:r>
    </w:p>
  </w:footnote>
  <w:footnote w:id="11">
    <w:p w:rsidR="002F51CB" w:rsidRDefault="0029329A" w:rsidP="00C07886">
      <w:pPr>
        <w:pStyle w:val="Textonotapie"/>
        <w:spacing w:after="0"/>
      </w:pPr>
      <w:r w:rsidRPr="00D478DC">
        <w:rPr>
          <w:rStyle w:val="Refdenotaalpie"/>
          <w:vertAlign w:val="superscript"/>
        </w:rPr>
        <w:footnoteRef/>
      </w:r>
      <w:r>
        <w:t xml:space="preserve"> Expediente digital, </w:t>
      </w:r>
      <w:r w:rsidRPr="00F464A6">
        <w:t>(</w:t>
      </w:r>
      <w:hyperlink r:id="rId4" w:history="1">
        <w:r w:rsidRPr="00F464A6">
          <w:rPr>
            <w:rStyle w:val="Hipervnculo"/>
            <w:color w:val="auto"/>
            <w:u w:val="none"/>
          </w:rPr>
          <w:t>https://www.corteconstitucional</w:t>
        </w:r>
        <w:r w:rsidRPr="00F464A6">
          <w:rPr>
            <w:rStyle w:val="Hipervnculo"/>
            <w:color w:val="auto"/>
            <w:u w:val="none"/>
          </w:rPr>
          <w:t>.gov.co/secretaria/archivo.php?id=71908</w:t>
        </w:r>
      </w:hyperlink>
      <w:r>
        <w:t xml:space="preserve">), folio 22. </w:t>
      </w:r>
    </w:p>
  </w:footnote>
  <w:footnote w:id="12">
    <w:p w:rsidR="002F51CB" w:rsidRDefault="0029329A" w:rsidP="00C07886">
      <w:pPr>
        <w:pStyle w:val="Textonotapie"/>
        <w:spacing w:after="0"/>
      </w:pPr>
      <w:r w:rsidRPr="00D478DC">
        <w:rPr>
          <w:rStyle w:val="Refdenotaalpie"/>
          <w:vertAlign w:val="superscript"/>
        </w:rPr>
        <w:footnoteRef/>
      </w:r>
      <w:r>
        <w:t xml:space="preserve"> Ibidem, folio 26.</w:t>
      </w:r>
    </w:p>
  </w:footnote>
  <w:footnote w:id="13">
    <w:p w:rsidR="002F51CB" w:rsidRPr="00631A68" w:rsidRDefault="0029329A" w:rsidP="00C07886">
      <w:pPr>
        <w:pStyle w:val="Textonotapie"/>
        <w:spacing w:after="0"/>
      </w:pPr>
      <w:r w:rsidRPr="00D478DC">
        <w:rPr>
          <w:rStyle w:val="Refdenotaalpie"/>
          <w:vertAlign w:val="superscript"/>
        </w:rPr>
        <w:footnoteRef/>
      </w:r>
      <w:r w:rsidRPr="00D478DC">
        <w:rPr>
          <w:vertAlign w:val="superscript"/>
        </w:rPr>
        <w:t xml:space="preserve"> </w:t>
      </w:r>
      <w:r w:rsidRPr="00631A68">
        <w:t>Expediente digital, (https://www.corteconstitucional.gov.co/secretaria/</w:t>
      </w:r>
      <w:r>
        <w:t xml:space="preserve">archivo.php?id=71908), folio 28. </w:t>
      </w:r>
    </w:p>
  </w:footnote>
  <w:footnote w:id="14">
    <w:p w:rsidR="002F51CB" w:rsidRDefault="0029329A">
      <w:pPr>
        <w:pStyle w:val="Textonotapie"/>
      </w:pPr>
      <w:r w:rsidRPr="006A68F3">
        <w:rPr>
          <w:rStyle w:val="Refdenotaalpie"/>
          <w:vertAlign w:val="superscript"/>
        </w:rPr>
        <w:footnoteRef/>
      </w:r>
      <w:r w:rsidRPr="006A68F3">
        <w:rPr>
          <w:vertAlign w:val="superscript"/>
        </w:rPr>
        <w:t xml:space="preserve"> </w:t>
      </w:r>
      <w:r>
        <w:t xml:space="preserve">Ibidem. </w:t>
      </w:r>
    </w:p>
  </w:footnote>
  <w:footnote w:id="15">
    <w:p w:rsidR="002F51CB" w:rsidRPr="006413AF" w:rsidRDefault="0029329A" w:rsidP="00C07886">
      <w:pPr>
        <w:pStyle w:val="Textonotapie"/>
        <w:spacing w:after="0"/>
        <w:rPr>
          <w:lang w:val="es-ES"/>
        </w:rPr>
      </w:pPr>
      <w:r w:rsidRPr="00D478DC">
        <w:rPr>
          <w:rStyle w:val="Refdenotaalpie"/>
          <w:vertAlign w:val="superscript"/>
        </w:rPr>
        <w:footnoteRef/>
      </w:r>
      <w:r w:rsidRPr="00D478DC">
        <w:rPr>
          <w:vertAlign w:val="superscript"/>
        </w:rPr>
        <w:t xml:space="preserve"> </w:t>
      </w:r>
      <w:bookmarkStart w:id="6" w:name="_Hlk150930866"/>
      <w:r>
        <w:rPr>
          <w:lang w:val="es-ES"/>
        </w:rPr>
        <w:t>Expediente digital, (</w:t>
      </w:r>
      <w:hyperlink r:id="rId5" w:history="1">
        <w:r w:rsidRPr="00A73AC9">
          <w:rPr>
            <w:rStyle w:val="Hipervnculo"/>
            <w:lang w:val="es-ES"/>
          </w:rPr>
          <w:t>https://www.corteconstitucional.gov.co/secretaria/archivo.php?id=69808</w:t>
        </w:r>
      </w:hyperlink>
      <w:r>
        <w:rPr>
          <w:lang w:val="es-ES"/>
        </w:rPr>
        <w:t>), folio 9.</w:t>
      </w:r>
      <w:bookmarkEnd w:id="6"/>
    </w:p>
  </w:footnote>
  <w:footnote w:id="16">
    <w:p w:rsidR="002F51CB" w:rsidRPr="00E200D3" w:rsidRDefault="0029329A" w:rsidP="00C07886">
      <w:pPr>
        <w:pStyle w:val="Textonotapie"/>
        <w:spacing w:after="0"/>
        <w:rPr>
          <w:lang w:val="es-ES"/>
        </w:rPr>
      </w:pPr>
      <w:r w:rsidRPr="00D478DC">
        <w:rPr>
          <w:rStyle w:val="Refdenotaalpie"/>
          <w:vertAlign w:val="superscript"/>
        </w:rPr>
        <w:footnoteRef/>
      </w:r>
      <w:r w:rsidRPr="00D478DC">
        <w:rPr>
          <w:vertAlign w:val="superscript"/>
        </w:rPr>
        <w:t xml:space="preserve"> </w:t>
      </w:r>
      <w:r>
        <w:rPr>
          <w:lang w:val="es-ES"/>
        </w:rPr>
        <w:t xml:space="preserve">Ibidem, folio 11. </w:t>
      </w:r>
    </w:p>
  </w:footnote>
  <w:footnote w:id="17">
    <w:p w:rsidR="002F51CB" w:rsidRPr="00E200D3" w:rsidRDefault="0029329A" w:rsidP="00C07886">
      <w:pPr>
        <w:pStyle w:val="Textonotapie"/>
        <w:spacing w:after="0"/>
        <w:rPr>
          <w:lang w:val="es-ES"/>
        </w:rPr>
      </w:pPr>
      <w:r w:rsidRPr="00D478DC">
        <w:rPr>
          <w:rStyle w:val="Refdenotaalpie"/>
          <w:vertAlign w:val="superscript"/>
        </w:rPr>
        <w:footnoteRef/>
      </w:r>
      <w:r>
        <w:t xml:space="preserve"> </w:t>
      </w:r>
      <w:r w:rsidRPr="00E200D3">
        <w:rPr>
          <w:lang w:val="es-ES"/>
        </w:rPr>
        <w:t>Expediente digital, (</w:t>
      </w:r>
      <w:hyperlink r:id="rId6" w:history="1">
        <w:r w:rsidRPr="00E200D3">
          <w:rPr>
            <w:rStyle w:val="Hipervnculo"/>
            <w:lang w:val="es-ES"/>
          </w:rPr>
          <w:t>https://www.corteconstitucional.gov.co/secretaria/archivo.php?id=69808</w:t>
        </w:r>
      </w:hyperlink>
      <w:r w:rsidRPr="00E200D3">
        <w:rPr>
          <w:lang w:val="es-ES"/>
        </w:rPr>
        <w:t xml:space="preserve">), folio </w:t>
      </w:r>
      <w:r>
        <w:rPr>
          <w:lang w:val="es-ES"/>
        </w:rPr>
        <w:t xml:space="preserve">12. </w:t>
      </w:r>
    </w:p>
    <w:p w:rsidR="002F51CB" w:rsidRPr="00E200D3" w:rsidRDefault="0029329A" w:rsidP="00C07886">
      <w:pPr>
        <w:pStyle w:val="Textonotapie"/>
        <w:spacing w:after="0"/>
        <w:rPr>
          <w:lang w:val="es-ES"/>
        </w:rPr>
      </w:pPr>
    </w:p>
  </w:footnote>
  <w:footnote w:id="18">
    <w:p w:rsidR="002F51CB" w:rsidRPr="00F05B36" w:rsidRDefault="0029329A" w:rsidP="00C07886">
      <w:pPr>
        <w:pStyle w:val="Textonotapie"/>
        <w:spacing w:after="0"/>
        <w:rPr>
          <w:lang w:val="es-ES"/>
        </w:rPr>
      </w:pPr>
      <w:r w:rsidRPr="00D478DC">
        <w:rPr>
          <w:rStyle w:val="Refdenotaalpie"/>
          <w:vertAlign w:val="superscript"/>
        </w:rPr>
        <w:footnoteRef/>
      </w:r>
      <w:r>
        <w:t xml:space="preserve"> </w:t>
      </w:r>
      <w:r>
        <w:rPr>
          <w:lang w:val="es-ES"/>
        </w:rPr>
        <w:t xml:space="preserve">Ibidem, folio 21. </w:t>
      </w:r>
    </w:p>
  </w:footnote>
  <w:footnote w:id="19">
    <w:p w:rsidR="002F51CB" w:rsidRPr="00B66A9D" w:rsidRDefault="0029329A" w:rsidP="00C07886">
      <w:pPr>
        <w:pStyle w:val="Textonotapie"/>
        <w:spacing w:after="0"/>
        <w:rPr>
          <w:lang w:val="es-ES"/>
        </w:rPr>
      </w:pPr>
      <w:r w:rsidRPr="00D478DC">
        <w:rPr>
          <w:rStyle w:val="Refdenotaalpie"/>
          <w:vertAlign w:val="superscript"/>
        </w:rPr>
        <w:footnoteRef/>
      </w:r>
      <w:r w:rsidRPr="00D478DC">
        <w:rPr>
          <w:vertAlign w:val="superscript"/>
        </w:rPr>
        <w:t xml:space="preserve"> </w:t>
      </w:r>
      <w:r>
        <w:t>Expediente digital, (</w:t>
      </w:r>
      <w:hyperlink r:id="rId7" w:history="1">
        <w:r w:rsidRPr="00A73AC9">
          <w:rPr>
            <w:rStyle w:val="Hipervnculo"/>
          </w:rPr>
          <w:t>https://www.corteconstitucional.gov.co/secretaria/archivo.php?id=69479</w:t>
        </w:r>
      </w:hyperlink>
      <w:r>
        <w:t xml:space="preserve">), folio 32. </w:t>
      </w:r>
    </w:p>
  </w:footnote>
  <w:footnote w:id="20">
    <w:p w:rsidR="002F51CB" w:rsidRPr="00EC5ABD" w:rsidRDefault="0029329A" w:rsidP="00C07886">
      <w:pPr>
        <w:pStyle w:val="Textonotapie"/>
        <w:spacing w:after="0"/>
        <w:rPr>
          <w:lang w:val="es-ES"/>
        </w:rPr>
      </w:pPr>
      <w:r w:rsidRPr="00D478DC">
        <w:rPr>
          <w:rStyle w:val="Refdenotaalpie"/>
          <w:vertAlign w:val="superscript"/>
        </w:rPr>
        <w:footnoteRef/>
      </w:r>
      <w:r>
        <w:t xml:space="preserve"> </w:t>
      </w:r>
      <w:r>
        <w:rPr>
          <w:lang w:val="es-ES"/>
        </w:rPr>
        <w:t xml:space="preserve">Ibidem, folio 38. </w:t>
      </w:r>
    </w:p>
  </w:footnote>
  <w:footnote w:id="21">
    <w:p w:rsidR="002F51CB" w:rsidRDefault="0029329A" w:rsidP="00C07886">
      <w:pPr>
        <w:pStyle w:val="Textonotapie"/>
        <w:spacing w:after="0"/>
      </w:pPr>
      <w:r w:rsidRPr="00D478DC">
        <w:rPr>
          <w:rStyle w:val="Refdenotaalpie"/>
          <w:vertAlign w:val="superscript"/>
        </w:rPr>
        <w:footnoteRef/>
      </w:r>
      <w:r>
        <w:t xml:space="preserve"> Expediente digital, (</w:t>
      </w:r>
      <w:hyperlink r:id="rId8" w:history="1">
        <w:r w:rsidRPr="00EB16D8">
          <w:rPr>
            <w:rStyle w:val="Hipervnculo"/>
          </w:rPr>
          <w:t>https://www.corteconstitucional.gov.co/secretaria/archivo.php?id=69606</w:t>
        </w:r>
      </w:hyperlink>
      <w:r>
        <w:t>), folio 3.</w:t>
      </w:r>
    </w:p>
  </w:footnote>
  <w:footnote w:id="22">
    <w:p w:rsidR="002F51CB" w:rsidRDefault="0029329A" w:rsidP="00AA6BF8">
      <w:pPr>
        <w:pStyle w:val="Textonotapie"/>
        <w:spacing w:after="0"/>
      </w:pPr>
      <w:r w:rsidRPr="00D478DC">
        <w:rPr>
          <w:rStyle w:val="Refdenotaalpie"/>
          <w:vertAlign w:val="superscript"/>
        </w:rPr>
        <w:footnoteRef/>
      </w:r>
      <w:r>
        <w:t xml:space="preserve"> Ibidem. </w:t>
      </w:r>
    </w:p>
  </w:footnote>
  <w:footnote w:id="23">
    <w:p w:rsidR="002F51CB" w:rsidRDefault="0029329A" w:rsidP="00AA6BF8">
      <w:pPr>
        <w:pStyle w:val="Textonotapie"/>
        <w:spacing w:after="0"/>
      </w:pPr>
      <w:r w:rsidRPr="00D478DC">
        <w:rPr>
          <w:rStyle w:val="Refdenotaalpie"/>
          <w:vertAlign w:val="superscript"/>
        </w:rPr>
        <w:footnoteRef/>
      </w:r>
      <w:r>
        <w:t xml:space="preserve"> </w:t>
      </w:r>
      <w:r w:rsidRPr="006D3D31">
        <w:t>Expediente digital, (https://www.corteconstitucional.gov.co/secretaria</w:t>
      </w:r>
      <w:r>
        <w:t>/archivo.php?id=69606), folio 4.</w:t>
      </w:r>
    </w:p>
  </w:footnote>
  <w:footnote w:id="24">
    <w:p w:rsidR="002F51CB" w:rsidRDefault="0029329A" w:rsidP="00AA6BF8">
      <w:pPr>
        <w:pStyle w:val="Textonotapie"/>
        <w:spacing w:after="0"/>
      </w:pPr>
      <w:r w:rsidRPr="00AA6BF8">
        <w:rPr>
          <w:rStyle w:val="Refdenotaalpie"/>
          <w:vertAlign w:val="superscript"/>
        </w:rPr>
        <w:footnoteRef/>
      </w:r>
      <w:r>
        <w:t xml:space="preserve"> Ibídem. </w:t>
      </w:r>
    </w:p>
  </w:footnote>
  <w:footnote w:id="25">
    <w:p w:rsidR="002F51CB" w:rsidRDefault="0029329A" w:rsidP="00AA6BF8">
      <w:pPr>
        <w:pStyle w:val="Textonotapie"/>
        <w:spacing w:after="0"/>
      </w:pPr>
      <w:r w:rsidRPr="00D478DC">
        <w:rPr>
          <w:rStyle w:val="Refdenotaalpie"/>
          <w:vertAlign w:val="superscript"/>
        </w:rPr>
        <w:footnoteRef/>
      </w:r>
      <w:r w:rsidRPr="00D478DC">
        <w:rPr>
          <w:vertAlign w:val="superscript"/>
        </w:rPr>
        <w:t xml:space="preserve"> </w:t>
      </w:r>
      <w:r>
        <w:t>Expediente digital, (</w:t>
      </w:r>
      <w:r w:rsidRPr="00D62EF4">
        <w:t>https://www.corteconstit</w:t>
      </w:r>
      <w:r w:rsidRPr="00D62EF4">
        <w:t>ucional.gov.co/secretaria/archivo.php?id=69806</w:t>
      </w:r>
      <w:r>
        <w:t>), folio 7.</w:t>
      </w:r>
    </w:p>
  </w:footnote>
  <w:footnote w:id="26">
    <w:p w:rsidR="002F51CB" w:rsidRDefault="0029329A" w:rsidP="00C07886">
      <w:pPr>
        <w:pStyle w:val="Textonotapie"/>
        <w:spacing w:after="0"/>
      </w:pPr>
      <w:r w:rsidRPr="00D478DC">
        <w:rPr>
          <w:rStyle w:val="Refdenotaalpie"/>
          <w:vertAlign w:val="superscript"/>
        </w:rPr>
        <w:footnoteRef/>
      </w:r>
      <w:r>
        <w:t xml:space="preserve"> Ibidem, folio 6. </w:t>
      </w:r>
    </w:p>
  </w:footnote>
  <w:footnote w:id="27">
    <w:p w:rsidR="002F51CB" w:rsidRDefault="0029329A" w:rsidP="00C07886">
      <w:pPr>
        <w:pStyle w:val="Textonotapie"/>
        <w:spacing w:after="0"/>
      </w:pPr>
      <w:r w:rsidRPr="00D478DC">
        <w:rPr>
          <w:rStyle w:val="Refdenotaalpie"/>
          <w:vertAlign w:val="superscript"/>
        </w:rPr>
        <w:footnoteRef/>
      </w:r>
      <w:r w:rsidRPr="00D478DC">
        <w:rPr>
          <w:vertAlign w:val="superscript"/>
        </w:rPr>
        <w:t xml:space="preserve"> </w:t>
      </w:r>
      <w:r>
        <w:t>Expediente digital, (</w:t>
      </w:r>
      <w:hyperlink r:id="rId9" w:history="1">
        <w:r w:rsidRPr="00EB16D8">
          <w:rPr>
            <w:rStyle w:val="Hipervnculo"/>
          </w:rPr>
          <w:t>https://www.corteconstitucional.gov.co/secretaria/archivo.php?id=716</w:t>
        </w:r>
        <w:r w:rsidRPr="00EB16D8">
          <w:rPr>
            <w:rStyle w:val="Hipervnculo"/>
          </w:rPr>
          <w:t>97</w:t>
        </w:r>
      </w:hyperlink>
      <w:r>
        <w:t xml:space="preserve">), folio 4. </w:t>
      </w:r>
    </w:p>
  </w:footnote>
  <w:footnote w:id="28">
    <w:p w:rsidR="002F51CB" w:rsidRDefault="0029329A" w:rsidP="00C07886">
      <w:pPr>
        <w:pStyle w:val="Textonotapie"/>
        <w:spacing w:after="0"/>
      </w:pPr>
      <w:r w:rsidRPr="000A020C">
        <w:rPr>
          <w:rStyle w:val="Refdenotaalpie"/>
          <w:vertAlign w:val="superscript"/>
        </w:rPr>
        <w:footnoteRef/>
      </w:r>
      <w:r>
        <w:t xml:space="preserve"> Ibidem, folio 6. </w:t>
      </w:r>
    </w:p>
  </w:footnote>
  <w:footnote w:id="29">
    <w:p w:rsidR="002F51CB" w:rsidRPr="000543F6" w:rsidRDefault="0029329A" w:rsidP="00365624">
      <w:pPr>
        <w:pStyle w:val="Textonotapie"/>
        <w:spacing w:after="0"/>
        <w:jc w:val="both"/>
      </w:pPr>
      <w:r w:rsidRPr="000A020C">
        <w:rPr>
          <w:rStyle w:val="Refdenotaalpie"/>
          <w:vertAlign w:val="superscript"/>
        </w:rPr>
        <w:footnoteRef/>
      </w:r>
      <w:r w:rsidRPr="000A020C">
        <w:rPr>
          <w:vertAlign w:val="superscript"/>
        </w:rPr>
        <w:t xml:space="preserve">  </w:t>
      </w:r>
      <w:r w:rsidRPr="000543F6">
        <w:t>Expediente digital, (https://www.corteconstitucional.gov.co/secretaria/archivo.php?id=</w:t>
      </w:r>
      <w:r>
        <w:t>71697), folio 7.</w:t>
      </w:r>
    </w:p>
  </w:footnote>
  <w:footnote w:id="30">
    <w:p w:rsidR="002F51CB" w:rsidRPr="00585A99" w:rsidRDefault="0029329A" w:rsidP="00585A99">
      <w:pPr>
        <w:pStyle w:val="Textonotapie"/>
        <w:spacing w:after="0"/>
        <w:jc w:val="both"/>
        <w:rPr>
          <w:lang w:val="es-ES"/>
        </w:rPr>
      </w:pPr>
      <w:r w:rsidRPr="00585A99">
        <w:rPr>
          <w:rStyle w:val="Refdenotaalpie"/>
          <w:vertAlign w:val="superscript"/>
        </w:rPr>
        <w:footnoteRef/>
      </w:r>
      <w:r w:rsidRPr="00585A99">
        <w:rPr>
          <w:vertAlign w:val="superscript"/>
        </w:rPr>
        <w:t xml:space="preserve"> </w:t>
      </w:r>
      <w:r w:rsidRPr="00585A99">
        <w:rPr>
          <w:lang w:val="es-ES"/>
        </w:rPr>
        <w:t>La Sala Plena reiterar</w:t>
      </w:r>
      <w:r>
        <w:rPr>
          <w:lang w:val="es-ES"/>
        </w:rPr>
        <w:t>á las consideraciones sobre “el</w:t>
      </w:r>
      <w:r w:rsidRPr="00585A99">
        <w:rPr>
          <w:lang w:val="es-ES"/>
        </w:rPr>
        <w:t xml:space="preserve"> principio de unidad de materia”, decantad</w:t>
      </w:r>
      <w:r>
        <w:rPr>
          <w:lang w:val="es-ES"/>
        </w:rPr>
        <w:t>as en la sentencia</w:t>
      </w:r>
      <w:r>
        <w:rPr>
          <w:lang w:val="es-ES"/>
        </w:rPr>
        <w:t xml:space="preserve"> C-493 de 2020</w:t>
      </w:r>
      <w:r w:rsidRPr="00585A99">
        <w:rPr>
          <w:lang w:val="es-ES"/>
        </w:rPr>
        <w:t xml:space="preserve">, por encontrase pertinentes para el análisis de la presente demanda.  </w:t>
      </w:r>
    </w:p>
  </w:footnote>
  <w:footnote w:id="31">
    <w:p w:rsidR="002F51CB" w:rsidRDefault="0029329A" w:rsidP="00585A99">
      <w:pPr>
        <w:pStyle w:val="Textonotapie"/>
        <w:spacing w:after="0"/>
        <w:jc w:val="both"/>
      </w:pPr>
      <w:r w:rsidRPr="00E06424">
        <w:rPr>
          <w:vertAlign w:val="superscript"/>
        </w:rPr>
        <w:footnoteRef/>
      </w:r>
      <w:r w:rsidRPr="00E06424">
        <w:t xml:space="preserve"> Constitución Política, artículo 158. Ver también artículo 169 respecto a la correspondencia que debe existir entre el título de las leyes y su contenido.</w:t>
      </w:r>
    </w:p>
  </w:footnote>
  <w:footnote w:id="32">
    <w:p w:rsidR="002F51CB" w:rsidRDefault="0029329A" w:rsidP="00585A99">
      <w:pPr>
        <w:pStyle w:val="Textonotapie"/>
        <w:spacing w:after="0"/>
        <w:jc w:val="both"/>
      </w:pPr>
      <w:r w:rsidRPr="00365624">
        <w:rPr>
          <w:rStyle w:val="Refdenotaalpie"/>
          <w:vertAlign w:val="superscript"/>
        </w:rPr>
        <w:footnoteRef/>
      </w:r>
      <w:r>
        <w:t xml:space="preserve"> Sentencia C-493 de 2020.</w:t>
      </w:r>
    </w:p>
  </w:footnote>
  <w:footnote w:id="33">
    <w:p w:rsidR="002F51CB" w:rsidRDefault="0029329A" w:rsidP="00585A99">
      <w:pPr>
        <w:pStyle w:val="Textonotapie"/>
        <w:spacing w:after="0"/>
        <w:jc w:val="both"/>
      </w:pPr>
      <w:r w:rsidRPr="00E06424">
        <w:rPr>
          <w:vertAlign w:val="superscript"/>
        </w:rPr>
        <w:footnoteRef/>
      </w:r>
      <w:r w:rsidRPr="00E06424">
        <w:t xml:space="preserve"> </w:t>
      </w:r>
      <w:r>
        <w:t>Ver sentencia C-493 de 2020. En esta providencia se reiteraron las sentencias C-285 de 2017, C-440 de 2020</w:t>
      </w:r>
      <w:r w:rsidRPr="00E06424">
        <w:t xml:space="preserve"> y C-047 de 2018. </w:t>
      </w:r>
    </w:p>
  </w:footnote>
  <w:footnote w:id="34">
    <w:p w:rsidR="002F51CB" w:rsidRDefault="0029329A" w:rsidP="00585A99">
      <w:pPr>
        <w:pStyle w:val="Textonotapie"/>
        <w:spacing w:after="0"/>
        <w:jc w:val="both"/>
      </w:pPr>
      <w:r w:rsidRPr="00365624">
        <w:rPr>
          <w:rStyle w:val="Refdenotaalpie"/>
          <w:vertAlign w:val="superscript"/>
        </w:rPr>
        <w:footnoteRef/>
      </w:r>
      <w:r>
        <w:t xml:space="preserve"> Sentencia C-493 de 2020. </w:t>
      </w:r>
    </w:p>
  </w:footnote>
  <w:footnote w:id="35">
    <w:p w:rsidR="002F51CB" w:rsidRDefault="0029329A" w:rsidP="00585A99">
      <w:pPr>
        <w:pStyle w:val="Textonotapie"/>
        <w:spacing w:after="0"/>
        <w:jc w:val="both"/>
      </w:pPr>
      <w:r w:rsidRPr="00365624">
        <w:rPr>
          <w:rStyle w:val="Refdenotaalpie"/>
          <w:vertAlign w:val="superscript"/>
        </w:rPr>
        <w:footnoteRef/>
      </w:r>
      <w:r>
        <w:t xml:space="preserve"> Ibidem. </w:t>
      </w:r>
    </w:p>
  </w:footnote>
  <w:footnote w:id="36">
    <w:p w:rsidR="002F51CB" w:rsidRDefault="0029329A" w:rsidP="00585A99">
      <w:pPr>
        <w:pStyle w:val="Textonotapie"/>
        <w:spacing w:after="0"/>
        <w:jc w:val="both"/>
      </w:pPr>
      <w:r w:rsidRPr="00E06424">
        <w:rPr>
          <w:vertAlign w:val="superscript"/>
        </w:rPr>
        <w:footnoteRef/>
      </w:r>
      <w:r w:rsidRPr="00E06424">
        <w:t xml:space="preserve"> “</w:t>
      </w:r>
      <w:r w:rsidRPr="00E06424">
        <w:rPr>
          <w:i/>
          <w:iCs/>
        </w:rPr>
        <w:t xml:space="preserve">Si el Congreso ha previsto él mismo unos confines aplicables </w:t>
      </w:r>
      <w:r w:rsidRPr="00E06424">
        <w:rPr>
          <w:i/>
          <w:iCs/>
        </w:rPr>
        <w:t>a su actividad legislativa, independientemente de la competencia que tenga para legislar sobre ciertos temas, viola la Constitución cuando incluye cánones específicos que, o bien no encajan dentro del título que delimita la materia objeto de legislación, o</w:t>
      </w:r>
      <w:r w:rsidRPr="00E06424">
        <w:rPr>
          <w:i/>
          <w:iCs/>
        </w:rPr>
        <w:t xml:space="preserve"> bien no guardan relación interna con el contenido global del articulado. // Estos principios se han reafirmado y aplicado en varias providencias de la Corte. // Empero, no pueden ser entendidos dentro del criterio de una rigidez formal por cuya virtud se </w:t>
      </w:r>
      <w:r w:rsidRPr="00E06424">
        <w:rPr>
          <w:i/>
          <w:iCs/>
        </w:rPr>
        <w:t>desconozcan o ignoren las relaciones sustanciales entre normas que, en apariencia, se refieren a materias diversas pero cuyos contenidos se hallan ligados, en el ámbito de la función legislativa, por las finalidades perseguidas, por las repercusiones de un</w:t>
      </w:r>
      <w:r w:rsidRPr="00E06424">
        <w:rPr>
          <w:i/>
          <w:iCs/>
        </w:rPr>
        <w:t>as decisiones en otras, o, en fin, por razones de orden fáctico que, evaluadas y ponderadas por el propio legislador, lo obligan a incluir en un mismo cuerpo normativo disposiciones alusivas a cuestiones que en teoría pueden parecer disímiles.”</w:t>
      </w:r>
      <w:r>
        <w:t xml:space="preserve"> Sentencia C</w:t>
      </w:r>
      <w:r>
        <w:t xml:space="preserve">-390 de 1996. </w:t>
      </w:r>
    </w:p>
  </w:footnote>
  <w:footnote w:id="37">
    <w:p w:rsidR="002F51CB" w:rsidRDefault="0029329A" w:rsidP="00585A99">
      <w:pPr>
        <w:pStyle w:val="Textonotapie"/>
        <w:spacing w:after="0"/>
        <w:jc w:val="both"/>
      </w:pPr>
      <w:r w:rsidRPr="00E06424">
        <w:rPr>
          <w:vertAlign w:val="superscript"/>
        </w:rPr>
        <w:footnoteRef/>
      </w:r>
      <w:r w:rsidRPr="00E06424">
        <w:t xml:space="preserve"> Ver sentencias</w:t>
      </w:r>
      <w:r w:rsidRPr="00E06424">
        <w:rPr>
          <w:i/>
        </w:rPr>
        <w:t xml:space="preserve"> </w:t>
      </w:r>
      <w:r w:rsidRPr="00E06424">
        <w:t xml:space="preserve">C-400 de </w:t>
      </w:r>
      <w:r>
        <w:t>2010</w:t>
      </w:r>
      <w:r w:rsidRPr="00E06424">
        <w:t xml:space="preserve"> y C-933 de 2014. </w:t>
      </w:r>
    </w:p>
  </w:footnote>
  <w:footnote w:id="38">
    <w:p w:rsidR="002F51CB" w:rsidRDefault="0029329A" w:rsidP="00585A99">
      <w:pPr>
        <w:pStyle w:val="Textonotapie"/>
        <w:spacing w:after="0"/>
        <w:jc w:val="both"/>
      </w:pPr>
      <w:r w:rsidRPr="00365624">
        <w:rPr>
          <w:rStyle w:val="Refdenotaalpie"/>
          <w:vertAlign w:val="superscript"/>
        </w:rPr>
        <w:footnoteRef/>
      </w:r>
      <w:r>
        <w:t xml:space="preserve"> Sentencia C-493 de 2020. </w:t>
      </w:r>
    </w:p>
  </w:footnote>
  <w:footnote w:id="39">
    <w:p w:rsidR="002F51CB" w:rsidRDefault="0029329A" w:rsidP="00585A99">
      <w:pPr>
        <w:pStyle w:val="Textonotapie"/>
        <w:spacing w:after="0"/>
        <w:jc w:val="both"/>
      </w:pPr>
      <w:r w:rsidRPr="00E06424">
        <w:rPr>
          <w:vertAlign w:val="superscript"/>
        </w:rPr>
        <w:footnoteRef/>
      </w:r>
      <w:r w:rsidRPr="00E06424">
        <w:t xml:space="preserve"> Sentencias C-1025 de 2001 y C-095 de 2020. </w:t>
      </w:r>
    </w:p>
  </w:footnote>
  <w:footnote w:id="40">
    <w:p w:rsidR="002F51CB" w:rsidRDefault="0029329A" w:rsidP="00585A99">
      <w:pPr>
        <w:pStyle w:val="Textonotapie"/>
        <w:spacing w:after="0"/>
        <w:jc w:val="both"/>
      </w:pPr>
      <w:r w:rsidRPr="00365624">
        <w:rPr>
          <w:rStyle w:val="Refdenotaalpie"/>
          <w:vertAlign w:val="superscript"/>
        </w:rPr>
        <w:footnoteRef/>
      </w:r>
      <w:r>
        <w:t xml:space="preserve"> Sentencia C-493 de 2020. </w:t>
      </w:r>
    </w:p>
  </w:footnote>
  <w:footnote w:id="41">
    <w:p w:rsidR="002F51CB" w:rsidRDefault="0029329A" w:rsidP="00585A99">
      <w:pPr>
        <w:pStyle w:val="Textonotapie"/>
        <w:spacing w:after="0"/>
        <w:jc w:val="both"/>
      </w:pPr>
      <w:r>
        <w:rPr>
          <w:rStyle w:val="Refdenotaalpie"/>
        </w:rPr>
        <w:footnoteRef/>
      </w:r>
      <w:r>
        <w:t xml:space="preserve"> </w:t>
      </w:r>
      <w:r w:rsidRPr="00CC7DAF">
        <w:t xml:space="preserve">La Sala Plena reiterará las consideraciones sobre “el </w:t>
      </w:r>
      <w:r w:rsidRPr="00585A99">
        <w:t xml:space="preserve">principio de unidad de materia en </w:t>
      </w:r>
      <w:r w:rsidRPr="00585A99">
        <w:t>los planes nacionales de desarrollo</w:t>
      </w:r>
      <w:r w:rsidRPr="00CC7DAF">
        <w:t>”, decantad</w:t>
      </w:r>
      <w:r>
        <w:t>as en la sentencia C-493 de 2020</w:t>
      </w:r>
      <w:r w:rsidRPr="00CC7DAF">
        <w:t xml:space="preserve">, por encontrase pertinentes para el análisis de la presente demanda.  </w:t>
      </w:r>
    </w:p>
  </w:footnote>
  <w:footnote w:id="42">
    <w:p w:rsidR="002F51CB" w:rsidRDefault="0029329A" w:rsidP="00585A99">
      <w:pPr>
        <w:pStyle w:val="Textonotapie"/>
        <w:spacing w:after="0"/>
        <w:jc w:val="both"/>
      </w:pPr>
      <w:r w:rsidRPr="00E06424">
        <w:rPr>
          <w:vertAlign w:val="superscript"/>
        </w:rPr>
        <w:footnoteRef/>
      </w:r>
      <w:r w:rsidRPr="00E06424">
        <w:t xml:space="preserve"> </w:t>
      </w:r>
      <w:r>
        <w:rPr>
          <w:lang w:val="es-ES"/>
        </w:rPr>
        <w:t>Sentencias C-394 de 2012</w:t>
      </w:r>
      <w:r w:rsidRPr="00E06424">
        <w:rPr>
          <w:lang w:val="es-ES"/>
        </w:rPr>
        <w:t xml:space="preserve"> y </w:t>
      </w:r>
      <w:r w:rsidRPr="00E06424">
        <w:t>C-016 de 2016.</w:t>
      </w:r>
    </w:p>
  </w:footnote>
  <w:footnote w:id="43">
    <w:p w:rsidR="002F51CB" w:rsidRDefault="0029329A" w:rsidP="00365624">
      <w:pPr>
        <w:pStyle w:val="Textonotapie"/>
        <w:spacing w:after="0"/>
        <w:jc w:val="both"/>
      </w:pPr>
      <w:r w:rsidRPr="00E06424">
        <w:rPr>
          <w:vertAlign w:val="superscript"/>
        </w:rPr>
        <w:footnoteRef/>
      </w:r>
      <w:r w:rsidRPr="00E06424">
        <w:t xml:space="preserve"> </w:t>
      </w:r>
      <w:r w:rsidRPr="00E06424">
        <w:rPr>
          <w:lang w:val="es-ES_tradnl"/>
        </w:rPr>
        <w:t>Sentencia</w:t>
      </w:r>
      <w:r>
        <w:rPr>
          <w:lang w:val="es-ES_tradnl"/>
        </w:rPr>
        <w:t>s C-026 de 2020, C</w:t>
      </w:r>
      <w:r w:rsidRPr="00E06424">
        <w:rPr>
          <w:lang w:val="es-ES_tradnl"/>
        </w:rPr>
        <w:t>-539 de 2008</w:t>
      </w:r>
      <w:r>
        <w:rPr>
          <w:lang w:val="es-ES_tradnl"/>
        </w:rPr>
        <w:t xml:space="preserve"> y C-493 de 2020.</w:t>
      </w:r>
    </w:p>
  </w:footnote>
  <w:footnote w:id="44">
    <w:p w:rsidR="002F51CB" w:rsidRDefault="0029329A" w:rsidP="00365624">
      <w:pPr>
        <w:spacing w:after="0"/>
        <w:jc w:val="both"/>
      </w:pPr>
      <w:r w:rsidRPr="00E06424">
        <w:rPr>
          <w:sz w:val="20"/>
          <w:vertAlign w:val="superscript"/>
        </w:rPr>
        <w:footnoteRef/>
      </w:r>
      <w:r w:rsidRPr="00E06424">
        <w:rPr>
          <w:sz w:val="20"/>
        </w:rPr>
        <w:t xml:space="preserve"> S</w:t>
      </w:r>
      <w:r w:rsidRPr="00E06424">
        <w:rPr>
          <w:sz w:val="20"/>
        </w:rPr>
        <w:t xml:space="preserve">entencia C-305 de 2004.  </w:t>
      </w:r>
    </w:p>
  </w:footnote>
  <w:footnote w:id="45">
    <w:p w:rsidR="002F51CB" w:rsidRDefault="0029329A" w:rsidP="00365624">
      <w:pPr>
        <w:spacing w:after="0"/>
        <w:ind w:right="-91"/>
        <w:jc w:val="both"/>
      </w:pPr>
      <w:r w:rsidRPr="00E06424">
        <w:rPr>
          <w:sz w:val="20"/>
          <w:vertAlign w:val="superscript"/>
        </w:rPr>
        <w:footnoteRef/>
      </w:r>
      <w:r w:rsidRPr="00E06424">
        <w:rPr>
          <w:sz w:val="20"/>
        </w:rPr>
        <w:t xml:space="preserve"> Sentencia C-305 de</w:t>
      </w:r>
      <w:r>
        <w:rPr>
          <w:sz w:val="20"/>
        </w:rPr>
        <w:t xml:space="preserve"> 2004, C-191 de 1996</w:t>
      </w:r>
      <w:r w:rsidRPr="00E06424">
        <w:rPr>
          <w:sz w:val="20"/>
        </w:rPr>
        <w:t>, C-394 de 2012</w:t>
      </w:r>
      <w:r>
        <w:rPr>
          <w:sz w:val="20"/>
        </w:rPr>
        <w:t>,</w:t>
      </w:r>
      <w:r w:rsidRPr="00E06424">
        <w:rPr>
          <w:sz w:val="20"/>
        </w:rPr>
        <w:t xml:space="preserve"> C-219 de 2019 y C-068 de 2020.  </w:t>
      </w:r>
    </w:p>
  </w:footnote>
  <w:footnote w:id="46">
    <w:p w:rsidR="002F51CB" w:rsidRDefault="0029329A" w:rsidP="00365624">
      <w:pPr>
        <w:pStyle w:val="Textonotapie"/>
        <w:spacing w:after="0"/>
        <w:jc w:val="both"/>
      </w:pPr>
      <w:r w:rsidRPr="00365624">
        <w:rPr>
          <w:rStyle w:val="Refdenotaalpie"/>
          <w:vertAlign w:val="superscript"/>
        </w:rPr>
        <w:footnoteRef/>
      </w:r>
      <w:r w:rsidRPr="00365624">
        <w:rPr>
          <w:vertAlign w:val="superscript"/>
        </w:rPr>
        <w:t xml:space="preserve"> </w:t>
      </w:r>
      <w:r>
        <w:t>Sentencia C-493 de 2020.</w:t>
      </w:r>
    </w:p>
  </w:footnote>
  <w:footnote w:id="47">
    <w:p w:rsidR="002F51CB" w:rsidRDefault="0029329A" w:rsidP="00365624">
      <w:pPr>
        <w:pStyle w:val="Textonotapie"/>
        <w:spacing w:after="0"/>
        <w:jc w:val="both"/>
      </w:pPr>
      <w:r w:rsidRPr="00E06424">
        <w:rPr>
          <w:vertAlign w:val="superscript"/>
        </w:rPr>
        <w:footnoteRef/>
      </w:r>
      <w:r w:rsidRPr="00E06424">
        <w:t xml:space="preserve"> Sentencias C-219 de 2019</w:t>
      </w:r>
      <w:r>
        <w:t>,</w:t>
      </w:r>
      <w:r w:rsidRPr="00E06424">
        <w:t xml:space="preserve"> C-016 de 2016 y C-095 de 2020.  </w:t>
      </w:r>
    </w:p>
  </w:footnote>
  <w:footnote w:id="48">
    <w:p w:rsidR="002F51CB" w:rsidRDefault="0029329A" w:rsidP="00365624">
      <w:pPr>
        <w:pStyle w:val="Textonotapie"/>
        <w:spacing w:after="0"/>
        <w:jc w:val="both"/>
      </w:pPr>
      <w:r w:rsidRPr="00365624">
        <w:rPr>
          <w:rStyle w:val="Refdenotaalpie"/>
          <w:vertAlign w:val="superscript"/>
        </w:rPr>
        <w:footnoteRef/>
      </w:r>
      <w:r w:rsidRPr="00365624">
        <w:rPr>
          <w:vertAlign w:val="superscript"/>
        </w:rPr>
        <w:t xml:space="preserve"> </w:t>
      </w:r>
      <w:r>
        <w:t xml:space="preserve">Sentencia C-493 de 2020. </w:t>
      </w:r>
    </w:p>
  </w:footnote>
  <w:footnote w:id="49">
    <w:p w:rsidR="002F51CB" w:rsidRDefault="0029329A" w:rsidP="00365624">
      <w:pPr>
        <w:pStyle w:val="Textonotapie"/>
        <w:spacing w:after="0"/>
        <w:jc w:val="both"/>
      </w:pPr>
      <w:r w:rsidRPr="00E06424">
        <w:rPr>
          <w:vertAlign w:val="superscript"/>
        </w:rPr>
        <w:footnoteRef/>
      </w:r>
      <w:r>
        <w:t xml:space="preserve"> C-047 de 2018.</w:t>
      </w:r>
    </w:p>
  </w:footnote>
  <w:footnote w:id="50">
    <w:p w:rsidR="002F51CB" w:rsidRDefault="0029329A" w:rsidP="00365624">
      <w:pPr>
        <w:pStyle w:val="Textonotapie"/>
        <w:spacing w:after="0"/>
        <w:jc w:val="both"/>
      </w:pPr>
      <w:r w:rsidRPr="00E06424">
        <w:rPr>
          <w:vertAlign w:val="superscript"/>
        </w:rPr>
        <w:footnoteRef/>
      </w:r>
      <w:r w:rsidRPr="00E06424">
        <w:t xml:space="preserve"> Sentencia C-068 de </w:t>
      </w:r>
      <w:r>
        <w:t xml:space="preserve">2020. </w:t>
      </w:r>
    </w:p>
  </w:footnote>
  <w:footnote w:id="51">
    <w:p w:rsidR="002F51CB" w:rsidRDefault="0029329A" w:rsidP="00365624">
      <w:pPr>
        <w:pStyle w:val="Textonotapie"/>
        <w:spacing w:after="0"/>
        <w:jc w:val="both"/>
      </w:pPr>
      <w:r w:rsidRPr="00E06424">
        <w:rPr>
          <w:vertAlign w:val="superscript"/>
        </w:rPr>
        <w:footnoteRef/>
      </w:r>
      <w:r>
        <w:t xml:space="preserve"> Sentencia C-219 de 2019. </w:t>
      </w:r>
    </w:p>
  </w:footnote>
  <w:footnote w:id="52">
    <w:p w:rsidR="002F51CB" w:rsidRDefault="0029329A" w:rsidP="00365624">
      <w:pPr>
        <w:pStyle w:val="Textonotapie"/>
        <w:spacing w:after="0"/>
        <w:jc w:val="both"/>
      </w:pPr>
      <w:r w:rsidRPr="00365624">
        <w:rPr>
          <w:rStyle w:val="Refdenotaalpie"/>
          <w:vertAlign w:val="superscript"/>
        </w:rPr>
        <w:footnoteRef/>
      </w:r>
      <w:r w:rsidRPr="00365624">
        <w:rPr>
          <w:vertAlign w:val="superscript"/>
        </w:rPr>
        <w:t xml:space="preserve"> </w:t>
      </w:r>
      <w:r>
        <w:t>Sentencia C-493 de 2020.</w:t>
      </w:r>
    </w:p>
  </w:footnote>
  <w:footnote w:id="53">
    <w:p w:rsidR="002F51CB" w:rsidRDefault="0029329A" w:rsidP="00365624">
      <w:pPr>
        <w:pStyle w:val="Textonotapie"/>
        <w:spacing w:after="0"/>
        <w:jc w:val="both"/>
      </w:pPr>
      <w:r w:rsidRPr="00E06424">
        <w:rPr>
          <w:vertAlign w:val="superscript"/>
        </w:rPr>
        <w:footnoteRef/>
      </w:r>
      <w:r w:rsidRPr="00E06424">
        <w:t xml:space="preserve"> Sentencia C-068 de </w:t>
      </w:r>
      <w:r>
        <w:t xml:space="preserve">2020. </w:t>
      </w:r>
    </w:p>
  </w:footnote>
  <w:footnote w:id="54">
    <w:p w:rsidR="002F51CB" w:rsidRDefault="0029329A" w:rsidP="00365624">
      <w:pPr>
        <w:pStyle w:val="Textonotapie"/>
        <w:spacing w:after="0"/>
        <w:jc w:val="both"/>
      </w:pPr>
      <w:r w:rsidRPr="00E06424">
        <w:rPr>
          <w:vertAlign w:val="superscript"/>
        </w:rPr>
        <w:footnoteRef/>
      </w:r>
      <w:r>
        <w:t xml:space="preserve"> Sentencia C-415 de 2020.</w:t>
      </w:r>
    </w:p>
  </w:footnote>
  <w:footnote w:id="55">
    <w:p w:rsidR="002F51CB" w:rsidRDefault="0029329A" w:rsidP="00365624">
      <w:pPr>
        <w:pStyle w:val="Textonotapie"/>
        <w:spacing w:after="0"/>
        <w:jc w:val="both"/>
      </w:pPr>
      <w:r w:rsidRPr="00365624">
        <w:rPr>
          <w:rStyle w:val="Refdenotaalpie"/>
          <w:vertAlign w:val="superscript"/>
        </w:rPr>
        <w:footnoteRef/>
      </w:r>
      <w:r>
        <w:t xml:space="preserve"> Sentencia C-493 de 2020.</w:t>
      </w:r>
    </w:p>
  </w:footnote>
  <w:footnote w:id="56">
    <w:p w:rsidR="002F51CB" w:rsidRDefault="0029329A" w:rsidP="00365624">
      <w:pPr>
        <w:pStyle w:val="Textonotapie"/>
        <w:spacing w:after="0"/>
        <w:jc w:val="both"/>
      </w:pPr>
      <w:r w:rsidRPr="00E06424">
        <w:rPr>
          <w:vertAlign w:val="superscript"/>
        </w:rPr>
        <w:footnoteRef/>
      </w:r>
      <w:r>
        <w:t xml:space="preserve"> Sentencia C-539 de 2008. </w:t>
      </w:r>
    </w:p>
  </w:footnote>
  <w:footnote w:id="57">
    <w:p w:rsidR="002F51CB" w:rsidRDefault="0029329A" w:rsidP="00365624">
      <w:pPr>
        <w:pStyle w:val="Textonotapie"/>
        <w:spacing w:after="0"/>
        <w:jc w:val="both"/>
      </w:pPr>
      <w:r w:rsidRPr="00E06424">
        <w:rPr>
          <w:vertAlign w:val="superscript"/>
        </w:rPr>
        <w:footnoteRef/>
      </w:r>
      <w:r>
        <w:t xml:space="preserve"> Sentencia C-305 de 2004.</w:t>
      </w:r>
    </w:p>
  </w:footnote>
  <w:footnote w:id="58">
    <w:p w:rsidR="002F51CB" w:rsidRDefault="0029329A" w:rsidP="00365624">
      <w:pPr>
        <w:pStyle w:val="Textonotapie"/>
        <w:spacing w:after="0"/>
        <w:jc w:val="both"/>
      </w:pPr>
      <w:r w:rsidRPr="00E06424">
        <w:rPr>
          <w:vertAlign w:val="superscript"/>
        </w:rPr>
        <w:footnoteRef/>
      </w:r>
      <w:r w:rsidRPr="00E06424">
        <w:t xml:space="preserve"> Sentencia C-016 de 2016. </w:t>
      </w:r>
      <w:r>
        <w:t xml:space="preserve">En la Sentencia C-305 de 2004, </w:t>
      </w:r>
      <w:r w:rsidRPr="00E06424">
        <w:t>la Corte sostuvo: “</w:t>
      </w:r>
      <w:r w:rsidRPr="00E06424">
        <w:rPr>
          <w:i/>
          <w:szCs w:val="28"/>
        </w:rPr>
        <w:t>Precisando lo anterior puede decirse que algunas de las normas contenidas en el Plan de Desarrollo definen, por su contenido, la orientación misma de la política económica, social y ambiental que deberá pre</w:t>
      </w:r>
      <w:r w:rsidRPr="00E06424">
        <w:rPr>
          <w:i/>
          <w:szCs w:val="28"/>
        </w:rPr>
        <w:t>sidir la función pública durante un período presidencial determinado. Tales son, por ejemplo, las que describen los principales programas de inversión.  Otras, de contenido instrumental, deben señalar las estrategias presupuestales o normativas para realiz</w:t>
      </w:r>
      <w:r w:rsidRPr="00E06424">
        <w:rPr>
          <w:i/>
          <w:szCs w:val="28"/>
        </w:rPr>
        <w:t xml:space="preserve">ar tales programas. Si estas últimas no pueden ser referidas a las primeras, es decir carecen de aptitud sustancial directa e inmediata para realizar los planes y programas y las metas generales, resultan ajenas a la materia o asunto de que trata la ley.  </w:t>
      </w:r>
      <w:r w:rsidRPr="00E06424">
        <w:rPr>
          <w:i/>
          <w:szCs w:val="28"/>
        </w:rPr>
        <w:t>Y si la disposición no recoge ningún instrumento de realización de políticas, igualmente debe ser considerada extraña a la materia de una ley cuatrienal de planeación.</w:t>
      </w:r>
      <w:r w:rsidRPr="00E06424">
        <w:rPr>
          <w:szCs w:val="28"/>
        </w:rPr>
        <w:t>”</w:t>
      </w:r>
    </w:p>
  </w:footnote>
  <w:footnote w:id="59">
    <w:p w:rsidR="002F51CB" w:rsidRDefault="0029329A" w:rsidP="00365624">
      <w:pPr>
        <w:pStyle w:val="Textonotapie"/>
        <w:spacing w:after="0"/>
        <w:jc w:val="both"/>
      </w:pPr>
      <w:r w:rsidRPr="00E06424">
        <w:rPr>
          <w:vertAlign w:val="superscript"/>
        </w:rPr>
        <w:footnoteRef/>
      </w:r>
      <w:r>
        <w:t xml:space="preserve"> </w:t>
      </w:r>
      <w:r w:rsidRPr="00E06424">
        <w:t xml:space="preserve">Sentencia C-068 de 2020. </w:t>
      </w:r>
    </w:p>
  </w:footnote>
  <w:footnote w:id="60">
    <w:p w:rsidR="002F51CB" w:rsidRDefault="0029329A" w:rsidP="0029553D">
      <w:pPr>
        <w:pStyle w:val="Textonotapie"/>
        <w:spacing w:after="0"/>
      </w:pPr>
      <w:r w:rsidRPr="00E06424">
        <w:rPr>
          <w:vertAlign w:val="superscript"/>
        </w:rPr>
        <w:footnoteRef/>
      </w:r>
      <w:r w:rsidRPr="00E06424">
        <w:t xml:space="preserve"> Sentencias C-026 de 2020</w:t>
      </w:r>
      <w:r>
        <w:t xml:space="preserve"> y</w:t>
      </w:r>
      <w:r w:rsidRPr="00E06424">
        <w:t xml:space="preserve"> C-440 de 2020.</w:t>
      </w:r>
    </w:p>
  </w:footnote>
  <w:footnote w:id="61">
    <w:p w:rsidR="002F51CB" w:rsidRDefault="0029329A" w:rsidP="0029553D">
      <w:pPr>
        <w:pStyle w:val="Textonotapie"/>
        <w:spacing w:after="0"/>
      </w:pPr>
      <w:r w:rsidRPr="00E06424">
        <w:rPr>
          <w:vertAlign w:val="superscript"/>
        </w:rPr>
        <w:footnoteRef/>
      </w:r>
      <w:r>
        <w:t xml:space="preserve"> Sentencias C-</w:t>
      </w:r>
      <w:r>
        <w:t xml:space="preserve">305 de 2004, </w:t>
      </w:r>
      <w:r w:rsidRPr="00E06424">
        <w:t xml:space="preserve">C-539 de 2008 y C-219 de 2019. </w:t>
      </w:r>
    </w:p>
  </w:footnote>
  <w:footnote w:id="62">
    <w:p w:rsidR="002F51CB" w:rsidRPr="0094384A" w:rsidRDefault="0029329A" w:rsidP="0094384A">
      <w:pPr>
        <w:pStyle w:val="Textonotapie"/>
        <w:spacing w:after="0"/>
        <w:rPr>
          <w:lang w:val="es-ES"/>
        </w:rPr>
      </w:pPr>
      <w:r w:rsidRPr="0094384A">
        <w:rPr>
          <w:rStyle w:val="Refdenotaalpie"/>
          <w:vertAlign w:val="superscript"/>
        </w:rPr>
        <w:footnoteRef/>
      </w:r>
      <w:r w:rsidRPr="0094384A">
        <w:rPr>
          <w:vertAlign w:val="superscript"/>
        </w:rPr>
        <w:t xml:space="preserve"> </w:t>
      </w:r>
      <w:r w:rsidRPr="0094384A">
        <w:t>Sentencias C-008 de 2018</w:t>
      </w:r>
      <w:r>
        <w:t>,</w:t>
      </w:r>
      <w:r w:rsidRPr="0094384A">
        <w:t xml:space="preserve"> C-092 de 2018</w:t>
      </w:r>
      <w:r>
        <w:t xml:space="preserve"> y </w:t>
      </w:r>
      <w:r w:rsidRPr="0094384A">
        <w:t>C-493 de 2020.</w:t>
      </w:r>
    </w:p>
  </w:footnote>
  <w:footnote w:id="63">
    <w:p w:rsidR="002F51CB" w:rsidRDefault="0029329A" w:rsidP="0094384A">
      <w:pPr>
        <w:pStyle w:val="Textonotapie"/>
        <w:spacing w:after="0"/>
      </w:pPr>
      <w:r w:rsidRPr="00E06424">
        <w:rPr>
          <w:vertAlign w:val="superscript"/>
        </w:rPr>
        <w:footnoteRef/>
      </w:r>
      <w:r w:rsidRPr="00E06424">
        <w:t xml:space="preserve"> Sentencias </w:t>
      </w:r>
      <w:r>
        <w:rPr>
          <w:color w:val="000000"/>
          <w:shd w:val="clear" w:color="auto" w:fill="FFFFFF"/>
        </w:rPr>
        <w:t xml:space="preserve">C-795 de 2004, </w:t>
      </w:r>
      <w:r w:rsidRPr="00E06424">
        <w:rPr>
          <w:color w:val="000000"/>
          <w:shd w:val="clear" w:color="auto" w:fill="FFFFFF"/>
        </w:rPr>
        <w:t>C</w:t>
      </w:r>
      <w:r>
        <w:rPr>
          <w:color w:val="000000"/>
          <w:shd w:val="clear" w:color="auto" w:fill="FFFFFF"/>
        </w:rPr>
        <w:t xml:space="preserve">-377 de 2008, </w:t>
      </w:r>
      <w:r w:rsidRPr="00E06424">
        <w:rPr>
          <w:color w:val="000000"/>
          <w:shd w:val="clear" w:color="auto" w:fill="FFFFFF"/>
        </w:rPr>
        <w:t>C</w:t>
      </w:r>
      <w:r w:rsidRPr="00E06424">
        <w:rPr>
          <w:lang w:val="es-ES_tradnl"/>
        </w:rPr>
        <w:t>-394 de 2012</w:t>
      </w:r>
      <w:r>
        <w:rPr>
          <w:lang w:val="es-ES_tradnl"/>
        </w:rPr>
        <w:t xml:space="preserve"> y</w:t>
      </w:r>
      <w:r w:rsidRPr="00E06424">
        <w:rPr>
          <w:lang w:val="es-ES_tradnl"/>
        </w:rPr>
        <w:t xml:space="preserve"> </w:t>
      </w:r>
      <w:r w:rsidRPr="00E06424">
        <w:t xml:space="preserve">C-453 de 2016. </w:t>
      </w:r>
    </w:p>
  </w:footnote>
  <w:footnote w:id="64">
    <w:p w:rsidR="002F51CB" w:rsidRPr="0094384A" w:rsidRDefault="0029329A" w:rsidP="006773BD">
      <w:pPr>
        <w:pStyle w:val="Textonotapie"/>
        <w:spacing w:after="0"/>
        <w:jc w:val="both"/>
        <w:rPr>
          <w:szCs w:val="28"/>
        </w:rPr>
      </w:pPr>
      <w:r w:rsidRPr="006773BD">
        <w:rPr>
          <w:vertAlign w:val="superscript"/>
        </w:rPr>
        <w:footnoteRef/>
      </w:r>
      <w:r w:rsidRPr="006773BD">
        <w:rPr>
          <w:vertAlign w:val="superscript"/>
        </w:rPr>
        <w:t xml:space="preserve"> </w:t>
      </w:r>
      <w:r w:rsidRPr="006773BD">
        <w:t>Sentencias</w:t>
      </w:r>
      <w:r w:rsidRPr="006773BD">
        <w:rPr>
          <w:szCs w:val="28"/>
          <w:lang w:val="es-ES_tradnl"/>
        </w:rPr>
        <w:t xml:space="preserve"> C-008 de 2018 y C-092 de 2018. </w:t>
      </w:r>
    </w:p>
  </w:footnote>
  <w:footnote w:id="65">
    <w:p w:rsidR="002F51CB" w:rsidRPr="006773BD" w:rsidRDefault="0029329A" w:rsidP="006773BD">
      <w:pPr>
        <w:pStyle w:val="Textonotapie"/>
        <w:spacing w:after="0"/>
        <w:jc w:val="both"/>
      </w:pPr>
      <w:r w:rsidRPr="006773BD">
        <w:rPr>
          <w:rStyle w:val="Refdenotaalpie"/>
          <w:vertAlign w:val="superscript"/>
        </w:rPr>
        <w:footnoteRef/>
      </w:r>
      <w:r w:rsidRPr="006773BD">
        <w:t xml:space="preserve"> Sentencia </w:t>
      </w:r>
      <w:bookmarkStart w:id="11" w:name="_Hlk152311015"/>
      <w:r w:rsidRPr="006773BD">
        <w:t>C-493 de 2020.</w:t>
      </w:r>
      <w:bookmarkEnd w:id="11"/>
    </w:p>
  </w:footnote>
  <w:footnote w:id="66">
    <w:p w:rsidR="002F51CB" w:rsidRPr="006773BD" w:rsidRDefault="0029329A" w:rsidP="006773BD">
      <w:pPr>
        <w:pStyle w:val="Textonotapie"/>
        <w:spacing w:after="0"/>
        <w:jc w:val="both"/>
      </w:pPr>
      <w:r w:rsidRPr="006773BD">
        <w:rPr>
          <w:vertAlign w:val="superscript"/>
        </w:rPr>
        <w:footnoteRef/>
      </w:r>
      <w:r w:rsidRPr="006773BD">
        <w:t xml:space="preserve"> En este asunto, la Corte analizó la constitucionalidad del artículo 240 de la Ley 1955 de 2019, que prevé que los servicios y tecnologías en salud no financiados con cargo a los recursos de la UPC serán gestionados por las EPS, quienes los financiarán con</w:t>
      </w:r>
      <w:r w:rsidRPr="006773BD">
        <w:t xml:space="preserve"> cargo al techo o presupuesto máximo que les transfiera para tal efecto la Administradora de los Recursos del Sistema General de Seguridad Social en Salud (ADRES). La Sala Plena determinó que el precepto se enmarca en el marco del </w:t>
      </w:r>
      <w:r w:rsidRPr="006773BD">
        <w:rPr>
          <w:i/>
          <w:color w:val="000000"/>
        </w:rPr>
        <w:t xml:space="preserve">pacto por la equidad del </w:t>
      </w:r>
      <w:r w:rsidRPr="006773BD">
        <w:rPr>
          <w:i/>
          <w:color w:val="000000"/>
        </w:rPr>
        <w:t xml:space="preserve">Plan </w:t>
      </w:r>
      <w:r w:rsidRPr="006773BD">
        <w:rPr>
          <w:color w:val="000000"/>
        </w:rPr>
        <w:t xml:space="preserve">y respeta la unidad de materia, pues además de cumplir los requisitos de conexidad directa, teleológica y estrecha, de manera directa e inmediata, incorpora una regulación instrumental, </w:t>
      </w:r>
      <w:r w:rsidRPr="006773BD">
        <w:rPr>
          <w:i/>
          <w:color w:val="000000"/>
        </w:rPr>
        <w:t>temporal</w:t>
      </w:r>
      <w:r w:rsidRPr="006773BD">
        <w:rPr>
          <w:color w:val="000000"/>
        </w:rPr>
        <w:t xml:space="preserve"> y dirigida a impulsar el cumplimiento del Plan. En relación con la temporalidad, en el fallo se explicó que, según la ADRES, “</w:t>
      </w:r>
      <w:r w:rsidRPr="006773BD">
        <w:rPr>
          <w:i/>
          <w:color w:val="000000"/>
        </w:rPr>
        <w:t xml:space="preserve">la norma “no es transversal al sistema de seguridad social ni posee un carácter de permanencia en el orden jurídico, en tanto no </w:t>
      </w:r>
      <w:r w:rsidRPr="006773BD">
        <w:rPr>
          <w:i/>
          <w:color w:val="000000"/>
        </w:rPr>
        <w:t>regula aspectos sustanciales del sistema, y su implementación se produce en cumplimiento de una política de Gobierno, que podría ser diferir [sic] con lo dispuesto en un futuro Plan Nacional de Desarrollo.</w:t>
      </w:r>
      <w:r w:rsidRPr="006773BD">
        <w:rPr>
          <w:color w:val="000000"/>
        </w:rPr>
        <w:t>”</w:t>
      </w:r>
    </w:p>
  </w:footnote>
  <w:footnote w:id="67">
    <w:p w:rsidR="002F51CB" w:rsidRPr="006773BD" w:rsidRDefault="0029329A" w:rsidP="006773BD">
      <w:pPr>
        <w:pStyle w:val="Textonotapie"/>
        <w:spacing w:after="0"/>
        <w:jc w:val="both"/>
      </w:pPr>
      <w:r w:rsidRPr="006773BD">
        <w:rPr>
          <w:rStyle w:val="Refdenotaalpie"/>
          <w:vertAlign w:val="superscript"/>
        </w:rPr>
        <w:footnoteRef/>
      </w:r>
      <w:r w:rsidRPr="006773BD">
        <w:rPr>
          <w:vertAlign w:val="superscript"/>
        </w:rPr>
        <w:t xml:space="preserve"> </w:t>
      </w:r>
      <w:r w:rsidRPr="006773BD">
        <w:t>Sentencia C-493 de 2020.</w:t>
      </w:r>
    </w:p>
  </w:footnote>
  <w:footnote w:id="68">
    <w:p w:rsidR="002F51CB" w:rsidRDefault="0029329A" w:rsidP="006773BD">
      <w:pPr>
        <w:pStyle w:val="Textonotapie"/>
        <w:spacing w:after="0"/>
        <w:jc w:val="both"/>
      </w:pPr>
      <w:r w:rsidRPr="006773BD">
        <w:rPr>
          <w:rStyle w:val="Refdenotaalpie"/>
          <w:vertAlign w:val="superscript"/>
        </w:rPr>
        <w:footnoteRef/>
      </w:r>
      <w:r w:rsidRPr="006773BD">
        <w:rPr>
          <w:vertAlign w:val="superscript"/>
        </w:rPr>
        <w:t xml:space="preserve"> </w:t>
      </w:r>
      <w:r>
        <w:t xml:space="preserve">Ibidem. </w:t>
      </w:r>
    </w:p>
  </w:footnote>
  <w:footnote w:id="69">
    <w:p w:rsidR="002F51CB" w:rsidRDefault="0029329A" w:rsidP="006773BD">
      <w:pPr>
        <w:pStyle w:val="Textonotapie"/>
        <w:spacing w:after="0"/>
        <w:jc w:val="both"/>
      </w:pPr>
      <w:r w:rsidRPr="006773BD">
        <w:rPr>
          <w:rStyle w:val="Refdenotaalpie"/>
          <w:vertAlign w:val="superscript"/>
        </w:rPr>
        <w:footnoteRef/>
      </w:r>
      <w:r>
        <w:t xml:space="preserve"> Sentencia</w:t>
      </w:r>
      <w:r>
        <w:t xml:space="preserve"> C-493 de 2020.</w:t>
      </w:r>
    </w:p>
  </w:footnote>
  <w:footnote w:id="70">
    <w:p w:rsidR="002F51CB" w:rsidRDefault="0029329A" w:rsidP="006773BD">
      <w:pPr>
        <w:pStyle w:val="Textonotapie"/>
        <w:spacing w:after="0"/>
        <w:jc w:val="both"/>
      </w:pPr>
      <w:r w:rsidRPr="00E06424">
        <w:rPr>
          <w:vertAlign w:val="superscript"/>
        </w:rPr>
        <w:footnoteRef/>
      </w:r>
      <w:r w:rsidRPr="00E06424">
        <w:t xml:space="preserve"> La Sala determinó que el artículo 336 de la Ley del Plan Nacional de Desarrollo (1955 de 2019) desconocía el principio de unidad de materia, al haber derogado  el artículo 110 de la Ley 1943 de 2018, que conformaba un equipo conjunto de a</w:t>
      </w:r>
      <w:r w:rsidRPr="00E06424">
        <w:t>uditoría para hacer una evaluación de todos los beneficios tributarios y cada una de las personas jurídicas del régimen de zonas francas, con lo cual, sostuvo la Corte, “</w:t>
      </w:r>
      <w:r w:rsidRPr="00E06424">
        <w:rPr>
          <w:i/>
        </w:rPr>
        <w:t xml:space="preserve">modifica la legislación ordinaria permanente y termina por comprometer la vocación de </w:t>
      </w:r>
      <w:r w:rsidRPr="00E06424">
        <w:rPr>
          <w:i/>
        </w:rPr>
        <w:t>transitoriedad de la ley del plan</w:t>
      </w:r>
      <w:r w:rsidRPr="00E06424">
        <w:t>”</w:t>
      </w:r>
      <w:r w:rsidRPr="00E06424">
        <w:rPr>
          <w:i/>
        </w:rPr>
        <w:t xml:space="preserve">. </w:t>
      </w:r>
    </w:p>
  </w:footnote>
  <w:footnote w:id="71">
    <w:p w:rsidR="002F51CB" w:rsidRDefault="0029329A" w:rsidP="006773BD">
      <w:pPr>
        <w:pStyle w:val="Textonotapie"/>
        <w:spacing w:after="0"/>
        <w:jc w:val="both"/>
      </w:pPr>
      <w:r w:rsidRPr="006773BD">
        <w:rPr>
          <w:rStyle w:val="Refdenotaalpie"/>
          <w:vertAlign w:val="superscript"/>
        </w:rPr>
        <w:footnoteRef/>
      </w:r>
      <w:r>
        <w:t xml:space="preserve"> Sentencia C-493 de 2020.</w:t>
      </w:r>
    </w:p>
  </w:footnote>
  <w:footnote w:id="72">
    <w:p w:rsidR="002F51CB" w:rsidRDefault="0029329A" w:rsidP="006773BD">
      <w:pPr>
        <w:pStyle w:val="Textonotapie"/>
        <w:spacing w:after="0"/>
        <w:jc w:val="both"/>
      </w:pPr>
      <w:r w:rsidRPr="00E06424">
        <w:rPr>
          <w:vertAlign w:val="superscript"/>
        </w:rPr>
        <w:footnoteRef/>
      </w:r>
      <w:r w:rsidRPr="00E06424">
        <w:t xml:space="preserve"> La Sala consideró que la derogatoria del artículo 167 de la Ley 769 de 2002, que otorgaba responsabilidades de administración a la Dirección Ejecutiva de la Rama Judicial sobre los parqueade</w:t>
      </w:r>
      <w:r w:rsidRPr="00E06424">
        <w:t xml:space="preserve">ros destinados a vehículos inmovilizados por orden judicial, generaba un cambio de responsable, lo cual implica que otra autoridad deba asumir el costo y compromiso de dicha guarda de vehículos. Como resultado, señaló, </w:t>
      </w:r>
      <w:r w:rsidRPr="005B4A51">
        <w:rPr>
          <w:i/>
          <w:iCs/>
        </w:rPr>
        <w:t>“</w:t>
      </w:r>
      <w:r w:rsidRPr="00E06424">
        <w:rPr>
          <w:i/>
        </w:rPr>
        <w:t>la derogatoria mencionada no t[iene]</w:t>
      </w:r>
      <w:r w:rsidRPr="00E06424">
        <w:rPr>
          <w:i/>
        </w:rPr>
        <w:t xml:space="preserve"> por efecto únicamente articular el nuevo orden jurídico que impone la regulación introducida por la Ley 1955 de 2019, sino regular un asunto particular, que es inconexo al Plan Nacional de Desarrollo y excede la regulación propia del cuatrienio</w:t>
      </w:r>
      <w:r w:rsidRPr="005B4A51">
        <w:rPr>
          <w:i/>
        </w:rPr>
        <w:t>.”</w:t>
      </w:r>
    </w:p>
  </w:footnote>
  <w:footnote w:id="73">
    <w:p w:rsidR="002F51CB" w:rsidRDefault="0029329A" w:rsidP="006773BD">
      <w:pPr>
        <w:pStyle w:val="Textonotapie"/>
        <w:spacing w:after="0"/>
        <w:jc w:val="both"/>
      </w:pPr>
      <w:r w:rsidRPr="006773BD">
        <w:rPr>
          <w:rStyle w:val="Refdenotaalpie"/>
          <w:vertAlign w:val="superscript"/>
        </w:rPr>
        <w:footnoteRef/>
      </w:r>
      <w:r w:rsidRPr="006773BD">
        <w:rPr>
          <w:vertAlign w:val="superscript"/>
        </w:rPr>
        <w:t xml:space="preserve"> </w:t>
      </w:r>
      <w:r>
        <w:t>Senten</w:t>
      </w:r>
      <w:r>
        <w:t xml:space="preserve">cia </w:t>
      </w:r>
      <w:r w:rsidRPr="00633CF5">
        <w:t>C-415 de 2020</w:t>
      </w:r>
      <w:r>
        <w:t>.</w:t>
      </w:r>
    </w:p>
  </w:footnote>
  <w:footnote w:id="74">
    <w:p w:rsidR="002F51CB" w:rsidRDefault="0029329A" w:rsidP="006773BD">
      <w:pPr>
        <w:pStyle w:val="Textonotapie"/>
        <w:spacing w:after="0"/>
        <w:jc w:val="both"/>
      </w:pPr>
      <w:r w:rsidRPr="006773BD">
        <w:rPr>
          <w:rStyle w:val="Refdenotaalpie"/>
          <w:vertAlign w:val="superscript"/>
        </w:rPr>
        <w:footnoteRef/>
      </w:r>
      <w:r w:rsidRPr="006773BD">
        <w:rPr>
          <w:vertAlign w:val="superscript"/>
        </w:rPr>
        <w:t xml:space="preserve"> </w:t>
      </w:r>
      <w:r>
        <w:t>Ibidem.</w:t>
      </w:r>
    </w:p>
  </w:footnote>
  <w:footnote w:id="75">
    <w:p w:rsidR="002F51CB" w:rsidRDefault="0029329A" w:rsidP="006773BD">
      <w:pPr>
        <w:pStyle w:val="Textonotapie"/>
        <w:spacing w:after="0"/>
      </w:pPr>
      <w:r w:rsidRPr="006773BD">
        <w:rPr>
          <w:rStyle w:val="Refdenotaalpie"/>
          <w:vertAlign w:val="superscript"/>
        </w:rPr>
        <w:footnoteRef/>
      </w:r>
      <w:r w:rsidRPr="006773BD">
        <w:rPr>
          <w:vertAlign w:val="superscript"/>
        </w:rPr>
        <w:t xml:space="preserve"> </w:t>
      </w:r>
      <w:r>
        <w:t xml:space="preserve">Sentencia C-415 de 2020. </w:t>
      </w:r>
    </w:p>
  </w:footnote>
  <w:footnote w:id="76">
    <w:p w:rsidR="002F51CB" w:rsidRDefault="0029329A" w:rsidP="006773BD">
      <w:pPr>
        <w:pStyle w:val="Textonotapie"/>
        <w:spacing w:after="0"/>
      </w:pPr>
      <w:r w:rsidRPr="00E06424">
        <w:rPr>
          <w:vertAlign w:val="superscript"/>
        </w:rPr>
        <w:footnoteRef/>
      </w:r>
      <w:r w:rsidRPr="00E06424">
        <w:t xml:space="preserve"> Sentencia C-068 de </w:t>
      </w:r>
      <w:r>
        <w:t>2020.</w:t>
      </w:r>
    </w:p>
  </w:footnote>
  <w:footnote w:id="77">
    <w:p w:rsidR="002F51CB" w:rsidRPr="000443AB" w:rsidRDefault="0029329A" w:rsidP="000443AB">
      <w:pPr>
        <w:pStyle w:val="Textonotapie"/>
        <w:spacing w:after="0"/>
        <w:jc w:val="both"/>
      </w:pPr>
      <w:r w:rsidRPr="000443AB">
        <w:rPr>
          <w:rStyle w:val="Refdenotaalpie"/>
          <w:vertAlign w:val="superscript"/>
        </w:rPr>
        <w:footnoteRef/>
      </w:r>
      <w:r w:rsidRPr="000443AB">
        <w:rPr>
          <w:vertAlign w:val="superscript"/>
        </w:rPr>
        <w:t xml:space="preserve"> </w:t>
      </w:r>
      <w:r w:rsidRPr="000443AB">
        <w:t>La Sala Plena reiterará las consideraciones sobre “el principio de legalidad tributaria como límite al margen de configuración en materia impositiva”, decantadas en la se</w:t>
      </w:r>
      <w:r w:rsidRPr="000443AB">
        <w:t xml:space="preserve">ntencia C-019 de 2022, por encontrase pertinentes para el análisis de la presente demanda.  </w:t>
      </w:r>
    </w:p>
  </w:footnote>
  <w:footnote w:id="78">
    <w:p w:rsidR="002F51CB" w:rsidRPr="000443AB" w:rsidRDefault="0029329A" w:rsidP="000443AB">
      <w:pPr>
        <w:pStyle w:val="Textonotapie"/>
        <w:spacing w:after="0"/>
        <w:jc w:val="both"/>
      </w:pPr>
      <w:r w:rsidRPr="000443AB">
        <w:rPr>
          <w:vertAlign w:val="superscript"/>
        </w:rPr>
        <w:footnoteRef/>
      </w:r>
      <w:r w:rsidRPr="000443AB">
        <w:t xml:space="preserve"> Sentencias C-293 de 2020, C-439 de 2021 y C-019 de 2022, entre otras. </w:t>
      </w:r>
    </w:p>
  </w:footnote>
  <w:footnote w:id="79">
    <w:p w:rsidR="002F51CB" w:rsidRDefault="0029329A" w:rsidP="00834BEE">
      <w:pPr>
        <w:pStyle w:val="Textonotapie"/>
        <w:spacing w:after="0"/>
        <w:jc w:val="both"/>
      </w:pPr>
      <w:r w:rsidRPr="006B0B13">
        <w:rPr>
          <w:vertAlign w:val="superscript"/>
        </w:rPr>
        <w:footnoteRef/>
      </w:r>
      <w:r w:rsidRPr="006B0B13">
        <w:t xml:space="preserve"> El artículo 338 de la Constitución dispone que los tributos sólo pueden ser creados por medio de ley, ordenanza o acuerdo. Ver también, </w:t>
      </w:r>
      <w:r>
        <w:t>las</w:t>
      </w:r>
      <w:r w:rsidRPr="006B0B13">
        <w:t xml:space="preserve"> sentencia</w:t>
      </w:r>
      <w:r>
        <w:t>s</w:t>
      </w:r>
      <w:r w:rsidRPr="006B0B13">
        <w:t xml:space="preserve"> C-891 de 2012</w:t>
      </w:r>
      <w:r>
        <w:t xml:space="preserve"> y </w:t>
      </w:r>
      <w:r w:rsidRPr="006B0B13">
        <w:t xml:space="preserve">C-439 de 2021. </w:t>
      </w:r>
    </w:p>
  </w:footnote>
  <w:footnote w:id="80">
    <w:p w:rsidR="002F51CB" w:rsidRDefault="0029329A" w:rsidP="00834BEE">
      <w:pPr>
        <w:pStyle w:val="Textonotapie"/>
        <w:spacing w:after="0"/>
        <w:jc w:val="both"/>
      </w:pPr>
      <w:r w:rsidRPr="006B0B13">
        <w:rPr>
          <w:vertAlign w:val="superscript"/>
        </w:rPr>
        <w:footnoteRef/>
      </w:r>
      <w:r w:rsidRPr="006B0B13">
        <w:t xml:space="preserve"> Constitución Política, art. 150.12. </w:t>
      </w:r>
    </w:p>
  </w:footnote>
  <w:footnote w:id="81">
    <w:p w:rsidR="002F51CB" w:rsidRDefault="0029329A" w:rsidP="00834BEE">
      <w:pPr>
        <w:pStyle w:val="Textonotapie"/>
        <w:spacing w:after="0"/>
        <w:jc w:val="both"/>
      </w:pPr>
      <w:r w:rsidRPr="006B0B13">
        <w:rPr>
          <w:vertAlign w:val="superscript"/>
        </w:rPr>
        <w:footnoteRef/>
      </w:r>
      <w:r w:rsidRPr="006B0B13">
        <w:t xml:space="preserve"> Constitución Política, art. 300</w:t>
      </w:r>
      <w:r w:rsidRPr="006B0B13">
        <w:t>. “</w:t>
      </w:r>
      <w:r w:rsidRPr="006B0B13">
        <w:rPr>
          <w:i/>
          <w:iCs/>
        </w:rPr>
        <w:t>Corresponde a las Asambleas Departamentales, por medio de ordenanzas (…) 4. Decretar, de conformidad con la Ley, los tributos y contribuciones necesarios para el cumplimiento de las funciones departamentales</w:t>
      </w:r>
      <w:r w:rsidRPr="006B0B13">
        <w:t xml:space="preserve">”. </w:t>
      </w:r>
    </w:p>
  </w:footnote>
  <w:footnote w:id="82">
    <w:p w:rsidR="002F51CB" w:rsidRDefault="0029329A" w:rsidP="00EC33BC">
      <w:pPr>
        <w:pStyle w:val="Textonotapie"/>
        <w:spacing w:after="0"/>
        <w:jc w:val="both"/>
      </w:pPr>
      <w:r w:rsidRPr="006B0B13">
        <w:rPr>
          <w:vertAlign w:val="superscript"/>
        </w:rPr>
        <w:footnoteRef/>
      </w:r>
      <w:r w:rsidRPr="006B0B13">
        <w:t xml:space="preserve"> </w:t>
      </w:r>
      <w:r>
        <w:t>S</w:t>
      </w:r>
      <w:r w:rsidRPr="006B0B13">
        <w:t xml:space="preserve">entencia C-155 de 2016. </w:t>
      </w:r>
    </w:p>
  </w:footnote>
  <w:footnote w:id="83">
    <w:p w:rsidR="002F51CB" w:rsidRDefault="0029329A" w:rsidP="00EC33BC">
      <w:pPr>
        <w:pStyle w:val="Textonotapie"/>
        <w:spacing w:after="0"/>
        <w:jc w:val="both"/>
      </w:pPr>
      <w:r w:rsidRPr="006B0B13">
        <w:rPr>
          <w:vertAlign w:val="superscript"/>
        </w:rPr>
        <w:footnoteRef/>
      </w:r>
      <w:r w:rsidRPr="006B0B13">
        <w:t xml:space="preserve"> </w:t>
      </w:r>
      <w:r>
        <w:t>S</w:t>
      </w:r>
      <w:r w:rsidRPr="006B0B13">
        <w:t>entencia C-</w:t>
      </w:r>
      <w:r w:rsidRPr="006B0B13">
        <w:t xml:space="preserve">200 de 2021. </w:t>
      </w:r>
    </w:p>
  </w:footnote>
  <w:footnote w:id="84">
    <w:p w:rsidR="002F51CB" w:rsidRDefault="0029329A" w:rsidP="00EC33BC">
      <w:pPr>
        <w:pStyle w:val="Textonotapie"/>
        <w:spacing w:after="0"/>
        <w:jc w:val="both"/>
      </w:pPr>
      <w:r w:rsidRPr="006B0B13">
        <w:rPr>
          <w:vertAlign w:val="superscript"/>
        </w:rPr>
        <w:footnoteRef/>
      </w:r>
      <w:r w:rsidRPr="006B0B13">
        <w:t xml:space="preserve"> </w:t>
      </w:r>
      <w:r>
        <w:t>S</w:t>
      </w:r>
      <w:r w:rsidRPr="006B0B13">
        <w:t xml:space="preserve">entencias C-060 de 2018, C-056 de 2019, C-278 de 2019 y C-481 de 2019. </w:t>
      </w:r>
    </w:p>
  </w:footnote>
  <w:footnote w:id="85">
    <w:p w:rsidR="002F51CB" w:rsidRDefault="0029329A" w:rsidP="00EC33BC">
      <w:pPr>
        <w:pStyle w:val="Textonotapie"/>
        <w:spacing w:after="0"/>
        <w:jc w:val="both"/>
      </w:pPr>
      <w:r w:rsidRPr="00EC33BC">
        <w:rPr>
          <w:rStyle w:val="Refdenotaalpie"/>
          <w:vertAlign w:val="superscript"/>
        </w:rPr>
        <w:footnoteRef/>
      </w:r>
      <w:r w:rsidRPr="00EC33BC">
        <w:rPr>
          <w:vertAlign w:val="superscript"/>
        </w:rPr>
        <w:t xml:space="preserve"> </w:t>
      </w:r>
      <w:r>
        <w:t xml:space="preserve"> Sentencia C-019 de 2022.</w:t>
      </w:r>
    </w:p>
  </w:footnote>
  <w:footnote w:id="86">
    <w:p w:rsidR="002F51CB" w:rsidRDefault="0029329A" w:rsidP="00EC33BC">
      <w:pPr>
        <w:pStyle w:val="Textonotapie"/>
        <w:spacing w:after="0"/>
        <w:jc w:val="both"/>
      </w:pPr>
      <w:r w:rsidRPr="006B0B13">
        <w:rPr>
          <w:vertAlign w:val="superscript"/>
        </w:rPr>
        <w:footnoteRef/>
      </w:r>
      <w:r w:rsidRPr="006B0B13">
        <w:t xml:space="preserve"> </w:t>
      </w:r>
      <w:r>
        <w:t>S</w:t>
      </w:r>
      <w:r w:rsidRPr="006B0B13">
        <w:t>entencia</w:t>
      </w:r>
      <w:r>
        <w:t>s</w:t>
      </w:r>
      <w:r w:rsidRPr="006B0B13">
        <w:t xml:space="preserve"> C-987 de 1999</w:t>
      </w:r>
      <w:r>
        <w:t xml:space="preserve"> y</w:t>
      </w:r>
      <w:r w:rsidRPr="006B0B13">
        <w:t xml:space="preserve"> C-585 de 2015. </w:t>
      </w:r>
    </w:p>
  </w:footnote>
  <w:footnote w:id="87">
    <w:p w:rsidR="002F51CB" w:rsidRDefault="0029329A" w:rsidP="00EC33BC">
      <w:pPr>
        <w:pStyle w:val="Textonotapie"/>
        <w:spacing w:after="0"/>
        <w:jc w:val="both"/>
      </w:pPr>
      <w:r w:rsidRPr="006B0B13">
        <w:rPr>
          <w:vertAlign w:val="superscript"/>
        </w:rPr>
        <w:footnoteRef/>
      </w:r>
      <w:r w:rsidRPr="006B0B13">
        <w:t xml:space="preserve"> </w:t>
      </w:r>
      <w:r>
        <w:t>S</w:t>
      </w:r>
      <w:r w:rsidRPr="006B0B13">
        <w:t xml:space="preserve">entencias C-550 de 2019 y C-006 de 2021. </w:t>
      </w:r>
    </w:p>
  </w:footnote>
  <w:footnote w:id="88">
    <w:p w:rsidR="002F51CB" w:rsidRDefault="0029329A" w:rsidP="00EC33BC">
      <w:pPr>
        <w:pStyle w:val="Textonotapie"/>
        <w:spacing w:after="0"/>
        <w:jc w:val="both"/>
      </w:pPr>
      <w:r w:rsidRPr="006B0B13">
        <w:rPr>
          <w:vertAlign w:val="superscript"/>
        </w:rPr>
        <w:footnoteRef/>
      </w:r>
      <w:r w:rsidRPr="006B0B13">
        <w:t xml:space="preserve"> </w:t>
      </w:r>
      <w:r>
        <w:t>S</w:t>
      </w:r>
      <w:r w:rsidRPr="006B0B13">
        <w:t xml:space="preserve">entencia C-644 de 2012. </w:t>
      </w:r>
    </w:p>
  </w:footnote>
  <w:footnote w:id="89">
    <w:p w:rsidR="002F51CB" w:rsidRDefault="0029329A" w:rsidP="00EC33BC">
      <w:pPr>
        <w:pStyle w:val="Textonotapie"/>
        <w:spacing w:after="0"/>
        <w:jc w:val="both"/>
      </w:pPr>
      <w:r w:rsidRPr="006B0B13">
        <w:rPr>
          <w:vertAlign w:val="superscript"/>
        </w:rPr>
        <w:footnoteRef/>
      </w:r>
      <w:r w:rsidRPr="006B0B13">
        <w:t xml:space="preserve"> </w:t>
      </w:r>
      <w:r>
        <w:t>S</w:t>
      </w:r>
      <w:r w:rsidRPr="006B0B13">
        <w:t>entencias C-227 de</w:t>
      </w:r>
      <w:r w:rsidRPr="006B0B13">
        <w:t xml:space="preserve"> 2002, C-891 de 2012 y C-602 de 2015. </w:t>
      </w:r>
    </w:p>
  </w:footnote>
  <w:footnote w:id="90">
    <w:p w:rsidR="002F51CB" w:rsidRDefault="0029329A" w:rsidP="00EC33BC">
      <w:pPr>
        <w:pStyle w:val="Textonotapie"/>
        <w:spacing w:after="0"/>
        <w:jc w:val="both"/>
      </w:pPr>
      <w:r w:rsidRPr="006B0B13">
        <w:rPr>
          <w:vertAlign w:val="superscript"/>
        </w:rPr>
        <w:footnoteRef/>
      </w:r>
      <w:r>
        <w:t xml:space="preserve"> S</w:t>
      </w:r>
      <w:r w:rsidRPr="006B0B13">
        <w:t xml:space="preserve">entencia C-644 de 2016. </w:t>
      </w:r>
    </w:p>
  </w:footnote>
  <w:footnote w:id="91">
    <w:p w:rsidR="002F51CB" w:rsidRDefault="0029329A" w:rsidP="00EC33BC">
      <w:pPr>
        <w:pStyle w:val="Textonotapie"/>
        <w:spacing w:after="0"/>
      </w:pPr>
      <w:r w:rsidRPr="006B0B13">
        <w:rPr>
          <w:vertAlign w:val="superscript"/>
        </w:rPr>
        <w:footnoteRef/>
      </w:r>
      <w:r w:rsidRPr="006B0B13">
        <w:t xml:space="preserve"> </w:t>
      </w:r>
      <w:r>
        <w:t>S</w:t>
      </w:r>
      <w:r w:rsidRPr="006B0B13">
        <w:t xml:space="preserve">entencia C-304 de 2019. </w:t>
      </w:r>
    </w:p>
  </w:footnote>
  <w:footnote w:id="92">
    <w:p w:rsidR="002F51CB" w:rsidRDefault="0029329A" w:rsidP="008C0F47">
      <w:pPr>
        <w:pStyle w:val="Textonotapie"/>
        <w:spacing w:after="0"/>
      </w:pPr>
      <w:r w:rsidRPr="006B0B13">
        <w:rPr>
          <w:vertAlign w:val="superscript"/>
        </w:rPr>
        <w:footnoteRef/>
      </w:r>
      <w:r w:rsidRPr="006B0B13">
        <w:t xml:space="preserve"> </w:t>
      </w:r>
      <w:r>
        <w:t>S</w:t>
      </w:r>
      <w:r w:rsidRPr="006B0B13">
        <w:t xml:space="preserve">entencias C-358 de 2017, C-269 de 2019 y C-550 de 2019.  </w:t>
      </w:r>
    </w:p>
  </w:footnote>
  <w:footnote w:id="93">
    <w:p w:rsidR="002F51CB" w:rsidRDefault="0029329A" w:rsidP="008C0F47">
      <w:pPr>
        <w:pStyle w:val="Textonotapie"/>
        <w:spacing w:after="0"/>
      </w:pPr>
      <w:r w:rsidRPr="006B0B13">
        <w:rPr>
          <w:vertAlign w:val="superscript"/>
        </w:rPr>
        <w:footnoteRef/>
      </w:r>
      <w:r>
        <w:t xml:space="preserve"> S</w:t>
      </w:r>
      <w:r w:rsidRPr="006B0B13">
        <w:t>entencia</w:t>
      </w:r>
      <w:r>
        <w:t xml:space="preserve">s C-987 de 1999, </w:t>
      </w:r>
      <w:r w:rsidRPr="006B0B13">
        <w:t xml:space="preserve">C-504 de 2002, C-822 de 2011 y C-704 de 2010. </w:t>
      </w:r>
    </w:p>
  </w:footnote>
  <w:footnote w:id="94">
    <w:p w:rsidR="002F51CB" w:rsidRDefault="0029329A" w:rsidP="008C0F47">
      <w:pPr>
        <w:pStyle w:val="Textonotapie"/>
        <w:tabs>
          <w:tab w:val="left" w:pos="6645"/>
        </w:tabs>
        <w:spacing w:after="0"/>
      </w:pPr>
      <w:r w:rsidRPr="006B0B13">
        <w:rPr>
          <w:vertAlign w:val="superscript"/>
        </w:rPr>
        <w:footnoteRef/>
      </w:r>
      <w:r>
        <w:t xml:space="preserve"> S</w:t>
      </w:r>
      <w:r w:rsidRPr="006B0B13">
        <w:t xml:space="preserve">entencias C-891 de 2012, C-593 de 2019 y C-042 de 2021. </w:t>
      </w:r>
    </w:p>
  </w:footnote>
  <w:footnote w:id="95">
    <w:p w:rsidR="002F51CB" w:rsidRDefault="0029329A" w:rsidP="008C0F47">
      <w:pPr>
        <w:pStyle w:val="Textonotapie"/>
        <w:spacing w:after="0"/>
      </w:pPr>
      <w:r w:rsidRPr="004C7B02">
        <w:rPr>
          <w:rStyle w:val="Refdenotaalpie"/>
          <w:vertAlign w:val="superscript"/>
        </w:rPr>
        <w:footnoteRef/>
      </w:r>
      <w:r w:rsidRPr="004C7B02">
        <w:rPr>
          <w:vertAlign w:val="superscript"/>
        </w:rPr>
        <w:t xml:space="preserve"> </w:t>
      </w:r>
      <w:r>
        <w:t xml:space="preserve">Sentencia C-019 de 2022. </w:t>
      </w:r>
    </w:p>
  </w:footnote>
  <w:footnote w:id="96">
    <w:p w:rsidR="002F51CB" w:rsidRDefault="0029329A" w:rsidP="008C0F47">
      <w:pPr>
        <w:pStyle w:val="Textonotapie"/>
        <w:spacing w:after="0"/>
      </w:pPr>
      <w:r w:rsidRPr="006B0B13">
        <w:rPr>
          <w:vertAlign w:val="superscript"/>
        </w:rPr>
        <w:footnoteRef/>
      </w:r>
      <w:r>
        <w:t xml:space="preserve"> S</w:t>
      </w:r>
      <w:r w:rsidRPr="006B0B13">
        <w:t>entencia</w:t>
      </w:r>
      <w:r>
        <w:t>s</w:t>
      </w:r>
      <w:r w:rsidRPr="006B0B13">
        <w:t xml:space="preserve"> C</w:t>
      </w:r>
      <w:r>
        <w:t>-568 de 2019 y C</w:t>
      </w:r>
      <w:r w:rsidRPr="006B0B13">
        <w:t xml:space="preserve">-155 de 2016. </w:t>
      </w:r>
    </w:p>
  </w:footnote>
  <w:footnote w:id="97">
    <w:p w:rsidR="002F51CB" w:rsidRDefault="0029329A" w:rsidP="008C0F47">
      <w:pPr>
        <w:pStyle w:val="Textonotapie"/>
        <w:spacing w:after="0"/>
      </w:pPr>
      <w:r w:rsidRPr="006B0B13">
        <w:rPr>
          <w:vertAlign w:val="superscript"/>
        </w:rPr>
        <w:footnoteRef/>
      </w:r>
      <w:r>
        <w:t xml:space="preserve"> S</w:t>
      </w:r>
      <w:r w:rsidRPr="006B0B13">
        <w:t>entencia C-253 de 1995.</w:t>
      </w:r>
    </w:p>
  </w:footnote>
  <w:footnote w:id="98">
    <w:p w:rsidR="002F51CB" w:rsidRDefault="0029329A" w:rsidP="008C0F47">
      <w:pPr>
        <w:pStyle w:val="Textonotapie"/>
        <w:spacing w:after="0"/>
      </w:pPr>
      <w:r w:rsidRPr="006B0B13">
        <w:rPr>
          <w:vertAlign w:val="superscript"/>
        </w:rPr>
        <w:footnoteRef/>
      </w:r>
      <w:r>
        <w:t xml:space="preserve"> Ibidem. </w:t>
      </w:r>
    </w:p>
  </w:footnote>
  <w:footnote w:id="99">
    <w:p w:rsidR="002F51CB" w:rsidRDefault="0029329A" w:rsidP="008C0F47">
      <w:pPr>
        <w:pStyle w:val="Textonotapie"/>
        <w:spacing w:after="0"/>
      </w:pPr>
      <w:r w:rsidRPr="006B0B13">
        <w:rPr>
          <w:vertAlign w:val="superscript"/>
        </w:rPr>
        <w:footnoteRef/>
      </w:r>
      <w:r>
        <w:t xml:space="preserve"> S</w:t>
      </w:r>
      <w:r w:rsidRPr="006B0B13">
        <w:t xml:space="preserve">entencia C-006 de 2021. </w:t>
      </w:r>
    </w:p>
  </w:footnote>
  <w:footnote w:id="100">
    <w:p w:rsidR="002F51CB" w:rsidRDefault="0029329A" w:rsidP="008C0F47">
      <w:pPr>
        <w:pStyle w:val="Textonotapie"/>
        <w:spacing w:after="0"/>
      </w:pPr>
      <w:r w:rsidRPr="00E95628">
        <w:rPr>
          <w:rStyle w:val="Refdenotaalpie"/>
          <w:vertAlign w:val="superscript"/>
        </w:rPr>
        <w:footnoteRef/>
      </w:r>
      <w:r>
        <w:t xml:space="preserve"> Sentencia C-019 de 2022. </w:t>
      </w:r>
    </w:p>
  </w:footnote>
  <w:footnote w:id="101">
    <w:p w:rsidR="002F51CB" w:rsidRDefault="0029329A" w:rsidP="00C125B9">
      <w:pPr>
        <w:pStyle w:val="Textonotapie"/>
        <w:spacing w:after="0"/>
      </w:pPr>
      <w:r w:rsidRPr="006B0B13">
        <w:rPr>
          <w:vertAlign w:val="superscript"/>
        </w:rPr>
        <w:footnoteRef/>
      </w:r>
      <w:r>
        <w:t xml:space="preserve"> S</w:t>
      </w:r>
      <w:r w:rsidRPr="006B0B13">
        <w:t xml:space="preserve">entencia C-690 de 2003. </w:t>
      </w:r>
    </w:p>
  </w:footnote>
  <w:footnote w:id="102">
    <w:p w:rsidR="002F51CB" w:rsidRDefault="0029329A" w:rsidP="00C125B9">
      <w:pPr>
        <w:pStyle w:val="Textonotapie"/>
        <w:spacing w:after="0"/>
      </w:pPr>
      <w:r w:rsidRPr="006B0B13">
        <w:rPr>
          <w:color w:val="000000" w:themeColor="text1"/>
          <w:vertAlign w:val="superscript"/>
        </w:rPr>
        <w:footnoteRef/>
      </w:r>
      <w:r>
        <w:rPr>
          <w:color w:val="000000" w:themeColor="text1"/>
        </w:rPr>
        <w:t xml:space="preserve"> S</w:t>
      </w:r>
      <w:r w:rsidRPr="006B0B13">
        <w:rPr>
          <w:color w:val="000000" w:themeColor="text1"/>
        </w:rPr>
        <w:t>entencia C-585 de 2015.</w:t>
      </w:r>
    </w:p>
  </w:footnote>
  <w:footnote w:id="103">
    <w:p w:rsidR="002F51CB" w:rsidRDefault="0029329A" w:rsidP="00C125B9">
      <w:pPr>
        <w:pStyle w:val="Textonotapie"/>
        <w:spacing w:after="0"/>
      </w:pPr>
      <w:r w:rsidRPr="00094069">
        <w:rPr>
          <w:rStyle w:val="Refdenotaalpie"/>
          <w:vertAlign w:val="superscript"/>
        </w:rPr>
        <w:footnoteRef/>
      </w:r>
      <w:r w:rsidRPr="00094069">
        <w:rPr>
          <w:vertAlign w:val="superscript"/>
        </w:rPr>
        <w:t xml:space="preserve"> </w:t>
      </w:r>
      <w:r>
        <w:t xml:space="preserve">Sentencia C-019 de 2022. </w:t>
      </w:r>
    </w:p>
  </w:footnote>
  <w:footnote w:id="104">
    <w:p w:rsidR="002F51CB" w:rsidRDefault="0029329A" w:rsidP="00586371">
      <w:pPr>
        <w:pStyle w:val="Textonotapie"/>
        <w:spacing w:after="0"/>
      </w:pPr>
      <w:r w:rsidRPr="006B0B13">
        <w:rPr>
          <w:vertAlign w:val="superscript"/>
        </w:rPr>
        <w:footnoteRef/>
      </w:r>
      <w:r>
        <w:t xml:space="preserve"> S</w:t>
      </w:r>
      <w:r w:rsidRPr="006B0B13">
        <w:t xml:space="preserve">entencia C-511 de 2019. </w:t>
      </w:r>
    </w:p>
  </w:footnote>
  <w:footnote w:id="105">
    <w:p w:rsidR="002F51CB" w:rsidRDefault="0029329A" w:rsidP="00586371">
      <w:pPr>
        <w:pStyle w:val="Textonotapie"/>
        <w:spacing w:after="0"/>
      </w:pPr>
      <w:r w:rsidRPr="006B0B13">
        <w:rPr>
          <w:vertAlign w:val="superscript"/>
        </w:rPr>
        <w:footnoteRef/>
      </w:r>
      <w:r>
        <w:t xml:space="preserve"> S</w:t>
      </w:r>
      <w:r w:rsidRPr="006B0B13">
        <w:t xml:space="preserve">entencias C-030 y C-278 de 2019. </w:t>
      </w:r>
    </w:p>
  </w:footnote>
  <w:footnote w:id="106">
    <w:p w:rsidR="002F51CB" w:rsidRDefault="0029329A" w:rsidP="00586371">
      <w:pPr>
        <w:pStyle w:val="Textonotapie"/>
        <w:spacing w:after="0"/>
      </w:pPr>
      <w:r w:rsidRPr="006B0B13">
        <w:rPr>
          <w:vertAlign w:val="superscript"/>
        </w:rPr>
        <w:footnoteRef/>
      </w:r>
      <w:r>
        <w:t xml:space="preserve"> S</w:t>
      </w:r>
      <w:r w:rsidRPr="006B0B13">
        <w:t xml:space="preserve">entencia C-644 de 2016. </w:t>
      </w:r>
    </w:p>
  </w:footnote>
  <w:footnote w:id="107">
    <w:p w:rsidR="002F51CB" w:rsidRDefault="0029329A" w:rsidP="00586371">
      <w:pPr>
        <w:pStyle w:val="Textonotapie"/>
        <w:spacing w:after="0"/>
      </w:pPr>
      <w:r w:rsidRPr="006B0B13">
        <w:rPr>
          <w:vertAlign w:val="superscript"/>
        </w:rPr>
        <w:footnoteRef/>
      </w:r>
      <w:r>
        <w:t xml:space="preserve"> S</w:t>
      </w:r>
      <w:r w:rsidRPr="006B0B13">
        <w:t>entencia C-253 de 1995.</w:t>
      </w:r>
    </w:p>
  </w:footnote>
  <w:footnote w:id="108">
    <w:p w:rsidR="002F51CB" w:rsidRDefault="0029329A" w:rsidP="00586371">
      <w:pPr>
        <w:pStyle w:val="Textonotapie"/>
        <w:spacing w:after="0"/>
      </w:pPr>
      <w:r w:rsidRPr="006B0B13">
        <w:rPr>
          <w:vertAlign w:val="superscript"/>
        </w:rPr>
        <w:footnoteRef/>
      </w:r>
      <w:r>
        <w:t xml:space="preserve"> S</w:t>
      </w:r>
      <w:r w:rsidRPr="006B0B13">
        <w:t xml:space="preserve">entencias C-439 de 2021, C-568 de 2019, C-074 de 2018, C-449 de 2015, y C-621 de 2013. </w:t>
      </w:r>
    </w:p>
  </w:footnote>
  <w:footnote w:id="109">
    <w:p w:rsidR="002F51CB" w:rsidRDefault="0029329A" w:rsidP="00586371">
      <w:pPr>
        <w:pStyle w:val="Textonotapie"/>
        <w:spacing w:after="0"/>
      </w:pPr>
      <w:r w:rsidRPr="00094069">
        <w:rPr>
          <w:rStyle w:val="Refdenotaalpie"/>
          <w:vertAlign w:val="superscript"/>
        </w:rPr>
        <w:footnoteRef/>
      </w:r>
      <w:r>
        <w:t xml:space="preserve"> Sentencia C-019 de 2022.</w:t>
      </w:r>
    </w:p>
  </w:footnote>
  <w:footnote w:id="110">
    <w:p w:rsidR="002F51CB" w:rsidRDefault="0029329A" w:rsidP="00586371">
      <w:pPr>
        <w:pStyle w:val="Textonotapie"/>
        <w:spacing w:after="0"/>
      </w:pPr>
      <w:r w:rsidRPr="006B0B13">
        <w:rPr>
          <w:vertAlign w:val="superscript"/>
        </w:rPr>
        <w:footnoteRef/>
      </w:r>
      <w:r>
        <w:t xml:space="preserve"> S</w:t>
      </w:r>
      <w:r w:rsidRPr="006B0B13">
        <w:t xml:space="preserve">entencia C-511 de 2019. </w:t>
      </w:r>
    </w:p>
  </w:footnote>
  <w:footnote w:id="111">
    <w:p w:rsidR="002F51CB" w:rsidRDefault="0029329A" w:rsidP="00094069">
      <w:pPr>
        <w:pStyle w:val="Textonotapie"/>
        <w:spacing w:after="0"/>
        <w:jc w:val="both"/>
      </w:pPr>
      <w:r w:rsidRPr="006B0B13">
        <w:rPr>
          <w:vertAlign w:val="superscript"/>
        </w:rPr>
        <w:footnoteRef/>
      </w:r>
      <w:r w:rsidRPr="006B0B13">
        <w:t xml:space="preserve"> </w:t>
      </w:r>
      <w:r>
        <w:t xml:space="preserve">En la sentencia C-019 de 2022, la Corte reiteró que </w:t>
      </w:r>
      <w:r>
        <w:t>“</w:t>
      </w:r>
      <w:r>
        <w:t>l</w:t>
      </w:r>
      <w:r w:rsidRPr="006B0B13">
        <w:t>a jurisprudencia ha puesto de presente que, si bien se ex</w:t>
      </w:r>
      <w:r w:rsidRPr="006B0B13">
        <w:t xml:space="preserve">ige el respeto de los principios de legalidad y certeza del tributo, lo anterior no se opone al carácter general y abstracto de las normas tributarias </w:t>
      </w:r>
      <w:r w:rsidRPr="006B0B13">
        <w:rPr>
          <w:i/>
        </w:rPr>
        <w:t>“</w:t>
      </w:r>
      <w:r w:rsidRPr="006B0B13">
        <w:rPr>
          <w:bCs/>
          <w:i/>
        </w:rPr>
        <w:t>a las cuales les compete definir con ese carácter tales elementos, sin que sea necesario describir ni pa</w:t>
      </w:r>
      <w:r w:rsidRPr="006B0B13">
        <w:rPr>
          <w:bCs/>
          <w:i/>
        </w:rPr>
        <w:t>rticularizar todos los supuestos de hecho que hipotéticamente podrían caer bajo el señalamiento general de las disposiciones</w:t>
      </w:r>
      <w:r w:rsidRPr="006B0B13">
        <w:rPr>
          <w:bCs/>
          <w:iCs/>
        </w:rPr>
        <w:t>”</w:t>
      </w:r>
      <w:r>
        <w:rPr>
          <w:bCs/>
          <w:iCs/>
        </w:rPr>
        <w:t>”</w:t>
      </w:r>
      <w:r w:rsidRPr="006B0B13">
        <w:rPr>
          <w:bCs/>
          <w:iCs/>
        </w:rPr>
        <w:t xml:space="preserve">. </w:t>
      </w:r>
      <w:r>
        <w:rPr>
          <w:bCs/>
          <w:iCs/>
        </w:rPr>
        <w:t xml:space="preserve">Ver </w:t>
      </w:r>
      <w:r w:rsidRPr="006B0B13">
        <w:rPr>
          <w:bCs/>
          <w:iCs/>
        </w:rPr>
        <w:t xml:space="preserve">sentencias C-228 de 1993, C-121 de 2006 y C-822 de 2011. </w:t>
      </w:r>
    </w:p>
  </w:footnote>
  <w:footnote w:id="112">
    <w:p w:rsidR="002F51CB" w:rsidRDefault="0029329A" w:rsidP="00C125B9">
      <w:pPr>
        <w:pStyle w:val="Textonotapie"/>
        <w:spacing w:after="0"/>
      </w:pPr>
      <w:r w:rsidRPr="00094069">
        <w:rPr>
          <w:rStyle w:val="Refdenotaalpie"/>
          <w:vertAlign w:val="superscript"/>
        </w:rPr>
        <w:footnoteRef/>
      </w:r>
      <w:r>
        <w:t xml:space="preserve"> Sentencia C-019 de 2022. </w:t>
      </w:r>
    </w:p>
  </w:footnote>
  <w:footnote w:id="113">
    <w:p w:rsidR="002F51CB" w:rsidRDefault="0029329A" w:rsidP="00C125B9">
      <w:pPr>
        <w:pStyle w:val="Textonotapie"/>
        <w:spacing w:after="0"/>
      </w:pPr>
      <w:r w:rsidRPr="009D114C">
        <w:rPr>
          <w:rStyle w:val="Refdenotaalpie"/>
          <w:vertAlign w:val="superscript"/>
        </w:rPr>
        <w:footnoteRef/>
      </w:r>
      <w:r w:rsidRPr="009D114C">
        <w:rPr>
          <w:vertAlign w:val="superscript"/>
        </w:rPr>
        <w:t xml:space="preserve"> </w:t>
      </w:r>
      <w:r>
        <w:t xml:space="preserve">Ibidem. </w:t>
      </w:r>
    </w:p>
  </w:footnote>
  <w:footnote w:id="114">
    <w:p w:rsidR="002F51CB" w:rsidRDefault="0029329A" w:rsidP="00C125B9">
      <w:pPr>
        <w:pStyle w:val="Textonotapie"/>
        <w:spacing w:after="0"/>
      </w:pPr>
      <w:r w:rsidRPr="006B0B13">
        <w:rPr>
          <w:vertAlign w:val="superscript"/>
        </w:rPr>
        <w:footnoteRef/>
      </w:r>
      <w:r>
        <w:t xml:space="preserve"> S</w:t>
      </w:r>
      <w:r w:rsidRPr="006B0B13">
        <w:t>entencia</w:t>
      </w:r>
      <w:r>
        <w:t>s C-060 de 2018,</w:t>
      </w:r>
      <w:r>
        <w:t xml:space="preserve"> </w:t>
      </w:r>
      <w:r w:rsidRPr="006B0B13">
        <w:t xml:space="preserve">C-585 de 2015 y C-511 de 2019. </w:t>
      </w:r>
    </w:p>
  </w:footnote>
  <w:footnote w:id="115">
    <w:p w:rsidR="002F51CB" w:rsidRDefault="0029329A" w:rsidP="00C125B9">
      <w:pPr>
        <w:pStyle w:val="Textonotapie"/>
        <w:spacing w:after="0"/>
      </w:pPr>
      <w:r w:rsidRPr="006B0B13">
        <w:rPr>
          <w:vertAlign w:val="superscript"/>
        </w:rPr>
        <w:footnoteRef/>
      </w:r>
      <w:r>
        <w:t xml:space="preserve"> S</w:t>
      </w:r>
      <w:r w:rsidRPr="006B0B13">
        <w:t xml:space="preserve">entencia C-585 de 2015. </w:t>
      </w:r>
    </w:p>
  </w:footnote>
  <w:footnote w:id="116">
    <w:p w:rsidR="002F51CB" w:rsidRDefault="0029329A" w:rsidP="00C125B9">
      <w:pPr>
        <w:pStyle w:val="Textonotapie"/>
        <w:spacing w:after="0"/>
      </w:pPr>
      <w:r w:rsidRPr="006B0B13">
        <w:rPr>
          <w:vertAlign w:val="superscript"/>
        </w:rPr>
        <w:footnoteRef/>
      </w:r>
      <w:r>
        <w:t xml:space="preserve"> S</w:t>
      </w:r>
      <w:r w:rsidRPr="006B0B13">
        <w:t xml:space="preserve">entencia C-060 de 2018. </w:t>
      </w:r>
    </w:p>
  </w:footnote>
  <w:footnote w:id="117">
    <w:p w:rsidR="002F51CB" w:rsidRDefault="0029329A" w:rsidP="00631927">
      <w:pPr>
        <w:pStyle w:val="Textonotapie"/>
        <w:spacing w:after="0"/>
      </w:pPr>
      <w:r w:rsidRPr="009D114C">
        <w:rPr>
          <w:rStyle w:val="Refdenotaalpie"/>
          <w:vertAlign w:val="superscript"/>
        </w:rPr>
        <w:footnoteRef/>
      </w:r>
      <w:r>
        <w:t xml:space="preserve"> Sentencia C-019 de 2022. </w:t>
      </w:r>
    </w:p>
  </w:footnote>
  <w:footnote w:id="118">
    <w:p w:rsidR="002F51CB" w:rsidRDefault="0029329A" w:rsidP="00631927">
      <w:pPr>
        <w:pStyle w:val="Textonotapie"/>
        <w:spacing w:after="0"/>
      </w:pPr>
      <w:r w:rsidRPr="006B0B13">
        <w:rPr>
          <w:vertAlign w:val="superscript"/>
        </w:rPr>
        <w:footnoteRef/>
      </w:r>
      <w:r>
        <w:t xml:space="preserve"> S</w:t>
      </w:r>
      <w:r w:rsidRPr="006B0B13">
        <w:t xml:space="preserve">entencia C-066 de 2021. </w:t>
      </w:r>
    </w:p>
  </w:footnote>
  <w:footnote w:id="119">
    <w:p w:rsidR="002F51CB" w:rsidRDefault="0029329A" w:rsidP="00631927">
      <w:pPr>
        <w:pStyle w:val="Textonotapie"/>
        <w:spacing w:after="0"/>
      </w:pPr>
      <w:r w:rsidRPr="009D114C">
        <w:rPr>
          <w:rStyle w:val="Refdenotaalpie"/>
          <w:vertAlign w:val="superscript"/>
        </w:rPr>
        <w:footnoteRef/>
      </w:r>
      <w:r w:rsidRPr="009D114C">
        <w:rPr>
          <w:vertAlign w:val="superscript"/>
        </w:rPr>
        <w:t xml:space="preserve"> </w:t>
      </w:r>
      <w:r>
        <w:t>Sentencia C-019 de 2022.</w:t>
      </w:r>
    </w:p>
  </w:footnote>
  <w:footnote w:id="120">
    <w:p w:rsidR="002F51CB" w:rsidRDefault="0029329A" w:rsidP="00631927">
      <w:pPr>
        <w:pStyle w:val="Textonotapie"/>
        <w:spacing w:after="0"/>
      </w:pPr>
      <w:r w:rsidRPr="006B0B13">
        <w:rPr>
          <w:vertAlign w:val="superscript"/>
        </w:rPr>
        <w:footnoteRef/>
      </w:r>
      <w:r>
        <w:t xml:space="preserve"> Ibidem. </w:t>
      </w:r>
    </w:p>
  </w:footnote>
  <w:footnote w:id="121">
    <w:p w:rsidR="002F51CB" w:rsidRDefault="0029329A" w:rsidP="00631927">
      <w:pPr>
        <w:pStyle w:val="Textonotapie"/>
        <w:spacing w:after="0"/>
      </w:pPr>
      <w:r w:rsidRPr="006B0B13">
        <w:rPr>
          <w:vertAlign w:val="superscript"/>
        </w:rPr>
        <w:footnoteRef/>
      </w:r>
      <w:r>
        <w:t xml:space="preserve"> S</w:t>
      </w:r>
      <w:r w:rsidRPr="006B0B13">
        <w:t xml:space="preserve">entencia C-060 de 2018. </w:t>
      </w:r>
    </w:p>
  </w:footnote>
  <w:footnote w:id="122">
    <w:p w:rsidR="002F51CB" w:rsidRDefault="0029329A" w:rsidP="00631927">
      <w:pPr>
        <w:pStyle w:val="Textonotapie"/>
        <w:spacing w:after="0"/>
      </w:pPr>
      <w:r w:rsidRPr="009D114C">
        <w:rPr>
          <w:rStyle w:val="Refdenotaalpie"/>
          <w:vertAlign w:val="superscript"/>
        </w:rPr>
        <w:footnoteRef/>
      </w:r>
      <w:r w:rsidRPr="009D114C">
        <w:rPr>
          <w:vertAlign w:val="superscript"/>
        </w:rPr>
        <w:t xml:space="preserve"> </w:t>
      </w:r>
      <w:r>
        <w:t>Sentencia C-019 de 2022.</w:t>
      </w:r>
    </w:p>
  </w:footnote>
  <w:footnote w:id="123">
    <w:p w:rsidR="002F51CB" w:rsidRDefault="0029329A" w:rsidP="00631927">
      <w:pPr>
        <w:pStyle w:val="Textonotapie"/>
        <w:spacing w:after="0"/>
      </w:pPr>
      <w:r w:rsidRPr="006B0B13">
        <w:rPr>
          <w:color w:val="000000" w:themeColor="text1"/>
          <w:vertAlign w:val="superscript"/>
        </w:rPr>
        <w:footnoteRef/>
      </w:r>
      <w:r>
        <w:rPr>
          <w:color w:val="000000" w:themeColor="text1"/>
        </w:rPr>
        <w:t xml:space="preserve"> S</w:t>
      </w:r>
      <w:r w:rsidRPr="006B0B13">
        <w:rPr>
          <w:color w:val="000000" w:themeColor="text1"/>
        </w:rPr>
        <w:t xml:space="preserve">entencia C-412 </w:t>
      </w:r>
      <w:r w:rsidRPr="006B0B13">
        <w:rPr>
          <w:color w:val="000000" w:themeColor="text1"/>
        </w:rPr>
        <w:t>de 1992</w:t>
      </w:r>
      <w:r>
        <w:rPr>
          <w:color w:val="000000" w:themeColor="text1"/>
        </w:rPr>
        <w:t xml:space="preserve"> y </w:t>
      </w:r>
      <w:r w:rsidRPr="006B0B13">
        <w:rPr>
          <w:color w:val="000000" w:themeColor="text1"/>
        </w:rPr>
        <w:t xml:space="preserve">C-439 de 2021. </w:t>
      </w:r>
    </w:p>
  </w:footnote>
  <w:footnote w:id="124">
    <w:p w:rsidR="002F51CB" w:rsidRDefault="0029329A" w:rsidP="00631927">
      <w:pPr>
        <w:pStyle w:val="Textonotapie"/>
        <w:spacing w:after="0"/>
      </w:pPr>
      <w:r w:rsidRPr="006B0B13">
        <w:rPr>
          <w:color w:val="000000" w:themeColor="text1"/>
          <w:vertAlign w:val="superscript"/>
        </w:rPr>
        <w:footnoteRef/>
      </w:r>
      <w:r>
        <w:rPr>
          <w:color w:val="000000" w:themeColor="text1"/>
        </w:rPr>
        <w:t xml:space="preserve"> S</w:t>
      </w:r>
      <w:r w:rsidRPr="006B0B13">
        <w:rPr>
          <w:color w:val="000000" w:themeColor="text1"/>
        </w:rPr>
        <w:t xml:space="preserve">entencia C-260 de 2015. </w:t>
      </w:r>
    </w:p>
  </w:footnote>
  <w:footnote w:id="125">
    <w:p w:rsidR="002F51CB" w:rsidRDefault="0029329A" w:rsidP="00BE4274">
      <w:pPr>
        <w:pStyle w:val="Textonotapie"/>
        <w:spacing w:after="0"/>
      </w:pPr>
      <w:r w:rsidRPr="006B0B13">
        <w:rPr>
          <w:vertAlign w:val="superscript"/>
        </w:rPr>
        <w:footnoteRef/>
      </w:r>
      <w:r w:rsidRPr="006B0B13">
        <w:t xml:space="preserve"> Corte Constitucional, sentencias C-337 de 2017 y C-278 de 2019. </w:t>
      </w:r>
    </w:p>
  </w:footnote>
  <w:footnote w:id="126">
    <w:p w:rsidR="002F51CB" w:rsidRDefault="0029329A" w:rsidP="00BE4274">
      <w:pPr>
        <w:pStyle w:val="Textonotapie"/>
        <w:spacing w:after="0"/>
      </w:pPr>
      <w:r w:rsidRPr="00BE4274">
        <w:rPr>
          <w:rStyle w:val="Refdenotaalpie"/>
          <w:vertAlign w:val="superscript"/>
        </w:rPr>
        <w:footnoteRef/>
      </w:r>
      <w:r>
        <w:t xml:space="preserve"> Sentencia C-019 de 2022.</w:t>
      </w:r>
    </w:p>
  </w:footnote>
  <w:footnote w:id="127">
    <w:p w:rsidR="002F51CB" w:rsidRDefault="0029329A" w:rsidP="00BE4274">
      <w:pPr>
        <w:pStyle w:val="Textonotapie"/>
        <w:spacing w:after="0"/>
        <w:jc w:val="both"/>
      </w:pPr>
      <w:r w:rsidRPr="006B0B13">
        <w:rPr>
          <w:vertAlign w:val="superscript"/>
        </w:rPr>
        <w:footnoteRef/>
      </w:r>
      <w:r>
        <w:t xml:space="preserve"> S</w:t>
      </w:r>
      <w:r w:rsidRPr="006B0B13">
        <w:t xml:space="preserve">entencias C-040 de 1993, C-1067 de 2002 y C-585 de 2015, entre otras.  Ver también, sentencia C-060 de </w:t>
      </w:r>
      <w:r w:rsidRPr="006B0B13">
        <w:t>2018.</w:t>
      </w:r>
      <w:r w:rsidRPr="00BE4274">
        <w:t xml:space="preserve"> En la sentencia C-019 de 2022, la Corte</w:t>
      </w:r>
      <w:r>
        <w:t xml:space="preserve"> indicó que</w:t>
      </w:r>
      <w:r w:rsidRPr="006B0B13">
        <w:t xml:space="preserve"> </w:t>
      </w:r>
      <w:r>
        <w:rPr>
          <w:i/>
        </w:rPr>
        <w:t>“e</w:t>
      </w:r>
      <w:r w:rsidRPr="006B0B13">
        <w:rPr>
          <w:i/>
        </w:rPr>
        <w:t>s con base en esta consideración, que la Corte ha avalado la constitucionalidad de normas que difieren a las autoridades administrativas (i) la definición periódica del precio de un bien, como elem</w:t>
      </w:r>
      <w:r w:rsidRPr="006B0B13">
        <w:rPr>
          <w:i/>
        </w:rPr>
        <w:t>ento para la conformación de la base gravable de una contribución parafiscal</w:t>
      </w:r>
      <w:r w:rsidRPr="006B0B13">
        <w:t xml:space="preserve">”. </w:t>
      </w:r>
    </w:p>
  </w:footnote>
  <w:footnote w:id="128">
    <w:p w:rsidR="002F51CB" w:rsidRDefault="0029329A" w:rsidP="00BE4274">
      <w:pPr>
        <w:pStyle w:val="Textonotapie"/>
        <w:spacing w:after="0"/>
        <w:jc w:val="both"/>
      </w:pPr>
      <w:r w:rsidRPr="006B0B13">
        <w:rPr>
          <w:vertAlign w:val="superscript"/>
        </w:rPr>
        <w:footnoteRef/>
      </w:r>
      <w:r>
        <w:t xml:space="preserve"> S</w:t>
      </w:r>
      <w:r w:rsidRPr="006B0B13">
        <w:t xml:space="preserve">entencias C-060 de 2018, C-030 de 2019 y C-511 de 2019. </w:t>
      </w:r>
    </w:p>
  </w:footnote>
  <w:footnote w:id="129">
    <w:p w:rsidR="002F51CB" w:rsidRDefault="0029329A" w:rsidP="00C125B9">
      <w:pPr>
        <w:pStyle w:val="Textonotapie"/>
        <w:spacing w:after="0"/>
        <w:jc w:val="both"/>
      </w:pPr>
      <w:r w:rsidRPr="00BE4274">
        <w:rPr>
          <w:rStyle w:val="Refdenotaalpie"/>
          <w:vertAlign w:val="superscript"/>
        </w:rPr>
        <w:footnoteRef/>
      </w:r>
      <w:r w:rsidRPr="00BE4274">
        <w:rPr>
          <w:vertAlign w:val="superscript"/>
        </w:rPr>
        <w:t xml:space="preserve"> </w:t>
      </w:r>
      <w:r>
        <w:t xml:space="preserve">Sentencia C-019 de 2022. </w:t>
      </w:r>
    </w:p>
  </w:footnote>
  <w:footnote w:id="130">
    <w:p w:rsidR="002F51CB" w:rsidRDefault="0029329A" w:rsidP="00C125B9">
      <w:pPr>
        <w:pStyle w:val="Textonotapie"/>
        <w:spacing w:after="0"/>
        <w:jc w:val="both"/>
      </w:pPr>
      <w:r w:rsidRPr="006B0B13">
        <w:rPr>
          <w:vertAlign w:val="superscript"/>
        </w:rPr>
        <w:footnoteRef/>
      </w:r>
      <w:r>
        <w:t xml:space="preserve"> S</w:t>
      </w:r>
      <w:r w:rsidRPr="006B0B13">
        <w:t xml:space="preserve">entencia C-585 de 2015. </w:t>
      </w:r>
    </w:p>
  </w:footnote>
  <w:footnote w:id="131">
    <w:p w:rsidR="002F51CB" w:rsidRDefault="0029329A" w:rsidP="00C125B9">
      <w:pPr>
        <w:pStyle w:val="Textonotapie"/>
        <w:spacing w:after="0"/>
        <w:jc w:val="both"/>
      </w:pPr>
      <w:r w:rsidRPr="006B0B13">
        <w:rPr>
          <w:vertAlign w:val="superscript"/>
        </w:rPr>
        <w:footnoteRef/>
      </w:r>
      <w:r>
        <w:t xml:space="preserve"> S</w:t>
      </w:r>
      <w:r w:rsidRPr="006B0B13">
        <w:t xml:space="preserve">entencia C-060 de 2018. </w:t>
      </w:r>
    </w:p>
  </w:footnote>
  <w:footnote w:id="132">
    <w:p w:rsidR="002F51CB" w:rsidRDefault="0029329A" w:rsidP="00C125B9">
      <w:pPr>
        <w:pStyle w:val="Textonotapie"/>
        <w:spacing w:after="0"/>
        <w:jc w:val="both"/>
      </w:pPr>
      <w:r w:rsidRPr="006B0B13">
        <w:rPr>
          <w:vertAlign w:val="superscript"/>
        </w:rPr>
        <w:footnoteRef/>
      </w:r>
      <w:r>
        <w:t xml:space="preserve"> S</w:t>
      </w:r>
      <w:r w:rsidRPr="006B0B13">
        <w:t>entencias C-585 de 2015 y C-0</w:t>
      </w:r>
      <w:r w:rsidRPr="006B0B13">
        <w:t xml:space="preserve">30 de 2019. </w:t>
      </w:r>
    </w:p>
  </w:footnote>
  <w:footnote w:id="133">
    <w:p w:rsidR="002F51CB" w:rsidRDefault="0029329A" w:rsidP="00C125B9">
      <w:pPr>
        <w:pStyle w:val="Textonotapie"/>
        <w:spacing w:after="0"/>
        <w:jc w:val="both"/>
      </w:pPr>
      <w:r w:rsidRPr="006B0B13">
        <w:rPr>
          <w:vertAlign w:val="superscript"/>
        </w:rPr>
        <w:footnoteRef/>
      </w:r>
      <w:r>
        <w:t xml:space="preserve"> S</w:t>
      </w:r>
      <w:r w:rsidRPr="006B0B13">
        <w:t xml:space="preserve">entencia C-511 de 2019. Ver también, sentencias C-040 de 1993, C-842 de 2000, C-480 de 2007 y C-030 de 2019.  </w:t>
      </w:r>
    </w:p>
  </w:footnote>
  <w:footnote w:id="134">
    <w:p w:rsidR="002F51CB" w:rsidRDefault="0029329A" w:rsidP="00C125B9">
      <w:pPr>
        <w:pStyle w:val="Textonotapie"/>
        <w:spacing w:after="0"/>
        <w:jc w:val="both"/>
      </w:pPr>
      <w:r w:rsidRPr="006B0B13">
        <w:rPr>
          <w:vertAlign w:val="superscript"/>
        </w:rPr>
        <w:footnoteRef/>
      </w:r>
      <w:r>
        <w:t xml:space="preserve"> S</w:t>
      </w:r>
      <w:r w:rsidRPr="006B0B13">
        <w:t xml:space="preserve">entencias C-585 de 2015, C-030 de 2019 y C-511 de 2019. </w:t>
      </w:r>
    </w:p>
  </w:footnote>
  <w:footnote w:id="135">
    <w:p w:rsidR="002F51CB" w:rsidRDefault="0029329A" w:rsidP="00C125B9">
      <w:pPr>
        <w:pStyle w:val="Textonotapie"/>
        <w:spacing w:after="0"/>
        <w:jc w:val="both"/>
      </w:pPr>
      <w:r w:rsidRPr="006B0B13">
        <w:rPr>
          <w:vertAlign w:val="superscript"/>
        </w:rPr>
        <w:footnoteRef/>
      </w:r>
      <w:r>
        <w:t xml:space="preserve"> S</w:t>
      </w:r>
      <w:r w:rsidRPr="006B0B13">
        <w:t>entencia</w:t>
      </w:r>
      <w:r>
        <w:t xml:space="preserve">s C-585 de 2015 y C-030 de 2019. </w:t>
      </w:r>
      <w:r w:rsidRPr="006B0B13">
        <w:t xml:space="preserve"> </w:t>
      </w:r>
    </w:p>
  </w:footnote>
  <w:footnote w:id="136">
    <w:p w:rsidR="002F51CB" w:rsidRDefault="0029329A" w:rsidP="00C125B9">
      <w:pPr>
        <w:pStyle w:val="Textonotapie"/>
        <w:spacing w:after="0"/>
      </w:pPr>
      <w:r w:rsidRPr="006B0B13">
        <w:rPr>
          <w:vertAlign w:val="superscript"/>
        </w:rPr>
        <w:footnoteRef/>
      </w:r>
      <w:r w:rsidRPr="006B0B13">
        <w:t xml:space="preserve"> Corte Constitucional, sentencias C-511 de 2019. Ver también sentencias C-060 de 2018 y C-278 de 2019. </w:t>
      </w:r>
    </w:p>
  </w:footnote>
  <w:footnote w:id="137">
    <w:p w:rsidR="002F51CB" w:rsidRDefault="0029329A" w:rsidP="00C125B9">
      <w:pPr>
        <w:pStyle w:val="Textonotapie"/>
        <w:spacing w:after="0"/>
      </w:pPr>
      <w:r w:rsidRPr="006B0B13">
        <w:rPr>
          <w:vertAlign w:val="superscript"/>
        </w:rPr>
        <w:footnoteRef/>
      </w:r>
      <w:r w:rsidRPr="006B0B13">
        <w:t xml:space="preserve"> Corte Constitucional, sentencias C-585 de 2015 y C-030 de 2019. </w:t>
      </w:r>
    </w:p>
  </w:footnote>
  <w:footnote w:id="138">
    <w:p w:rsidR="002F51CB" w:rsidRDefault="0029329A" w:rsidP="00C125B9">
      <w:pPr>
        <w:pStyle w:val="Textonotapie"/>
        <w:spacing w:after="0"/>
      </w:pPr>
      <w:r w:rsidRPr="00C125B9">
        <w:rPr>
          <w:rStyle w:val="Refdenotaalpie"/>
          <w:vertAlign w:val="superscript"/>
        </w:rPr>
        <w:footnoteRef/>
      </w:r>
      <w:r>
        <w:t xml:space="preserve"> Sentencia C-019 de 2022. </w:t>
      </w:r>
    </w:p>
  </w:footnote>
  <w:footnote w:id="139">
    <w:p w:rsidR="002F51CB" w:rsidRPr="00EC6DE9" w:rsidRDefault="0029329A" w:rsidP="00B079DB">
      <w:pPr>
        <w:pStyle w:val="Textonotapie"/>
        <w:jc w:val="both"/>
        <w:rPr>
          <w:iCs/>
        </w:rPr>
      </w:pPr>
      <w:r w:rsidRPr="00EC6DE9">
        <w:rPr>
          <w:rStyle w:val="Refdenotaalpie"/>
        </w:rPr>
        <w:footnoteRef/>
      </w:r>
      <w:r w:rsidRPr="00EC6DE9">
        <w:t xml:space="preserve"> Id. Al respecto, esta decisión precisó que </w:t>
      </w:r>
      <w:r w:rsidRPr="00EC6DE9">
        <w:rPr>
          <w:i/>
          <w:color w:val="000000"/>
          <w:lang w:val="es-ES_tradnl"/>
        </w:rPr>
        <w:t>“La unidad d</w:t>
      </w:r>
      <w:r w:rsidRPr="00EC6DE9">
        <w:rPr>
          <w:i/>
          <w:color w:val="000000"/>
          <w:lang w:val="es-ES_tradnl"/>
        </w:rPr>
        <w:t xml:space="preserve">e materia no se exige respecto de los diferentes objetivos, metas, estrategias y políticas enunciados en la parte general, sino de los programas, proyectos y apropiaciones que se autoricen para su ejecución y de las medidas que se adopten para impulsar su </w:t>
      </w:r>
      <w:r w:rsidRPr="00EC6DE9">
        <w:rPr>
          <w:i/>
          <w:color w:val="000000"/>
          <w:lang w:val="es-ES_tradnl"/>
        </w:rPr>
        <w:t>cumplimiento, los cuales siempre han de contar con un referente en la parte general del mismo”</w:t>
      </w:r>
      <w:r w:rsidRPr="00EC6DE9">
        <w:rPr>
          <w:iCs/>
          <w:color w:val="000000"/>
          <w:lang w:val="es-ES_tradnl"/>
        </w:rPr>
        <w:t>.</w:t>
      </w:r>
    </w:p>
  </w:footnote>
  <w:footnote w:id="140">
    <w:p w:rsidR="002F51CB" w:rsidRPr="00EC6DE9" w:rsidRDefault="0029329A" w:rsidP="00B079DB">
      <w:pPr>
        <w:pStyle w:val="Textonotapie"/>
        <w:jc w:val="both"/>
      </w:pPr>
      <w:r w:rsidRPr="00EC6DE9">
        <w:rPr>
          <w:rStyle w:val="Refdenotaalpie"/>
        </w:rPr>
        <w:footnoteRef/>
      </w:r>
      <w:r w:rsidRPr="00EC6DE9">
        <w:t xml:space="preserve"> M.P. Jorge Enrique Ibáñez Najar. La Corte Constitucional declaró exequible el artículo 298 de la Ley 1955 de 2019, Plan Nacional de Desarrollo 2018-2022, que </w:t>
      </w:r>
      <w:r w:rsidRPr="00EC6DE9">
        <w:t>modificaba una disposición de la Ley 143 de 1994 sobre servicios públicos, en el sentido de permitir a las empresas de servicios públicos domiciliarios desarrollar actividades de generación, distribución y comercialización de energía de manera integrada. E</w:t>
      </w:r>
      <w:r w:rsidRPr="00EC6DE9">
        <w:t>ntre otros cargos, el demandante alegaba que la norma desconocía del principio de unidad de materia porque regula la estructura de la industria eléctrica, lo cual no es coherente con las demás disposiciones de la misma ley que solo se refieren a los contra</w:t>
      </w:r>
      <w:r w:rsidRPr="00EC6DE9">
        <w:t>tos de compra de energía, tarifas, tributos, vigilancia y regulación del sector. Alegaba que la norma demandada era propia de una reforma a la Ley 143 de 1994 que debía ser tramitada de forma independiente.</w:t>
      </w:r>
    </w:p>
  </w:footnote>
  <w:footnote w:id="141">
    <w:p w:rsidR="002F51CB" w:rsidRPr="00EC6DE9" w:rsidRDefault="0029329A" w:rsidP="00B079DB">
      <w:pPr>
        <w:pStyle w:val="Textonotapie"/>
      </w:pPr>
      <w:r w:rsidRPr="00EC6DE9">
        <w:rPr>
          <w:rStyle w:val="Refdenotaalpie"/>
        </w:rPr>
        <w:footnoteRef/>
      </w:r>
      <w:r w:rsidRPr="00EC6DE9">
        <w:t xml:space="preserve"> Sentencia C-305 de 2004,</w:t>
      </w:r>
    </w:p>
  </w:footnote>
  <w:footnote w:id="142">
    <w:p w:rsidR="002F51CB" w:rsidRPr="00EC6DE9" w:rsidRDefault="0029329A" w:rsidP="00B079DB">
      <w:pPr>
        <w:pStyle w:val="Textonotapie"/>
      </w:pPr>
      <w:r w:rsidRPr="00EC6DE9">
        <w:rPr>
          <w:rStyle w:val="Refdenotaalpie"/>
        </w:rPr>
        <w:footnoteRef/>
      </w:r>
      <w:r w:rsidRPr="00EC6DE9">
        <w:t xml:space="preserve"> Sentencia C-305 de 2</w:t>
      </w:r>
      <w:r w:rsidRPr="00EC6DE9">
        <w:t>004,</w:t>
      </w:r>
    </w:p>
  </w:footnote>
  <w:footnote w:id="143">
    <w:p w:rsidR="002F51CB" w:rsidRPr="00EC6DE9" w:rsidRDefault="0029329A" w:rsidP="00B079DB">
      <w:pPr>
        <w:pStyle w:val="Textonotapie"/>
        <w:jc w:val="both"/>
      </w:pPr>
      <w:r w:rsidRPr="00EC6DE9">
        <w:rPr>
          <w:rStyle w:val="Refdenotaalpie"/>
        </w:rPr>
        <w:footnoteRef/>
      </w:r>
      <w:r w:rsidRPr="00EC6DE9">
        <w:t xml:space="preserve"> Sentencias C-573 y C-795 de 2004, C-376 y 377 de 2008, y C-394 de 2012. </w:t>
      </w:r>
    </w:p>
  </w:footnote>
  <w:footnote w:id="144">
    <w:p w:rsidR="002F51CB" w:rsidRPr="00EC6DE9" w:rsidRDefault="0029329A" w:rsidP="00B079DB">
      <w:pPr>
        <w:pStyle w:val="Textonotapie"/>
        <w:jc w:val="both"/>
      </w:pPr>
      <w:r w:rsidRPr="00EC6DE9">
        <w:rPr>
          <w:vertAlign w:val="superscript"/>
        </w:rPr>
        <w:footnoteRef/>
      </w:r>
      <w:r w:rsidRPr="00EC6DE9">
        <w:t xml:space="preserve"> De acuerdo con la sentencia C-008 de 2018, la jurisprudencia constitucional ha reconocido </w:t>
      </w:r>
      <w:r w:rsidRPr="00EC6DE9">
        <w:rPr>
          <w:lang w:val="es-ES_tradnl"/>
        </w:rPr>
        <w:t>de forma reiterada que las “Bases del Plan Nacional de Desarrollo” hacen parte integ</w:t>
      </w:r>
      <w:r w:rsidRPr="00EC6DE9">
        <w:rPr>
          <w:lang w:val="es-ES_tradnl"/>
        </w:rPr>
        <w:t xml:space="preserve">ral del Plan, y se incorporan a este. Ver sentencias C-105 de 2016, C-016 de 2016 y </w:t>
      </w:r>
      <w:r w:rsidRPr="00EC6DE9">
        <w:t xml:space="preserve">C-068 de 2020, entre otras. </w:t>
      </w:r>
    </w:p>
  </w:footnote>
  <w:footnote w:id="145">
    <w:p w:rsidR="002F51CB" w:rsidRPr="00EC6DE9" w:rsidRDefault="0029329A" w:rsidP="00B079DB">
      <w:pPr>
        <w:pStyle w:val="Textonotapie"/>
        <w:jc w:val="both"/>
      </w:pPr>
      <w:r w:rsidRPr="00EC6DE9">
        <w:rPr>
          <w:rStyle w:val="Refdenotaalpie"/>
        </w:rPr>
        <w:footnoteRef/>
      </w:r>
      <w:r w:rsidRPr="00EC6DE9">
        <w:rPr>
          <w:vertAlign w:val="superscript"/>
        </w:rPr>
        <w:t xml:space="preserve"> </w:t>
      </w:r>
      <w:r>
        <w:t>“</w:t>
      </w:r>
      <w:r w:rsidRPr="00EC6DE9">
        <w:t xml:space="preserve">La base para la liquidación de la tasa será el costo de los servicios correspondientes a cada uno de los hechos generadores establecidos en </w:t>
      </w:r>
      <w:r w:rsidRPr="00EC6DE9">
        <w:t>este artículo, conforme la metodología de cálculo que establezca el Gobierno nacional. El ICANH fijará y actualizará anualmente las tarifas de los servicios que preste, por cada uno de los hechos generadores de la tasa. Las tarifas se fijarán en salarios m</w:t>
      </w:r>
      <w:r w:rsidRPr="00EC6DE9">
        <w:t>ínimos legales diarios vigentes y se cobrarán como recuperación de los costos de los servicios prestados por el ICANH, para lo cual se utilizarán el siguiente Método y Sistema, teniendo en cuenta los costos administrativos, financieros, directos e indirect</w:t>
      </w:r>
      <w:r w:rsidRPr="00EC6DE9">
        <w:t>os, de la operación</w:t>
      </w:r>
      <w:r>
        <w:t>”</w:t>
      </w:r>
      <w:r w:rsidRPr="00EC6DE9">
        <w:t>.</w:t>
      </w:r>
    </w:p>
  </w:footnote>
  <w:footnote w:id="146">
    <w:p w:rsidR="002F51CB" w:rsidRPr="00EC6DE9" w:rsidRDefault="0029329A" w:rsidP="00B079DB">
      <w:pPr>
        <w:pStyle w:val="Textonotapie"/>
        <w:jc w:val="both"/>
        <w:rPr>
          <w:vertAlign w:val="superscript"/>
        </w:rPr>
      </w:pPr>
      <w:r w:rsidRPr="00EC6DE9">
        <w:rPr>
          <w:rStyle w:val="Refdenotaalpie"/>
        </w:rPr>
        <w:footnoteRef/>
      </w:r>
      <w:r w:rsidRPr="00EC6DE9">
        <w:rPr>
          <w:vertAlign w:val="superscript"/>
        </w:rPr>
        <w:t xml:space="preserve"> </w:t>
      </w:r>
      <w:r w:rsidRPr="00EC6DE9">
        <w:rPr>
          <w:color w:val="0D0D0D"/>
          <w:shd w:val="clear" w:color="auto" w:fill="FFFFFF"/>
        </w:rPr>
        <w:t>En el Plan Nacional de Desarrollo (PND), la gobernanza cultural se define como la política pública que valora la actividad cultural. Esta política reconoce la importancia de mejorar las condiciones laborales de artistas, gestores cu</w:t>
      </w:r>
      <w:r w:rsidRPr="00EC6DE9">
        <w:rPr>
          <w:color w:val="0D0D0D"/>
          <w:shd w:val="clear" w:color="auto" w:fill="FFFFFF"/>
        </w:rPr>
        <w:t>lturales, y aquellos que preservan saberes ancestrales y tradicionales. Además, esta política pública pretende destacar la necesidad de implementar un modelo de organización y operación para las entidades culturales, con el fin de fortalecerlas y moderniza</w:t>
      </w:r>
      <w:r w:rsidRPr="00EC6DE9">
        <w:rPr>
          <w:color w:val="0D0D0D"/>
          <w:shd w:val="clear" w:color="auto" w:fill="FFFFFF"/>
        </w:rPr>
        <w:t>rlas.</w:t>
      </w:r>
    </w:p>
  </w:footnote>
  <w:footnote w:id="147">
    <w:p w:rsidR="002F51CB" w:rsidRPr="00EC6DE9" w:rsidRDefault="0029329A" w:rsidP="00B079DB">
      <w:pPr>
        <w:pStyle w:val="Textonotapie"/>
        <w:jc w:val="both"/>
      </w:pPr>
      <w:r w:rsidRPr="00EC6DE9">
        <w:rPr>
          <w:rStyle w:val="Refdenotaalpie"/>
        </w:rPr>
        <w:footnoteRef/>
      </w:r>
      <w:r w:rsidRPr="00EC6DE9">
        <w:t xml:space="preserve"> Sentencia C-465 de 1993, M.P. Vladimiro Naranjo Mesa.</w:t>
      </w:r>
    </w:p>
  </w:footnote>
  <w:footnote w:id="148">
    <w:p w:rsidR="002F51CB" w:rsidRPr="00EC6DE9" w:rsidRDefault="0029329A" w:rsidP="00B079DB">
      <w:pPr>
        <w:tabs>
          <w:tab w:val="left" w:pos="426"/>
        </w:tabs>
        <w:ind w:right="-46"/>
        <w:contextualSpacing/>
        <w:jc w:val="both"/>
        <w:rPr>
          <w:sz w:val="20"/>
        </w:rPr>
      </w:pPr>
      <w:r w:rsidRPr="00EC6DE9">
        <w:rPr>
          <w:rStyle w:val="Refdenotaalpie"/>
          <w:sz w:val="20"/>
        </w:rPr>
        <w:footnoteRef/>
      </w:r>
      <w:r w:rsidRPr="00EC6DE9">
        <w:rPr>
          <w:sz w:val="20"/>
        </w:rPr>
        <w:t xml:space="preserve"> </w:t>
      </w:r>
      <w:r w:rsidRPr="00EC6DE9">
        <w:rPr>
          <w:sz w:val="20"/>
          <w:lang w:val="es-ES_tradnl"/>
        </w:rPr>
        <w:t xml:space="preserve">Sobre el concepto de tasas, ver las Sentencias C-278 de 2019, M.P. Gloria Stella Ortiz Delgado; C-484 de 2020, M.P. Alejandro Linares Cantillo; y C-200 de 2021, M.P. Alejandro Linares </w:t>
      </w:r>
      <w:r w:rsidRPr="00EC6DE9">
        <w:rPr>
          <w:sz w:val="20"/>
          <w:lang w:val="es-ES_tradnl"/>
        </w:rPr>
        <w:t>Cantillo.</w:t>
      </w:r>
    </w:p>
  </w:footnote>
  <w:footnote w:id="149">
    <w:p w:rsidR="002F51CB" w:rsidRPr="00EC6DE9" w:rsidRDefault="0029329A" w:rsidP="00B079DB">
      <w:pPr>
        <w:ind w:right="48"/>
        <w:contextualSpacing/>
        <w:jc w:val="both"/>
        <w:rPr>
          <w:sz w:val="20"/>
        </w:rPr>
      </w:pPr>
      <w:r w:rsidRPr="00EC6DE9">
        <w:rPr>
          <w:rStyle w:val="Refdenotaalpie"/>
          <w:sz w:val="20"/>
        </w:rPr>
        <w:footnoteRef/>
      </w:r>
      <w:r w:rsidRPr="00EC6DE9">
        <w:rPr>
          <w:sz w:val="20"/>
        </w:rPr>
        <w:t xml:space="preserve"> </w:t>
      </w:r>
      <w:r w:rsidRPr="00EC6DE9">
        <w:rPr>
          <w:bCs/>
          <w:sz w:val="20"/>
        </w:rPr>
        <w:t>En cuanto a esta característica, en Sentencia C-1171 de 2005, M.P. Álvaro Tafur Galvis, este Tribunal puntualizó: </w:t>
      </w:r>
      <w:r w:rsidRPr="00EC6DE9">
        <w:rPr>
          <w:bCs/>
          <w:i/>
          <w:iCs/>
          <w:sz w:val="20"/>
        </w:rPr>
        <w:t>“la doctrina suele señalar que las tasas se diferencian de los tributos parafiscales en cuanto aquéllas constituyen una contrapres</w:t>
      </w:r>
      <w:r w:rsidRPr="00EC6DE9">
        <w:rPr>
          <w:bCs/>
          <w:i/>
          <w:iCs/>
          <w:sz w:val="20"/>
        </w:rPr>
        <w:t xml:space="preserve">tación directa por parte de los ciudadanos a un beneficio otorgado por el Estado, </w:t>
      </w:r>
      <w:r w:rsidRPr="00EC6DE9">
        <w:rPr>
          <w:b/>
          <w:bCs/>
          <w:i/>
          <w:iCs/>
          <w:sz w:val="20"/>
        </w:rPr>
        <w:t>hacen parte del presupuesto estatal</w:t>
      </w:r>
      <w:r w:rsidRPr="00EC6DE9">
        <w:rPr>
          <w:bCs/>
          <w:i/>
          <w:iCs/>
          <w:sz w:val="20"/>
        </w:rPr>
        <w:t xml:space="preserve"> y, en principio, no son obligatorias, toda vez que queda a discrecionalidad del interesado en el bien o servicio que preste el Estado”.</w:t>
      </w:r>
    </w:p>
  </w:footnote>
  <w:footnote w:id="150">
    <w:p w:rsidR="002F51CB" w:rsidRPr="00EC6DE9" w:rsidRDefault="0029329A" w:rsidP="00B079DB">
      <w:pPr>
        <w:pStyle w:val="Textonotapie"/>
        <w:jc w:val="both"/>
      </w:pPr>
      <w:r w:rsidRPr="00EC6DE9">
        <w:rPr>
          <w:rStyle w:val="Refdenotaalpie"/>
        </w:rPr>
        <w:footnoteRef/>
      </w:r>
      <w:r w:rsidRPr="00EC6DE9">
        <w:t xml:space="preserve"> </w:t>
      </w:r>
      <w:r w:rsidRPr="00EC6DE9">
        <w:t xml:space="preserve">A respecto ver Sentencia C-228 de 2010, M.P. Luis Ernesto Vargas Silva. </w:t>
      </w:r>
    </w:p>
  </w:footnote>
  <w:footnote w:id="151">
    <w:p w:rsidR="002F51CB" w:rsidRPr="00EC6DE9" w:rsidRDefault="0029329A" w:rsidP="00B079DB">
      <w:pPr>
        <w:pStyle w:val="Textonotapie"/>
        <w:jc w:val="both"/>
      </w:pPr>
      <w:r w:rsidRPr="00EC6DE9">
        <w:rPr>
          <w:rStyle w:val="Refdenotaalpie"/>
        </w:rPr>
        <w:footnoteRef/>
      </w:r>
      <w:r w:rsidRPr="00EC6DE9">
        <w:rPr>
          <w:vertAlign w:val="superscript"/>
        </w:rPr>
        <w:t xml:space="preserve"> </w:t>
      </w:r>
      <w:r w:rsidRPr="00EC6DE9">
        <w:t>Sentencia C-493 de 2020.</w:t>
      </w:r>
    </w:p>
  </w:footnote>
  <w:footnote w:id="152">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Ley 2294 de 2023, art. 1.</w:t>
      </w:r>
    </w:p>
  </w:footnote>
  <w:footnote w:id="153">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Bases del Plan Nacional de Desarrollo 2022 – 2026 Colombia Potencia Mundial de la Vida</w:t>
      </w:r>
      <w:r w:rsidRPr="00052FF8">
        <w:rPr>
          <w:rFonts w:ascii="Times New Roman" w:hAnsi="Times New Roman"/>
        </w:rPr>
        <w:t>,</w:t>
      </w:r>
      <w:r w:rsidRPr="00052FF8">
        <w:rPr>
          <w:rFonts w:ascii="Times New Roman" w:hAnsi="Times New Roman"/>
        </w:rPr>
        <w:t xml:space="preserve"> </w:t>
      </w:r>
      <w:r w:rsidRPr="00052FF8">
        <w:rPr>
          <w:rFonts w:ascii="Times New Roman" w:hAnsi="Times New Roman"/>
        </w:rPr>
        <w:t>p</w:t>
      </w:r>
      <w:r w:rsidRPr="00052FF8">
        <w:rPr>
          <w:rFonts w:ascii="Times New Roman" w:hAnsi="Times New Roman"/>
        </w:rPr>
        <w:t>. 103.</w:t>
      </w:r>
    </w:p>
  </w:footnote>
  <w:footnote w:id="154">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w:t>
      </w:r>
      <w:r w:rsidRPr="00052FF8">
        <w:rPr>
          <w:rFonts w:ascii="Times New Roman" w:hAnsi="Times New Roman"/>
          <w:i/>
          <w:iCs/>
        </w:rPr>
        <w:t>Ibid</w:t>
      </w:r>
      <w:r>
        <w:rPr>
          <w:rFonts w:ascii="Times New Roman" w:hAnsi="Times New Roman"/>
          <w:i/>
          <w:iCs/>
        </w:rPr>
        <w:t>.</w:t>
      </w:r>
      <w:r>
        <w:rPr>
          <w:rFonts w:ascii="Times New Roman" w:hAnsi="Times New Roman"/>
        </w:rPr>
        <w:t>,</w:t>
      </w:r>
      <w:r w:rsidRPr="00052FF8">
        <w:rPr>
          <w:rFonts w:ascii="Times New Roman" w:hAnsi="Times New Roman"/>
        </w:rPr>
        <w:t xml:space="preserve"> p. 105. </w:t>
      </w:r>
    </w:p>
  </w:footnote>
  <w:footnote w:id="155">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w:t>
      </w:r>
      <w:r w:rsidRPr="00052FF8">
        <w:rPr>
          <w:rFonts w:ascii="Times New Roman" w:hAnsi="Times New Roman"/>
          <w:i/>
          <w:iCs/>
        </w:rPr>
        <w:t>Ibid</w:t>
      </w:r>
      <w:r>
        <w:rPr>
          <w:rFonts w:ascii="Times New Roman" w:hAnsi="Times New Roman"/>
          <w:i/>
          <w:iCs/>
        </w:rPr>
        <w:t>.</w:t>
      </w:r>
      <w:r>
        <w:rPr>
          <w:rFonts w:ascii="Times New Roman" w:hAnsi="Times New Roman"/>
        </w:rPr>
        <w:t>,</w:t>
      </w:r>
      <w:r w:rsidRPr="00052FF8">
        <w:rPr>
          <w:rFonts w:ascii="Times New Roman" w:hAnsi="Times New Roman"/>
        </w:rPr>
        <w:t xml:space="preserve"> p</w:t>
      </w:r>
      <w:r>
        <w:rPr>
          <w:rFonts w:ascii="Times New Roman" w:hAnsi="Times New Roman"/>
        </w:rPr>
        <w:t>p</w:t>
      </w:r>
      <w:r w:rsidRPr="00052FF8">
        <w:rPr>
          <w:rFonts w:ascii="Times New Roman" w:hAnsi="Times New Roman"/>
        </w:rPr>
        <w:t>.</w:t>
      </w:r>
      <w:r w:rsidRPr="00052FF8">
        <w:rPr>
          <w:rFonts w:ascii="Times New Roman" w:hAnsi="Times New Roman"/>
        </w:rPr>
        <w:t xml:space="preserve"> 106 y 107.</w:t>
      </w:r>
    </w:p>
  </w:footnote>
  <w:footnote w:id="156">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w:t>
      </w:r>
      <w:r w:rsidRPr="00052FF8">
        <w:rPr>
          <w:rFonts w:ascii="Times New Roman" w:hAnsi="Times New Roman"/>
          <w:i/>
          <w:iCs/>
        </w:rPr>
        <w:t>Ibid</w:t>
      </w:r>
      <w:r w:rsidRPr="00052FF8">
        <w:rPr>
          <w:rFonts w:ascii="Times New Roman" w:hAnsi="Times New Roman"/>
        </w:rPr>
        <w:t>.</w:t>
      </w:r>
      <w:r>
        <w:rPr>
          <w:rFonts w:ascii="Times New Roman" w:hAnsi="Times New Roman"/>
        </w:rPr>
        <w:t>,</w:t>
      </w:r>
      <w:r w:rsidRPr="00052FF8">
        <w:rPr>
          <w:rFonts w:ascii="Times New Roman" w:hAnsi="Times New Roman"/>
        </w:rPr>
        <w:t xml:space="preserve"> p. 105.</w:t>
      </w:r>
    </w:p>
  </w:footnote>
  <w:footnote w:id="157">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“La implementación de la tasa permitirá fortalecer e incentivar la Economía Cultural, mediante el apoyo institucional a la creación de museos comunitarios, casas de cultura, y demás espacios culturales sustentados con base en</w:t>
      </w:r>
      <w:r w:rsidRPr="00052FF8">
        <w:rPr>
          <w:rFonts w:ascii="Times New Roman" w:hAnsi="Times New Roman"/>
        </w:rPr>
        <w:t xml:space="preserve"> el patrimonio arqueológico como bien de interés cultural. La protección del patrimonio cultural está también intrínsecamente vinculada al reconocimiento de los saberes y prácticas culturales, pues los diversos retos en la protección del Patrimonio Arqueol</w:t>
      </w:r>
      <w:r w:rsidRPr="00052FF8">
        <w:rPr>
          <w:rFonts w:ascii="Times New Roman" w:hAnsi="Times New Roman"/>
        </w:rPr>
        <w:t xml:space="preserve">ógico conllevan, así se abordan sin el respaldo presupuestal adecuado, el detrimento y desaparición de la memoria cultural de la Nación en general, y las comunidades en particular. También se hace evidente que la recolección de la tasa guarda una relación </w:t>
      </w:r>
      <w:r w:rsidRPr="00052FF8">
        <w:rPr>
          <w:rFonts w:ascii="Times New Roman" w:hAnsi="Times New Roman"/>
        </w:rPr>
        <w:t>teleológica para la implementación de garantías para la defensa de los derechos culturales y el ejercicio de la Gobernanza Cultural mediante el desarrollo cultural inclusivo estrechamente vinculado a la Dignidad Humana y las condiciones para el bienestar d</w:t>
      </w:r>
      <w:r w:rsidRPr="00052FF8">
        <w:rPr>
          <w:rFonts w:ascii="Times New Roman" w:hAnsi="Times New Roman"/>
        </w:rPr>
        <w:t>e las y los colombianos. // También, el fortalecimiento de la capacidad operativa para la defensa del patrimonio arqueológico contribuye un avance significativo hacia la paz total mediante el reconocimiento de los derechos territoriales de los pueblos étni</w:t>
      </w:r>
      <w:r w:rsidRPr="00052FF8">
        <w:rPr>
          <w:rFonts w:ascii="Times New Roman" w:hAnsi="Times New Roman"/>
        </w:rPr>
        <w:t>cos, la garantía de sus derechos bioculturales, a la recuperación de la memoria, de la historia, al acceso a la tierra y la salvaguarda de sus territorios. El Instituto Colombiano de Antropología e Historia, a través de las medidas de protección del Patrim</w:t>
      </w:r>
      <w:r w:rsidRPr="00052FF8">
        <w:rPr>
          <w:rFonts w:ascii="Times New Roman" w:hAnsi="Times New Roman"/>
        </w:rPr>
        <w:t>onio Arqueológico contribuye instrumentalmente en la directa garantía de los pueblos y las comunidades para la defensa de sus derechos culturales, apoya la Unidad de Restitución de Tierras con documentos técnicos que permiten ver la trazabilidad de sus mig</w:t>
      </w:r>
      <w:r w:rsidRPr="00052FF8">
        <w:rPr>
          <w:rFonts w:ascii="Times New Roman" w:hAnsi="Times New Roman"/>
        </w:rPr>
        <w:t>raciones, desplazamientos y desarrollos culturales, a la vez se apoya la Jurisdicción Especial de Paz JEP desde el año próximo incluyendo en nuestro formularios una capa forense que permita recabar a la Fiscalía información relevante con el hallazgo de los</w:t>
      </w:r>
      <w:r w:rsidRPr="00052FF8">
        <w:rPr>
          <w:rFonts w:ascii="Times New Roman" w:hAnsi="Times New Roman"/>
        </w:rPr>
        <w:t xml:space="preserve"> desaparecidos y reparación a las víctimas”</w:t>
      </w:r>
      <w:r>
        <w:rPr>
          <w:rFonts w:ascii="Times New Roman" w:hAnsi="Times New Roman"/>
        </w:rPr>
        <w:t>.</w:t>
      </w:r>
      <w:r w:rsidRPr="00052FF8">
        <w:rPr>
          <w:rFonts w:ascii="Times New Roman" w:hAnsi="Times New Roman"/>
        </w:rPr>
        <w:t xml:space="preserve"> Intervención del ICA</w:t>
      </w:r>
      <w:r w:rsidRPr="00052FF8">
        <w:rPr>
          <w:rFonts w:ascii="Times New Roman" w:hAnsi="Times New Roman"/>
        </w:rPr>
        <w:t>NH del 2 de octubre de 2023, p. 10</w:t>
      </w:r>
      <w:r w:rsidRPr="00052FF8">
        <w:rPr>
          <w:rFonts w:ascii="Times New Roman" w:hAnsi="Times New Roman"/>
        </w:rPr>
        <w:t>.</w:t>
      </w:r>
    </w:p>
  </w:footnote>
  <w:footnote w:id="158">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w:t>
      </w:r>
      <w:r w:rsidRPr="00052FF8">
        <w:rPr>
          <w:rFonts w:ascii="Times New Roman" w:hAnsi="Times New Roman"/>
          <w:i/>
          <w:iCs/>
        </w:rPr>
        <w:t>Ibid</w:t>
      </w:r>
      <w:r>
        <w:rPr>
          <w:rFonts w:ascii="Times New Roman" w:hAnsi="Times New Roman"/>
          <w:i/>
          <w:iCs/>
        </w:rPr>
        <w:t>.</w:t>
      </w:r>
      <w:r w:rsidRPr="00052FF8">
        <w:rPr>
          <w:rFonts w:ascii="Times New Roman" w:hAnsi="Times New Roman"/>
        </w:rPr>
        <w:t>, p. 13.</w:t>
      </w:r>
    </w:p>
  </w:footnote>
  <w:footnote w:id="159">
    <w:p w:rsidR="00F5695F" w:rsidRDefault="0029329A" w:rsidP="00052FF8">
      <w:pPr>
        <w:pStyle w:val="Textonotapie"/>
        <w:jc w:val="both"/>
      </w:pPr>
      <w:r w:rsidRPr="00052FF8">
        <w:rPr>
          <w:rStyle w:val="Refdenotaalpie"/>
          <w:rFonts w:ascii="Times New Roman" w:hAnsi="Times New Roman"/>
        </w:rPr>
        <w:footnoteRef/>
      </w:r>
      <w:r w:rsidRPr="00052FF8">
        <w:rPr>
          <w:rFonts w:ascii="Times New Roman" w:hAnsi="Times New Roman"/>
        </w:rPr>
        <w:t xml:space="preserve"> </w:t>
      </w:r>
      <w:r w:rsidRPr="00052FF8">
        <w:rPr>
          <w:rFonts w:ascii="Times New Roman" w:hAnsi="Times New Roman"/>
        </w:rPr>
        <w:t xml:space="preserve">Al respecto, el ICANH le informó a esta Corte que sólo cuenta con un pequeño espacio en el Museo Nacional y una bodega asignada por la </w:t>
      </w:r>
      <w:r w:rsidRPr="00052FF8">
        <w:rPr>
          <w:rFonts w:ascii="Times New Roman" w:hAnsi="Times New Roman"/>
        </w:rPr>
        <w:t>Sociedad de Activos Especiales para mantener la colección arqueológica más grande del país, la cual está compuesta, entre otros bienes, por aquellos detectados en el marco del Programa de Arqueología Preventiva.</w:t>
      </w:r>
    </w:p>
  </w:footnote>
  <w:footnote w:id="160">
    <w:p w:rsidR="00695430" w:rsidRDefault="0029329A">
      <w:pPr>
        <w:pStyle w:val="Textonotapie"/>
      </w:pPr>
      <w:r>
        <w:rPr>
          <w:rStyle w:val="Refdenotaalpie"/>
        </w:rPr>
        <w:footnoteRef/>
      </w:r>
      <w:r>
        <w:t xml:space="preserve"> Corte Constitucional. Sentencia C-063 de 2</w:t>
      </w:r>
      <w:r>
        <w:t>021</w:t>
      </w:r>
    </w:p>
  </w:footnote>
  <w:footnote w:id="161">
    <w:p w:rsidR="00B50A35" w:rsidRPr="00695430" w:rsidRDefault="0029329A">
      <w:pPr>
        <w:pStyle w:val="Textonotapie"/>
        <w:rPr>
          <w:i/>
          <w:iCs/>
        </w:rPr>
      </w:pPr>
      <w:r>
        <w:rPr>
          <w:rStyle w:val="Refdenotaalpie"/>
        </w:rPr>
        <w:footnoteRef/>
      </w:r>
      <w:r>
        <w:t xml:space="preserve"> </w:t>
      </w:r>
      <w:r>
        <w:rPr>
          <w:i/>
          <w:iCs/>
        </w:rPr>
        <w:t>Ibidem.</w:t>
      </w:r>
    </w:p>
  </w:footnote>
  <w:footnote w:id="162">
    <w:p w:rsidR="00ED670B" w:rsidRPr="00417E32" w:rsidRDefault="0029329A" w:rsidP="00ED670B">
      <w:pPr>
        <w:pStyle w:val="Textonotapie"/>
      </w:pPr>
      <w:r>
        <w:rPr>
          <w:rStyle w:val="Refdenotaalpie"/>
        </w:rPr>
        <w:footnoteRef/>
      </w:r>
      <w:r>
        <w:t xml:space="preserve"> </w:t>
      </w:r>
      <w:bookmarkStart w:id="19" w:name="340"/>
      <w:r w:rsidRPr="00254EFB">
        <w:rPr>
          <w:b/>
          <w:bCs/>
        </w:rPr>
        <w:t>ARTICULO 340. </w:t>
      </w:r>
      <w:bookmarkEnd w:id="19"/>
      <w:r w:rsidRPr="00254EFB">
        <w:t xml:space="preserve">Habrá un </w:t>
      </w:r>
      <w:r w:rsidRPr="00254EFB">
        <w:rPr>
          <w:i/>
          <w:iCs/>
        </w:rPr>
        <w:t>Consejo Nacional de Planeación integrado por representantes de las entidades territoriales y de los sectores económicos, sociales, ecológicos, comunitarios y culturales</w:t>
      </w:r>
      <w:r w:rsidRPr="00254EFB">
        <w:t xml:space="preserve">. El Consejo tendrá carácter </w:t>
      </w:r>
      <w:r w:rsidRPr="00254EFB">
        <w:rPr>
          <w:i/>
          <w:iCs/>
        </w:rPr>
        <w:t>consultivo</w:t>
      </w:r>
      <w:r w:rsidRPr="00254EFB">
        <w:t xml:space="preserve"> y servirá</w:t>
      </w:r>
      <w:r w:rsidRPr="00254EFB">
        <w:t xml:space="preserve"> de foro para la discusión del Plan Nacional de Desarrollo.</w:t>
      </w:r>
    </w:p>
    <w:p w:rsidR="00ED670B" w:rsidRPr="00417E32" w:rsidRDefault="0029329A" w:rsidP="00ED670B">
      <w:pPr>
        <w:pStyle w:val="Textonotapie"/>
      </w:pPr>
      <w:r w:rsidRPr="00417E32">
        <w:t>Los miembros del Consejo Nacional serán designados por el Presidente de la República de listas que le presenten las autoridades y las organizaciones de las entidades y sectores a que se refiere el</w:t>
      </w:r>
      <w:r w:rsidRPr="00417E32">
        <w:t xml:space="preserve"> inciso anterior, quienes deberán estar o haber estado vinculados a dichas actividades. Su período será de ocho años y cada cuatro se renovará parcialmente en la forma que establezca la ley.</w:t>
      </w:r>
    </w:p>
    <w:p w:rsidR="00ED670B" w:rsidRPr="00417E32" w:rsidRDefault="0029329A" w:rsidP="00ED670B">
      <w:pPr>
        <w:pStyle w:val="Textonotapie"/>
      </w:pPr>
      <w:r w:rsidRPr="00417E32">
        <w:t>En las entidades territoriales habrá también consejos de planeaci</w:t>
      </w:r>
      <w:r w:rsidRPr="00417E32">
        <w:t>ón, según lo determine la ley. </w:t>
      </w:r>
    </w:p>
    <w:p w:rsidR="00ED670B" w:rsidRPr="00417E32" w:rsidRDefault="0029329A" w:rsidP="00ED670B">
      <w:pPr>
        <w:pStyle w:val="Textonotapie"/>
      </w:pPr>
      <w:r w:rsidRPr="00417E32">
        <w:t>El Consejo Nacional y los consejos territoriales de planeación constituyen el Sistema Nacional de Planeación.</w:t>
      </w:r>
    </w:p>
  </w:footnote>
  <w:footnote w:id="163">
    <w:p w:rsidR="00ED670B" w:rsidRPr="00737784" w:rsidRDefault="0029329A" w:rsidP="00ED670B">
      <w:pPr>
        <w:pStyle w:val="Textonotapie"/>
      </w:pPr>
      <w:r>
        <w:rPr>
          <w:rStyle w:val="Refdenotaalpie"/>
        </w:rPr>
        <w:footnoteRef/>
      </w:r>
      <w:r>
        <w:t xml:space="preserve"> </w:t>
      </w:r>
      <w:r w:rsidRPr="00737784">
        <w:rPr>
          <w:b/>
          <w:bCs/>
        </w:rPr>
        <w:t>ARTICULO 341. </w:t>
      </w:r>
      <w:r w:rsidRPr="00737784">
        <w:t>El gobierno elaborará el Plan Nacional de Desarrollo con participación activa de las autoridades d</w:t>
      </w:r>
      <w:r w:rsidRPr="00737784">
        <w:t>e planeación, de las entidades territoriales y del Consejo Superior de la Judicatura y someterá el proyecto correspondiente al concepto del Consejo Nacional de Planeación; oída la opinión del Consejo procederá a efectuar las enmiendas que considere pertine</w:t>
      </w:r>
      <w:r w:rsidRPr="00737784">
        <w:t>ntes y presentará el proyecto a consideración del Congreso, dentro de los seis meses siguientes a la iniciación del período presidencial respectivo.</w:t>
      </w:r>
    </w:p>
  </w:footnote>
  <w:footnote w:id="164">
    <w:p w:rsidR="00ED670B" w:rsidRPr="00254EFB" w:rsidRDefault="0029329A" w:rsidP="00ED670B">
      <w:pPr>
        <w:pStyle w:val="Textonotapie"/>
      </w:pPr>
      <w:r>
        <w:rPr>
          <w:rStyle w:val="Refdenotaalpie"/>
        </w:rPr>
        <w:footnoteRef/>
      </w:r>
      <w:r>
        <w:t xml:space="preserve"> </w:t>
      </w:r>
      <w:bookmarkStart w:id="21" w:name="342"/>
      <w:r w:rsidRPr="00254EFB">
        <w:rPr>
          <w:b/>
          <w:bCs/>
        </w:rPr>
        <w:t>ARTICULO 342. </w:t>
      </w:r>
      <w:bookmarkEnd w:id="21"/>
      <w:r w:rsidRPr="00254EFB">
        <w:t xml:space="preserve">La correspondiente ley orgánica reglamentará todo lo relacionado con los procedimientos de </w:t>
      </w:r>
      <w:r w:rsidRPr="00254EFB">
        <w:t>elaboración, aprobación y ejecución de los planes de desarrollo y dispondrá los mecanismos apropiados para su armonización y para la sujeción a ellos de los presupuestos oficiales. </w:t>
      </w:r>
    </w:p>
    <w:p w:rsidR="00ED670B" w:rsidRPr="00090113" w:rsidRDefault="0029329A" w:rsidP="00ED670B">
      <w:pPr>
        <w:pStyle w:val="Textonotapie"/>
      </w:pPr>
      <w:r w:rsidRPr="00090113">
        <w:t xml:space="preserve">Determinará, igualmente, la organización y funciones del Consejo Nacional </w:t>
      </w:r>
      <w:r w:rsidRPr="00090113">
        <w:t>de Planeación y de los consejos territoriales, así como los procedimientos conforme a los cuales se hará efectiva la participación ciudadana en la discusión de los planes de desarrollo, y las modificaciones correspondientes, conforme a lo establecido en la</w:t>
      </w:r>
      <w:r w:rsidRPr="00090113">
        <w:t xml:space="preserve"> Constitución.</w:t>
      </w:r>
    </w:p>
  </w:footnote>
  <w:footnote w:id="165">
    <w:p w:rsidR="00ED670B" w:rsidRPr="00CB7472" w:rsidRDefault="0029329A" w:rsidP="00ED670B">
      <w:pPr>
        <w:pStyle w:val="Textonotapie"/>
      </w:pPr>
      <w:r>
        <w:rPr>
          <w:rStyle w:val="Refdenotaalpie"/>
        </w:rPr>
        <w:footnoteRef/>
      </w:r>
      <w:r>
        <w:t xml:space="preserve"> Articulo 6, literal d), de la Ley 152 de 1994.</w:t>
      </w:r>
    </w:p>
  </w:footnote>
  <w:footnote w:id="166">
    <w:p w:rsidR="00ED670B" w:rsidRPr="003E538C" w:rsidRDefault="0029329A" w:rsidP="00ED670B">
      <w:pPr>
        <w:pStyle w:val="Textonotapie"/>
      </w:pPr>
      <w:r>
        <w:rPr>
          <w:rStyle w:val="Refdenotaalpie"/>
        </w:rPr>
        <w:footnoteRef/>
      </w:r>
      <w:r w:rsidRPr="003E538C">
        <w:t xml:space="preserve"> Ver, entre otras las </w:t>
      </w:r>
      <w:r>
        <w:t xml:space="preserve">Sentencias </w:t>
      </w:r>
      <w:r w:rsidRPr="003E538C">
        <w:t>C-574 de 2004</w:t>
      </w:r>
      <w:r>
        <w:t xml:space="preserve"> y </w:t>
      </w:r>
      <w:r w:rsidRPr="00723A84">
        <w:t>C-453 de 2016</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E4AC7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5505F65"/>
    <w:multiLevelType w:val="hybridMultilevel"/>
    <w:tmpl w:val="58F2C862"/>
    <w:lvl w:ilvl="0" w:tplc="63B0CBBA">
      <w:start w:val="1"/>
      <w:numFmt w:val="bullet"/>
      <w:lvlText w:val="-"/>
      <w:lvlJc w:val="left"/>
      <w:pPr>
        <w:ind w:left="360" w:hanging="360"/>
      </w:pPr>
      <w:rPr>
        <w:rFonts w:ascii="Times New Roman" w:eastAsia="Times New Roman"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45076D3D"/>
    <w:multiLevelType w:val="hybridMultilevel"/>
    <w:tmpl w:val="0BE8FF52"/>
    <w:lvl w:ilvl="0" w:tplc="B91C18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5D0B0A"/>
    <w:multiLevelType w:val="hybridMultilevel"/>
    <w:tmpl w:val="130AD5A0"/>
    <w:lvl w:ilvl="0" w:tplc="DA1C1FA4">
      <w:start w:val="1"/>
      <w:numFmt w:val="decimal"/>
      <w:lvlText w:val="§%1."/>
      <w:lvlJc w:val="left"/>
      <w:pPr>
        <w:ind w:left="720" w:hanging="360"/>
      </w:pPr>
      <w:rPr>
        <w:rFonts w:cs="Times New Roman" w:hint="default"/>
        <w:i w:val="0"/>
        <w:i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56D0287F"/>
    <w:multiLevelType w:val="multilevel"/>
    <w:tmpl w:val="9766B2EC"/>
    <w:lvl w:ilvl="0">
      <w:start w:val="1"/>
      <w:numFmt w:val="decimal"/>
      <w:pStyle w:val="Sub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768"/>
    <w:rsid w:val="0029329A"/>
    <w:rsid w:val="00935768"/>
    <w:rsid w:val="00F569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51026E43-3062-4DEE-86B8-18DEC004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34F3D"/>
    <w:pPr>
      <w:keepNext/>
      <w:widowControl w:val="0"/>
      <w:jc w:val="both"/>
      <w:outlineLvl w:val="0"/>
    </w:pPr>
  </w:style>
  <w:style w:type="paragraph" w:styleId="Ttulo2">
    <w:name w:val="heading 2"/>
    <w:basedOn w:val="Normal"/>
    <w:next w:val="Normal"/>
    <w:link w:val="Ttulo2Car"/>
    <w:uiPriority w:val="9"/>
    <w:qFormat/>
    <w:locked/>
    <w:rsid w:val="005F4BB6"/>
    <w:pPr>
      <w:keepNext/>
      <w:spacing w:before="240" w:after="60"/>
      <w:outlineLvl w:val="1"/>
    </w:pPr>
    <w:rPr>
      <w:rFonts w:ascii="Arial" w:hAnsi="Arial" w:cs="Arial"/>
      <w:b/>
      <w:bCs/>
      <w:i/>
      <w:iCs/>
      <w:szCs w:val="28"/>
    </w:rPr>
  </w:style>
  <w:style w:type="paragraph" w:styleId="Ttulo3">
    <w:name w:val="heading 3"/>
    <w:basedOn w:val="Normal"/>
    <w:next w:val="Normal"/>
    <w:link w:val="Ttulo3Car"/>
    <w:uiPriority w:val="9"/>
    <w:qFormat/>
    <w:locked/>
    <w:rsid w:val="005F384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locked/>
    <w:rsid w:val="007F6861"/>
    <w:pPr>
      <w:keepNext/>
      <w:tabs>
        <w:tab w:val="num" w:pos="720"/>
      </w:tabs>
      <w:autoSpaceDE w:val="0"/>
      <w:autoSpaceDN w:val="0"/>
      <w:spacing w:after="0"/>
      <w:jc w:val="both"/>
      <w:outlineLvl w:val="3"/>
    </w:pPr>
    <w:rPr>
      <w:b/>
      <w:bCs/>
      <w:lang w:val="es-ES"/>
    </w:rPr>
  </w:style>
  <w:style w:type="paragraph" w:styleId="Ttulo5">
    <w:name w:val="heading 5"/>
    <w:basedOn w:val="Normal"/>
    <w:next w:val="Normal"/>
    <w:link w:val="Ttulo5Car"/>
    <w:uiPriority w:val="9"/>
    <w:qFormat/>
    <w:locked/>
    <w:rsid w:val="007F6861"/>
    <w:pPr>
      <w:keepNext/>
      <w:widowControl w:val="0"/>
      <w:tabs>
        <w:tab w:val="num" w:pos="720"/>
      </w:tabs>
      <w:autoSpaceDE w:val="0"/>
      <w:autoSpaceDN w:val="0"/>
      <w:spacing w:after="0"/>
      <w:jc w:val="center"/>
      <w:outlineLvl w:val="4"/>
    </w:pPr>
    <w:rPr>
      <w:b/>
      <w:bCs/>
      <w:lang w:val="es-ES_tradnl"/>
    </w:rPr>
  </w:style>
  <w:style w:type="paragraph" w:styleId="Ttulo6">
    <w:name w:val="heading 6"/>
    <w:basedOn w:val="Normal"/>
    <w:next w:val="Normal"/>
    <w:link w:val="Ttulo6Car"/>
    <w:uiPriority w:val="9"/>
    <w:qFormat/>
    <w:locked/>
    <w:rsid w:val="007F6861"/>
    <w:pPr>
      <w:keepNext/>
      <w:widowControl w:val="0"/>
      <w:tabs>
        <w:tab w:val="num" w:pos="3960"/>
      </w:tabs>
      <w:autoSpaceDE w:val="0"/>
      <w:autoSpaceDN w:val="0"/>
      <w:spacing w:after="0"/>
      <w:ind w:left="3600" w:right="-232"/>
      <w:jc w:val="both"/>
      <w:outlineLvl w:val="5"/>
    </w:pPr>
    <w:rPr>
      <w:b/>
      <w:bCs/>
      <w:lang w:val="es-ES"/>
    </w:rPr>
  </w:style>
  <w:style w:type="paragraph" w:styleId="Ttulo7">
    <w:name w:val="heading 7"/>
    <w:basedOn w:val="Normal"/>
    <w:next w:val="Normal"/>
    <w:link w:val="Ttulo7Car"/>
    <w:uiPriority w:val="9"/>
    <w:qFormat/>
    <w:locked/>
    <w:rsid w:val="007F6861"/>
    <w:pPr>
      <w:widowControl w:val="0"/>
      <w:tabs>
        <w:tab w:val="num" w:pos="4680"/>
      </w:tabs>
      <w:autoSpaceDE w:val="0"/>
      <w:autoSpaceDN w:val="0"/>
      <w:spacing w:before="240" w:after="60"/>
      <w:ind w:left="4320"/>
      <w:jc w:val="both"/>
      <w:outlineLvl w:val="6"/>
    </w:pPr>
    <w:rPr>
      <w:sz w:val="24"/>
      <w:szCs w:val="24"/>
      <w:lang w:val="es-ES"/>
    </w:rPr>
  </w:style>
  <w:style w:type="paragraph" w:styleId="Ttulo8">
    <w:name w:val="heading 8"/>
    <w:basedOn w:val="Normal"/>
    <w:next w:val="Normal"/>
    <w:link w:val="Ttulo8Car"/>
    <w:uiPriority w:val="9"/>
    <w:qFormat/>
    <w:locked/>
    <w:rsid w:val="007F6861"/>
    <w:pPr>
      <w:widowControl w:val="0"/>
      <w:tabs>
        <w:tab w:val="num" w:pos="5400"/>
      </w:tabs>
      <w:autoSpaceDE w:val="0"/>
      <w:autoSpaceDN w:val="0"/>
      <w:spacing w:before="240" w:after="60"/>
      <w:ind w:left="5040"/>
      <w:jc w:val="both"/>
      <w:outlineLvl w:val="7"/>
    </w:pPr>
    <w:rPr>
      <w:i/>
      <w:iCs/>
      <w:sz w:val="24"/>
      <w:szCs w:val="24"/>
      <w:lang w:val="es-ES"/>
    </w:rPr>
  </w:style>
  <w:style w:type="paragraph" w:styleId="Ttulo9">
    <w:name w:val="heading 9"/>
    <w:basedOn w:val="Normal"/>
    <w:next w:val="Normal"/>
    <w:link w:val="Ttulo9Car"/>
    <w:uiPriority w:val="9"/>
    <w:qFormat/>
    <w:locked/>
    <w:rsid w:val="007F6861"/>
    <w:pPr>
      <w:widowControl w:val="0"/>
      <w:tabs>
        <w:tab w:val="num" w:pos="6120"/>
      </w:tabs>
      <w:autoSpaceDE w:val="0"/>
      <w:autoSpaceDN w:val="0"/>
      <w:spacing w:before="240" w:after="60"/>
      <w:ind w:left="5760"/>
      <w:jc w:val="both"/>
      <w:outlineLvl w:val="8"/>
    </w:pPr>
    <w:rPr>
      <w:rFonts w:ascii="Arial" w:hAnsi="Arial"/>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Pr>
      <w:rFonts w:ascii="Cambria" w:hAnsi="Cambria" w:cs="Times New Roman"/>
      <w:b/>
      <w:kern w:val="32"/>
      <w:sz w:val="32"/>
      <w:lang w:val="es-ES" w:eastAsia="es-ES"/>
    </w:rPr>
  </w:style>
  <w:style w:type="character" w:customStyle="1" w:styleId="Ttulo2Car">
    <w:name w:val="Título 2 Car"/>
    <w:basedOn w:val="Fuentedeprrafopredeter"/>
    <w:link w:val="Ttulo2"/>
    <w:uiPriority w:val="9"/>
    <w:semiHidden/>
    <w:locked/>
    <w:rPr>
      <w:rFonts w:ascii="Cambria" w:hAnsi="Cambria" w:cs="Times New Roman"/>
      <w:b/>
      <w:i/>
      <w:sz w:val="28"/>
      <w:lang w:val="es-ES" w:eastAsia="es-ES"/>
    </w:rPr>
  </w:style>
  <w:style w:type="character" w:customStyle="1" w:styleId="Ttulo3Car">
    <w:name w:val="Título 3 Car"/>
    <w:basedOn w:val="Fuentedeprrafopredeter"/>
    <w:link w:val="Ttulo3"/>
    <w:uiPriority w:val="9"/>
    <w:semiHidden/>
    <w:locked/>
    <w:rPr>
      <w:rFonts w:ascii="Cambria" w:hAnsi="Cambria" w:cs="Times New Roman"/>
      <w:b/>
      <w:sz w:val="26"/>
      <w:lang w:val="es-ES" w:eastAsia="es-ES"/>
    </w:rPr>
  </w:style>
  <w:style w:type="character" w:customStyle="1" w:styleId="Ttulo4Car">
    <w:name w:val="Título 4 Car"/>
    <w:basedOn w:val="Fuentedeprrafopredeter"/>
    <w:link w:val="Ttulo4"/>
    <w:uiPriority w:val="9"/>
    <w:locked/>
    <w:rsid w:val="007F6861"/>
    <w:rPr>
      <w:rFonts w:cs="Times New Roman"/>
      <w:b/>
      <w:bCs/>
      <w:sz w:val="28"/>
      <w:lang w:val="es-ES" w:eastAsia="x-none"/>
    </w:rPr>
  </w:style>
  <w:style w:type="character" w:customStyle="1" w:styleId="Ttulo5Car">
    <w:name w:val="Título 5 Car"/>
    <w:basedOn w:val="Fuentedeprrafopredeter"/>
    <w:link w:val="Ttulo5"/>
    <w:uiPriority w:val="9"/>
    <w:locked/>
    <w:rsid w:val="007F6861"/>
    <w:rPr>
      <w:rFonts w:cs="Times New Roman"/>
      <w:b/>
      <w:bCs/>
      <w:sz w:val="28"/>
      <w:lang w:val="es-ES_tradnl" w:eastAsia="x-none"/>
    </w:rPr>
  </w:style>
  <w:style w:type="character" w:customStyle="1" w:styleId="Ttulo6Car">
    <w:name w:val="Título 6 Car"/>
    <w:basedOn w:val="Fuentedeprrafopredeter"/>
    <w:link w:val="Ttulo6"/>
    <w:uiPriority w:val="9"/>
    <w:locked/>
    <w:rsid w:val="007F6861"/>
    <w:rPr>
      <w:rFonts w:cs="Times New Roman"/>
      <w:b/>
      <w:bCs/>
      <w:sz w:val="28"/>
      <w:lang w:val="es-ES" w:eastAsia="x-none"/>
    </w:rPr>
  </w:style>
  <w:style w:type="character" w:customStyle="1" w:styleId="Ttulo7Car">
    <w:name w:val="Título 7 Car"/>
    <w:basedOn w:val="Fuentedeprrafopredeter"/>
    <w:link w:val="Ttulo7"/>
    <w:uiPriority w:val="9"/>
    <w:locked/>
    <w:rsid w:val="007F6861"/>
    <w:rPr>
      <w:rFonts w:cs="Times New Roman"/>
      <w:sz w:val="24"/>
      <w:szCs w:val="24"/>
      <w:lang w:val="es-ES" w:eastAsia="x-none"/>
    </w:rPr>
  </w:style>
  <w:style w:type="character" w:customStyle="1" w:styleId="Ttulo8Car">
    <w:name w:val="Título 8 Car"/>
    <w:basedOn w:val="Fuentedeprrafopredeter"/>
    <w:link w:val="Ttulo8"/>
    <w:uiPriority w:val="9"/>
    <w:locked/>
    <w:rsid w:val="007F6861"/>
    <w:rPr>
      <w:rFonts w:cs="Times New Roman"/>
      <w:i/>
      <w:iCs/>
      <w:sz w:val="24"/>
      <w:szCs w:val="24"/>
      <w:lang w:val="es-ES" w:eastAsia="x-none"/>
    </w:rPr>
  </w:style>
  <w:style w:type="character" w:customStyle="1" w:styleId="Ttulo9Car">
    <w:name w:val="Título 9 Car"/>
    <w:basedOn w:val="Fuentedeprrafopredeter"/>
    <w:link w:val="Ttulo9"/>
    <w:uiPriority w:val="9"/>
    <w:locked/>
    <w:rsid w:val="007F6861"/>
    <w:rPr>
      <w:rFonts w:ascii="Arial" w:hAnsi="Arial" w:cs="Times New Roman"/>
      <w:lang w:val="es-ES" w:eastAsia="x-none"/>
    </w:rPr>
  </w:style>
  <w:style w:type="paragraph" w:styleId="Textodeglobo">
    <w:name w:val="Balloon Text"/>
    <w:basedOn w:val="Normal"/>
    <w:link w:val="TextodegloboCar"/>
    <w:uiPriority w:val="99"/>
    <w:semiHidden/>
    <w:rsid w:val="00101FCF"/>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ahoma" w:hAnsi="Tahoma" w:cs="Times New Roman"/>
      <w:sz w:val="16"/>
      <w:lang w:val="es-ES" w:eastAsia="es-ES"/>
    </w:rPr>
  </w:style>
  <w:style w:type="paragraph" w:styleId="Sangradetextonormal">
    <w:name w:val="Body Text Indent"/>
    <w:basedOn w:val="Normal"/>
    <w:link w:val="SangradetextonormalCar"/>
    <w:uiPriority w:val="99"/>
    <w:rsid w:val="00D34F3D"/>
    <w:pPr>
      <w:spacing w:line="360" w:lineRule="atLeast"/>
      <w:ind w:left="840"/>
      <w:jc w:val="both"/>
    </w:pPr>
    <w:rPr>
      <w:i/>
      <w:lang w:val="es-ES_tradnl"/>
    </w:rPr>
  </w:style>
  <w:style w:type="character" w:customStyle="1" w:styleId="SangradetextonormalCar">
    <w:name w:val="Sangría de texto normal Car"/>
    <w:basedOn w:val="Fuentedeprrafopredeter"/>
    <w:link w:val="Sangradetextonormal"/>
    <w:uiPriority w:val="99"/>
    <w:locked/>
    <w:rPr>
      <w:rFonts w:cs="Times New Roman"/>
      <w:sz w:val="28"/>
      <w:lang w:val="es-ES" w:eastAsia="es-ES"/>
    </w:rPr>
  </w:style>
  <w:style w:type="character" w:styleId="Refdenotaalpie">
    <w:name w:val="footnote reference"/>
    <w:aliases w:val="Texto nota pie Car2,Texto nota pie Car Car1 Car,Footnote Text Char Char Char Char Char Car2 Car,Footnote Text Char Char Char Char Car2 Car,Ref. de nota al pie1 Car1 Car,FA Fu Car2 Car,Footnote Text Char Char Char Car1 Car"/>
    <w:basedOn w:val="Fuentedeprrafopredeter"/>
    <w:link w:val="Textonotapie"/>
    <w:uiPriority w:val="99"/>
    <w:qFormat/>
    <w:locked/>
    <w:rPr>
      <w:rFonts w:cs="Times New Roman"/>
      <w:lang w:val="es-ES" w:eastAsia="es-ES"/>
    </w:rPr>
  </w:style>
  <w:style w:type="paragraph" w:styleId="Textonotapie">
    <w:name w:val="footnote text"/>
    <w:aliases w:val="Texto nota pie Car Car1,Footnote Text Char Char Char Char Char Car2,Footnote Text Char Char Char Char Car2,Ref. de nota al pie1 Car1,FA Fu Car2,Footnote Text Char Char Char Car1,Footnote Text Char Car2,Footnote refe Car Car,Footnotes refs"/>
    <w:basedOn w:val="Normal"/>
    <w:link w:val="Refdenotaalpie"/>
    <w:uiPriority w:val="99"/>
    <w:qFormat/>
    <w:rsid w:val="00D34F3D"/>
    <w:rPr>
      <w:sz w:val="20"/>
    </w:rPr>
  </w:style>
  <w:style w:type="character" w:customStyle="1" w:styleId="TextonotapieCar1">
    <w:name w:val="Texto nota pie Car1"/>
    <w:aliases w:val="Texto nota pie Car Car1 Car1,Footnote Text Char Char Char Char Char Car2 Car1,Footnote Text Char Char Char Char Car2 Car1,Ref. de nota al pie1 Car1 Car1,FA Fu Car2 Car1,Footnote Text Char Char Char Car1 Car1,Footnote refe Car Car Car"/>
    <w:basedOn w:val="Fuentedeprrafopredeter"/>
    <w:uiPriority w:val="99"/>
    <w:qFormat/>
    <w:rPr>
      <w:lang w:val="es-CO" w:eastAsia="es-ES"/>
    </w:rPr>
  </w:style>
  <w:style w:type="character" w:customStyle="1" w:styleId="TextonotapieCar1185">
    <w:name w:val="Texto nota pie Car1185"/>
    <w:aliases w:val="Texto nota pie Car Car1 Car1181,Footnote Text Char Char Char Char Char Car2 Car1181,Footnote Text Char Char Char Char Car2 Car1181,Ref. de nota al pie1 Car1 Car1181,FA Fu Car2 Car1181,Footnote Text Char Char Char Car1 Car1181"/>
    <w:basedOn w:val="Fuentedeprrafopredeter"/>
    <w:uiPriority w:val="99"/>
    <w:semiHidden/>
    <w:rPr>
      <w:rFonts w:cs="Times New Roman"/>
      <w:lang w:val="x-none" w:eastAsia="es-ES"/>
    </w:rPr>
  </w:style>
  <w:style w:type="character" w:customStyle="1" w:styleId="TextonotapieCar1184">
    <w:name w:val="Texto nota pie Car1184"/>
    <w:aliases w:val="Texto nota pie Car Car1 Car1180,Footnote Text Char Char Char Char Char Car2 Car1180,Footnote Text Char Char Char Char Car2 Car1180,Ref. de nota al pie1 Car1 Car1180,FA Fu Car2 Car1180,Footnote Text Char Char Char Car1 Car1180"/>
    <w:basedOn w:val="Fuentedeprrafopredeter"/>
    <w:uiPriority w:val="99"/>
    <w:semiHidden/>
    <w:rPr>
      <w:rFonts w:cs="Times New Roman"/>
      <w:lang w:val="x-none" w:eastAsia="es-ES"/>
    </w:rPr>
  </w:style>
  <w:style w:type="character" w:customStyle="1" w:styleId="TextonotapieCar1183">
    <w:name w:val="Texto nota pie Car1183"/>
    <w:aliases w:val="Texto nota pie Car Car1 Car1179,Footnote Text Char Char Char Char Char Car2 Car1179,Footnote Text Char Char Char Char Car2 Car1179,Ref. de nota al pie1 Car1 Car1179,FA Fu Car2 Car1179,Footnote Text Char Char Char Car1 Car1179"/>
    <w:basedOn w:val="Fuentedeprrafopredeter"/>
    <w:uiPriority w:val="99"/>
    <w:semiHidden/>
    <w:rPr>
      <w:rFonts w:cs="Times New Roman"/>
      <w:lang w:val="x-none" w:eastAsia="es-ES"/>
    </w:rPr>
  </w:style>
  <w:style w:type="character" w:customStyle="1" w:styleId="TextonotapieCar1182">
    <w:name w:val="Texto nota pie Car1182"/>
    <w:aliases w:val="Texto nota pie Car Car1 Car1178,Footnote Text Char Char Char Char Char Car2 Car1178,Footnote Text Char Char Char Char Car2 Car1178,Ref. de nota al pie1 Car1 Car1178,FA Fu Car2 Car1178,Footnote Text Char Char Char Car1 Car1178"/>
    <w:basedOn w:val="Fuentedeprrafopredeter"/>
    <w:uiPriority w:val="99"/>
    <w:semiHidden/>
    <w:rPr>
      <w:rFonts w:cs="Times New Roman"/>
      <w:lang w:val="x-none" w:eastAsia="es-ES"/>
    </w:rPr>
  </w:style>
  <w:style w:type="character" w:customStyle="1" w:styleId="TextonotapieCar1181">
    <w:name w:val="Texto nota pie Car1181"/>
    <w:aliases w:val="Texto nota pie Car Car1 Car1177,Footnote Text Char Char Char Char Char Car2 Car1177,Footnote Text Char Char Char Char Car2 Car1177,Ref. de nota al pie1 Car1 Car1177,FA Fu Car2 Car1177,Footnote Text Char Char Char Car1 Car1177"/>
    <w:basedOn w:val="Fuentedeprrafopredeter"/>
    <w:uiPriority w:val="99"/>
    <w:semiHidden/>
    <w:rPr>
      <w:rFonts w:cs="Times New Roman"/>
      <w:lang w:val="x-none" w:eastAsia="es-ES"/>
    </w:rPr>
  </w:style>
  <w:style w:type="character" w:customStyle="1" w:styleId="TextonotapieCar1180">
    <w:name w:val="Texto nota pie Car1180"/>
    <w:aliases w:val="Texto nota pie Car Car1 Car1176,Footnote Text Char Char Char Char Char Car2 Car1176,Footnote Text Char Char Char Char Car2 Car1176,Ref. de nota al pie1 Car1 Car1176,FA Fu Car2 Car1176,Footnote Text Char Char Char Car1 Car1176"/>
    <w:basedOn w:val="Fuentedeprrafopredeter"/>
    <w:uiPriority w:val="99"/>
    <w:semiHidden/>
    <w:rPr>
      <w:rFonts w:cs="Times New Roman"/>
      <w:lang w:val="x-none" w:eastAsia="es-ES"/>
    </w:rPr>
  </w:style>
  <w:style w:type="character" w:customStyle="1" w:styleId="TextonotapieCar1179">
    <w:name w:val="Texto nota pie Car1179"/>
    <w:aliases w:val="Texto nota pie Car Car1 Car1175,Footnote Text Char Char Char Char Char Car2 Car1175,Footnote Text Char Char Char Char Car2 Car1175,Ref. de nota al pie1 Car1 Car1175,FA Fu Car2 Car1175,Footnote Text Char Char Char Car1 Car1175"/>
    <w:basedOn w:val="Fuentedeprrafopredeter"/>
    <w:uiPriority w:val="99"/>
    <w:semiHidden/>
    <w:rPr>
      <w:rFonts w:cs="Times New Roman"/>
      <w:lang w:val="x-none" w:eastAsia="es-ES"/>
    </w:rPr>
  </w:style>
  <w:style w:type="character" w:customStyle="1" w:styleId="TextonotapieCar1178">
    <w:name w:val="Texto nota pie Car1178"/>
    <w:aliases w:val="Texto nota pie Car Car1 Car1174,Footnote Text Char Char Char Char Char Car2 Car1174,Footnote Text Char Char Char Char Car2 Car1174,Ref. de nota al pie1 Car1 Car1174,FA Fu Car2 Car1174,Footnote Text Char Char Char Car1 Car1174"/>
    <w:basedOn w:val="Fuentedeprrafopredeter"/>
    <w:uiPriority w:val="99"/>
    <w:semiHidden/>
    <w:rPr>
      <w:rFonts w:cs="Times New Roman"/>
      <w:lang w:val="x-none" w:eastAsia="es-ES"/>
    </w:rPr>
  </w:style>
  <w:style w:type="character" w:customStyle="1" w:styleId="TextonotapieCar1177">
    <w:name w:val="Texto nota pie Car1177"/>
    <w:aliases w:val="Texto nota pie Car Car1 Car1173,Footnote Text Char Char Char Char Char Car2 Car1173,Footnote Text Char Char Char Char Car2 Car1173,Ref. de nota al pie1 Car1 Car1173,FA Fu Car2 Car1173,Footnote Text Char Char Char Car1 Car1173"/>
    <w:basedOn w:val="Fuentedeprrafopredeter"/>
    <w:uiPriority w:val="99"/>
    <w:semiHidden/>
    <w:rPr>
      <w:rFonts w:cs="Times New Roman"/>
      <w:lang w:val="x-none" w:eastAsia="es-ES"/>
    </w:rPr>
  </w:style>
  <w:style w:type="character" w:customStyle="1" w:styleId="TextonotapieCar1176">
    <w:name w:val="Texto nota pie Car1176"/>
    <w:aliases w:val="Texto nota pie Car Car1 Car1172,Footnote Text Char Char Char Char Char Car2 Car1172,Footnote Text Char Char Char Char Car2 Car1172,Ref. de nota al pie1 Car1 Car1172,FA Fu Car2 Car1172,Footnote Text Char Char Char Car1 Car1172"/>
    <w:basedOn w:val="Fuentedeprrafopredeter"/>
    <w:uiPriority w:val="99"/>
    <w:semiHidden/>
    <w:rPr>
      <w:rFonts w:cs="Times New Roman"/>
      <w:lang w:val="x-none" w:eastAsia="es-ES"/>
    </w:rPr>
  </w:style>
  <w:style w:type="character" w:customStyle="1" w:styleId="TextonotapieCar1175">
    <w:name w:val="Texto nota pie Car1175"/>
    <w:aliases w:val="Texto nota pie Car Car1 Car1171,Footnote Text Char Char Char Char Char Car2 Car1171,Footnote Text Char Char Char Char Car2 Car1171,Ref. de nota al pie1 Car1 Car1171,FA Fu Car2 Car1171,Footnote Text Char Char Char Car1 Car1171"/>
    <w:basedOn w:val="Fuentedeprrafopredeter"/>
    <w:uiPriority w:val="99"/>
    <w:semiHidden/>
    <w:rPr>
      <w:rFonts w:cs="Times New Roman"/>
      <w:lang w:val="x-none" w:eastAsia="es-ES"/>
    </w:rPr>
  </w:style>
  <w:style w:type="character" w:customStyle="1" w:styleId="TextonotapieCar1174">
    <w:name w:val="Texto nota pie Car1174"/>
    <w:aliases w:val="Texto nota pie Car Car1 Car1170,Footnote Text Char Char Char Char Char Car2 Car1170,Footnote Text Char Char Char Char Car2 Car1170,Ref. de nota al pie1 Car1 Car1170,FA Fu Car2 Car1170,Footnote Text Char Char Char Car1 Car1170"/>
    <w:basedOn w:val="Fuentedeprrafopredeter"/>
    <w:uiPriority w:val="99"/>
    <w:semiHidden/>
    <w:rPr>
      <w:rFonts w:cs="Times New Roman"/>
      <w:lang w:val="x-none" w:eastAsia="es-ES"/>
    </w:rPr>
  </w:style>
  <w:style w:type="character" w:customStyle="1" w:styleId="TextonotapieCar1173">
    <w:name w:val="Texto nota pie Car1173"/>
    <w:aliases w:val="Texto nota pie Car Car1 Car1169,Footnote Text Char Char Char Char Char Car2 Car1169,Footnote Text Char Char Char Char Car2 Car1169,Ref. de nota al pie1 Car1 Car1169,FA Fu Car2 Car1169,Footnote Text Char Char Char Car1 Car1169"/>
    <w:basedOn w:val="Fuentedeprrafopredeter"/>
    <w:uiPriority w:val="99"/>
    <w:semiHidden/>
    <w:rPr>
      <w:rFonts w:cs="Times New Roman"/>
      <w:lang w:val="x-none" w:eastAsia="es-ES"/>
    </w:rPr>
  </w:style>
  <w:style w:type="character" w:customStyle="1" w:styleId="TextonotapieCar1172">
    <w:name w:val="Texto nota pie Car1172"/>
    <w:aliases w:val="Texto nota pie Car Car1 Car1168,Footnote Text Char Char Char Char Char Car2 Car1168,Footnote Text Char Char Char Char Car2 Car1168,Ref. de nota al pie1 Car1 Car1168,FA Fu Car2 Car1168,Footnote Text Char Char Char Car1 Car1168"/>
    <w:basedOn w:val="Fuentedeprrafopredeter"/>
    <w:uiPriority w:val="99"/>
    <w:semiHidden/>
    <w:rPr>
      <w:rFonts w:cs="Times New Roman"/>
      <w:lang w:val="x-none" w:eastAsia="es-ES"/>
    </w:rPr>
  </w:style>
  <w:style w:type="character" w:customStyle="1" w:styleId="TextonotapieCar1171">
    <w:name w:val="Texto nota pie Car1171"/>
    <w:aliases w:val="Texto nota pie Car Car1 Car1167,Footnote Text Char Char Char Char Char Car2 Car1167,Footnote Text Char Char Char Char Car2 Car1167,Ref. de nota al pie1 Car1 Car1167,FA Fu Car2 Car1167,Footnote Text Char Char Char Car1 Car1167"/>
    <w:basedOn w:val="Fuentedeprrafopredeter"/>
    <w:uiPriority w:val="99"/>
    <w:semiHidden/>
    <w:rPr>
      <w:rFonts w:cs="Times New Roman"/>
      <w:lang w:val="x-none" w:eastAsia="es-ES"/>
    </w:rPr>
  </w:style>
  <w:style w:type="character" w:customStyle="1" w:styleId="TextonotapieCar1170">
    <w:name w:val="Texto nota pie Car1170"/>
    <w:aliases w:val="Texto nota pie Car Car1 Car1166,Footnote Text Char Char Char Char Char Car2 Car1166,Footnote Text Char Char Char Char Car2 Car1166,Ref. de nota al pie1 Car1 Car1166,FA Fu Car2 Car1166,Footnote Text Char Char Char Car1 Car1166"/>
    <w:basedOn w:val="Fuentedeprrafopredeter"/>
    <w:uiPriority w:val="99"/>
    <w:semiHidden/>
    <w:rPr>
      <w:rFonts w:cs="Times New Roman"/>
      <w:lang w:val="x-none" w:eastAsia="es-ES"/>
    </w:rPr>
  </w:style>
  <w:style w:type="character" w:customStyle="1" w:styleId="TextonotapieCar1169">
    <w:name w:val="Texto nota pie Car1169"/>
    <w:aliases w:val="Texto nota pie Car Car1 Car1165,Footnote Text Char Char Char Char Char Car2 Car1165,Footnote Text Char Char Char Char Car2 Car1165,Ref. de nota al pie1 Car1 Car1165,FA Fu Car2 Car1165,Footnote Text Char Char Char Car1 Car1165"/>
    <w:basedOn w:val="Fuentedeprrafopredeter"/>
    <w:uiPriority w:val="99"/>
    <w:semiHidden/>
    <w:rPr>
      <w:rFonts w:cs="Times New Roman"/>
      <w:lang w:val="x-none" w:eastAsia="es-ES"/>
    </w:rPr>
  </w:style>
  <w:style w:type="character" w:customStyle="1" w:styleId="TextonotapieCar1168">
    <w:name w:val="Texto nota pie Car1168"/>
    <w:aliases w:val="Texto nota pie Car Car1 Car1164,Footnote Text Char Char Char Char Char Car2 Car1164,Footnote Text Char Char Char Char Car2 Car1164,Ref. de nota al pie1 Car1 Car1164,FA Fu Car2 Car1164,Footnote Text Char Char Char Car1 Car1164"/>
    <w:basedOn w:val="Fuentedeprrafopredeter"/>
    <w:uiPriority w:val="99"/>
    <w:semiHidden/>
    <w:rPr>
      <w:rFonts w:cs="Times New Roman"/>
      <w:lang w:val="x-none" w:eastAsia="es-ES"/>
    </w:rPr>
  </w:style>
  <w:style w:type="character" w:customStyle="1" w:styleId="TextonotapieCar1167">
    <w:name w:val="Texto nota pie Car1167"/>
    <w:aliases w:val="Texto nota pie Car Car1 Car1163,Footnote Text Char Char Char Char Char Car2 Car1163,Footnote Text Char Char Char Char Car2 Car1163,Ref. de nota al pie1 Car1 Car1163,FA Fu Car2 Car1163,Footnote Text Char Char Char Car1 Car1163"/>
    <w:basedOn w:val="Fuentedeprrafopredeter"/>
    <w:uiPriority w:val="99"/>
    <w:semiHidden/>
    <w:rPr>
      <w:rFonts w:cs="Times New Roman"/>
      <w:lang w:val="x-none" w:eastAsia="es-ES"/>
    </w:rPr>
  </w:style>
  <w:style w:type="character" w:customStyle="1" w:styleId="TextonotapieCar1166">
    <w:name w:val="Texto nota pie Car1166"/>
    <w:aliases w:val="Texto nota pie Car Car1 Car1162,Footnote Text Char Char Char Char Char Car2 Car1162,Footnote Text Char Char Char Char Car2 Car1162,Ref. de nota al pie1 Car1 Car1162,FA Fu Car2 Car1162,Footnote Text Char Char Char Car1 Car1162"/>
    <w:basedOn w:val="Fuentedeprrafopredeter"/>
    <w:uiPriority w:val="99"/>
    <w:semiHidden/>
    <w:rPr>
      <w:rFonts w:cs="Times New Roman"/>
      <w:lang w:val="x-none" w:eastAsia="es-ES"/>
    </w:rPr>
  </w:style>
  <w:style w:type="character" w:customStyle="1" w:styleId="TextonotapieCar1165">
    <w:name w:val="Texto nota pie Car1165"/>
    <w:aliases w:val="Texto nota pie Car Car1 Car1161,Footnote Text Char Char Char Char Char Car2 Car1161,Footnote Text Char Char Char Char Car2 Car1161,Ref. de nota al pie1 Car1 Car1161,FA Fu Car2 Car1161,Footnote Text Char Char Char Car1 Car1161"/>
    <w:basedOn w:val="Fuentedeprrafopredeter"/>
    <w:uiPriority w:val="99"/>
    <w:semiHidden/>
    <w:rPr>
      <w:rFonts w:cs="Times New Roman"/>
      <w:lang w:val="x-none" w:eastAsia="es-ES"/>
    </w:rPr>
  </w:style>
  <w:style w:type="character" w:customStyle="1" w:styleId="TextonotapieCar1164">
    <w:name w:val="Texto nota pie Car1164"/>
    <w:aliases w:val="Texto nota pie Car Car1 Car1160,Footnote Text Char Char Char Char Char Car2 Car1160,Footnote Text Char Char Char Char Car2 Car1160,Ref. de nota al pie1 Car1 Car1160,FA Fu Car2 Car1160,Footnote Text Char Char Char Car1 Car1160"/>
    <w:basedOn w:val="Fuentedeprrafopredeter"/>
    <w:uiPriority w:val="99"/>
    <w:semiHidden/>
    <w:rPr>
      <w:rFonts w:cs="Times New Roman"/>
      <w:lang w:val="x-none" w:eastAsia="es-ES"/>
    </w:rPr>
  </w:style>
  <w:style w:type="character" w:customStyle="1" w:styleId="TextonotapieCar1163">
    <w:name w:val="Texto nota pie Car1163"/>
    <w:aliases w:val="Texto nota pie Car Car1 Car1159,Footnote Text Char Char Char Char Char Car2 Car1159,Footnote Text Char Char Char Char Car2 Car1159,Ref. de nota al pie1 Car1 Car1159,FA Fu Car2 Car1159,Footnote Text Char Char Char Car1 Car1159"/>
    <w:basedOn w:val="Fuentedeprrafopredeter"/>
    <w:uiPriority w:val="99"/>
    <w:semiHidden/>
    <w:rPr>
      <w:rFonts w:cs="Times New Roman"/>
      <w:lang w:val="x-none" w:eastAsia="es-ES"/>
    </w:rPr>
  </w:style>
  <w:style w:type="character" w:customStyle="1" w:styleId="TextonotapieCar1162">
    <w:name w:val="Texto nota pie Car1162"/>
    <w:aliases w:val="Texto nota pie Car Car1 Car1158,Footnote Text Char Char Char Char Char Car2 Car1158,Footnote Text Char Char Char Char Car2 Car1158,Ref. de nota al pie1 Car1 Car1158,FA Fu Car2 Car1158,Footnote Text Char Char Char Car1 Car1158"/>
    <w:basedOn w:val="Fuentedeprrafopredeter"/>
    <w:uiPriority w:val="99"/>
    <w:semiHidden/>
    <w:rPr>
      <w:rFonts w:cs="Times New Roman"/>
      <w:lang w:val="x-none" w:eastAsia="es-ES"/>
    </w:rPr>
  </w:style>
  <w:style w:type="character" w:customStyle="1" w:styleId="TextonotapieCar1161">
    <w:name w:val="Texto nota pie Car1161"/>
    <w:aliases w:val="Texto nota pie Car Car1 Car1157,Footnote Text Char Char Char Char Char Car2 Car1157,Footnote Text Char Char Char Char Car2 Car1157,Ref. de nota al pie1 Car1 Car1157,FA Fu Car2 Car1157,Footnote Text Char Char Char Car1 Car1157"/>
    <w:basedOn w:val="Fuentedeprrafopredeter"/>
    <w:uiPriority w:val="99"/>
    <w:semiHidden/>
    <w:rPr>
      <w:rFonts w:cs="Times New Roman"/>
      <w:lang w:val="x-none" w:eastAsia="es-ES"/>
    </w:rPr>
  </w:style>
  <w:style w:type="character" w:customStyle="1" w:styleId="TextonotapieCar1160">
    <w:name w:val="Texto nota pie Car1160"/>
    <w:aliases w:val="Texto nota pie Car Car1 Car1156,Footnote Text Char Char Char Char Char Car2 Car1156,Footnote Text Char Char Char Char Car2 Car1156,Ref. de nota al pie1 Car1 Car1156,FA Fu Car2 Car1156,Footnote Text Char Char Char Car1 Car1156"/>
    <w:basedOn w:val="Fuentedeprrafopredeter"/>
    <w:uiPriority w:val="99"/>
    <w:semiHidden/>
    <w:rPr>
      <w:rFonts w:cs="Times New Roman"/>
      <w:lang w:val="x-none" w:eastAsia="es-ES"/>
    </w:rPr>
  </w:style>
  <w:style w:type="character" w:customStyle="1" w:styleId="TextonotapieCar1159">
    <w:name w:val="Texto nota pie Car1159"/>
    <w:aliases w:val="Texto nota pie Car Car1 Car1155,Footnote Text Char Char Char Char Char Car2 Car1155,Footnote Text Char Char Char Char Car2 Car1155,Ref. de nota al pie1 Car1 Car1155,FA Fu Car2 Car1155,Footnote Text Char Char Char Car1 Car1155"/>
    <w:basedOn w:val="Fuentedeprrafopredeter"/>
    <w:uiPriority w:val="99"/>
    <w:semiHidden/>
    <w:rPr>
      <w:rFonts w:cs="Times New Roman"/>
      <w:lang w:val="x-none" w:eastAsia="es-ES"/>
    </w:rPr>
  </w:style>
  <w:style w:type="character" w:customStyle="1" w:styleId="TextonotapieCar1158">
    <w:name w:val="Texto nota pie Car1158"/>
    <w:aliases w:val="Texto nota pie Car Car1 Car1154,Footnote Text Char Char Char Char Char Car2 Car1154,Footnote Text Char Char Char Char Car2 Car1154,Ref. de nota al pie1 Car1 Car1154,FA Fu Car2 Car1154,Footnote Text Char Char Char Car1 Car1154"/>
    <w:basedOn w:val="Fuentedeprrafopredeter"/>
    <w:uiPriority w:val="99"/>
    <w:semiHidden/>
    <w:rPr>
      <w:rFonts w:cs="Times New Roman"/>
      <w:lang w:val="x-none" w:eastAsia="es-ES"/>
    </w:rPr>
  </w:style>
  <w:style w:type="character" w:customStyle="1" w:styleId="TextonotapieCar1157">
    <w:name w:val="Texto nota pie Car1157"/>
    <w:aliases w:val="Texto nota pie Car Car1 Car1153,Footnote Text Char Char Char Char Char Car2 Car1153,Footnote Text Char Char Char Char Car2 Car1153,Ref. de nota al pie1 Car1 Car1153,FA Fu Car2 Car1153,Footnote Text Char Char Char Car1 Car1153"/>
    <w:basedOn w:val="Fuentedeprrafopredeter"/>
    <w:uiPriority w:val="99"/>
    <w:semiHidden/>
    <w:rPr>
      <w:rFonts w:cs="Times New Roman"/>
      <w:lang w:val="x-none" w:eastAsia="es-ES"/>
    </w:rPr>
  </w:style>
  <w:style w:type="character" w:customStyle="1" w:styleId="TextonotapieCar1156">
    <w:name w:val="Texto nota pie Car1156"/>
    <w:aliases w:val="Texto nota pie Car Car1 Car1152,Footnote Text Char Char Char Char Char Car2 Car1152,Footnote Text Char Char Char Char Car2 Car1152,Ref. de nota al pie1 Car1 Car1152,FA Fu Car2 Car1152,Footnote Text Char Char Char Car1 Car1152"/>
    <w:basedOn w:val="Fuentedeprrafopredeter"/>
    <w:uiPriority w:val="99"/>
    <w:semiHidden/>
    <w:rPr>
      <w:rFonts w:cs="Times New Roman"/>
      <w:lang w:val="x-none" w:eastAsia="es-ES"/>
    </w:rPr>
  </w:style>
  <w:style w:type="character" w:customStyle="1" w:styleId="TextonotapieCar1155">
    <w:name w:val="Texto nota pie Car1155"/>
    <w:aliases w:val="Texto nota pie Car Car1 Car1151,Footnote Text Char Char Char Char Char Car2 Car1151,Footnote Text Char Char Char Char Car2 Car1151,Ref. de nota al pie1 Car1 Car1151,FA Fu Car2 Car1151,Footnote Text Char Char Char Car1 Car1151"/>
    <w:basedOn w:val="Fuentedeprrafopredeter"/>
    <w:uiPriority w:val="99"/>
    <w:semiHidden/>
    <w:rPr>
      <w:rFonts w:cs="Times New Roman"/>
      <w:lang w:val="x-none" w:eastAsia="es-ES"/>
    </w:rPr>
  </w:style>
  <w:style w:type="character" w:customStyle="1" w:styleId="TextonotapieCar1154">
    <w:name w:val="Texto nota pie Car1154"/>
    <w:aliases w:val="Texto nota pie Car Car1 Car1150,Footnote Text Char Char Char Char Char Car2 Car1150,Footnote Text Char Char Char Char Car2 Car1150,Ref. de nota al pie1 Car1 Car1150,FA Fu Car2 Car1150,Footnote Text Char Char Char Car1 Car1150"/>
    <w:basedOn w:val="Fuentedeprrafopredeter"/>
    <w:uiPriority w:val="99"/>
    <w:semiHidden/>
    <w:rPr>
      <w:rFonts w:cs="Times New Roman"/>
      <w:lang w:val="x-none" w:eastAsia="es-ES"/>
    </w:rPr>
  </w:style>
  <w:style w:type="character" w:customStyle="1" w:styleId="TextonotapieCar1153">
    <w:name w:val="Texto nota pie Car1153"/>
    <w:aliases w:val="Texto nota pie Car Car1 Car1149,Footnote Text Char Char Char Char Char Car2 Car1149,Footnote Text Char Char Char Char Car2 Car1149,Ref. de nota al pie1 Car1 Car1149,FA Fu Car2 Car1149,Footnote Text Char Char Char Car1 Car1149"/>
    <w:basedOn w:val="Fuentedeprrafopredeter"/>
    <w:uiPriority w:val="99"/>
    <w:semiHidden/>
    <w:rPr>
      <w:rFonts w:cs="Times New Roman"/>
      <w:lang w:val="x-none" w:eastAsia="es-ES"/>
    </w:rPr>
  </w:style>
  <w:style w:type="character" w:customStyle="1" w:styleId="TextonotapieCar1152">
    <w:name w:val="Texto nota pie Car1152"/>
    <w:aliases w:val="Texto nota pie Car Car1 Car1148,Footnote Text Char Char Char Char Char Car2 Car1148,Footnote Text Char Char Char Char Car2 Car1148,Ref. de nota al pie1 Car1 Car1148,FA Fu Car2 Car1148,Footnote Text Char Char Char Car1 Car1148"/>
    <w:basedOn w:val="Fuentedeprrafopredeter"/>
    <w:uiPriority w:val="99"/>
    <w:semiHidden/>
    <w:rPr>
      <w:rFonts w:cs="Times New Roman"/>
      <w:lang w:val="x-none" w:eastAsia="es-ES"/>
    </w:rPr>
  </w:style>
  <w:style w:type="character" w:customStyle="1" w:styleId="TextonotapieCar1151">
    <w:name w:val="Texto nota pie Car1151"/>
    <w:aliases w:val="Texto nota pie Car Car1 Car1147,Footnote Text Char Char Char Char Char Car2 Car1147,Footnote Text Char Char Char Char Car2 Car1147,Ref. de nota al pie1 Car1 Car1147,FA Fu Car2 Car1147,Footnote Text Char Char Char Car1 Car1147"/>
    <w:basedOn w:val="Fuentedeprrafopredeter"/>
    <w:uiPriority w:val="99"/>
    <w:semiHidden/>
    <w:rPr>
      <w:rFonts w:cs="Times New Roman"/>
      <w:lang w:val="x-none" w:eastAsia="es-ES"/>
    </w:rPr>
  </w:style>
  <w:style w:type="character" w:customStyle="1" w:styleId="TextonotapieCar1150">
    <w:name w:val="Texto nota pie Car1150"/>
    <w:aliases w:val="Texto nota pie Car Car1 Car1146,Footnote Text Char Char Char Char Char Car2 Car1146,Footnote Text Char Char Char Char Car2 Car1146,Ref. de nota al pie1 Car1 Car1146,FA Fu Car2 Car1146,Footnote Text Char Char Char Car1 Car1146"/>
    <w:basedOn w:val="Fuentedeprrafopredeter"/>
    <w:uiPriority w:val="99"/>
    <w:semiHidden/>
    <w:rPr>
      <w:rFonts w:cs="Times New Roman"/>
      <w:lang w:val="x-none" w:eastAsia="es-ES"/>
    </w:rPr>
  </w:style>
  <w:style w:type="character" w:customStyle="1" w:styleId="TextonotapieCar1149">
    <w:name w:val="Texto nota pie Car1149"/>
    <w:aliases w:val="Texto nota pie Car Car1 Car1145,Footnote Text Char Char Char Char Char Car2 Car1145,Footnote Text Char Char Char Char Car2 Car1145,Ref. de nota al pie1 Car1 Car1145,FA Fu Car2 Car1145,Footnote Text Char Char Char Car1 Car1145"/>
    <w:basedOn w:val="Fuentedeprrafopredeter"/>
    <w:uiPriority w:val="99"/>
    <w:semiHidden/>
    <w:rPr>
      <w:rFonts w:cs="Times New Roman"/>
      <w:lang w:val="x-none" w:eastAsia="es-ES"/>
    </w:rPr>
  </w:style>
  <w:style w:type="character" w:customStyle="1" w:styleId="TextonotapieCar1148">
    <w:name w:val="Texto nota pie Car1148"/>
    <w:aliases w:val="Texto nota pie Car Car1 Car1144,Footnote Text Char Char Char Char Char Car2 Car1144,Footnote Text Char Char Char Char Car2 Car1144,Ref. de nota al pie1 Car1 Car1144,FA Fu Car2 Car1144,Footnote Text Char Char Char Car1 Car1144"/>
    <w:basedOn w:val="Fuentedeprrafopredeter"/>
    <w:uiPriority w:val="99"/>
    <w:semiHidden/>
    <w:rPr>
      <w:rFonts w:cs="Times New Roman"/>
      <w:lang w:val="x-none" w:eastAsia="es-ES"/>
    </w:rPr>
  </w:style>
  <w:style w:type="character" w:customStyle="1" w:styleId="TextonotapieCar1147">
    <w:name w:val="Texto nota pie Car1147"/>
    <w:aliases w:val="Texto nota pie Car Car1 Car1143,Footnote Text Char Char Char Char Char Car2 Car1143,Footnote Text Char Char Char Char Car2 Car1143,Ref. de nota al pie1 Car1 Car1143,FA Fu Car2 Car1143,Footnote Text Char Char Char Car1 Car1143"/>
    <w:basedOn w:val="Fuentedeprrafopredeter"/>
    <w:uiPriority w:val="99"/>
    <w:semiHidden/>
    <w:rPr>
      <w:rFonts w:cs="Times New Roman"/>
      <w:lang w:val="x-none" w:eastAsia="es-ES"/>
    </w:rPr>
  </w:style>
  <w:style w:type="character" w:customStyle="1" w:styleId="TextonotapieCar1146">
    <w:name w:val="Texto nota pie Car1146"/>
    <w:aliases w:val="Texto nota pie Car Car1 Car1142,Footnote Text Char Char Char Char Char Car2 Car1142,Footnote Text Char Char Char Char Car2 Car1142,Ref. de nota al pie1 Car1 Car1142,FA Fu Car2 Car1142,Footnote Text Char Char Char Car1 Car1142"/>
    <w:basedOn w:val="Fuentedeprrafopredeter"/>
    <w:uiPriority w:val="99"/>
    <w:semiHidden/>
    <w:rPr>
      <w:rFonts w:cs="Times New Roman"/>
      <w:lang w:val="x-none" w:eastAsia="es-ES"/>
    </w:rPr>
  </w:style>
  <w:style w:type="character" w:customStyle="1" w:styleId="TextonotapieCar1145">
    <w:name w:val="Texto nota pie Car1145"/>
    <w:aliases w:val="Texto nota pie Car Car1 Car1141,Footnote Text Char Char Char Char Char Car2 Car1141,Footnote Text Char Char Char Char Car2 Car1141,Ref. de nota al pie1 Car1 Car1141,FA Fu Car2 Car1141,Footnote Text Char Char Char Car1 Car1141"/>
    <w:basedOn w:val="Fuentedeprrafopredeter"/>
    <w:uiPriority w:val="99"/>
    <w:semiHidden/>
    <w:rPr>
      <w:rFonts w:cs="Times New Roman"/>
      <w:lang w:val="x-none" w:eastAsia="es-ES"/>
    </w:rPr>
  </w:style>
  <w:style w:type="character" w:customStyle="1" w:styleId="TextonotapieCar1144">
    <w:name w:val="Texto nota pie Car1144"/>
    <w:aliases w:val="Texto nota pie Car Car1 Car1140,Footnote Text Char Char Char Char Char Car2 Car1140,Footnote Text Char Char Char Char Car2 Car1140,Ref. de nota al pie1 Car1 Car1140,FA Fu Car2 Car1140,Footnote Text Char Char Char Car1 Car1140"/>
    <w:basedOn w:val="Fuentedeprrafopredeter"/>
    <w:uiPriority w:val="99"/>
    <w:semiHidden/>
    <w:rPr>
      <w:rFonts w:cs="Times New Roman"/>
      <w:lang w:val="x-none" w:eastAsia="es-ES"/>
    </w:rPr>
  </w:style>
  <w:style w:type="character" w:customStyle="1" w:styleId="TextonotapieCar1143">
    <w:name w:val="Texto nota pie Car1143"/>
    <w:aliases w:val="Texto nota pie Car Car1 Car1139,Footnote Text Char Char Char Char Char Car2 Car1139,Footnote Text Char Char Char Char Car2 Car1139,Ref. de nota al pie1 Car1 Car1139,FA Fu Car2 Car1139,Footnote Text Char Char Char Car1 Car1139"/>
    <w:basedOn w:val="Fuentedeprrafopredeter"/>
    <w:uiPriority w:val="99"/>
    <w:semiHidden/>
    <w:rPr>
      <w:rFonts w:cs="Times New Roman"/>
      <w:lang w:val="x-none" w:eastAsia="es-ES"/>
    </w:rPr>
  </w:style>
  <w:style w:type="character" w:customStyle="1" w:styleId="TextonotapieCar1142">
    <w:name w:val="Texto nota pie Car1142"/>
    <w:aliases w:val="Texto nota pie Car Car1 Car1138,Footnote Text Char Char Char Char Char Car2 Car1138,Footnote Text Char Char Char Char Car2 Car1138,Ref. de nota al pie1 Car1 Car1138,FA Fu Car2 Car1138,Footnote Text Char Char Char Car1 Car1138"/>
    <w:basedOn w:val="Fuentedeprrafopredeter"/>
    <w:uiPriority w:val="99"/>
    <w:semiHidden/>
    <w:rPr>
      <w:rFonts w:cs="Times New Roman"/>
      <w:lang w:val="x-none" w:eastAsia="es-ES"/>
    </w:rPr>
  </w:style>
  <w:style w:type="character" w:customStyle="1" w:styleId="TextonotapieCar1141">
    <w:name w:val="Texto nota pie Car1141"/>
    <w:aliases w:val="Texto nota pie Car Car1 Car1137,Footnote Text Char Char Char Char Char Car2 Car1137,Footnote Text Char Char Char Char Car2 Car1137,Ref. de nota al pie1 Car1 Car1137,FA Fu Car2 Car1137,Footnote Text Char Char Char Car1 Car1137"/>
    <w:basedOn w:val="Fuentedeprrafopredeter"/>
    <w:uiPriority w:val="99"/>
    <w:rPr>
      <w:rFonts w:cs="Times New Roman"/>
      <w:lang w:val="x-none" w:eastAsia="es-ES"/>
    </w:rPr>
  </w:style>
  <w:style w:type="character" w:customStyle="1" w:styleId="TextonotapieCar1140">
    <w:name w:val="Texto nota pie Car1140"/>
    <w:aliases w:val="Texto nota pie Car Car1 Car1136,Footnote Text Char Char Char Char Char Car2 Car1136,Footnote Text Char Char Char Char Car2 Car1136,Ref. de nota al pie1 Car1 Car1136,FA Fu Car2 Car1136,Footnote Text Char Char Char Car1 Car1136"/>
    <w:basedOn w:val="Fuentedeprrafopredeter"/>
    <w:uiPriority w:val="99"/>
    <w:semiHidden/>
    <w:rPr>
      <w:rFonts w:cs="Times New Roman"/>
      <w:lang w:val="es-CO" w:eastAsia="x-none"/>
    </w:rPr>
  </w:style>
  <w:style w:type="character" w:customStyle="1" w:styleId="TextonotapieCar1139">
    <w:name w:val="Texto nota pie Car1139"/>
    <w:aliases w:val="Texto nota pie Car Car1 Car1135,Footnote Text Char Char Char Char Char Car2 Car1135,Footnote Text Char Char Char Char Car2 Car1135,Ref. de nota al pie1 Car1 Car1135,FA Fu Car2 Car1135,Footnote Text Char Char Char Car1 Car1135"/>
    <w:basedOn w:val="Fuentedeprrafopredeter"/>
    <w:uiPriority w:val="99"/>
    <w:semiHidden/>
    <w:rPr>
      <w:rFonts w:cs="Times New Roman"/>
      <w:lang w:val="es-CO" w:eastAsia="x-none"/>
    </w:rPr>
  </w:style>
  <w:style w:type="character" w:customStyle="1" w:styleId="TextonotapieCar1138">
    <w:name w:val="Texto nota pie Car1138"/>
    <w:aliases w:val="Texto nota pie Car Car1 Car1134,Footnote Text Char Char Char Char Char Car2 Car1134,Footnote Text Char Char Char Char Car2 Car1134,Ref. de nota al pie1 Car1 Car1134,FA Fu Car2 Car1134,Footnote Text Char Char Char Car1 Car1134"/>
    <w:basedOn w:val="Fuentedeprrafopredeter"/>
    <w:uiPriority w:val="99"/>
    <w:semiHidden/>
    <w:rPr>
      <w:rFonts w:cs="Times New Roman"/>
      <w:lang w:val="es-CO" w:eastAsia="x-none"/>
    </w:rPr>
  </w:style>
  <w:style w:type="character" w:customStyle="1" w:styleId="TextonotapieCar1137">
    <w:name w:val="Texto nota pie Car1137"/>
    <w:aliases w:val="Texto nota pie Car Car1 Car1133,Footnote Text Char Char Char Char Char Car2 Car1133,Footnote Text Char Char Char Char Car2 Car1133,Ref. de nota al pie1 Car1 Car1133,FA Fu Car2 Car1133,Footnote Text Char Char Char Car1 Car1133"/>
    <w:basedOn w:val="Fuentedeprrafopredeter"/>
    <w:uiPriority w:val="99"/>
    <w:semiHidden/>
    <w:rPr>
      <w:rFonts w:cs="Times New Roman"/>
      <w:lang w:val="es-CO" w:eastAsia="x-none"/>
    </w:rPr>
  </w:style>
  <w:style w:type="character" w:customStyle="1" w:styleId="TextonotapieCar1136">
    <w:name w:val="Texto nota pie Car1136"/>
    <w:aliases w:val="Texto nota pie Car Car1 Car1132,Footnote Text Char Char Char Char Char Car2 Car1132,Footnote Text Char Char Char Char Car2 Car1132,Ref. de nota al pie1 Car1 Car1132,FA Fu Car2 Car1132,Footnote Text Char Char Char Car1 Car1132"/>
    <w:basedOn w:val="Fuentedeprrafopredeter"/>
    <w:uiPriority w:val="99"/>
    <w:semiHidden/>
    <w:rPr>
      <w:rFonts w:cs="Times New Roman"/>
      <w:lang w:val="es-CO" w:eastAsia="x-none"/>
    </w:rPr>
  </w:style>
  <w:style w:type="character" w:customStyle="1" w:styleId="TextonotapieCar1135">
    <w:name w:val="Texto nota pie Car1135"/>
    <w:aliases w:val="Texto nota pie Car Car1 Car1131,Footnote Text Char Char Char Char Char Car2 Car1131,Footnote Text Char Char Char Char Car2 Car1131,Ref. de nota al pie1 Car1 Car1131,FA Fu Car2 Car1131,Footnote Text Char Char Char Car1 Car1131"/>
    <w:basedOn w:val="Fuentedeprrafopredeter"/>
    <w:uiPriority w:val="99"/>
    <w:semiHidden/>
    <w:rPr>
      <w:rFonts w:cs="Times New Roman"/>
      <w:lang w:val="es-CO" w:eastAsia="x-none"/>
    </w:rPr>
  </w:style>
  <w:style w:type="character" w:customStyle="1" w:styleId="TextonotapieCar1134">
    <w:name w:val="Texto nota pie Car1134"/>
    <w:aliases w:val="Texto nota pie Car Car1 Car1130,Footnote Text Char Char Char Char Char Car2 Car1130,Footnote Text Char Char Char Char Car2 Car1130,Ref. de nota al pie1 Car1 Car1130,FA Fu Car2 Car1130,Footnote Text Char Char Char Car1 Car1130"/>
    <w:basedOn w:val="Fuentedeprrafopredeter"/>
    <w:uiPriority w:val="99"/>
    <w:semiHidden/>
    <w:rPr>
      <w:rFonts w:cs="Times New Roman"/>
      <w:lang w:val="es-CO" w:eastAsia="x-none"/>
    </w:rPr>
  </w:style>
  <w:style w:type="character" w:customStyle="1" w:styleId="TextonotapieCar1133">
    <w:name w:val="Texto nota pie Car1133"/>
    <w:aliases w:val="Texto nota pie Car Car1 Car1129,Footnote Text Char Char Char Char Char Car2 Car1129,Footnote Text Char Char Char Char Car2 Car1129,Ref. de nota al pie1 Car1 Car1129,FA Fu Car2 Car1129,Footnote Text Char Char Char Car1 Car1129"/>
    <w:basedOn w:val="Fuentedeprrafopredeter"/>
    <w:uiPriority w:val="99"/>
    <w:semiHidden/>
    <w:rPr>
      <w:rFonts w:cs="Times New Roman"/>
    </w:rPr>
  </w:style>
  <w:style w:type="character" w:customStyle="1" w:styleId="TextonotapieCar1132">
    <w:name w:val="Texto nota pie Car1132"/>
    <w:aliases w:val="Texto nota pie Car Car1 Car1128,Footnote Text Char Char Char Char Char Car2 Car1128,Footnote Text Char Char Char Char Car2 Car1128,Ref. de nota al pie1 Car1 Car1128,FA Fu Car2 Car1128,Footnote Text Char Char Char Car1 Car1128"/>
    <w:basedOn w:val="Fuentedeprrafopredeter"/>
    <w:uiPriority w:val="99"/>
    <w:semiHidden/>
    <w:rPr>
      <w:rFonts w:cs="Times New Roman"/>
    </w:rPr>
  </w:style>
  <w:style w:type="character" w:customStyle="1" w:styleId="TextonotapieCar1131">
    <w:name w:val="Texto nota pie Car1131"/>
    <w:aliases w:val="Texto nota pie Car Car1 Car1127,Footnote Text Char Char Char Char Char Car2 Car1127,Footnote Text Char Char Char Char Car2 Car1127,Ref. de nota al pie1 Car1 Car1127,FA Fu Car2 Car1127,Footnote Text Char Char Char Car1 Car1127"/>
    <w:basedOn w:val="Fuentedeprrafopredeter"/>
    <w:uiPriority w:val="99"/>
    <w:semiHidden/>
    <w:rPr>
      <w:rFonts w:cs="Times New Roman"/>
    </w:rPr>
  </w:style>
  <w:style w:type="character" w:customStyle="1" w:styleId="TextonotapieCar1130">
    <w:name w:val="Texto nota pie Car1130"/>
    <w:aliases w:val="Texto nota pie Car Car1 Car1126,Footnote Text Char Char Char Char Char Car2 Car1126,Footnote Text Char Char Char Char Car2 Car1126,Ref. de nota al pie1 Car1 Car1126,FA Fu Car2 Car1126,Footnote Text Char Char Char Car1 Car1126"/>
    <w:basedOn w:val="Fuentedeprrafopredeter"/>
    <w:uiPriority w:val="99"/>
    <w:semiHidden/>
    <w:rPr>
      <w:rFonts w:cs="Times New Roman"/>
    </w:rPr>
  </w:style>
  <w:style w:type="character" w:customStyle="1" w:styleId="TextonotapieCar1129">
    <w:name w:val="Texto nota pie Car1129"/>
    <w:aliases w:val="Texto nota pie Car Car1 Car1125,Footnote Text Char Char Char Char Char Car2 Car1125,Footnote Text Char Char Char Char Car2 Car1125,Ref. de nota al pie1 Car1 Car1125,FA Fu Car2 Car1125,Footnote Text Char Char Char Car1 Car1125"/>
    <w:basedOn w:val="Fuentedeprrafopredeter"/>
    <w:uiPriority w:val="99"/>
    <w:semiHidden/>
    <w:rPr>
      <w:rFonts w:cs="Times New Roman"/>
    </w:rPr>
  </w:style>
  <w:style w:type="character" w:customStyle="1" w:styleId="TextonotapieCar1128">
    <w:name w:val="Texto nota pie Car1128"/>
    <w:aliases w:val="Texto nota pie Car Car1 Car1124,Footnote Text Char Char Char Char Char Car2 Car1124,Footnote Text Char Char Char Char Car2 Car1124,Ref. de nota al pie1 Car1 Car1124,FA Fu Car2 Car1124,Footnote Text Char Char Char Car1 Car1124"/>
    <w:basedOn w:val="Fuentedeprrafopredeter"/>
    <w:uiPriority w:val="99"/>
    <w:semiHidden/>
    <w:rPr>
      <w:rFonts w:cs="Times New Roman"/>
    </w:rPr>
  </w:style>
  <w:style w:type="character" w:customStyle="1" w:styleId="TextonotapieCar1127">
    <w:name w:val="Texto nota pie Car1127"/>
    <w:aliases w:val="Texto nota pie Car Car1 Car1123,Footnote Text Char Char Char Char Char Car2 Car1123,Footnote Text Char Char Char Char Car2 Car1123,Ref. de nota al pie1 Car1 Car1123,FA Fu Car2 Car1123,Footnote Text Char Char Char Car1 Car1123"/>
    <w:basedOn w:val="Fuentedeprrafopredeter"/>
    <w:uiPriority w:val="99"/>
    <w:semiHidden/>
    <w:rPr>
      <w:rFonts w:cs="Times New Roman"/>
    </w:rPr>
  </w:style>
  <w:style w:type="character" w:customStyle="1" w:styleId="TextonotapieCar1126">
    <w:name w:val="Texto nota pie Car1126"/>
    <w:aliases w:val="Texto nota pie Car Car1 Car1122,Footnote Text Char Char Char Char Char Car2 Car1122,Footnote Text Char Char Char Char Car2 Car1122,Ref. de nota al pie1 Car1 Car1122,FA Fu Car2 Car1122,Footnote Text Char Char Char Car1 Car1122"/>
    <w:basedOn w:val="Fuentedeprrafopredeter"/>
    <w:uiPriority w:val="99"/>
    <w:semiHidden/>
    <w:rPr>
      <w:rFonts w:cs="Times New Roman"/>
    </w:rPr>
  </w:style>
  <w:style w:type="character" w:customStyle="1" w:styleId="TextonotapieCar1125">
    <w:name w:val="Texto nota pie Car1125"/>
    <w:aliases w:val="Texto nota pie Car Car1 Car1121,Footnote Text Char Char Char Char Char Car2 Car1121,Footnote Text Char Char Char Char Car2 Car1121,Ref. de nota al pie1 Car1 Car1121,FA Fu Car2 Car1121,Footnote Text Char Char Char Car1 Car1121"/>
    <w:basedOn w:val="Fuentedeprrafopredeter"/>
    <w:uiPriority w:val="99"/>
    <w:semiHidden/>
    <w:rPr>
      <w:rFonts w:cs="Times New Roman"/>
    </w:rPr>
  </w:style>
  <w:style w:type="character" w:customStyle="1" w:styleId="TextonotapieCar1124">
    <w:name w:val="Texto nota pie Car1124"/>
    <w:aliases w:val="Texto nota pie Car Car1 Car1120,Footnote Text Char Char Char Char Char Car2 Car1120,Footnote Text Char Char Char Char Car2 Car1120,Ref. de nota al pie1 Car1 Car1120,FA Fu Car2 Car1120,Footnote Text Char Char Char Car1 Car1120"/>
    <w:basedOn w:val="Fuentedeprrafopredeter"/>
    <w:uiPriority w:val="99"/>
    <w:semiHidden/>
    <w:rPr>
      <w:rFonts w:cs="Times New Roman"/>
    </w:rPr>
  </w:style>
  <w:style w:type="character" w:customStyle="1" w:styleId="TextonotapieCar1123">
    <w:name w:val="Texto nota pie Car1123"/>
    <w:aliases w:val="Texto nota pie Car Car1 Car1119,Footnote Text Char Char Char Char Char Car2 Car1119,Footnote Text Char Char Char Char Car2 Car1119,Ref. de nota al pie1 Car1 Car1119,FA Fu Car2 Car1119,Footnote Text Char Char Char Car1 Car1119"/>
    <w:basedOn w:val="Fuentedeprrafopredeter"/>
    <w:uiPriority w:val="99"/>
    <w:semiHidden/>
    <w:rPr>
      <w:rFonts w:cs="Times New Roman"/>
    </w:rPr>
  </w:style>
  <w:style w:type="character" w:customStyle="1" w:styleId="TextonotapieCar1122">
    <w:name w:val="Texto nota pie Car1122"/>
    <w:aliases w:val="Texto nota pie Car Car1 Car1118,Footnote Text Char Char Char Char Char Car2 Car1118,Footnote Text Char Char Char Char Car2 Car1118,Ref. de nota al pie1 Car1 Car1118,FA Fu Car2 Car1118,Footnote Text Char Char Char Car1 Car1118"/>
    <w:basedOn w:val="Fuentedeprrafopredeter"/>
    <w:uiPriority w:val="99"/>
    <w:semiHidden/>
    <w:rPr>
      <w:rFonts w:cs="Times New Roman"/>
    </w:rPr>
  </w:style>
  <w:style w:type="character" w:customStyle="1" w:styleId="TextonotapieCar1121">
    <w:name w:val="Texto nota pie Car1121"/>
    <w:aliases w:val="Texto nota pie Car Car1 Car1117,Footnote Text Char Char Char Char Char Car2 Car1117,Footnote Text Char Char Char Char Car2 Car1117,Ref. de nota al pie1 Car1 Car1117,FA Fu Car2 Car1117,Footnote Text Char Char Char Car1 Car1117"/>
    <w:basedOn w:val="Fuentedeprrafopredeter"/>
    <w:uiPriority w:val="99"/>
    <w:semiHidden/>
    <w:rPr>
      <w:rFonts w:cs="Times New Roman"/>
    </w:rPr>
  </w:style>
  <w:style w:type="character" w:customStyle="1" w:styleId="TextonotapieCar1120">
    <w:name w:val="Texto nota pie Car1120"/>
    <w:aliases w:val="Texto nota pie Car Car1 Car1116,Footnote Text Char Char Char Char Char Car2 Car1116,Footnote Text Char Char Char Char Car2 Car1116,Ref. de nota al pie1 Car1 Car1116,FA Fu Car2 Car1116,Footnote Text Char Char Char Car1 Car1116"/>
    <w:basedOn w:val="Fuentedeprrafopredeter"/>
    <w:uiPriority w:val="99"/>
    <w:semiHidden/>
    <w:rPr>
      <w:rFonts w:cs="Times New Roman"/>
    </w:rPr>
  </w:style>
  <w:style w:type="character" w:customStyle="1" w:styleId="TextonotapieCar1119">
    <w:name w:val="Texto nota pie Car1119"/>
    <w:aliases w:val="Texto nota pie Car Car1 Car1115,Footnote Text Char Char Char Char Char Car2 Car1115,Footnote Text Char Char Char Char Car2 Car1115,Ref. de nota al pie1 Car1 Car1115,FA Fu Car2 Car1115,Footnote Text Char Char Char Car1 Car1115"/>
    <w:basedOn w:val="Fuentedeprrafopredeter"/>
    <w:uiPriority w:val="99"/>
    <w:semiHidden/>
    <w:rPr>
      <w:rFonts w:cs="Times New Roman"/>
    </w:rPr>
  </w:style>
  <w:style w:type="character" w:customStyle="1" w:styleId="TextonotapieCar1118">
    <w:name w:val="Texto nota pie Car1118"/>
    <w:aliases w:val="Texto nota pie Car Car1 Car1114,Footnote Text Char Char Char Char Char Car2 Car1114,Footnote Text Char Char Char Char Car2 Car1114,Ref. de nota al pie1 Car1 Car1114,FA Fu Car2 Car1114,Footnote Text Char Char Char Car1 Car1114"/>
    <w:basedOn w:val="Fuentedeprrafopredeter"/>
    <w:uiPriority w:val="99"/>
    <w:semiHidden/>
    <w:rPr>
      <w:rFonts w:cs="Times New Roman"/>
    </w:rPr>
  </w:style>
  <w:style w:type="character" w:customStyle="1" w:styleId="TextonotapieCar1117">
    <w:name w:val="Texto nota pie Car1117"/>
    <w:aliases w:val="Texto nota pie Car Car1 Car1113,Footnote Text Char Char Char Char Char Car2 Car1113,Footnote Text Char Char Char Char Car2 Car1113,Ref. de nota al pie1 Car1 Car1113,FA Fu Car2 Car1113,Footnote Text Char Char Char Car1 Car1113"/>
    <w:basedOn w:val="Fuentedeprrafopredeter"/>
    <w:uiPriority w:val="99"/>
    <w:semiHidden/>
    <w:rPr>
      <w:rFonts w:cs="Times New Roman"/>
    </w:rPr>
  </w:style>
  <w:style w:type="character" w:customStyle="1" w:styleId="TextonotapieCar1116">
    <w:name w:val="Texto nota pie Car1116"/>
    <w:aliases w:val="Texto nota pie Car Car1 Car1112,Footnote Text Char Char Char Char Char Car2 Car1112,Footnote Text Char Char Char Char Car2 Car1112,Ref. de nota al pie1 Car1 Car1112,FA Fu Car2 Car1112,Footnote Text Char Char Char Car1 Car1112"/>
    <w:basedOn w:val="Fuentedeprrafopredeter"/>
    <w:uiPriority w:val="99"/>
    <w:semiHidden/>
    <w:rPr>
      <w:rFonts w:cs="Times New Roman"/>
    </w:rPr>
  </w:style>
  <w:style w:type="character" w:customStyle="1" w:styleId="TextonotapieCar1115">
    <w:name w:val="Texto nota pie Car1115"/>
    <w:aliases w:val="Texto nota pie Car Car1 Car1111,Footnote Text Char Char Char Char Char Car2 Car1111,Footnote Text Char Char Char Char Car2 Car1111,Ref. de nota al pie1 Car1 Car1111,FA Fu Car2 Car1111,Footnote Text Char Char Char Car1 Car1111"/>
    <w:basedOn w:val="Fuentedeprrafopredeter"/>
    <w:uiPriority w:val="99"/>
    <w:semiHidden/>
    <w:rPr>
      <w:rFonts w:cs="Times New Roman"/>
    </w:rPr>
  </w:style>
  <w:style w:type="character" w:customStyle="1" w:styleId="TextonotapieCar1114">
    <w:name w:val="Texto nota pie Car1114"/>
    <w:aliases w:val="Texto nota pie Car Car1 Car1110,Footnote Text Char Char Char Char Char Car2 Car1110,Footnote Text Char Char Char Char Car2 Car1110,Ref. de nota al pie1 Car1 Car1110,FA Fu Car2 Car1110,Footnote Text Char Char Char Car1 Car1110"/>
    <w:basedOn w:val="Fuentedeprrafopredeter"/>
    <w:uiPriority w:val="99"/>
    <w:semiHidden/>
    <w:rPr>
      <w:rFonts w:cs="Times New Roman"/>
    </w:rPr>
  </w:style>
  <w:style w:type="character" w:customStyle="1" w:styleId="TextonotapieCar1113">
    <w:name w:val="Texto nota pie Car1113"/>
    <w:aliases w:val="Texto nota pie Car Car1 Car1109,Footnote Text Char Char Char Char Char Car2 Car1109,Footnote Text Char Char Char Char Car2 Car1109,Ref. de nota al pie1 Car1 Car1109,FA Fu Car2 Car1109,Footnote Text Char Char Char Car1 Car1109"/>
    <w:basedOn w:val="Fuentedeprrafopredeter"/>
    <w:uiPriority w:val="99"/>
    <w:semiHidden/>
    <w:rPr>
      <w:rFonts w:cs="Times New Roman"/>
    </w:rPr>
  </w:style>
  <w:style w:type="character" w:customStyle="1" w:styleId="TextonotapieCar1112">
    <w:name w:val="Texto nota pie Car1112"/>
    <w:aliases w:val="Texto nota pie Car Car1 Car1108,Footnote Text Char Char Char Char Char Car2 Car1108,Footnote Text Char Char Char Char Car2 Car1108,Ref. de nota al pie1 Car1 Car1108,FA Fu Car2 Car1108,Footnote Text Char Char Char Car1 Car1108"/>
    <w:basedOn w:val="Fuentedeprrafopredeter"/>
    <w:uiPriority w:val="99"/>
    <w:semiHidden/>
    <w:rPr>
      <w:rFonts w:cs="Times New Roman"/>
    </w:rPr>
  </w:style>
  <w:style w:type="character" w:customStyle="1" w:styleId="TextonotapieCar1111">
    <w:name w:val="Texto nota pie Car1111"/>
    <w:aliases w:val="Texto nota pie Car Car1 Car1107,Footnote Text Char Char Char Char Char Car2 Car1107,Footnote Text Char Char Char Char Car2 Car1107,Ref. de nota al pie1 Car1 Car1107,FA Fu Car2 Car1107,Footnote Text Char Char Char Car1 Car1107"/>
    <w:basedOn w:val="Fuentedeprrafopredeter"/>
    <w:uiPriority w:val="99"/>
    <w:semiHidden/>
    <w:rPr>
      <w:rFonts w:cs="Times New Roman"/>
    </w:rPr>
  </w:style>
  <w:style w:type="character" w:customStyle="1" w:styleId="TextonotapieCar1110">
    <w:name w:val="Texto nota pie Car1110"/>
    <w:aliases w:val="Texto nota pie Car Car1 Car1106,Footnote Text Char Char Char Char Char Car2 Car1106,Footnote Text Char Char Char Char Car2 Car1106,Ref. de nota al pie1 Car1 Car1106,FA Fu Car2 Car1106,Footnote Text Char Char Char Car1 Car1106"/>
    <w:basedOn w:val="Fuentedeprrafopredeter"/>
    <w:uiPriority w:val="99"/>
    <w:semiHidden/>
    <w:rPr>
      <w:rFonts w:cs="Times New Roman"/>
    </w:rPr>
  </w:style>
  <w:style w:type="character" w:customStyle="1" w:styleId="TextonotapieCar1109">
    <w:name w:val="Texto nota pie Car1109"/>
    <w:aliases w:val="Texto nota pie Car Car1 Car1105,Footnote Text Char Char Char Char Char Car2 Car1105,Footnote Text Char Char Char Char Car2 Car1105,Ref. de nota al pie1 Car1 Car1105,FA Fu Car2 Car1105,Footnote Text Char Char Char Car1 Car1105"/>
    <w:basedOn w:val="Fuentedeprrafopredeter"/>
    <w:uiPriority w:val="99"/>
    <w:semiHidden/>
    <w:rPr>
      <w:rFonts w:cs="Times New Roman"/>
    </w:rPr>
  </w:style>
  <w:style w:type="character" w:customStyle="1" w:styleId="TextonotapieCar1108">
    <w:name w:val="Texto nota pie Car1108"/>
    <w:aliases w:val="Texto nota pie Car Car1 Car1104,Footnote Text Char Char Char Char Char Car2 Car1104,Footnote Text Char Char Char Char Car2 Car1104,Ref. de nota al pie1 Car1 Car1104,FA Fu Car2 Car1104,Footnote Text Char Char Char Car1 Car1104"/>
    <w:basedOn w:val="Fuentedeprrafopredeter"/>
    <w:uiPriority w:val="99"/>
    <w:semiHidden/>
    <w:rPr>
      <w:rFonts w:cs="Times New Roman"/>
    </w:rPr>
  </w:style>
  <w:style w:type="character" w:customStyle="1" w:styleId="TextonotapieCar1107">
    <w:name w:val="Texto nota pie Car1107"/>
    <w:aliases w:val="Texto nota pie Car Car1 Car1103,Footnote Text Char Char Char Char Char Car2 Car1103,Footnote Text Char Char Char Char Car2 Car1103,Ref. de nota al pie1 Car1 Car1103,FA Fu Car2 Car1103,Footnote Text Char Char Char Car1 Car1103"/>
    <w:basedOn w:val="Fuentedeprrafopredeter"/>
    <w:uiPriority w:val="99"/>
    <w:semiHidden/>
    <w:rPr>
      <w:rFonts w:cs="Times New Roman"/>
    </w:rPr>
  </w:style>
  <w:style w:type="character" w:customStyle="1" w:styleId="TextonotapieCar1106">
    <w:name w:val="Texto nota pie Car1106"/>
    <w:aliases w:val="Texto nota pie Car Car1 Car1102,Footnote Text Char Char Char Char Char Car2 Car1102,Footnote Text Char Char Char Char Car2 Car1102,Ref. de nota al pie1 Car1 Car1102,FA Fu Car2 Car1102,Footnote Text Char Char Char Car1 Car1102"/>
    <w:basedOn w:val="Fuentedeprrafopredeter"/>
    <w:uiPriority w:val="99"/>
    <w:semiHidden/>
    <w:rPr>
      <w:rFonts w:cs="Times New Roman"/>
    </w:rPr>
  </w:style>
  <w:style w:type="character" w:customStyle="1" w:styleId="TextonotapieCar1105">
    <w:name w:val="Texto nota pie Car1105"/>
    <w:aliases w:val="Texto nota pie Car Car1 Car1101,Footnote Text Char Char Char Char Char Car2 Car1101,Footnote Text Char Char Char Char Car2 Car1101,Ref. de nota al pie1 Car1 Car1101,FA Fu Car2 Car1101,Footnote Text Char Char Char Car1 Car1101"/>
    <w:basedOn w:val="Fuentedeprrafopredeter"/>
    <w:uiPriority w:val="99"/>
    <w:semiHidden/>
    <w:rPr>
      <w:rFonts w:cs="Times New Roman"/>
    </w:rPr>
  </w:style>
  <w:style w:type="character" w:customStyle="1" w:styleId="TextonotapieCar1104">
    <w:name w:val="Texto nota pie Car1104"/>
    <w:aliases w:val="Texto nota pie Car Car1 Car1100,Footnote Text Char Char Char Char Char Car2 Car1100,Footnote Text Char Char Char Char Car2 Car1100,Ref. de nota al pie1 Car1 Car1100,FA Fu Car2 Car1100,Footnote Text Char Char Char Car1 Car1100"/>
    <w:basedOn w:val="Fuentedeprrafopredeter"/>
    <w:uiPriority w:val="99"/>
    <w:semiHidden/>
    <w:rPr>
      <w:rFonts w:cs="Times New Roman"/>
    </w:rPr>
  </w:style>
  <w:style w:type="character" w:customStyle="1" w:styleId="TextonotapieCar1103">
    <w:name w:val="Texto nota pie Car1103"/>
    <w:aliases w:val="Texto nota pie Car Car1 Car199,Footnote Text Char Char Char Char Char Car2 Car199,Footnote Text Char Char Char Char Car2 Car199,Ref. de nota al pie1 Car1 Car199,FA Fu Car2 Car199,Footnote Text Char Char Char Car1 Car199"/>
    <w:basedOn w:val="Fuentedeprrafopredeter"/>
    <w:uiPriority w:val="99"/>
    <w:semiHidden/>
    <w:rPr>
      <w:rFonts w:cs="Times New Roman"/>
    </w:rPr>
  </w:style>
  <w:style w:type="character" w:customStyle="1" w:styleId="TextonotapieCar1102">
    <w:name w:val="Texto nota pie Car1102"/>
    <w:aliases w:val="Texto nota pie Car Car1 Car198,Footnote Text Char Char Char Char Char Car2 Car198,Footnote Text Char Char Char Char Car2 Car198,Ref. de nota al pie1 Car1 Car198,FA Fu Car2 Car198,Footnote Text Char Char Char Car1 Car198"/>
    <w:basedOn w:val="Fuentedeprrafopredeter"/>
    <w:uiPriority w:val="99"/>
    <w:semiHidden/>
    <w:rPr>
      <w:rFonts w:cs="Times New Roman"/>
    </w:rPr>
  </w:style>
  <w:style w:type="character" w:customStyle="1" w:styleId="TextonotapieCar1101">
    <w:name w:val="Texto nota pie Car1101"/>
    <w:aliases w:val="Texto nota pie Car Car1 Car197,Footnote Text Char Char Char Char Char Car2 Car197,Footnote Text Char Char Char Char Car2 Car197,Ref. de nota al pie1 Car1 Car197,FA Fu Car2 Car197,Footnote Text Char Char Char Car1 Car197"/>
    <w:basedOn w:val="Fuentedeprrafopredeter"/>
    <w:uiPriority w:val="99"/>
    <w:semiHidden/>
    <w:rPr>
      <w:rFonts w:cs="Times New Roman"/>
    </w:rPr>
  </w:style>
  <w:style w:type="character" w:customStyle="1" w:styleId="TextonotapieCar1100">
    <w:name w:val="Texto nota pie Car1100"/>
    <w:aliases w:val="Texto nota pie Car Car1 Car196,Footnote Text Char Char Char Char Char Car2 Car196,Footnote Text Char Char Char Char Car2 Car196,Ref. de nota al pie1 Car1 Car196,FA Fu Car2 Car196,Footnote Text Char Char Char Car1 Car196"/>
    <w:basedOn w:val="Fuentedeprrafopredeter"/>
    <w:uiPriority w:val="99"/>
    <w:semiHidden/>
    <w:rPr>
      <w:rFonts w:cs="Times New Roman"/>
    </w:rPr>
  </w:style>
  <w:style w:type="character" w:customStyle="1" w:styleId="TextonotapieCar199">
    <w:name w:val="Texto nota pie Car199"/>
    <w:aliases w:val="Texto nota pie Car Car1 Car195,Footnote Text Char Char Char Char Char Car2 Car195,Footnote Text Char Char Char Char Car2 Car195,Ref. de nota al pie1 Car1 Car195,FA Fu Car2 Car195,Footnote Text Char Char Char Car1 Car195"/>
    <w:basedOn w:val="Fuentedeprrafopredeter"/>
    <w:uiPriority w:val="99"/>
    <w:semiHidden/>
    <w:rPr>
      <w:rFonts w:cs="Times New Roman"/>
    </w:rPr>
  </w:style>
  <w:style w:type="character" w:customStyle="1" w:styleId="TextonotapieCar198">
    <w:name w:val="Texto nota pie Car198"/>
    <w:aliases w:val="Texto nota pie Car Car1 Car194,Footnote Text Char Char Char Char Char Car2 Car194,Footnote Text Char Char Char Char Car2 Car194,Ref. de nota al pie1 Car1 Car194,FA Fu Car2 Car194,Footnote Text Char Char Char Car1 Car194"/>
    <w:basedOn w:val="Fuentedeprrafopredeter"/>
    <w:uiPriority w:val="99"/>
    <w:semiHidden/>
    <w:rPr>
      <w:rFonts w:cs="Times New Roman"/>
    </w:rPr>
  </w:style>
  <w:style w:type="character" w:customStyle="1" w:styleId="TextonotapieCar197">
    <w:name w:val="Texto nota pie Car197"/>
    <w:aliases w:val="Texto nota pie Car Car1 Car193,Footnote Text Char Char Char Char Char Car2 Car193,Footnote Text Char Char Char Char Car2 Car193,Ref. de nota al pie1 Car1 Car193,FA Fu Car2 Car193,Footnote Text Char Char Char Car1 Car193"/>
    <w:basedOn w:val="Fuentedeprrafopredeter"/>
    <w:uiPriority w:val="99"/>
    <w:semiHidden/>
    <w:rPr>
      <w:rFonts w:cs="Times New Roman"/>
    </w:rPr>
  </w:style>
  <w:style w:type="character" w:customStyle="1" w:styleId="TextonotapieCar196">
    <w:name w:val="Texto nota pie Car196"/>
    <w:aliases w:val="Texto nota pie Car Car1 Car192,Footnote Text Char Char Char Char Char Car2 Car192,Footnote Text Char Char Char Char Car2 Car192,Ref. de nota al pie1 Car1 Car192,FA Fu Car2 Car192,Footnote Text Char Char Char Car1 Car192"/>
    <w:basedOn w:val="Fuentedeprrafopredeter"/>
    <w:uiPriority w:val="99"/>
    <w:semiHidden/>
    <w:rPr>
      <w:rFonts w:cs="Times New Roman"/>
    </w:rPr>
  </w:style>
  <w:style w:type="character" w:customStyle="1" w:styleId="TextonotapieCar195">
    <w:name w:val="Texto nota pie Car195"/>
    <w:aliases w:val="Texto nota pie Car Car1 Car191,Footnote Text Char Char Char Char Char Car2 Car191,Footnote Text Char Char Char Char Car2 Car191,Ref. de nota al pie1 Car1 Car191,FA Fu Car2 Car191,Footnote Text Char Char Char Car1 Car191"/>
    <w:basedOn w:val="Fuentedeprrafopredeter"/>
    <w:uiPriority w:val="99"/>
    <w:semiHidden/>
    <w:rPr>
      <w:rFonts w:cs="Times New Roman"/>
    </w:rPr>
  </w:style>
  <w:style w:type="character" w:customStyle="1" w:styleId="TextonotapieCar194">
    <w:name w:val="Texto nota pie Car194"/>
    <w:aliases w:val="Texto nota pie Car Car1 Car190,Footnote Text Char Char Char Char Char Car2 Car190,Footnote Text Char Char Char Char Car2 Car190,Ref. de nota al pie1 Car1 Car190,FA Fu Car2 Car190,Footnote Text Char Char Char Car1 Car190"/>
    <w:basedOn w:val="Fuentedeprrafopredeter"/>
    <w:uiPriority w:val="99"/>
    <w:semiHidden/>
    <w:rPr>
      <w:rFonts w:cs="Times New Roman"/>
    </w:rPr>
  </w:style>
  <w:style w:type="character" w:customStyle="1" w:styleId="TextonotapieCar193">
    <w:name w:val="Texto nota pie Car193"/>
    <w:aliases w:val="Texto nota pie Car Car1 Car189,Footnote Text Char Char Char Char Char Car2 Car189,Footnote Text Char Char Char Char Car2 Car189,Ref. de nota al pie1 Car1 Car189,FA Fu Car2 Car189,Footnote Text Char Char Char Car1 Car189"/>
    <w:basedOn w:val="Fuentedeprrafopredeter"/>
    <w:uiPriority w:val="99"/>
    <w:semiHidden/>
    <w:rPr>
      <w:rFonts w:cs="Times New Roman"/>
    </w:rPr>
  </w:style>
  <w:style w:type="character" w:customStyle="1" w:styleId="TextonotapieCar192">
    <w:name w:val="Texto nota pie Car192"/>
    <w:aliases w:val="Texto nota pie Car Car1 Car188,Footnote Text Char Char Char Char Char Car2 Car188,Footnote Text Char Char Char Char Car2 Car188,Ref. de nota al pie1 Car1 Car188,FA Fu Car2 Car188,Footnote Text Char Char Char Car1 Car188"/>
    <w:basedOn w:val="Fuentedeprrafopredeter"/>
    <w:uiPriority w:val="99"/>
    <w:semiHidden/>
    <w:rPr>
      <w:rFonts w:cs="Times New Roman"/>
    </w:rPr>
  </w:style>
  <w:style w:type="character" w:customStyle="1" w:styleId="TextonotapieCar191">
    <w:name w:val="Texto nota pie Car191"/>
    <w:aliases w:val="Texto nota pie Car Car1 Car187,Footnote Text Char Char Char Char Char Car2 Car187,Footnote Text Char Char Char Char Car2 Car187,Ref. de nota al pie1 Car1 Car187,FA Fu Car2 Car187,Footnote Text Char Char Char Car1 Car187"/>
    <w:basedOn w:val="Fuentedeprrafopredeter"/>
    <w:uiPriority w:val="99"/>
    <w:semiHidden/>
    <w:rPr>
      <w:rFonts w:cs="Times New Roman"/>
    </w:rPr>
  </w:style>
  <w:style w:type="character" w:customStyle="1" w:styleId="TextonotapieCar190">
    <w:name w:val="Texto nota pie Car190"/>
    <w:aliases w:val="Texto nota pie Car Car1 Car186,Footnote Text Char Char Char Char Char Car2 Car186,Footnote Text Char Char Char Char Car2 Car186,Ref. de nota al pie1 Car1 Car186,FA Fu Car2 Car186,Footnote Text Char Char Char Car1 Car186"/>
    <w:basedOn w:val="Fuentedeprrafopredeter"/>
    <w:uiPriority w:val="99"/>
    <w:semiHidden/>
    <w:rPr>
      <w:rFonts w:cs="Times New Roman"/>
    </w:rPr>
  </w:style>
  <w:style w:type="character" w:customStyle="1" w:styleId="TextonotapieCar189">
    <w:name w:val="Texto nota pie Car189"/>
    <w:aliases w:val="Texto nota pie Car Car1 Car185,Footnote Text Char Char Char Char Char Car2 Car185,Footnote Text Char Char Char Char Car2 Car185,Ref. de nota al pie1 Car1 Car185,FA Fu Car2 Car185,Footnote Text Char Char Char Car1 Car185"/>
    <w:basedOn w:val="Fuentedeprrafopredeter"/>
    <w:uiPriority w:val="99"/>
    <w:semiHidden/>
    <w:rPr>
      <w:rFonts w:cs="Times New Roman"/>
    </w:rPr>
  </w:style>
  <w:style w:type="character" w:customStyle="1" w:styleId="TextonotapieCar188">
    <w:name w:val="Texto nota pie Car188"/>
    <w:aliases w:val="Texto nota pie Car Car1 Car184,Footnote Text Char Char Char Char Char Car2 Car184,Footnote Text Char Char Char Char Car2 Car184,Ref. de nota al pie1 Car1 Car184,FA Fu Car2 Car184,Footnote Text Char Char Char Car1 Car184"/>
    <w:basedOn w:val="Fuentedeprrafopredeter"/>
    <w:uiPriority w:val="99"/>
    <w:semiHidden/>
    <w:rPr>
      <w:rFonts w:cs="Times New Roman"/>
    </w:rPr>
  </w:style>
  <w:style w:type="character" w:customStyle="1" w:styleId="TextonotapieCar187">
    <w:name w:val="Texto nota pie Car187"/>
    <w:aliases w:val="Texto nota pie Car Car1 Car183,Footnote Text Char Char Char Char Char Car2 Car183,Footnote Text Char Char Char Char Car2 Car183,Ref. de nota al pie1 Car1 Car183,FA Fu Car2 Car183,Footnote Text Char Char Char Car1 Car183"/>
    <w:basedOn w:val="Fuentedeprrafopredeter"/>
    <w:uiPriority w:val="99"/>
    <w:semiHidden/>
    <w:rPr>
      <w:rFonts w:cs="Times New Roman"/>
    </w:rPr>
  </w:style>
  <w:style w:type="character" w:customStyle="1" w:styleId="TextonotapieCar186">
    <w:name w:val="Texto nota pie Car186"/>
    <w:aliases w:val="Texto nota pie Car Car1 Car182,Footnote Text Char Char Char Char Char Car2 Car182,Footnote Text Char Char Char Char Car2 Car182,Ref. de nota al pie1 Car1 Car182,FA Fu Car2 Car182,Footnote Text Char Char Char Car1 Car182"/>
    <w:basedOn w:val="Fuentedeprrafopredeter"/>
    <w:uiPriority w:val="99"/>
    <w:semiHidden/>
    <w:rPr>
      <w:rFonts w:cs="Times New Roman"/>
    </w:rPr>
  </w:style>
  <w:style w:type="character" w:customStyle="1" w:styleId="TextonotapieCar185">
    <w:name w:val="Texto nota pie Car185"/>
    <w:aliases w:val="Texto nota pie Car Car1 Car181,Footnote Text Char Char Char Char Char Car2 Car181,Footnote Text Char Char Char Char Car2 Car181,Ref. de nota al pie1 Car1 Car181,FA Fu Car2 Car181,Footnote Text Char Char Char Car1 Car181"/>
    <w:basedOn w:val="Fuentedeprrafopredeter"/>
    <w:uiPriority w:val="99"/>
    <w:semiHidden/>
    <w:rPr>
      <w:rFonts w:cs="Times New Roman"/>
    </w:rPr>
  </w:style>
  <w:style w:type="character" w:customStyle="1" w:styleId="TextonotapieCar184">
    <w:name w:val="Texto nota pie Car184"/>
    <w:aliases w:val="Texto nota pie Car Car1 Car180,Footnote Text Char Char Char Char Char Car2 Car180,Footnote Text Char Char Char Char Car2 Car180,Ref. de nota al pie1 Car1 Car180,FA Fu Car2 Car180,Footnote Text Char Char Char Car1 Car180"/>
    <w:basedOn w:val="Fuentedeprrafopredeter"/>
    <w:uiPriority w:val="99"/>
    <w:semiHidden/>
    <w:rPr>
      <w:rFonts w:cs="Times New Roman"/>
    </w:rPr>
  </w:style>
  <w:style w:type="character" w:customStyle="1" w:styleId="TextonotapieCar183">
    <w:name w:val="Texto nota pie Car183"/>
    <w:aliases w:val="Texto nota pie Car Car1 Car179,Footnote Text Char Char Char Char Char Car2 Car179,Footnote Text Char Char Char Char Car2 Car179,Ref. de nota al pie1 Car1 Car179,FA Fu Car2 Car179,Footnote Text Char Char Char Car1 Car179"/>
    <w:basedOn w:val="Fuentedeprrafopredeter"/>
    <w:uiPriority w:val="99"/>
    <w:semiHidden/>
    <w:rPr>
      <w:rFonts w:cs="Times New Roman"/>
    </w:rPr>
  </w:style>
  <w:style w:type="character" w:customStyle="1" w:styleId="TextonotapieCar182">
    <w:name w:val="Texto nota pie Car182"/>
    <w:aliases w:val="Texto nota pie Car Car1 Car178,Footnote Text Char Char Char Char Char Car2 Car178,Footnote Text Char Char Char Char Car2 Car178,Ref. de nota al pie1 Car1 Car178,FA Fu Car2 Car178,Footnote Text Char Char Char Car1 Car178"/>
    <w:basedOn w:val="Fuentedeprrafopredeter"/>
    <w:uiPriority w:val="99"/>
    <w:semiHidden/>
    <w:rPr>
      <w:rFonts w:cs="Times New Roman"/>
    </w:rPr>
  </w:style>
  <w:style w:type="character" w:customStyle="1" w:styleId="TextonotapieCar181">
    <w:name w:val="Texto nota pie Car181"/>
    <w:aliases w:val="Texto nota pie Car Car1 Car177,Footnote Text Char Char Char Char Char Car2 Car177,Footnote Text Char Char Char Char Car2 Car177,Ref. de nota al pie1 Car1 Car177,FA Fu Car2 Car177,Footnote Text Char Char Char Car1 Car177"/>
    <w:basedOn w:val="Fuentedeprrafopredeter"/>
    <w:uiPriority w:val="99"/>
    <w:semiHidden/>
    <w:rPr>
      <w:rFonts w:cs="Times New Roman"/>
    </w:rPr>
  </w:style>
  <w:style w:type="character" w:customStyle="1" w:styleId="TextonotapieCar180">
    <w:name w:val="Texto nota pie Car180"/>
    <w:aliases w:val="Texto nota pie Car Car1 Car176,Footnote Text Char Char Char Char Char Car2 Car176,Footnote Text Char Char Char Char Car2 Car176,Ref. de nota al pie1 Car1 Car176,FA Fu Car2 Car176,Footnote Text Char Char Char Car1 Car176"/>
    <w:basedOn w:val="Fuentedeprrafopredeter"/>
    <w:uiPriority w:val="99"/>
    <w:semiHidden/>
    <w:rPr>
      <w:rFonts w:cs="Times New Roman"/>
    </w:rPr>
  </w:style>
  <w:style w:type="character" w:customStyle="1" w:styleId="TextonotapieCar179">
    <w:name w:val="Texto nota pie Car179"/>
    <w:aliases w:val="Texto nota pie Car Car1 Car175,Footnote Text Char Char Char Char Char Car2 Car175,Footnote Text Char Char Char Char Car2 Car175,Ref. de nota al pie1 Car1 Car175,FA Fu Car2 Car175,Footnote Text Char Char Char Car1 Car175"/>
    <w:basedOn w:val="Fuentedeprrafopredeter"/>
    <w:uiPriority w:val="99"/>
    <w:semiHidden/>
    <w:rPr>
      <w:rFonts w:cs="Times New Roman"/>
    </w:rPr>
  </w:style>
  <w:style w:type="character" w:customStyle="1" w:styleId="TextonotapieCar178">
    <w:name w:val="Texto nota pie Car178"/>
    <w:aliases w:val="Texto nota pie Car Car1 Car174,Footnote Text Char Char Char Char Char Car2 Car174,Footnote Text Char Char Char Char Car2 Car174,Ref. de nota al pie1 Car1 Car174,FA Fu Car2 Car174,Footnote Text Char Char Char Car1 Car174"/>
    <w:basedOn w:val="Fuentedeprrafopredeter"/>
    <w:uiPriority w:val="99"/>
    <w:semiHidden/>
    <w:rPr>
      <w:rFonts w:cs="Times New Roman"/>
    </w:rPr>
  </w:style>
  <w:style w:type="character" w:customStyle="1" w:styleId="TextonotapieCar177">
    <w:name w:val="Texto nota pie Car177"/>
    <w:aliases w:val="Texto nota pie Car Car1 Car173,Footnote Text Char Char Char Char Char Car2 Car173,Footnote Text Char Char Char Char Car2 Car173,Ref. de nota al pie1 Car1 Car173,FA Fu Car2 Car173,Footnote Text Char Char Char Car1 Car173"/>
    <w:basedOn w:val="Fuentedeprrafopredeter"/>
    <w:uiPriority w:val="99"/>
    <w:semiHidden/>
    <w:rPr>
      <w:rFonts w:cs="Times New Roman"/>
    </w:rPr>
  </w:style>
  <w:style w:type="character" w:customStyle="1" w:styleId="TextonotapieCar176">
    <w:name w:val="Texto nota pie Car176"/>
    <w:aliases w:val="Texto nota pie Car Car1 Car172,Footnote Text Char Char Char Char Char Car2 Car172,Footnote Text Char Char Char Char Car2 Car172,Ref. de nota al pie1 Car1 Car172,FA Fu Car2 Car172,Footnote Text Char Char Char Car1 Car172"/>
    <w:basedOn w:val="Fuentedeprrafopredeter"/>
    <w:uiPriority w:val="99"/>
    <w:semiHidden/>
    <w:rPr>
      <w:rFonts w:cs="Times New Roman"/>
    </w:rPr>
  </w:style>
  <w:style w:type="character" w:customStyle="1" w:styleId="TextonotapieCar175">
    <w:name w:val="Texto nota pie Car175"/>
    <w:aliases w:val="Texto nota pie Car Car1 Car171,Footnote Text Char Char Char Char Char Car2 Car171,Footnote Text Char Char Char Char Car2 Car171,Ref. de nota al pie1 Car1 Car171,FA Fu Car2 Car171,Footnote Text Char Char Char Car1 Car171"/>
    <w:basedOn w:val="Fuentedeprrafopredeter"/>
    <w:uiPriority w:val="99"/>
    <w:semiHidden/>
    <w:rPr>
      <w:rFonts w:cs="Times New Roman"/>
    </w:rPr>
  </w:style>
  <w:style w:type="character" w:customStyle="1" w:styleId="TextonotapieCar174">
    <w:name w:val="Texto nota pie Car174"/>
    <w:aliases w:val="Texto nota pie Car Car1 Car170,Footnote Text Char Char Char Char Char Car2 Car170,Footnote Text Char Char Char Char Car2 Car170,Ref. de nota al pie1 Car1 Car170,FA Fu Car2 Car170,Footnote Text Char Char Char Car1 Car170"/>
    <w:basedOn w:val="Fuentedeprrafopredeter"/>
    <w:uiPriority w:val="99"/>
    <w:semiHidden/>
    <w:rPr>
      <w:rFonts w:cs="Times New Roman"/>
    </w:rPr>
  </w:style>
  <w:style w:type="character" w:customStyle="1" w:styleId="TextonotapieCar173">
    <w:name w:val="Texto nota pie Car173"/>
    <w:aliases w:val="Texto nota pie Car Car1 Car169,Footnote Text Char Char Char Char Char Car2 Car169,Footnote Text Char Char Char Char Car2 Car169,Ref. de nota al pie1 Car1 Car169,FA Fu Car2 Car169,Footnote Text Char Char Char Car1 Car169"/>
    <w:basedOn w:val="Fuentedeprrafopredeter"/>
    <w:uiPriority w:val="99"/>
    <w:semiHidden/>
    <w:rPr>
      <w:rFonts w:cs="Times New Roman"/>
    </w:rPr>
  </w:style>
  <w:style w:type="character" w:customStyle="1" w:styleId="TextonotapieCar172">
    <w:name w:val="Texto nota pie Car172"/>
    <w:aliases w:val="Texto nota pie Car Car1 Car168,Footnote Text Char Char Char Char Char Car2 Car168,Footnote Text Char Char Char Char Car2 Car168,Ref. de nota al pie1 Car1 Car168,FA Fu Car2 Car168,Footnote Text Char Char Char Car1 Car168"/>
    <w:basedOn w:val="Fuentedeprrafopredeter"/>
    <w:uiPriority w:val="99"/>
    <w:semiHidden/>
    <w:rPr>
      <w:rFonts w:cs="Times New Roman"/>
    </w:rPr>
  </w:style>
  <w:style w:type="character" w:customStyle="1" w:styleId="TextonotapieCar171">
    <w:name w:val="Texto nota pie Car171"/>
    <w:aliases w:val="Texto nota pie Car Car1 Car167,Footnote Text Char Char Char Char Char Car2 Car167,Footnote Text Char Char Char Char Car2 Car167,Ref. de nota al pie1 Car1 Car167,FA Fu Car2 Car167,Footnote Text Char Char Char Car1 Car167"/>
    <w:basedOn w:val="Fuentedeprrafopredeter"/>
    <w:uiPriority w:val="99"/>
    <w:semiHidden/>
    <w:rPr>
      <w:rFonts w:cs="Times New Roman"/>
    </w:rPr>
  </w:style>
  <w:style w:type="character" w:customStyle="1" w:styleId="TextonotapieCar170">
    <w:name w:val="Texto nota pie Car170"/>
    <w:aliases w:val="Texto nota pie Car Car1 Car166,Footnote Text Char Char Char Char Char Car2 Car166,Footnote Text Char Char Char Char Car2 Car166,Ref. de nota al pie1 Car1 Car166,FA Fu Car2 Car166,Footnote Text Char Char Char Car1 Car166"/>
    <w:basedOn w:val="Fuentedeprrafopredeter"/>
    <w:uiPriority w:val="99"/>
    <w:semiHidden/>
    <w:rPr>
      <w:rFonts w:cs="Times New Roman"/>
    </w:rPr>
  </w:style>
  <w:style w:type="character" w:customStyle="1" w:styleId="TextonotapieCar169">
    <w:name w:val="Texto nota pie Car169"/>
    <w:aliases w:val="Texto nota pie Car Car1 Car165,Footnote Text Char Char Char Char Char Car2 Car165,Footnote Text Char Char Char Char Car2 Car165,Ref. de nota al pie1 Car1 Car165,FA Fu Car2 Car165,Footnote Text Char Char Char Car1 Car165"/>
    <w:basedOn w:val="Fuentedeprrafopredeter"/>
    <w:uiPriority w:val="99"/>
    <w:semiHidden/>
    <w:rPr>
      <w:rFonts w:cs="Times New Roman"/>
    </w:rPr>
  </w:style>
  <w:style w:type="character" w:customStyle="1" w:styleId="TextonotapieCar168">
    <w:name w:val="Texto nota pie Car168"/>
    <w:aliases w:val="Texto nota pie Car Car1 Car164,Footnote Text Char Char Char Char Char Car2 Car164,Footnote Text Char Char Char Char Car2 Car164,Ref. de nota al pie1 Car1 Car164,FA Fu Car2 Car164,Footnote Text Char Char Char Car1 Car164"/>
    <w:basedOn w:val="Fuentedeprrafopredeter"/>
    <w:uiPriority w:val="99"/>
    <w:semiHidden/>
    <w:rPr>
      <w:rFonts w:cs="Times New Roman"/>
    </w:rPr>
  </w:style>
  <w:style w:type="character" w:customStyle="1" w:styleId="TextonotapieCar167">
    <w:name w:val="Texto nota pie Car167"/>
    <w:aliases w:val="Texto nota pie Car Car1 Car163,Footnote Text Char Char Char Char Char Car2 Car163,Footnote Text Char Char Char Char Car2 Car163,Ref. de nota al pie1 Car1 Car163,FA Fu Car2 Car163,Footnote Text Char Char Char Car1 Car163"/>
    <w:basedOn w:val="Fuentedeprrafopredeter"/>
    <w:uiPriority w:val="99"/>
    <w:semiHidden/>
    <w:rPr>
      <w:rFonts w:cs="Times New Roman"/>
    </w:rPr>
  </w:style>
  <w:style w:type="character" w:customStyle="1" w:styleId="TextonotapieCar166">
    <w:name w:val="Texto nota pie Car166"/>
    <w:aliases w:val="Texto nota pie Car Car1 Car162,Footnote Text Char Char Char Char Char Car2 Car162,Footnote Text Char Char Char Char Car2 Car162,Ref. de nota al pie1 Car1 Car162,FA Fu Car2 Car162,Footnote Text Char Char Char Car1 Car162"/>
    <w:basedOn w:val="Fuentedeprrafopredeter"/>
    <w:uiPriority w:val="99"/>
    <w:semiHidden/>
    <w:rPr>
      <w:rFonts w:cs="Times New Roman"/>
    </w:rPr>
  </w:style>
  <w:style w:type="character" w:customStyle="1" w:styleId="TextonotapieCar165">
    <w:name w:val="Texto nota pie Car165"/>
    <w:aliases w:val="Texto nota pie Car Car1 Car161,Footnote Text Char Char Char Char Char Car2 Car161,Footnote Text Char Char Char Char Car2 Car161,Ref. de nota al pie1 Car1 Car161,FA Fu Car2 Car161,Footnote Text Char Char Char Car1 Car161"/>
    <w:basedOn w:val="Fuentedeprrafopredeter"/>
    <w:uiPriority w:val="99"/>
    <w:semiHidden/>
    <w:rPr>
      <w:rFonts w:cs="Times New Roman"/>
    </w:rPr>
  </w:style>
  <w:style w:type="character" w:customStyle="1" w:styleId="TextonotapieCar164">
    <w:name w:val="Texto nota pie Car164"/>
    <w:aliases w:val="Texto nota pie Car Car1 Car160,Footnote Text Char Char Char Char Char Car2 Car160,Footnote Text Char Char Char Char Car2 Car160,Ref. de nota al pie1 Car1 Car160,FA Fu Car2 Car160,Footnote Text Char Char Char Car1 Car160"/>
    <w:basedOn w:val="Fuentedeprrafopredeter"/>
    <w:uiPriority w:val="99"/>
    <w:semiHidden/>
    <w:rPr>
      <w:rFonts w:cs="Times New Roman"/>
    </w:rPr>
  </w:style>
  <w:style w:type="character" w:customStyle="1" w:styleId="TextonotapieCar163">
    <w:name w:val="Texto nota pie Car163"/>
    <w:aliases w:val="Texto nota pie Car Car1 Car159,Footnote Text Char Char Char Char Char Car2 Car159,Footnote Text Char Char Char Char Car2 Car159,Ref. de nota al pie1 Car1 Car159,FA Fu Car2 Car159,Footnote Text Char Char Char Car1 Car159"/>
    <w:basedOn w:val="Fuentedeprrafopredeter"/>
    <w:uiPriority w:val="99"/>
    <w:semiHidden/>
    <w:rPr>
      <w:rFonts w:cs="Times New Roman"/>
    </w:rPr>
  </w:style>
  <w:style w:type="character" w:customStyle="1" w:styleId="TextonotapieCar162">
    <w:name w:val="Texto nota pie Car162"/>
    <w:aliases w:val="Texto nota pie Car Car1 Car158,Footnote Text Char Char Char Char Char Car2 Car158,Footnote Text Char Char Char Char Car2 Car158,Ref. de nota al pie1 Car1 Car158,FA Fu Car2 Car158,Footnote Text Char Char Char Car1 Car158"/>
    <w:basedOn w:val="Fuentedeprrafopredeter"/>
    <w:uiPriority w:val="99"/>
    <w:semiHidden/>
    <w:rPr>
      <w:rFonts w:cs="Times New Roman"/>
    </w:rPr>
  </w:style>
  <w:style w:type="character" w:customStyle="1" w:styleId="TextonotapieCar161">
    <w:name w:val="Texto nota pie Car161"/>
    <w:aliases w:val="Texto nota pie Car Car1 Car157,Footnote Text Char Char Char Char Char Car2 Car157,Footnote Text Char Char Char Char Car2 Car157,Ref. de nota al pie1 Car1 Car157,FA Fu Car2 Car157,Footnote Text Char Char Char Car1 Car157"/>
    <w:basedOn w:val="Fuentedeprrafopredeter"/>
    <w:uiPriority w:val="99"/>
    <w:semiHidden/>
    <w:rPr>
      <w:rFonts w:cs="Times New Roman"/>
    </w:rPr>
  </w:style>
  <w:style w:type="character" w:customStyle="1" w:styleId="TextonotapieCar160">
    <w:name w:val="Texto nota pie Car160"/>
    <w:aliases w:val="Texto nota pie Car Car1 Car156,Footnote Text Char Char Char Char Char Car2 Car156,Footnote Text Char Char Char Char Car2 Car156,Ref. de nota al pie1 Car1 Car156,FA Fu Car2 Car156,Footnote Text Char Char Char Car1 Car156"/>
    <w:basedOn w:val="Fuentedeprrafopredeter"/>
    <w:uiPriority w:val="99"/>
    <w:semiHidden/>
    <w:rPr>
      <w:rFonts w:cs="Times New Roman"/>
    </w:rPr>
  </w:style>
  <w:style w:type="character" w:customStyle="1" w:styleId="TextonotapieCar159">
    <w:name w:val="Texto nota pie Car159"/>
    <w:aliases w:val="Texto nota pie Car Car1 Car155,Footnote Text Char Char Char Char Char Car2 Car155,Footnote Text Char Char Char Char Car2 Car155,Ref. de nota al pie1 Car1 Car155,FA Fu Car2 Car155,Footnote Text Char Char Char Car1 Car155"/>
    <w:basedOn w:val="Fuentedeprrafopredeter"/>
    <w:uiPriority w:val="99"/>
    <w:semiHidden/>
    <w:rPr>
      <w:rFonts w:cs="Times New Roman"/>
    </w:rPr>
  </w:style>
  <w:style w:type="character" w:customStyle="1" w:styleId="TextonotapieCar158">
    <w:name w:val="Texto nota pie Car158"/>
    <w:aliases w:val="Texto nota pie Car Car1 Car154,Footnote Text Char Char Char Char Char Car2 Car154,Footnote Text Char Char Char Char Car2 Car154,Ref. de nota al pie1 Car1 Car154,FA Fu Car2 Car154,Footnote Text Char Char Char Car1 Car154"/>
    <w:basedOn w:val="Fuentedeprrafopredeter"/>
    <w:uiPriority w:val="99"/>
    <w:semiHidden/>
    <w:rPr>
      <w:rFonts w:cs="Times New Roman"/>
    </w:rPr>
  </w:style>
  <w:style w:type="character" w:customStyle="1" w:styleId="TextonotapieCar157">
    <w:name w:val="Texto nota pie Car157"/>
    <w:aliases w:val="Texto nota pie Car Car1 Car153,Footnote Text Char Char Char Char Char Car2 Car153,Footnote Text Char Char Char Char Car2 Car153,Ref. de nota al pie1 Car1 Car153,FA Fu Car2 Car153,Footnote Text Char Char Char Car1 Car153"/>
    <w:basedOn w:val="Fuentedeprrafopredeter"/>
    <w:uiPriority w:val="99"/>
    <w:semiHidden/>
    <w:rPr>
      <w:rFonts w:cs="Times New Roman"/>
    </w:rPr>
  </w:style>
  <w:style w:type="character" w:customStyle="1" w:styleId="TextonotapieCar156">
    <w:name w:val="Texto nota pie Car156"/>
    <w:aliases w:val="Texto nota pie Car Car1 Car152,Footnote Text Char Char Char Char Char Car2 Car152,Footnote Text Char Char Char Char Car2 Car152,Ref. de nota al pie1 Car1 Car152,FA Fu Car2 Car152,Footnote Text Char Char Char Car1 Car152"/>
    <w:basedOn w:val="Fuentedeprrafopredeter"/>
    <w:uiPriority w:val="99"/>
    <w:semiHidden/>
    <w:rPr>
      <w:rFonts w:cs="Times New Roman"/>
    </w:rPr>
  </w:style>
  <w:style w:type="character" w:customStyle="1" w:styleId="TextonotapieCar155">
    <w:name w:val="Texto nota pie Car155"/>
    <w:aliases w:val="Texto nota pie Car Car1 Car151,Footnote Text Char Char Char Char Char Car2 Car151,Footnote Text Char Char Char Char Car2 Car151,Ref. de nota al pie1 Car1 Car151,FA Fu Car2 Car151,Footnote Text Char Char Char Car1 Car151"/>
    <w:basedOn w:val="Fuentedeprrafopredeter"/>
    <w:uiPriority w:val="99"/>
    <w:semiHidden/>
    <w:rPr>
      <w:rFonts w:cs="Times New Roman"/>
    </w:rPr>
  </w:style>
  <w:style w:type="character" w:customStyle="1" w:styleId="TextonotapieCar154">
    <w:name w:val="Texto nota pie Car154"/>
    <w:aliases w:val="Texto nota pie Car Car1 Car150,Footnote Text Char Char Char Char Char Car2 Car150,Footnote Text Char Char Char Char Car2 Car150,Ref. de nota al pie1 Car1 Car150,FA Fu Car2 Car150,Footnote Text Char Char Char Car1 Car150"/>
    <w:basedOn w:val="Fuentedeprrafopredeter"/>
    <w:uiPriority w:val="99"/>
    <w:semiHidden/>
    <w:rPr>
      <w:rFonts w:cs="Times New Roman"/>
    </w:rPr>
  </w:style>
  <w:style w:type="character" w:customStyle="1" w:styleId="TextonotapieCar153">
    <w:name w:val="Texto nota pie Car153"/>
    <w:aliases w:val="Texto nota pie Car Car1 Car149,Footnote Text Char Char Char Char Char Car2 Car149,Footnote Text Char Char Char Char Car2 Car149,Ref. de nota al pie1 Car1 Car149,FA Fu Car2 Car149,Footnote Text Char Char Char Car1 Car149"/>
    <w:basedOn w:val="Fuentedeprrafopredeter"/>
    <w:uiPriority w:val="99"/>
    <w:semiHidden/>
    <w:rPr>
      <w:rFonts w:cs="Times New Roman"/>
    </w:rPr>
  </w:style>
  <w:style w:type="character" w:customStyle="1" w:styleId="TextonotapieCar152">
    <w:name w:val="Texto nota pie Car152"/>
    <w:aliases w:val="Texto nota pie Car Car1 Car148,Footnote Text Char Char Char Char Char Car2 Car148,Footnote Text Char Char Char Char Car2 Car148,Ref. de nota al pie1 Car1 Car148,FA Fu Car2 Car148,Footnote Text Char Char Char Car1 Car148"/>
    <w:basedOn w:val="Fuentedeprrafopredeter"/>
    <w:uiPriority w:val="99"/>
    <w:semiHidden/>
    <w:rPr>
      <w:rFonts w:cs="Times New Roman"/>
    </w:rPr>
  </w:style>
  <w:style w:type="character" w:customStyle="1" w:styleId="TextonotapieCar151">
    <w:name w:val="Texto nota pie Car151"/>
    <w:aliases w:val="Texto nota pie Car Car1 Car147,Footnote Text Char Char Char Char Char Car2 Car147,Footnote Text Char Char Char Char Car2 Car147,Ref. de nota al pie1 Car1 Car147,FA Fu Car2 Car147,Footnote Text Char Char Char Car1 Car147"/>
    <w:basedOn w:val="Fuentedeprrafopredeter"/>
    <w:uiPriority w:val="99"/>
    <w:semiHidden/>
    <w:rPr>
      <w:rFonts w:cs="Times New Roman"/>
    </w:rPr>
  </w:style>
  <w:style w:type="character" w:customStyle="1" w:styleId="TextonotapieCar150">
    <w:name w:val="Texto nota pie Car150"/>
    <w:aliases w:val="Texto nota pie Car Car1 Car146,Footnote Text Char Char Char Char Char Car2 Car146,Footnote Text Char Char Char Char Car2 Car146,Ref. de nota al pie1 Car1 Car146,FA Fu Car2 Car146,Footnote Text Char Char Char Car1 Car146"/>
    <w:basedOn w:val="Fuentedeprrafopredeter"/>
    <w:uiPriority w:val="99"/>
    <w:semiHidden/>
    <w:rPr>
      <w:rFonts w:cs="Times New Roman"/>
    </w:rPr>
  </w:style>
  <w:style w:type="character" w:customStyle="1" w:styleId="TextonotapieCar149">
    <w:name w:val="Texto nota pie Car149"/>
    <w:aliases w:val="Texto nota pie Car Car1 Car145,Footnote Text Char Char Char Char Char Car2 Car145,Footnote Text Char Char Char Char Car2 Car145,Ref. de nota al pie1 Car1 Car145,FA Fu Car2 Car145,Footnote Text Char Char Char Car1 Car145"/>
    <w:basedOn w:val="Fuentedeprrafopredeter"/>
    <w:uiPriority w:val="99"/>
    <w:semiHidden/>
    <w:rPr>
      <w:rFonts w:cs="Times New Roman"/>
    </w:rPr>
  </w:style>
  <w:style w:type="character" w:customStyle="1" w:styleId="TextonotapieCar148">
    <w:name w:val="Texto nota pie Car148"/>
    <w:aliases w:val="Texto nota pie Car Car1 Car144,Footnote Text Char Char Char Char Char Car2 Car144,Footnote Text Char Char Char Char Car2 Car144,Ref. de nota al pie1 Car1 Car144,FA Fu Car2 Car144,Footnote Text Char Char Char Car1 Car144"/>
    <w:basedOn w:val="Fuentedeprrafopredeter"/>
    <w:uiPriority w:val="99"/>
    <w:semiHidden/>
    <w:rPr>
      <w:rFonts w:cs="Times New Roman"/>
    </w:rPr>
  </w:style>
  <w:style w:type="character" w:customStyle="1" w:styleId="TextonotapieCar147">
    <w:name w:val="Texto nota pie Car147"/>
    <w:aliases w:val="Texto nota pie Car Car1 Car143,Footnote Text Char Char Char Char Char Car2 Car143,Footnote Text Char Char Char Char Car2 Car143,Ref. de nota al pie1 Car1 Car143,FA Fu Car2 Car143,Footnote Text Char Char Char Car1 Car143"/>
    <w:basedOn w:val="Fuentedeprrafopredeter"/>
    <w:uiPriority w:val="99"/>
    <w:semiHidden/>
    <w:rPr>
      <w:rFonts w:cs="Times New Roman"/>
    </w:rPr>
  </w:style>
  <w:style w:type="character" w:customStyle="1" w:styleId="TextonotapieCar146">
    <w:name w:val="Texto nota pie Car146"/>
    <w:aliases w:val="Texto nota pie Car Car1 Car142,Footnote Text Char Char Char Char Char Car2 Car142,Footnote Text Char Char Char Char Car2 Car142,Ref. de nota al pie1 Car1 Car142,FA Fu Car2 Car142,Footnote Text Char Char Char Car1 Car142"/>
    <w:basedOn w:val="Fuentedeprrafopredeter"/>
    <w:uiPriority w:val="99"/>
    <w:semiHidden/>
    <w:rPr>
      <w:rFonts w:cs="Times New Roman"/>
    </w:rPr>
  </w:style>
  <w:style w:type="character" w:customStyle="1" w:styleId="TextonotapieCar145">
    <w:name w:val="Texto nota pie Car145"/>
    <w:aliases w:val="Texto nota pie Car Car1 Car141,Footnote Text Char Char Char Char Char Car2 Car141,Footnote Text Char Char Char Char Car2 Car141,Ref. de nota al pie1 Car1 Car141,FA Fu Car2 Car141,Footnote Text Char Char Char Car1 Car141"/>
    <w:basedOn w:val="Fuentedeprrafopredeter"/>
    <w:uiPriority w:val="99"/>
    <w:semiHidden/>
    <w:rPr>
      <w:rFonts w:cs="Times New Roman"/>
    </w:rPr>
  </w:style>
  <w:style w:type="character" w:customStyle="1" w:styleId="TextonotapieCar144">
    <w:name w:val="Texto nota pie Car144"/>
    <w:aliases w:val="Texto nota pie Car Car1 Car140,Footnote Text Char Char Char Char Char Car2 Car140,Footnote Text Char Char Char Char Car2 Car140,Ref. de nota al pie1 Car1 Car140,FA Fu Car2 Car140,Footnote Text Char Char Char Car1 Car140"/>
    <w:basedOn w:val="Fuentedeprrafopredeter"/>
    <w:uiPriority w:val="99"/>
    <w:semiHidden/>
    <w:rPr>
      <w:rFonts w:cs="Times New Roman"/>
    </w:rPr>
  </w:style>
  <w:style w:type="character" w:customStyle="1" w:styleId="TextonotapieCar143">
    <w:name w:val="Texto nota pie Car143"/>
    <w:aliases w:val="Texto nota pie Car Car1 Car139,Footnote Text Char Char Char Char Char Car2 Car139,Footnote Text Char Char Char Char Car2 Car139,Ref. de nota al pie1 Car1 Car139,FA Fu Car2 Car139,Footnote Text Char Char Char Car1 Car139"/>
    <w:basedOn w:val="Fuentedeprrafopredeter"/>
    <w:uiPriority w:val="99"/>
    <w:semiHidden/>
    <w:rPr>
      <w:rFonts w:cs="Times New Roman"/>
    </w:rPr>
  </w:style>
  <w:style w:type="character" w:customStyle="1" w:styleId="TextonotapieCar142">
    <w:name w:val="Texto nota pie Car142"/>
    <w:aliases w:val="Texto nota pie Car Car1 Car138,Footnote Text Char Char Char Char Char Car2 Car138,Footnote Text Char Char Char Char Car2 Car138,Ref. de nota al pie1 Car1 Car138,FA Fu Car2 Car138,Footnote Text Char Char Char Car1 Car138"/>
    <w:basedOn w:val="Fuentedeprrafopredeter"/>
    <w:uiPriority w:val="99"/>
    <w:semiHidden/>
    <w:rPr>
      <w:rFonts w:cs="Times New Roman"/>
    </w:rPr>
  </w:style>
  <w:style w:type="character" w:customStyle="1" w:styleId="TextonotapieCar141">
    <w:name w:val="Texto nota pie Car141"/>
    <w:aliases w:val="Texto nota pie Car Car1 Car137,Footnote Text Char Char Char Char Char Car2 Car137,Footnote Text Char Char Char Char Car2 Car137,Ref. de nota al pie1 Car1 Car137,FA Fu Car2 Car137,Footnote Text Char Char Char Car1 Car137"/>
    <w:basedOn w:val="Fuentedeprrafopredeter"/>
    <w:uiPriority w:val="99"/>
    <w:semiHidden/>
    <w:rPr>
      <w:rFonts w:cs="Times New Roman"/>
    </w:rPr>
  </w:style>
  <w:style w:type="character" w:customStyle="1" w:styleId="TextonotapieCar140">
    <w:name w:val="Texto nota pie Car140"/>
    <w:aliases w:val="Texto nota pie Car Car1 Car136,Footnote Text Char Char Char Char Char Car2 Car136,Footnote Text Char Char Char Char Car2 Car136,Ref. de nota al pie1 Car1 Car136,FA Fu Car2 Car136,Footnote Text Char Char Char Car1 Car136"/>
    <w:basedOn w:val="Fuentedeprrafopredeter"/>
    <w:uiPriority w:val="99"/>
    <w:semiHidden/>
    <w:rPr>
      <w:rFonts w:cs="Times New Roman"/>
    </w:rPr>
  </w:style>
  <w:style w:type="character" w:customStyle="1" w:styleId="TextonotapieCar139">
    <w:name w:val="Texto nota pie Car139"/>
    <w:aliases w:val="Texto nota pie Car Car1 Car135,Footnote Text Char Char Char Char Char Car2 Car135,Footnote Text Char Char Char Char Car2 Car135,Ref. de nota al pie1 Car1 Car135,FA Fu Car2 Car135,Footnote Text Char Char Char Car1 Car135"/>
    <w:basedOn w:val="Fuentedeprrafopredeter"/>
    <w:uiPriority w:val="99"/>
    <w:semiHidden/>
    <w:rPr>
      <w:rFonts w:cs="Times New Roman"/>
    </w:rPr>
  </w:style>
  <w:style w:type="character" w:customStyle="1" w:styleId="TextonotapieCar138">
    <w:name w:val="Texto nota pie Car138"/>
    <w:aliases w:val="Texto nota pie Car Car1 Car134,Footnote Text Char Char Char Char Char Car2 Car134,Footnote Text Char Char Char Char Car2 Car134,Ref. de nota al pie1 Car1 Car134,FA Fu Car2 Car134,Footnote Text Char Char Char Car1 Car134"/>
    <w:basedOn w:val="Fuentedeprrafopredeter"/>
    <w:uiPriority w:val="99"/>
    <w:semiHidden/>
    <w:rPr>
      <w:rFonts w:cs="Times New Roman"/>
    </w:rPr>
  </w:style>
  <w:style w:type="character" w:customStyle="1" w:styleId="TextonotapieCar137">
    <w:name w:val="Texto nota pie Car137"/>
    <w:aliases w:val="Texto nota pie Car Car1 Car133,Footnote Text Char Char Char Char Char Car2 Car133,Footnote Text Char Char Char Char Car2 Car133,Ref. de nota al pie1 Car1 Car133,FA Fu Car2 Car133,Footnote Text Char Char Char Car1 Car133"/>
    <w:basedOn w:val="Fuentedeprrafopredeter"/>
    <w:uiPriority w:val="99"/>
    <w:semiHidden/>
    <w:rPr>
      <w:rFonts w:cs="Times New Roman"/>
    </w:rPr>
  </w:style>
  <w:style w:type="character" w:customStyle="1" w:styleId="TextonotapieCar136">
    <w:name w:val="Texto nota pie Car136"/>
    <w:aliases w:val="Texto nota pie Car Car1 Car132,Footnote Text Char Char Char Char Char Car2 Car132,Footnote Text Char Char Char Char Car2 Car132,Ref. de nota al pie1 Car1 Car132,FA Fu Car2 Car132,Footnote Text Char Char Char Car1 Car132"/>
    <w:basedOn w:val="Fuentedeprrafopredeter"/>
    <w:uiPriority w:val="99"/>
    <w:semiHidden/>
    <w:rPr>
      <w:rFonts w:cs="Times New Roman"/>
      <w:lang w:val="es-ES" w:eastAsia="es-ES"/>
    </w:rPr>
  </w:style>
  <w:style w:type="character" w:customStyle="1" w:styleId="TextonotapieCar135">
    <w:name w:val="Texto nota pie Car135"/>
    <w:aliases w:val="Texto nota pie Car Car1 Car131,Footnote Text Char Char Char Char Char Car2 Car131,Footnote Text Char Char Char Char Car2 Car131,Ref. de nota al pie1 Car1 Car131,FA Fu Car2 Car131,Footnote Text Char Char Char Car1 Car131"/>
    <w:basedOn w:val="Fuentedeprrafopredeter"/>
    <w:uiPriority w:val="99"/>
    <w:semiHidden/>
    <w:rPr>
      <w:rFonts w:cs="Times New Roman"/>
    </w:rPr>
  </w:style>
  <w:style w:type="character" w:customStyle="1" w:styleId="TextonotapieCar134">
    <w:name w:val="Texto nota pie Car134"/>
    <w:aliases w:val="Texto nota pie Car Car1 Car130,Footnote Text Char Char Char Char Char Car2 Car130,Footnote Text Char Char Char Char Car2 Car130,Ref. de nota al pie1 Car1 Car130,FA Fu Car2 Car130,Footnote Text Char Char Char Car1 Car130"/>
    <w:basedOn w:val="Fuentedeprrafopredeter"/>
    <w:uiPriority w:val="99"/>
    <w:semiHidden/>
    <w:rPr>
      <w:rFonts w:cs="Times New Roman"/>
    </w:rPr>
  </w:style>
  <w:style w:type="character" w:customStyle="1" w:styleId="TextonotapieCar133">
    <w:name w:val="Texto nota pie Car133"/>
    <w:aliases w:val="Texto nota pie Car Car1 Car129,Footnote Text Char Char Char Char Char Car2 Car129,Footnote Text Char Char Char Char Car2 Car129,Ref. de nota al pie1 Car1 Car129,FA Fu Car2 Car129,Footnote Text Char Char Char Car1 Car129"/>
    <w:basedOn w:val="Fuentedeprrafopredeter"/>
    <w:uiPriority w:val="99"/>
    <w:semiHidden/>
    <w:rPr>
      <w:rFonts w:cs="Times New Roman"/>
    </w:rPr>
  </w:style>
  <w:style w:type="character" w:customStyle="1" w:styleId="TextonotapieCar132">
    <w:name w:val="Texto nota pie Car132"/>
    <w:aliases w:val="Texto nota pie Car Car1 Car128,Footnote Text Char Char Char Char Char Car2 Car128,Footnote Text Char Char Char Char Car2 Car128,Ref. de nota al pie1 Car1 Car128,FA Fu Car2 Car128,Footnote Text Char Char Char Car1 Car128"/>
    <w:basedOn w:val="Fuentedeprrafopredeter"/>
    <w:uiPriority w:val="99"/>
    <w:semiHidden/>
    <w:rPr>
      <w:rFonts w:cs="Times New Roman"/>
    </w:rPr>
  </w:style>
  <w:style w:type="character" w:customStyle="1" w:styleId="TextonotapieCar131">
    <w:name w:val="Texto nota pie Car131"/>
    <w:aliases w:val="Texto nota pie Car Car1 Car127,Footnote Text Char Char Char Char Char Car2 Car127,Footnote Text Char Char Char Char Car2 Car127,Ref. de nota al pie1 Car1 Car127,FA Fu Car2 Car127,Footnote Text Char Char Char Car1 Car127"/>
    <w:basedOn w:val="Fuentedeprrafopredeter"/>
    <w:uiPriority w:val="99"/>
    <w:semiHidden/>
    <w:rPr>
      <w:rFonts w:cs="Times New Roman"/>
    </w:rPr>
  </w:style>
  <w:style w:type="character" w:customStyle="1" w:styleId="TextonotapieCar130">
    <w:name w:val="Texto nota pie Car130"/>
    <w:aliases w:val="Texto nota pie Car Car1 Car126,Footnote Text Char Char Char Char Char Car2 Car126,Footnote Text Char Char Char Char Car2 Car126,Ref. de nota al pie1 Car1 Car126,FA Fu Car2 Car126,Footnote Text Char Char Char Car1 Car126"/>
    <w:basedOn w:val="Fuentedeprrafopredeter"/>
    <w:uiPriority w:val="99"/>
    <w:semiHidden/>
    <w:rPr>
      <w:rFonts w:cs="Times New Roman"/>
    </w:rPr>
  </w:style>
  <w:style w:type="character" w:customStyle="1" w:styleId="TextonotapieCar129">
    <w:name w:val="Texto nota pie Car129"/>
    <w:aliases w:val="Texto nota pie Car Car1 Car125,Footnote Text Char Char Char Char Char Car2 Car125,Footnote Text Char Char Char Char Car2 Car125,Ref. de nota al pie1 Car1 Car125,FA Fu Car2 Car125,Footnote Text Char Char Char Car1 Car125"/>
    <w:basedOn w:val="Fuentedeprrafopredeter"/>
    <w:uiPriority w:val="99"/>
    <w:semiHidden/>
    <w:rPr>
      <w:rFonts w:cs="Times New Roman"/>
    </w:rPr>
  </w:style>
  <w:style w:type="character" w:customStyle="1" w:styleId="TextonotapieCar128">
    <w:name w:val="Texto nota pie Car128"/>
    <w:aliases w:val="Texto nota pie Car Car1 Car124,Footnote Text Char Char Char Char Char Car2 Car124,Footnote Text Char Char Char Char Car2 Car124,Ref. de nota al pie1 Car1 Car124,FA Fu Car2 Car124,Footnote Text Char Char Char Car1 Car124"/>
    <w:basedOn w:val="Fuentedeprrafopredeter"/>
    <w:uiPriority w:val="99"/>
    <w:semiHidden/>
    <w:rPr>
      <w:rFonts w:cs="Times New Roman"/>
    </w:rPr>
  </w:style>
  <w:style w:type="character" w:customStyle="1" w:styleId="TextonotapieCar127">
    <w:name w:val="Texto nota pie Car127"/>
    <w:aliases w:val="Texto nota pie Car Car1 Car123,Footnote Text Char Char Char Char Char Car2 Car123,Footnote Text Char Char Char Char Car2 Car123,Ref. de nota al pie1 Car1 Car123,FA Fu Car2 Car123,Footnote Text Char Char Char Car1 Car123"/>
    <w:basedOn w:val="Fuentedeprrafopredeter"/>
    <w:uiPriority w:val="99"/>
    <w:semiHidden/>
    <w:rPr>
      <w:rFonts w:cs="Times New Roman"/>
    </w:rPr>
  </w:style>
  <w:style w:type="character" w:customStyle="1" w:styleId="TextonotapieCar126">
    <w:name w:val="Texto nota pie Car126"/>
    <w:aliases w:val="Texto nota pie Car Car1 Car122,Footnote Text Char Char Char Char Char Car2 Car122,Footnote Text Char Char Char Char Car2 Car122,Ref. de nota al pie1 Car1 Car122,FA Fu Car2 Car122,Footnote Text Char Char Char Car1 Car122"/>
    <w:basedOn w:val="Fuentedeprrafopredeter"/>
    <w:uiPriority w:val="99"/>
    <w:semiHidden/>
    <w:rPr>
      <w:rFonts w:cs="Times New Roman"/>
    </w:rPr>
  </w:style>
  <w:style w:type="character" w:customStyle="1" w:styleId="TextonotapieCar125">
    <w:name w:val="Texto nota pie Car125"/>
    <w:aliases w:val="Texto nota pie Car Car1 Car121,Footnote Text Char Char Char Char Char Car2 Car121,Footnote Text Char Char Char Char Car2 Car121,Ref. de nota al pie1 Car1 Car121,FA Fu Car2 Car121,Footnote Text Char Char Char Car1 Car121"/>
    <w:basedOn w:val="Fuentedeprrafopredeter"/>
    <w:uiPriority w:val="99"/>
    <w:semiHidden/>
    <w:rPr>
      <w:rFonts w:cs="Times New Roman"/>
    </w:rPr>
  </w:style>
  <w:style w:type="character" w:customStyle="1" w:styleId="TextonotapieCar124">
    <w:name w:val="Texto nota pie Car124"/>
    <w:aliases w:val="Texto nota pie Car Car1 Car120,Footnote Text Char Char Char Char Char Car2 Car120,Footnote Text Char Char Char Char Car2 Car120,Ref. de nota al pie1 Car1 Car120,FA Fu Car2 Car120,Footnote Text Char Char Char Car1 Car120"/>
    <w:basedOn w:val="Fuentedeprrafopredeter"/>
    <w:uiPriority w:val="99"/>
    <w:semiHidden/>
    <w:rPr>
      <w:rFonts w:cs="Times New Roman"/>
    </w:rPr>
  </w:style>
  <w:style w:type="character" w:customStyle="1" w:styleId="TextonotapieCar123">
    <w:name w:val="Texto nota pie Car123"/>
    <w:aliases w:val="Texto nota pie Car Car1 Car119,Footnote Text Char Char Char Char Char Car2 Car119,Footnote Text Char Char Char Char Car2 Car119,Ref. de nota al pie1 Car1 Car119,FA Fu Car2 Car119,Footnote Text Char Char Char Car1 Car119"/>
    <w:basedOn w:val="Fuentedeprrafopredeter"/>
    <w:uiPriority w:val="99"/>
    <w:semiHidden/>
    <w:rPr>
      <w:rFonts w:cs="Times New Roman"/>
    </w:rPr>
  </w:style>
  <w:style w:type="character" w:customStyle="1" w:styleId="TextonotapieCar122">
    <w:name w:val="Texto nota pie Car122"/>
    <w:aliases w:val="Texto nota pie Car Car1 Car118,Footnote Text Char Char Char Char Char Car2 Car118,Footnote Text Char Char Char Char Car2 Car118,Ref. de nota al pie1 Car1 Car118,FA Fu Car2 Car118,Footnote Text Char Char Char Car1 Car118"/>
    <w:basedOn w:val="Fuentedeprrafopredeter"/>
    <w:uiPriority w:val="99"/>
    <w:semiHidden/>
    <w:rPr>
      <w:rFonts w:cs="Times New Roman"/>
    </w:rPr>
  </w:style>
  <w:style w:type="character" w:customStyle="1" w:styleId="TextonotapieCar121">
    <w:name w:val="Texto nota pie Car121"/>
    <w:aliases w:val="Texto nota pie Car Car1 Car117,Footnote Text Char Char Char Char Char Car2 Car117,Footnote Text Char Char Char Char Car2 Car117,Ref. de nota al pie1 Car1 Car117,FA Fu Car2 Car117,Footnote Text Char Char Char Car1 Car117"/>
    <w:basedOn w:val="Fuentedeprrafopredeter"/>
    <w:uiPriority w:val="99"/>
    <w:semiHidden/>
    <w:rPr>
      <w:rFonts w:cs="Times New Roman"/>
    </w:rPr>
  </w:style>
  <w:style w:type="character" w:customStyle="1" w:styleId="TextonotapieCar120">
    <w:name w:val="Texto nota pie Car120"/>
    <w:aliases w:val="Texto nota pie Car Car1 Car116,Footnote Text Char Char Char Char Char Car2 Car116,Footnote Text Char Char Char Char Car2 Car116,Ref. de nota al pie1 Car1 Car116,FA Fu Car2 Car116,Footnote Text Char Char Char Car1 Car116"/>
    <w:basedOn w:val="Fuentedeprrafopredeter"/>
    <w:uiPriority w:val="99"/>
    <w:semiHidden/>
    <w:rPr>
      <w:rFonts w:cs="Times New Roman"/>
    </w:rPr>
  </w:style>
  <w:style w:type="character" w:customStyle="1" w:styleId="TextonotapieCar119">
    <w:name w:val="Texto nota pie Car119"/>
    <w:aliases w:val="Texto nota pie Car Car1 Car115,Footnote Text Char Char Char Char Char Car2 Car115,Footnote Text Char Char Char Char Car2 Car115,Ref. de nota al pie1 Car1 Car115,FA Fu Car2 Car115,Footnote Text Char Char Char Car1 Car115"/>
    <w:basedOn w:val="Fuentedeprrafopredeter"/>
    <w:uiPriority w:val="99"/>
    <w:semiHidden/>
    <w:rPr>
      <w:rFonts w:cs="Times New Roman"/>
    </w:rPr>
  </w:style>
  <w:style w:type="character" w:customStyle="1" w:styleId="TextonotapieCar118">
    <w:name w:val="Texto nota pie Car118"/>
    <w:aliases w:val="Texto nota pie Car Car1 Car114,Footnote Text Char Char Char Char Char Car2 Car114,Footnote Text Char Char Char Char Car2 Car114,Ref. de nota al pie1 Car1 Car114,FA Fu Car2 Car114,Footnote Text Char Char Char Car1 Car114"/>
    <w:basedOn w:val="Fuentedeprrafopredeter"/>
    <w:uiPriority w:val="99"/>
    <w:semiHidden/>
    <w:rPr>
      <w:rFonts w:cs="Times New Roman"/>
    </w:rPr>
  </w:style>
  <w:style w:type="character" w:customStyle="1" w:styleId="TextonotapieCar117">
    <w:name w:val="Texto nota pie Car117"/>
    <w:aliases w:val="Texto nota pie Car Car1 Car113,Footnote Text Char Char Char Char Char Car2 Car113,Footnote Text Char Char Char Char Car2 Car113,Ref. de nota al pie1 Car1 Car113,FA Fu Car2 Car113,Footnote Text Char Char Char Car1 Car113"/>
    <w:basedOn w:val="Fuentedeprrafopredeter"/>
    <w:uiPriority w:val="99"/>
    <w:semiHidden/>
    <w:rPr>
      <w:rFonts w:cs="Times New Roman"/>
    </w:rPr>
  </w:style>
  <w:style w:type="character" w:customStyle="1" w:styleId="TextonotapieCar116">
    <w:name w:val="Texto nota pie Car116"/>
    <w:aliases w:val="Texto nota pie Car Car1 Car112,Footnote Text Char Char Char Char Char Car2 Car112,Footnote Text Char Char Char Char Car2 Car112,Ref. de nota al pie1 Car1 Car112,FA Fu Car2 Car112,Footnote Text Char Char Char Car1 Car112"/>
    <w:basedOn w:val="Fuentedeprrafopredeter"/>
    <w:uiPriority w:val="99"/>
    <w:semiHidden/>
    <w:rPr>
      <w:rFonts w:cs="Times New Roman"/>
    </w:rPr>
  </w:style>
  <w:style w:type="character" w:customStyle="1" w:styleId="TextonotapieCar115">
    <w:name w:val="Texto nota pie Car115"/>
    <w:aliases w:val="Texto nota pie Car Car1 Car111,Footnote Text Char Char Char Char Char Car2 Car111,Footnote Text Char Char Char Char Car2 Car111,Ref. de nota al pie1 Car1 Car111,FA Fu Car2 Car111,Footnote Text Char Char Char Car1 Car111"/>
    <w:basedOn w:val="Fuentedeprrafopredeter"/>
    <w:uiPriority w:val="99"/>
    <w:semiHidden/>
    <w:rPr>
      <w:rFonts w:cs="Times New Roman"/>
    </w:rPr>
  </w:style>
  <w:style w:type="character" w:customStyle="1" w:styleId="TextonotapieCar114">
    <w:name w:val="Texto nota pie Car114"/>
    <w:aliases w:val="Texto nota pie Car Car1 Car110,Footnote Text Char Char Char Char Char Car2 Car110,Footnote Text Char Char Char Char Car2 Car110,Ref. de nota al pie1 Car1 Car110,FA Fu Car2 Car110,Footnote Text Char Char Char Car1 Car110"/>
    <w:basedOn w:val="Fuentedeprrafopredeter"/>
    <w:uiPriority w:val="99"/>
    <w:semiHidden/>
    <w:rPr>
      <w:rFonts w:cs="Times New Roman"/>
    </w:rPr>
  </w:style>
  <w:style w:type="character" w:customStyle="1" w:styleId="TextonotapieCar113">
    <w:name w:val="Texto nota pie Car113"/>
    <w:aliases w:val="Texto nota pie Car Car1 Car19,Footnote Text Char Char Char Char Char Car2 Car19,Footnote Text Char Char Char Char Car2 Car19,Ref. de nota al pie1 Car1 Car19,FA Fu Car2 Car19,Footnote Text Char Char Char Car1 Car19"/>
    <w:basedOn w:val="Fuentedeprrafopredeter"/>
    <w:uiPriority w:val="99"/>
    <w:semiHidden/>
    <w:rPr>
      <w:rFonts w:cs="Times New Roman"/>
    </w:rPr>
  </w:style>
  <w:style w:type="character" w:customStyle="1" w:styleId="TextonotapieCar112">
    <w:name w:val="Texto nota pie Car112"/>
    <w:aliases w:val="Texto nota pie Car Car1 Car18,Footnote Text Char Char Char Char Char Car2 Car18,Footnote Text Char Char Char Char Car2 Car18,Ref. de nota al pie1 Car1 Car18,FA Fu Car2 Car18,Footnote Text Char Char Char Car1 Car18"/>
    <w:basedOn w:val="Fuentedeprrafopredeter"/>
    <w:uiPriority w:val="99"/>
    <w:semiHidden/>
    <w:rPr>
      <w:rFonts w:cs="Times New Roman"/>
    </w:rPr>
  </w:style>
  <w:style w:type="character" w:customStyle="1" w:styleId="TextonotapieCar111">
    <w:name w:val="Texto nota pie Car111"/>
    <w:aliases w:val="Texto nota pie Car Car1 Car17,Footnote Text Char Char Char Char Char Car2 Car17,Footnote Text Char Char Char Char Car2 Car17,Ref. de nota al pie1 Car1 Car17,FA Fu Car2 Car17,Footnote Text Char Char Char Car1 Car17"/>
    <w:basedOn w:val="Fuentedeprrafopredeter"/>
    <w:uiPriority w:val="99"/>
    <w:semiHidden/>
    <w:rPr>
      <w:rFonts w:cs="Times New Roman"/>
    </w:rPr>
  </w:style>
  <w:style w:type="character" w:customStyle="1" w:styleId="TextonotapieCar110">
    <w:name w:val="Texto nota pie Car110"/>
    <w:aliases w:val="Texto nota pie Car Car1 Car16,Footnote Text Char Char Char Char Char Car2 Car16,Footnote Text Char Char Char Char Car2 Car16,Ref. de nota al pie1 Car1 Car16,FA Fu Car2 Car16,Footnote Text Char Char Char Car1 Car16"/>
    <w:basedOn w:val="Fuentedeprrafopredeter"/>
    <w:uiPriority w:val="99"/>
    <w:semiHidden/>
    <w:rPr>
      <w:rFonts w:cs="Times New Roman"/>
    </w:rPr>
  </w:style>
  <w:style w:type="character" w:customStyle="1" w:styleId="TextonotapieCar19">
    <w:name w:val="Texto nota pie Car19"/>
    <w:aliases w:val="Texto nota pie Car Car1 Car15,Footnote Text Char Char Char Char Char Car2 Car15,Footnote Text Char Char Char Char Car2 Car15,Ref. de nota al pie1 Car1 Car15,FA Fu Car2 Car15,Footnote Text Char Char Char Car1 Car15"/>
    <w:basedOn w:val="Fuentedeprrafopredeter"/>
    <w:uiPriority w:val="99"/>
    <w:semiHidden/>
    <w:rPr>
      <w:rFonts w:cs="Times New Roman"/>
    </w:rPr>
  </w:style>
  <w:style w:type="character" w:customStyle="1" w:styleId="TextonotapieCar18">
    <w:name w:val="Texto nota pie Car18"/>
    <w:aliases w:val="Texto nota pie Car Car1 Car14,Footnote Text Char Char Char Char Char Car2 Car14,Footnote Text Char Char Char Char Car2 Car14,Ref. de nota al pie1 Car1 Car14,FA Fu Car2 Car14,Footnote Text Char Char Char Car1 Car14"/>
    <w:basedOn w:val="Fuentedeprrafopredeter"/>
    <w:uiPriority w:val="99"/>
    <w:semiHidden/>
    <w:rPr>
      <w:rFonts w:cs="Times New Roman"/>
    </w:rPr>
  </w:style>
  <w:style w:type="character" w:customStyle="1" w:styleId="TextonotapieCar17">
    <w:name w:val="Texto nota pie Car17"/>
    <w:aliases w:val="Texto nota pie Car Car1 Car13,Footnote Text Char Char Char Char Char Car2 Car13,Footnote Text Char Char Char Char Car2 Car13,Ref. de nota al pie1 Car1 Car13,FA Fu Car2 Car13,Footnote Text Char Char Char Car1 Car13"/>
    <w:basedOn w:val="Fuentedeprrafopredeter"/>
    <w:uiPriority w:val="99"/>
    <w:semiHidden/>
    <w:rPr>
      <w:rFonts w:cs="Times New Roman"/>
    </w:rPr>
  </w:style>
  <w:style w:type="character" w:customStyle="1" w:styleId="TextonotapieCar16">
    <w:name w:val="Texto nota pie Car16"/>
    <w:aliases w:val="Texto nota pie Car Car1 Car12,Footnote Text Char Char Char Char Char Car2 Car12,Footnote Text Char Char Char Char Car2 Car12,Ref. de nota al pie1 Car1 Car12,FA Fu Car2 Car12,Footnote Text Char Char Char Car1 Car12"/>
    <w:basedOn w:val="Fuentedeprrafopredeter"/>
    <w:uiPriority w:val="99"/>
    <w:semiHidden/>
    <w:rPr>
      <w:rFonts w:cs="Times New Roman"/>
    </w:rPr>
  </w:style>
  <w:style w:type="character" w:customStyle="1" w:styleId="TextonotapieCar15">
    <w:name w:val="Texto nota pie Car15"/>
    <w:aliases w:val="Texto nota pie Car Car1 Car11,Footnote Text Char Char Char Char Char Car2 Car11,Footnote Text Char Char Char Char Car2 Car11,Ref. de nota al pie1 Car1 Car11,FA Fu Car2 Car11,Footnote Text Char Char Char Car1 Car11"/>
    <w:basedOn w:val="Fuentedeprrafopredeter"/>
    <w:uiPriority w:val="99"/>
    <w:semiHidden/>
    <w:rPr>
      <w:rFonts w:cs="Times New Roman"/>
    </w:rPr>
  </w:style>
  <w:style w:type="character" w:customStyle="1" w:styleId="TextonotapieCar14">
    <w:name w:val="Texto nota pie Car14"/>
    <w:aliases w:val="Texto nota pie Car Car,Footnote Text Char Char Char Char Char Car,Footnote Text Char Char Char Char Car,Ref. de nota al pie1 Car,FA Fu Car,Footnote Text Char Char Char Car,Footnote Text Char Car,Footnote refe Car"/>
    <w:uiPriority w:val="99"/>
    <w:semiHidden/>
    <w:rPr>
      <w:sz w:val="20"/>
      <w:lang w:val="es-ES" w:eastAsia="es-ES"/>
    </w:rPr>
  </w:style>
  <w:style w:type="character" w:customStyle="1" w:styleId="TextonotapieCar13">
    <w:name w:val="Texto nota pie Car13"/>
    <w:aliases w:val="Texto nota pie Car Car3,Footnote Text Char Char Char Char Char Car4,Footnote Text Char Char Char Char Car4,Ref. de nota al pie1 Car3,FA Fu Car4,Footnote Text Char Char Char Car3,Footnote Text Char Car4,Footnote refe Car2"/>
    <w:uiPriority w:val="99"/>
    <w:semiHidden/>
    <w:rPr>
      <w:sz w:val="20"/>
      <w:lang w:val="es-ES" w:eastAsia="es-ES"/>
    </w:rPr>
  </w:style>
  <w:style w:type="character" w:customStyle="1" w:styleId="TextonotapieCar12">
    <w:name w:val="Texto nota pie Car12"/>
    <w:aliases w:val="Texto nota pie Car Car2,Footnote Text Char Char Char Char Char Car3,Footnote Text Char Char Char Char Car3,Ref. de nota al pie1 Car2,FA Fu Car3,Footnote Text Char Char Char Car2,Footnote Text Char Car3,Footnote refe Car1"/>
    <w:uiPriority w:val="99"/>
    <w:semiHidden/>
    <w:rPr>
      <w:sz w:val="20"/>
      <w:lang w:val="es-ES" w:eastAsia="es-ES"/>
    </w:rPr>
  </w:style>
  <w:style w:type="paragraph" w:styleId="Piedepgina">
    <w:name w:val="footer"/>
    <w:basedOn w:val="Normal"/>
    <w:link w:val="PiedepginaCar"/>
    <w:uiPriority w:val="99"/>
    <w:rsid w:val="00D34F3D"/>
    <w:pPr>
      <w:tabs>
        <w:tab w:val="center" w:pos="4419"/>
        <w:tab w:val="right" w:pos="8838"/>
      </w:tabs>
    </w:pPr>
  </w:style>
  <w:style w:type="character" w:customStyle="1" w:styleId="PiedepginaCar">
    <w:name w:val="Pie de página Car"/>
    <w:basedOn w:val="Fuentedeprrafopredeter"/>
    <w:link w:val="Piedepgina"/>
    <w:uiPriority w:val="99"/>
    <w:locked/>
    <w:rPr>
      <w:rFonts w:cs="Times New Roman"/>
      <w:sz w:val="28"/>
      <w:lang w:val="es-ES" w:eastAsia="es-ES"/>
    </w:rPr>
  </w:style>
  <w:style w:type="character" w:styleId="Nmerodepgina">
    <w:name w:val="page number"/>
    <w:basedOn w:val="Fuentedeprrafopredeter"/>
    <w:uiPriority w:val="99"/>
    <w:rsid w:val="00D34F3D"/>
    <w:rPr>
      <w:rFonts w:cs="Times New Roman"/>
    </w:rPr>
  </w:style>
  <w:style w:type="paragraph" w:styleId="Encabezado">
    <w:name w:val="header"/>
    <w:basedOn w:val="Normal"/>
    <w:link w:val="EncabezadoCar"/>
    <w:uiPriority w:val="99"/>
    <w:rsid w:val="00D34F3D"/>
    <w:pPr>
      <w:tabs>
        <w:tab w:val="center" w:pos="4419"/>
        <w:tab w:val="right" w:pos="8838"/>
      </w:tabs>
    </w:pPr>
  </w:style>
  <w:style w:type="character" w:customStyle="1" w:styleId="EncabezadoCar">
    <w:name w:val="Encabezado Car"/>
    <w:basedOn w:val="Fuentedeprrafopredeter"/>
    <w:link w:val="Encabezado"/>
    <w:uiPriority w:val="99"/>
    <w:locked/>
    <w:rPr>
      <w:rFonts w:cs="Times New Roman"/>
      <w:sz w:val="28"/>
      <w:lang w:val="es-ES" w:eastAsia="es-ES"/>
    </w:rPr>
  </w:style>
  <w:style w:type="paragraph" w:styleId="Textoindependiente">
    <w:name w:val="Body Text"/>
    <w:basedOn w:val="Normal"/>
    <w:link w:val="TextoindependienteCar"/>
    <w:uiPriority w:val="99"/>
    <w:rsid w:val="00D34F3D"/>
    <w:pPr>
      <w:spacing w:after="120"/>
    </w:pPr>
  </w:style>
  <w:style w:type="character" w:customStyle="1" w:styleId="TextoindependienteCar">
    <w:name w:val="Texto independiente Car"/>
    <w:basedOn w:val="Fuentedeprrafopredeter"/>
    <w:link w:val="Textoindependiente"/>
    <w:uiPriority w:val="99"/>
    <w:locked/>
    <w:rPr>
      <w:rFonts w:cs="Times New Roman"/>
      <w:sz w:val="28"/>
      <w:lang w:val="es-ES" w:eastAsia="es-ES"/>
    </w:rPr>
  </w:style>
  <w:style w:type="paragraph" w:styleId="Ttulo">
    <w:name w:val="Title"/>
    <w:basedOn w:val="Normal"/>
    <w:link w:val="TtuloCar"/>
    <w:uiPriority w:val="99"/>
    <w:qFormat/>
    <w:rsid w:val="00D34F3D"/>
    <w:pPr>
      <w:jc w:val="center"/>
    </w:pPr>
    <w:rPr>
      <w:b/>
    </w:rPr>
  </w:style>
  <w:style w:type="paragraph" w:styleId="Textoindependiente3">
    <w:name w:val="Body Text 3"/>
    <w:basedOn w:val="Normal"/>
    <w:link w:val="Textoindependiente3Car"/>
    <w:uiPriority w:val="99"/>
    <w:rsid w:val="00D34F3D"/>
    <w:pPr>
      <w:spacing w:after="120"/>
    </w:pPr>
    <w:rPr>
      <w:sz w:val="16"/>
      <w:szCs w:val="16"/>
    </w:rPr>
  </w:style>
  <w:style w:type="character" w:customStyle="1" w:styleId="TtuloCar">
    <w:name w:val="Título Car"/>
    <w:basedOn w:val="Fuentedeprrafopredeter"/>
    <w:link w:val="Ttulo"/>
    <w:uiPriority w:val="99"/>
    <w:locked/>
    <w:rPr>
      <w:rFonts w:ascii="Cambria" w:hAnsi="Cambria" w:cs="Times New Roman"/>
      <w:b/>
      <w:kern w:val="28"/>
      <w:sz w:val="32"/>
      <w:lang w:val="es-ES" w:eastAsia="es-ES"/>
    </w:rPr>
  </w:style>
  <w:style w:type="character" w:customStyle="1" w:styleId="Textoindependiente3Car">
    <w:name w:val="Texto independiente 3 Car"/>
    <w:basedOn w:val="Fuentedeprrafopredeter"/>
    <w:link w:val="Textoindependiente3"/>
    <w:uiPriority w:val="99"/>
    <w:semiHidden/>
    <w:locked/>
    <w:rPr>
      <w:rFonts w:cs="Times New Roman"/>
      <w:sz w:val="16"/>
      <w:lang w:val="es-ES" w:eastAsia="es-ES"/>
    </w:rPr>
  </w:style>
  <w:style w:type="paragraph" w:customStyle="1" w:styleId="sangradetindependiente">
    <w:name w:val="sangradetindependiente"/>
    <w:basedOn w:val="Normal"/>
    <w:uiPriority w:val="99"/>
    <w:rsid w:val="00D34F3D"/>
    <w:pPr>
      <w:spacing w:before="100" w:beforeAutospacing="1" w:after="100" w:afterAutospacing="1"/>
    </w:pPr>
    <w:rPr>
      <w:sz w:val="24"/>
      <w:szCs w:val="24"/>
    </w:rPr>
  </w:style>
  <w:style w:type="paragraph" w:styleId="Sinespaciado">
    <w:name w:val="No Spacing"/>
    <w:uiPriority w:val="1"/>
    <w:qFormat/>
    <w:rsid w:val="00D34F3D"/>
    <w:rPr>
      <w:sz w:val="24"/>
      <w:szCs w:val="24"/>
      <w:lang w:val="es-ES" w:eastAsia="es-ES"/>
    </w:rPr>
  </w:style>
  <w:style w:type="character" w:styleId="Refdecomentario">
    <w:name w:val="annotation reference"/>
    <w:basedOn w:val="Fuentedeprrafopredeter"/>
    <w:uiPriority w:val="99"/>
    <w:semiHidden/>
    <w:rsid w:val="00101FCF"/>
    <w:rPr>
      <w:rFonts w:cs="Times New Roman"/>
      <w:sz w:val="16"/>
    </w:rPr>
  </w:style>
  <w:style w:type="paragraph" w:styleId="Textocomentario">
    <w:name w:val="annotation text"/>
    <w:basedOn w:val="Normal"/>
    <w:link w:val="TextocomentarioCar"/>
    <w:uiPriority w:val="99"/>
    <w:semiHidden/>
    <w:rsid w:val="00101FCF"/>
    <w:rPr>
      <w:sz w:val="20"/>
    </w:rPr>
  </w:style>
  <w:style w:type="character" w:customStyle="1" w:styleId="TextocomentarioCar">
    <w:name w:val="Texto comentario Car"/>
    <w:basedOn w:val="Fuentedeprrafopredeter"/>
    <w:link w:val="Textocomentario"/>
    <w:uiPriority w:val="99"/>
    <w:semiHidden/>
    <w:locked/>
    <w:rPr>
      <w:rFonts w:cs="Times New Roman"/>
      <w:sz w:val="20"/>
      <w:lang w:val="es-ES" w:eastAsia="es-ES"/>
    </w:rPr>
  </w:style>
  <w:style w:type="paragraph" w:styleId="Asuntodelcomentario">
    <w:name w:val="annotation subject"/>
    <w:basedOn w:val="Textocomentario"/>
    <w:next w:val="Textocomentario"/>
    <w:link w:val="AsuntodelcomentarioCar"/>
    <w:uiPriority w:val="99"/>
    <w:semiHidden/>
    <w:rsid w:val="00101FCF"/>
    <w:rPr>
      <w:b/>
      <w:bCs/>
    </w:rPr>
  </w:style>
  <w:style w:type="character" w:customStyle="1" w:styleId="AsuntodelcomentarioCar">
    <w:name w:val="Asunto del comentario Car"/>
    <w:basedOn w:val="TextocomentarioCar"/>
    <w:link w:val="Asuntodelcomentario"/>
    <w:uiPriority w:val="99"/>
    <w:semiHidden/>
    <w:locked/>
    <w:rPr>
      <w:rFonts w:cs="Times New Roman"/>
      <w:b/>
      <w:sz w:val="20"/>
      <w:lang w:val="es-ES" w:eastAsia="es-ES"/>
    </w:rPr>
  </w:style>
  <w:style w:type="character" w:customStyle="1" w:styleId="apple-converted-space">
    <w:name w:val="apple-converted-space"/>
    <w:rsid w:val="00E65220"/>
  </w:style>
  <w:style w:type="paragraph" w:customStyle="1" w:styleId="Car">
    <w:name w:val="Car"/>
    <w:basedOn w:val="Normal"/>
    <w:rsid w:val="00033759"/>
    <w:pPr>
      <w:spacing w:line="240" w:lineRule="exact"/>
    </w:pPr>
    <w:rPr>
      <w:noProof/>
      <w:color w:val="000000"/>
      <w:sz w:val="20"/>
    </w:rPr>
  </w:style>
  <w:style w:type="paragraph" w:styleId="NormalWeb">
    <w:name w:val="Normal (Web)"/>
    <w:basedOn w:val="Normal"/>
    <w:uiPriority w:val="99"/>
    <w:rsid w:val="009B30AB"/>
    <w:pPr>
      <w:spacing w:before="100" w:beforeAutospacing="1" w:after="100" w:afterAutospacing="1"/>
    </w:pPr>
    <w:rPr>
      <w:sz w:val="24"/>
      <w:szCs w:val="24"/>
    </w:rPr>
  </w:style>
  <w:style w:type="character" w:styleId="Hipervnculo">
    <w:name w:val="Hyperlink"/>
    <w:basedOn w:val="Fuentedeprrafopredeter"/>
    <w:uiPriority w:val="99"/>
    <w:rsid w:val="00BB7B96"/>
    <w:rPr>
      <w:rFonts w:cs="Times New Roman"/>
      <w:color w:val="0000FF"/>
      <w:u w:val="single"/>
    </w:rPr>
  </w:style>
  <w:style w:type="paragraph" w:styleId="Textodebloque">
    <w:name w:val="Block Text"/>
    <w:basedOn w:val="Normal"/>
    <w:uiPriority w:val="99"/>
    <w:rsid w:val="00153C5F"/>
    <w:pPr>
      <w:ind w:left="851" w:right="567"/>
      <w:jc w:val="both"/>
    </w:pPr>
    <w:rPr>
      <w:i/>
      <w:iCs/>
      <w:szCs w:val="28"/>
    </w:rPr>
  </w:style>
  <w:style w:type="paragraph" w:customStyle="1" w:styleId="CarCar9CarCarCarCarCarCar">
    <w:name w:val="Car Car9 Car Car Car Car Car Car"/>
    <w:basedOn w:val="Normal"/>
    <w:uiPriority w:val="99"/>
    <w:rsid w:val="00B66FD4"/>
    <w:pPr>
      <w:spacing w:line="240" w:lineRule="exact"/>
    </w:pPr>
    <w:rPr>
      <w:noProof/>
      <w:color w:val="000000"/>
      <w:sz w:val="20"/>
    </w:rPr>
  </w:style>
  <w:style w:type="paragraph" w:styleId="Textoindependiente2">
    <w:name w:val="Body Text 2"/>
    <w:basedOn w:val="Normal"/>
    <w:link w:val="Textoindependiente2Car"/>
    <w:uiPriority w:val="99"/>
    <w:rsid w:val="005F4BB6"/>
    <w:pPr>
      <w:spacing w:after="120" w:line="480" w:lineRule="auto"/>
    </w:pPr>
    <w:rPr>
      <w:szCs w:val="28"/>
    </w:rPr>
  </w:style>
  <w:style w:type="character" w:customStyle="1" w:styleId="Textoindependiente2Car">
    <w:name w:val="Texto independiente 2 Car"/>
    <w:basedOn w:val="Fuentedeprrafopredeter"/>
    <w:link w:val="Textoindependiente2"/>
    <w:uiPriority w:val="99"/>
    <w:semiHidden/>
    <w:locked/>
    <w:rPr>
      <w:rFonts w:cs="Times New Roman"/>
      <w:sz w:val="20"/>
      <w:lang w:val="es-ES" w:eastAsia="es-ES"/>
    </w:rPr>
  </w:style>
  <w:style w:type="paragraph" w:customStyle="1" w:styleId="NoSpacing1">
    <w:name w:val="No Spacing1"/>
    <w:uiPriority w:val="99"/>
    <w:rsid w:val="005F4BB6"/>
    <w:rPr>
      <w:sz w:val="24"/>
      <w:szCs w:val="24"/>
      <w:lang w:val="es-ES" w:eastAsia="es-ES"/>
    </w:rPr>
  </w:style>
  <w:style w:type="paragraph" w:styleId="Textoindependienteprimerasangra2">
    <w:name w:val="Body Text First Indent 2"/>
    <w:basedOn w:val="Sangradetextonormal"/>
    <w:link w:val="Textoindependienteprimerasangra2Car"/>
    <w:uiPriority w:val="99"/>
    <w:rsid w:val="0042725A"/>
    <w:pPr>
      <w:spacing w:after="120" w:line="240" w:lineRule="auto"/>
      <w:ind w:left="283" w:firstLine="210"/>
      <w:jc w:val="left"/>
    </w:pPr>
    <w:rPr>
      <w:i w:val="0"/>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locked/>
    <w:rPr>
      <w:rFonts w:cs="Times New Roman"/>
      <w:sz w:val="20"/>
      <w:lang w:val="es-ES" w:eastAsia="es-ES"/>
    </w:rPr>
  </w:style>
  <w:style w:type="paragraph" w:customStyle="1" w:styleId="CarCarCarCar">
    <w:name w:val="Car Car Car Car"/>
    <w:basedOn w:val="Normal"/>
    <w:uiPriority w:val="99"/>
    <w:rsid w:val="007A22FD"/>
    <w:pPr>
      <w:spacing w:line="240" w:lineRule="exact"/>
    </w:pPr>
    <w:rPr>
      <w:noProof/>
      <w:color w:val="000000"/>
      <w:sz w:val="20"/>
    </w:rPr>
  </w:style>
  <w:style w:type="paragraph" w:customStyle="1" w:styleId="msolistparagraph0">
    <w:name w:val="msolistparagraph"/>
    <w:basedOn w:val="Normal"/>
    <w:uiPriority w:val="99"/>
    <w:rsid w:val="00A22DDC"/>
    <w:pPr>
      <w:spacing w:before="100" w:beforeAutospacing="1" w:after="100" w:afterAutospacing="1"/>
    </w:pPr>
    <w:rPr>
      <w:sz w:val="24"/>
      <w:szCs w:val="24"/>
    </w:rPr>
  </w:style>
  <w:style w:type="paragraph" w:customStyle="1" w:styleId="Textonotaalpie">
    <w:name w:val="Texto nota al pie"/>
    <w:uiPriority w:val="99"/>
    <w:rsid w:val="0029198D"/>
    <w:pPr>
      <w:shd w:val="clear" w:color="auto" w:fill="FFFFFF"/>
      <w:spacing w:before="100" w:beforeAutospacing="1" w:after="100" w:afterAutospacing="1"/>
      <w:jc w:val="both"/>
    </w:pPr>
    <w:rPr>
      <w:sz w:val="24"/>
      <w:szCs w:val="24"/>
      <w:lang w:eastAsia="es-ES"/>
    </w:rPr>
  </w:style>
  <w:style w:type="character" w:customStyle="1" w:styleId="apple-style-span">
    <w:name w:val="apple-style-span"/>
    <w:rsid w:val="00440D51"/>
  </w:style>
  <w:style w:type="character" w:styleId="nfasis">
    <w:name w:val="Emphasis"/>
    <w:basedOn w:val="Fuentedeprrafopredeter"/>
    <w:uiPriority w:val="99"/>
    <w:qFormat/>
    <w:locked/>
    <w:rsid w:val="00612752"/>
    <w:rPr>
      <w:rFonts w:cs="Times New Roman"/>
      <w:i/>
    </w:rPr>
  </w:style>
  <w:style w:type="paragraph" w:styleId="Sangra2detindependiente">
    <w:name w:val="Body Text Indent 2"/>
    <w:basedOn w:val="Normal"/>
    <w:link w:val="Sangra2detindependienteCar"/>
    <w:uiPriority w:val="99"/>
    <w:rsid w:val="00E522C7"/>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uiPriority w:val="99"/>
    <w:semiHidden/>
    <w:locked/>
    <w:rPr>
      <w:rFonts w:cs="Times New Roman"/>
      <w:sz w:val="20"/>
      <w:lang w:val="es-ES" w:eastAsia="es-ES"/>
    </w:rPr>
  </w:style>
  <w:style w:type="character" w:customStyle="1" w:styleId="TextonotapieCar11">
    <w:name w:val="Texto nota pie Car11"/>
    <w:aliases w:val="Footnote Text Char Char Char Char Char Car1,Footnote Text Char Char Char Char Car1,Footnote reference Car1,FA Fu Car1,texto de nota al pie Car1,Footnote Text Char Car1,Footnote Text Char Char Char Char Char Char Char Char Car1"/>
    <w:uiPriority w:val="99"/>
    <w:locked/>
    <w:rsid w:val="005332AE"/>
    <w:rPr>
      <w:rFonts w:ascii="Calibri" w:hAnsi="Calibri"/>
      <w:lang w:val="es-CO" w:eastAsia="en-US"/>
    </w:rPr>
  </w:style>
  <w:style w:type="table" w:styleId="Tablaconcuadrcula">
    <w:name w:val="Table Grid"/>
    <w:basedOn w:val="Tablanormal"/>
    <w:uiPriority w:val="59"/>
    <w:rsid w:val="002B3BC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rsid w:val="00FF6556"/>
    <w:rPr>
      <w:rFonts w:cs="Times New Roman"/>
      <w:color w:val="800080"/>
      <w:u w:val="single"/>
    </w:rPr>
  </w:style>
  <w:style w:type="paragraph" w:styleId="Prrafodelista">
    <w:name w:val="List Paragraph"/>
    <w:basedOn w:val="Normal"/>
    <w:uiPriority w:val="34"/>
    <w:qFormat/>
    <w:rsid w:val="00537446"/>
    <w:pPr>
      <w:spacing w:before="100" w:beforeAutospacing="1" w:after="100" w:afterAutospacing="1"/>
    </w:pPr>
    <w:rPr>
      <w:sz w:val="24"/>
      <w:szCs w:val="24"/>
    </w:rPr>
  </w:style>
  <w:style w:type="paragraph" w:customStyle="1" w:styleId="CarCar9CarCarCarCar">
    <w:name w:val="Car Car9 Car Car Car Car"/>
    <w:basedOn w:val="Normal"/>
    <w:uiPriority w:val="99"/>
    <w:rsid w:val="00080449"/>
    <w:pPr>
      <w:spacing w:line="240" w:lineRule="exact"/>
    </w:pPr>
    <w:rPr>
      <w:noProof/>
      <w:color w:val="000000"/>
      <w:sz w:val="20"/>
    </w:rPr>
  </w:style>
  <w:style w:type="paragraph" w:customStyle="1" w:styleId="CarCar9CarCarCarCarCarCar1">
    <w:name w:val="Car Car9 Car Car Car Car Car Car1"/>
    <w:basedOn w:val="Normal"/>
    <w:uiPriority w:val="99"/>
    <w:rsid w:val="003F6DD7"/>
    <w:pPr>
      <w:spacing w:line="240" w:lineRule="exact"/>
    </w:pPr>
    <w:rPr>
      <w:noProof/>
      <w:color w:val="000000"/>
      <w:sz w:val="20"/>
    </w:rPr>
  </w:style>
  <w:style w:type="paragraph" w:customStyle="1" w:styleId="CarCar5CarCarCarCarCarCar">
    <w:name w:val="Car Car5 Car Car Car Car Car Car"/>
    <w:basedOn w:val="Normal"/>
    <w:uiPriority w:val="99"/>
    <w:rsid w:val="00793307"/>
    <w:pPr>
      <w:spacing w:line="240" w:lineRule="exact"/>
      <w:jc w:val="both"/>
    </w:pPr>
    <w:rPr>
      <w:rFonts w:ascii="Tahoma" w:hAnsi="Tahoma" w:cs="Tahoma"/>
      <w:sz w:val="20"/>
      <w:lang w:val="en-US" w:eastAsia="en-US"/>
    </w:rPr>
  </w:style>
  <w:style w:type="paragraph" w:customStyle="1" w:styleId="CarCar9CarCarCarCarCarCarCarCar">
    <w:name w:val="Car Car9 Car Car Car Car Car Car Car Car"/>
    <w:basedOn w:val="Normal"/>
    <w:uiPriority w:val="99"/>
    <w:rsid w:val="00B032C7"/>
    <w:pPr>
      <w:spacing w:line="240" w:lineRule="exact"/>
      <w:jc w:val="both"/>
    </w:pPr>
    <w:rPr>
      <w:rFonts w:ascii="Tahoma" w:hAnsi="Tahoma" w:cs="Tahoma"/>
      <w:sz w:val="20"/>
      <w:lang w:val="en-US" w:eastAsia="en-US"/>
    </w:rPr>
  </w:style>
  <w:style w:type="paragraph" w:customStyle="1" w:styleId="CarCar3">
    <w:name w:val="Car Car3"/>
    <w:basedOn w:val="Normal"/>
    <w:uiPriority w:val="99"/>
    <w:rsid w:val="00121ACE"/>
    <w:pPr>
      <w:spacing w:line="240" w:lineRule="exact"/>
      <w:jc w:val="both"/>
    </w:pPr>
    <w:rPr>
      <w:rFonts w:ascii="Tahoma" w:hAnsi="Tahoma" w:cs="Tahoma"/>
      <w:sz w:val="20"/>
      <w:lang w:val="en-US" w:eastAsia="en-US"/>
    </w:rPr>
  </w:style>
  <w:style w:type="character" w:styleId="Textoennegrita">
    <w:name w:val="Strong"/>
    <w:basedOn w:val="Fuentedeprrafopredeter"/>
    <w:uiPriority w:val="22"/>
    <w:qFormat/>
    <w:locked/>
    <w:rsid w:val="003C1F8A"/>
    <w:rPr>
      <w:rFonts w:cs="Times New Roman"/>
      <w:b/>
    </w:rPr>
  </w:style>
  <w:style w:type="paragraph" w:customStyle="1" w:styleId="textocaja">
    <w:name w:val="textocaja"/>
    <w:basedOn w:val="Normal"/>
    <w:rsid w:val="00B5566B"/>
    <w:pPr>
      <w:spacing w:before="100" w:beforeAutospacing="1" w:after="100" w:afterAutospacing="1"/>
    </w:pPr>
    <w:rPr>
      <w:sz w:val="24"/>
      <w:szCs w:val="24"/>
    </w:rPr>
  </w:style>
  <w:style w:type="paragraph" w:customStyle="1" w:styleId="CarCar5">
    <w:name w:val="Car Car5"/>
    <w:basedOn w:val="Normal"/>
    <w:rsid w:val="00AE4CC7"/>
    <w:pPr>
      <w:spacing w:line="240" w:lineRule="exact"/>
    </w:pPr>
    <w:rPr>
      <w:noProof/>
      <w:color w:val="000000"/>
      <w:sz w:val="20"/>
    </w:rPr>
  </w:style>
  <w:style w:type="paragraph" w:customStyle="1" w:styleId="CarCar3CarCar">
    <w:name w:val="Car Car3 Car Car"/>
    <w:basedOn w:val="Normal"/>
    <w:uiPriority w:val="99"/>
    <w:rsid w:val="00A1797F"/>
    <w:pPr>
      <w:spacing w:line="240" w:lineRule="exact"/>
      <w:jc w:val="both"/>
    </w:pPr>
    <w:rPr>
      <w:rFonts w:ascii="Tahoma" w:hAnsi="Tahoma" w:cs="Tahoma"/>
      <w:sz w:val="20"/>
      <w:lang w:val="en-US" w:eastAsia="en-US"/>
    </w:rPr>
  </w:style>
  <w:style w:type="paragraph" w:customStyle="1" w:styleId="Estilo">
    <w:name w:val="Estilo"/>
    <w:basedOn w:val="Normal"/>
    <w:rsid w:val="005E6BD7"/>
    <w:pPr>
      <w:spacing w:line="240" w:lineRule="exact"/>
    </w:pPr>
    <w:rPr>
      <w:noProof/>
      <w:color w:val="000000"/>
      <w:sz w:val="20"/>
    </w:rPr>
  </w:style>
  <w:style w:type="paragraph" w:styleId="Textonotaalfinal">
    <w:name w:val="endnote text"/>
    <w:basedOn w:val="Normal"/>
    <w:link w:val="TextonotaalfinalCar"/>
    <w:uiPriority w:val="99"/>
    <w:semiHidden/>
    <w:unhideWhenUsed/>
    <w:locked/>
    <w:rsid w:val="00201583"/>
    <w:pPr>
      <w:spacing w:after="0"/>
    </w:pPr>
    <w:rPr>
      <w:sz w:val="20"/>
    </w:rPr>
  </w:style>
  <w:style w:type="character" w:customStyle="1" w:styleId="TextonotaalfinalCar">
    <w:name w:val="Texto nota al final Car"/>
    <w:basedOn w:val="Fuentedeprrafopredeter"/>
    <w:link w:val="Textonotaalfinal"/>
    <w:uiPriority w:val="99"/>
    <w:semiHidden/>
    <w:locked/>
    <w:rsid w:val="00201583"/>
    <w:rPr>
      <w:rFonts w:cs="Times New Roman"/>
    </w:rPr>
  </w:style>
  <w:style w:type="character" w:styleId="Refdenotaalfinal">
    <w:name w:val="endnote reference"/>
    <w:basedOn w:val="Fuentedeprrafopredeter"/>
    <w:uiPriority w:val="99"/>
    <w:semiHidden/>
    <w:unhideWhenUsed/>
    <w:locked/>
    <w:rsid w:val="00201583"/>
    <w:rPr>
      <w:rFonts w:cs="Times New Roman"/>
      <w:vertAlign w:val="superscript"/>
    </w:rPr>
  </w:style>
  <w:style w:type="paragraph" w:customStyle="1" w:styleId="Estilo2">
    <w:name w:val="Estilo2"/>
    <w:basedOn w:val="Normal"/>
    <w:rsid w:val="00C45110"/>
    <w:pPr>
      <w:spacing w:after="0"/>
      <w:jc w:val="both"/>
    </w:pPr>
    <w:rPr>
      <w:rFonts w:ascii="Calibri" w:hAnsi="Calibri"/>
      <w:szCs w:val="28"/>
    </w:rPr>
  </w:style>
  <w:style w:type="paragraph" w:styleId="Lista">
    <w:name w:val="List"/>
    <w:basedOn w:val="Normal"/>
    <w:uiPriority w:val="99"/>
    <w:locked/>
    <w:rsid w:val="00753B44"/>
    <w:pPr>
      <w:autoSpaceDN w:val="0"/>
      <w:spacing w:after="0"/>
      <w:ind w:left="283" w:hanging="283"/>
      <w:contextualSpacing/>
    </w:pPr>
    <w:rPr>
      <w:sz w:val="20"/>
      <w:lang w:eastAsia="zh-CN"/>
    </w:rPr>
  </w:style>
  <w:style w:type="character" w:customStyle="1" w:styleId="textonotaalpiecar">
    <w:name w:val="textonotaalpiecar"/>
    <w:basedOn w:val="Fuentedeprrafopredeter"/>
    <w:rsid w:val="00FE3C80"/>
    <w:rPr>
      <w:rFonts w:cs="Times New Roman"/>
    </w:rPr>
  </w:style>
  <w:style w:type="paragraph" w:customStyle="1" w:styleId="Style23">
    <w:name w:val="Style23"/>
    <w:basedOn w:val="Normal"/>
    <w:uiPriority w:val="99"/>
    <w:rsid w:val="003307D4"/>
    <w:pPr>
      <w:widowControl w:val="0"/>
      <w:autoSpaceDE w:val="0"/>
      <w:autoSpaceDN w:val="0"/>
      <w:adjustRightInd w:val="0"/>
      <w:spacing w:after="0"/>
    </w:pPr>
    <w:rPr>
      <w:sz w:val="24"/>
      <w:szCs w:val="24"/>
    </w:rPr>
  </w:style>
  <w:style w:type="character" w:customStyle="1" w:styleId="FontStyle38">
    <w:name w:val="Font Style38"/>
    <w:uiPriority w:val="99"/>
    <w:rsid w:val="003307D4"/>
    <w:rPr>
      <w:rFonts w:ascii="Times New Roman" w:hAnsi="Times New Roman"/>
      <w:b/>
      <w:sz w:val="24"/>
    </w:rPr>
  </w:style>
  <w:style w:type="paragraph" w:customStyle="1" w:styleId="Style9">
    <w:name w:val="Style9"/>
    <w:basedOn w:val="Normal"/>
    <w:uiPriority w:val="99"/>
    <w:rsid w:val="00CB2731"/>
    <w:pPr>
      <w:widowControl w:val="0"/>
      <w:autoSpaceDE w:val="0"/>
      <w:autoSpaceDN w:val="0"/>
      <w:adjustRightInd w:val="0"/>
      <w:spacing w:after="0" w:line="325" w:lineRule="exact"/>
      <w:ind w:hanging="696"/>
      <w:jc w:val="both"/>
    </w:pPr>
    <w:rPr>
      <w:sz w:val="24"/>
      <w:szCs w:val="24"/>
    </w:rPr>
  </w:style>
  <w:style w:type="character" w:customStyle="1" w:styleId="FontStyle40">
    <w:name w:val="Font Style40"/>
    <w:uiPriority w:val="99"/>
    <w:rsid w:val="00CB2731"/>
    <w:rPr>
      <w:rFonts w:ascii="Times New Roman" w:hAnsi="Times New Roman"/>
      <w:sz w:val="24"/>
    </w:rPr>
  </w:style>
  <w:style w:type="paragraph" w:customStyle="1" w:styleId="Style2">
    <w:name w:val="Style2"/>
    <w:basedOn w:val="Normal"/>
    <w:uiPriority w:val="99"/>
    <w:rsid w:val="00F433FD"/>
    <w:pPr>
      <w:widowControl w:val="0"/>
      <w:autoSpaceDE w:val="0"/>
      <w:autoSpaceDN w:val="0"/>
      <w:adjustRightInd w:val="0"/>
      <w:spacing w:after="0" w:line="322" w:lineRule="exact"/>
      <w:jc w:val="both"/>
    </w:pPr>
    <w:rPr>
      <w:sz w:val="24"/>
      <w:szCs w:val="24"/>
    </w:rPr>
  </w:style>
  <w:style w:type="paragraph" w:customStyle="1" w:styleId="Style25">
    <w:name w:val="Style25"/>
    <w:basedOn w:val="Normal"/>
    <w:uiPriority w:val="99"/>
    <w:rsid w:val="00F433FD"/>
    <w:pPr>
      <w:widowControl w:val="0"/>
      <w:autoSpaceDE w:val="0"/>
      <w:autoSpaceDN w:val="0"/>
      <w:adjustRightInd w:val="0"/>
      <w:spacing w:after="0" w:line="317" w:lineRule="exact"/>
      <w:ind w:hanging="710"/>
    </w:pPr>
    <w:rPr>
      <w:sz w:val="24"/>
      <w:szCs w:val="24"/>
    </w:rPr>
  </w:style>
  <w:style w:type="paragraph" w:customStyle="1" w:styleId="Style4">
    <w:name w:val="Style4"/>
    <w:basedOn w:val="Normal"/>
    <w:uiPriority w:val="99"/>
    <w:rsid w:val="00BE0E48"/>
    <w:pPr>
      <w:widowControl w:val="0"/>
      <w:autoSpaceDE w:val="0"/>
      <w:autoSpaceDN w:val="0"/>
      <w:adjustRightInd w:val="0"/>
      <w:spacing w:after="0"/>
      <w:jc w:val="center"/>
    </w:pPr>
    <w:rPr>
      <w:sz w:val="24"/>
      <w:szCs w:val="24"/>
    </w:rPr>
  </w:style>
  <w:style w:type="paragraph" w:customStyle="1" w:styleId="Style10">
    <w:name w:val="Style10"/>
    <w:basedOn w:val="Normal"/>
    <w:uiPriority w:val="99"/>
    <w:rsid w:val="00BE0E48"/>
    <w:pPr>
      <w:widowControl w:val="0"/>
      <w:autoSpaceDE w:val="0"/>
      <w:autoSpaceDN w:val="0"/>
      <w:adjustRightInd w:val="0"/>
      <w:spacing w:after="0" w:line="235" w:lineRule="exact"/>
      <w:jc w:val="both"/>
    </w:pPr>
    <w:rPr>
      <w:sz w:val="24"/>
      <w:szCs w:val="24"/>
    </w:rPr>
  </w:style>
  <w:style w:type="character" w:customStyle="1" w:styleId="FontStyle39">
    <w:name w:val="Font Style39"/>
    <w:uiPriority w:val="99"/>
    <w:rsid w:val="00BE0E48"/>
    <w:rPr>
      <w:rFonts w:ascii="Times New Roman" w:hAnsi="Times New Roman"/>
      <w:b/>
      <w:sz w:val="18"/>
    </w:rPr>
  </w:style>
  <w:style w:type="paragraph" w:customStyle="1" w:styleId="Style26">
    <w:name w:val="Style26"/>
    <w:basedOn w:val="Normal"/>
    <w:uiPriority w:val="99"/>
    <w:rsid w:val="00DF2639"/>
    <w:pPr>
      <w:widowControl w:val="0"/>
      <w:autoSpaceDE w:val="0"/>
      <w:autoSpaceDN w:val="0"/>
      <w:adjustRightInd w:val="0"/>
      <w:spacing w:after="0" w:line="229" w:lineRule="exact"/>
      <w:jc w:val="both"/>
    </w:pPr>
    <w:rPr>
      <w:sz w:val="24"/>
      <w:szCs w:val="24"/>
    </w:rPr>
  </w:style>
  <w:style w:type="paragraph" w:customStyle="1" w:styleId="Style35">
    <w:name w:val="Style35"/>
    <w:basedOn w:val="Normal"/>
    <w:uiPriority w:val="99"/>
    <w:rsid w:val="00DF2639"/>
    <w:pPr>
      <w:widowControl w:val="0"/>
      <w:autoSpaceDE w:val="0"/>
      <w:autoSpaceDN w:val="0"/>
      <w:adjustRightInd w:val="0"/>
      <w:spacing w:after="0" w:line="323" w:lineRule="exact"/>
      <w:jc w:val="both"/>
    </w:pPr>
    <w:rPr>
      <w:sz w:val="24"/>
      <w:szCs w:val="24"/>
    </w:rPr>
  </w:style>
  <w:style w:type="character" w:customStyle="1" w:styleId="FontStyle41">
    <w:name w:val="Font Style41"/>
    <w:uiPriority w:val="99"/>
    <w:rsid w:val="00DF2639"/>
    <w:rPr>
      <w:rFonts w:ascii="Times New Roman" w:hAnsi="Times New Roman"/>
      <w:i/>
      <w:sz w:val="24"/>
    </w:rPr>
  </w:style>
  <w:style w:type="character" w:customStyle="1" w:styleId="FontStyle49">
    <w:name w:val="Font Style49"/>
    <w:uiPriority w:val="99"/>
    <w:rsid w:val="00DF2639"/>
    <w:rPr>
      <w:rFonts w:ascii="MS Gothic" w:eastAsia="MS Gothic"/>
      <w:i/>
      <w:sz w:val="14"/>
    </w:rPr>
  </w:style>
  <w:style w:type="paragraph" w:customStyle="1" w:styleId="Style6">
    <w:name w:val="Style6"/>
    <w:basedOn w:val="Normal"/>
    <w:uiPriority w:val="99"/>
    <w:rsid w:val="002F70FA"/>
    <w:pPr>
      <w:widowControl w:val="0"/>
      <w:autoSpaceDE w:val="0"/>
      <w:autoSpaceDN w:val="0"/>
      <w:adjustRightInd w:val="0"/>
      <w:spacing w:after="0" w:line="323" w:lineRule="exact"/>
      <w:jc w:val="both"/>
    </w:pPr>
    <w:rPr>
      <w:sz w:val="24"/>
      <w:szCs w:val="24"/>
    </w:rPr>
  </w:style>
  <w:style w:type="paragraph" w:customStyle="1" w:styleId="Style16">
    <w:name w:val="Style16"/>
    <w:basedOn w:val="Normal"/>
    <w:uiPriority w:val="99"/>
    <w:rsid w:val="002F70FA"/>
    <w:pPr>
      <w:widowControl w:val="0"/>
      <w:autoSpaceDE w:val="0"/>
      <w:autoSpaceDN w:val="0"/>
      <w:adjustRightInd w:val="0"/>
      <w:spacing w:after="0" w:line="322" w:lineRule="exact"/>
    </w:pPr>
    <w:rPr>
      <w:sz w:val="24"/>
      <w:szCs w:val="24"/>
    </w:rPr>
  </w:style>
  <w:style w:type="paragraph" w:customStyle="1" w:styleId="Style18">
    <w:name w:val="Style18"/>
    <w:basedOn w:val="Normal"/>
    <w:uiPriority w:val="99"/>
    <w:rsid w:val="002F70FA"/>
    <w:pPr>
      <w:widowControl w:val="0"/>
      <w:autoSpaceDE w:val="0"/>
      <w:autoSpaceDN w:val="0"/>
      <w:adjustRightInd w:val="0"/>
      <w:spacing w:after="0" w:line="320" w:lineRule="exact"/>
      <w:ind w:hanging="701"/>
      <w:jc w:val="both"/>
    </w:pPr>
    <w:rPr>
      <w:sz w:val="24"/>
      <w:szCs w:val="24"/>
    </w:rPr>
  </w:style>
  <w:style w:type="paragraph" w:customStyle="1" w:styleId="Sinespaciado1">
    <w:name w:val="Sin espaciado1"/>
    <w:rsid w:val="00CD3B4C"/>
    <w:rPr>
      <w:rFonts w:ascii="Calibri" w:hAnsi="Calibri" w:cs="Calibri"/>
      <w:sz w:val="28"/>
      <w:szCs w:val="28"/>
      <w:lang w:val="es-ES" w:eastAsia="es-ES"/>
    </w:rPr>
  </w:style>
  <w:style w:type="character" w:styleId="nfasissutil">
    <w:name w:val="Subtle Emphasis"/>
    <w:basedOn w:val="Fuentedeprrafopredeter"/>
    <w:uiPriority w:val="19"/>
    <w:qFormat/>
    <w:rsid w:val="0073077E"/>
    <w:rPr>
      <w:rFonts w:cs="Times New Roman"/>
      <w:i/>
      <w:iCs/>
      <w:color w:val="404040" w:themeColor="text1" w:themeTint="BF"/>
    </w:rPr>
  </w:style>
  <w:style w:type="paragraph" w:customStyle="1" w:styleId="CarCar2">
    <w:name w:val="Car Car2"/>
    <w:basedOn w:val="Normal"/>
    <w:rsid w:val="007F6861"/>
    <w:pPr>
      <w:spacing w:line="240" w:lineRule="exact"/>
    </w:pPr>
    <w:rPr>
      <w:noProof/>
      <w:color w:val="000000"/>
      <w:sz w:val="20"/>
    </w:rPr>
  </w:style>
  <w:style w:type="paragraph" w:customStyle="1" w:styleId="CarCar2CarCar1CarCarCarCar">
    <w:name w:val="Car Car2 Car Car1 Car Car Car Car"/>
    <w:basedOn w:val="Normal"/>
    <w:rsid w:val="007F6861"/>
    <w:pPr>
      <w:spacing w:line="240" w:lineRule="exact"/>
    </w:pPr>
    <w:rPr>
      <w:noProof/>
      <w:color w:val="000000"/>
      <w:sz w:val="20"/>
    </w:rPr>
  </w:style>
  <w:style w:type="paragraph" w:customStyle="1" w:styleId="ListParagraph1">
    <w:name w:val="List Paragraph1"/>
    <w:basedOn w:val="Normal"/>
    <w:link w:val="PrrafodelistaCar"/>
    <w:rsid w:val="007F6861"/>
    <w:pPr>
      <w:spacing w:line="276" w:lineRule="auto"/>
      <w:ind w:left="720"/>
    </w:pPr>
    <w:rPr>
      <w:rFonts w:ascii="Calibri" w:hAnsi="Calibri"/>
      <w:lang w:val="es-ES" w:eastAsia="en-US"/>
    </w:rPr>
  </w:style>
  <w:style w:type="character" w:customStyle="1" w:styleId="PrrafodelistaCar">
    <w:name w:val="Párrafo de lista Car"/>
    <w:link w:val="ListParagraph1"/>
    <w:locked/>
    <w:rsid w:val="007F6861"/>
    <w:rPr>
      <w:rFonts w:ascii="Calibri" w:hAnsi="Calibri"/>
      <w:sz w:val="22"/>
      <w:lang w:val="es-ES" w:eastAsia="en-US"/>
    </w:rPr>
  </w:style>
  <w:style w:type="paragraph" w:customStyle="1" w:styleId="1">
    <w:name w:val="1"/>
    <w:basedOn w:val="Normal"/>
    <w:rsid w:val="007F6861"/>
    <w:pPr>
      <w:spacing w:line="240" w:lineRule="exact"/>
      <w:jc w:val="both"/>
    </w:pPr>
    <w:rPr>
      <w:rFonts w:ascii="Tahoma" w:hAnsi="Tahoma" w:cs="Tahoma"/>
      <w:sz w:val="20"/>
      <w:lang w:val="en-US" w:eastAsia="en-US"/>
    </w:rPr>
  </w:style>
  <w:style w:type="character" w:customStyle="1" w:styleId="Refdenotaalpie1Char">
    <w:name w:val="Ref. de nota al pie1 Char"/>
    <w:aliases w:val="Texto de nota al pie Char,Footnote Text Char Char Char Char Char Char,Footnote Text Char Char Char Char Char1,FA Fu Char,Footnote Text Char Char Char Char1,texto de nota al pie Char,ft Char"/>
    <w:locked/>
    <w:rsid w:val="007F6861"/>
    <w:rPr>
      <w:rFonts w:ascii="Times New Roman" w:hAnsi="Times New Roman"/>
      <w:sz w:val="20"/>
      <w:lang w:val="es-ES" w:eastAsia="es-ES"/>
    </w:rPr>
  </w:style>
  <w:style w:type="paragraph" w:customStyle="1" w:styleId="CarCar4CarCarCarCarCarCarCarCar">
    <w:name w:val="Car Car4 Car Car Car Car Car Car Car Car"/>
    <w:basedOn w:val="Normal"/>
    <w:rsid w:val="007F6861"/>
    <w:pPr>
      <w:spacing w:line="240" w:lineRule="exact"/>
      <w:jc w:val="both"/>
    </w:pPr>
    <w:rPr>
      <w:rFonts w:ascii="Tahoma" w:hAnsi="Tahoma" w:cs="Tahoma"/>
      <w:sz w:val="20"/>
      <w:lang w:val="en-US" w:eastAsia="en-US"/>
    </w:rPr>
  </w:style>
  <w:style w:type="paragraph" w:customStyle="1" w:styleId="CarCar2CarCar1CarCar">
    <w:name w:val="Car Car2 Car Car1 Car Car"/>
    <w:basedOn w:val="Normal"/>
    <w:rsid w:val="007F6861"/>
    <w:pPr>
      <w:spacing w:line="240" w:lineRule="exact"/>
    </w:pPr>
    <w:rPr>
      <w:noProof/>
      <w:color w:val="000000"/>
      <w:sz w:val="20"/>
    </w:rPr>
  </w:style>
  <w:style w:type="paragraph" w:customStyle="1" w:styleId="bodytext21">
    <w:name w:val="bodytext21"/>
    <w:basedOn w:val="Normal"/>
    <w:rsid w:val="007F6861"/>
    <w:pPr>
      <w:spacing w:before="100" w:beforeAutospacing="1" w:after="100" w:afterAutospacing="1"/>
    </w:pPr>
    <w:rPr>
      <w:sz w:val="24"/>
      <w:szCs w:val="24"/>
      <w:lang w:val="es-ES"/>
    </w:rPr>
  </w:style>
  <w:style w:type="paragraph" w:styleId="Sangra3detindependiente">
    <w:name w:val="Body Text Indent 3"/>
    <w:basedOn w:val="Normal"/>
    <w:link w:val="Sangra3detindependienteCar"/>
    <w:uiPriority w:val="99"/>
    <w:locked/>
    <w:rsid w:val="007F6861"/>
    <w:pPr>
      <w:widowControl w:val="0"/>
      <w:autoSpaceDE w:val="0"/>
      <w:autoSpaceDN w:val="0"/>
      <w:spacing w:after="120"/>
      <w:ind w:left="283"/>
      <w:jc w:val="both"/>
    </w:pPr>
    <w:rPr>
      <w:sz w:val="16"/>
      <w:szCs w:val="16"/>
    </w:rPr>
  </w:style>
  <w:style w:type="character" w:customStyle="1" w:styleId="Sangra3detindependienteCar">
    <w:name w:val="Sangría 3 de t. independiente Car"/>
    <w:basedOn w:val="Fuentedeprrafopredeter"/>
    <w:link w:val="Sangra3detindependiente"/>
    <w:uiPriority w:val="99"/>
    <w:locked/>
    <w:rsid w:val="007F6861"/>
    <w:rPr>
      <w:rFonts w:cs="Times New Roman"/>
      <w:sz w:val="16"/>
      <w:szCs w:val="16"/>
    </w:rPr>
  </w:style>
  <w:style w:type="paragraph" w:customStyle="1" w:styleId="piedepagina">
    <w:name w:val="pie de pagina"/>
    <w:basedOn w:val="Textonotapie"/>
    <w:link w:val="piedepaginaCar"/>
    <w:autoRedefine/>
    <w:qFormat/>
    <w:rsid w:val="007D3747"/>
    <w:pPr>
      <w:spacing w:after="0"/>
      <w:jc w:val="both"/>
    </w:pPr>
    <w:rPr>
      <w:sz w:val="18"/>
      <w:lang w:val="es-ES"/>
    </w:rPr>
  </w:style>
  <w:style w:type="character" w:customStyle="1" w:styleId="piedepaginaCar">
    <w:name w:val="pie de pagina Car"/>
    <w:link w:val="piedepagina"/>
    <w:locked/>
    <w:rsid w:val="007D3747"/>
    <w:rPr>
      <w:sz w:val="18"/>
      <w:lang w:val="es-ES" w:eastAsia="x-none"/>
    </w:rPr>
  </w:style>
  <w:style w:type="paragraph" w:styleId="Listaconvietas">
    <w:name w:val="List Bullet"/>
    <w:basedOn w:val="Normal"/>
    <w:uiPriority w:val="99"/>
    <w:unhideWhenUsed/>
    <w:locked/>
    <w:rsid w:val="0081185D"/>
    <w:pPr>
      <w:numPr>
        <w:numId w:val="1"/>
      </w:numPr>
      <w:contextualSpacing/>
    </w:pPr>
  </w:style>
  <w:style w:type="paragraph" w:customStyle="1" w:styleId="BodyText210">
    <w:name w:val="Body Text 21"/>
    <w:basedOn w:val="Normal"/>
    <w:uiPriority w:val="99"/>
    <w:rsid w:val="005F4EC0"/>
    <w:pPr>
      <w:widowControl w:val="0"/>
      <w:autoSpaceDE w:val="0"/>
      <w:autoSpaceDN w:val="0"/>
      <w:spacing w:after="0" w:line="360" w:lineRule="auto"/>
      <w:jc w:val="both"/>
    </w:pPr>
    <w:rPr>
      <w:szCs w:val="28"/>
      <w:lang w:val="es-ES"/>
    </w:rPr>
  </w:style>
  <w:style w:type="character" w:customStyle="1" w:styleId="Ref">
    <w:name w:val="Ref"/>
    <w:aliases w:val="de nota al pie,Ref5,Ref2,Ref1,Ref4"/>
    <w:uiPriority w:val="99"/>
    <w:rsid w:val="00074966"/>
    <w:rPr>
      <w:vertAlign w:val="superscript"/>
    </w:rPr>
  </w:style>
  <w:style w:type="paragraph" w:customStyle="1" w:styleId="piedepagJIPP">
    <w:name w:val="pie de pag JIPP"/>
    <w:basedOn w:val="Textonotapie"/>
    <w:link w:val="piedepagJIPPCar"/>
    <w:autoRedefine/>
    <w:qFormat/>
    <w:rsid w:val="00CA23EA"/>
    <w:pPr>
      <w:spacing w:after="0" w:line="480" w:lineRule="auto"/>
      <w:jc w:val="both"/>
    </w:pPr>
    <w:rPr>
      <w:lang w:val="es-ES" w:eastAsia="en-US"/>
    </w:rPr>
  </w:style>
  <w:style w:type="character" w:customStyle="1" w:styleId="piedepagJIPPCar">
    <w:name w:val="pie de pag JIPP Car"/>
    <w:link w:val="piedepagJIPP"/>
    <w:locked/>
    <w:rsid w:val="00CA23EA"/>
    <w:rPr>
      <w:lang w:val="es-ES" w:eastAsia="en-US"/>
    </w:rPr>
  </w:style>
  <w:style w:type="character" w:customStyle="1" w:styleId="Mencinsinresolver1">
    <w:name w:val="Mención sin resolver1"/>
    <w:basedOn w:val="Fuentedeprrafopredeter"/>
    <w:uiPriority w:val="99"/>
    <w:semiHidden/>
    <w:unhideWhenUsed/>
    <w:rsid w:val="00E121F6"/>
    <w:rPr>
      <w:color w:val="605E5C"/>
      <w:shd w:val="clear" w:color="auto" w:fill="E1DFDD"/>
    </w:rPr>
  </w:style>
  <w:style w:type="paragraph" w:customStyle="1" w:styleId="Default">
    <w:name w:val="Default"/>
    <w:rsid w:val="000E0F47"/>
    <w:pPr>
      <w:autoSpaceDE w:val="0"/>
      <w:autoSpaceDN w:val="0"/>
      <w:adjustRightInd w:val="0"/>
    </w:pPr>
    <w:rPr>
      <w:rFonts w:ascii="Verdana" w:hAnsi="Verdana" w:cs="Verdana"/>
      <w:color w:val="000000"/>
      <w:sz w:val="24"/>
      <w:szCs w:val="24"/>
    </w:rPr>
  </w:style>
  <w:style w:type="paragraph" w:customStyle="1" w:styleId="normal1">
    <w:name w:val="normal1"/>
    <w:basedOn w:val="Normal"/>
    <w:rsid w:val="00DC6E59"/>
    <w:pPr>
      <w:spacing w:before="100" w:beforeAutospacing="1" w:after="100" w:afterAutospacing="1"/>
    </w:pPr>
    <w:rPr>
      <w:sz w:val="24"/>
      <w:szCs w:val="24"/>
    </w:rPr>
  </w:style>
  <w:style w:type="paragraph" w:styleId="Revisin">
    <w:name w:val="Revision"/>
    <w:hidden/>
    <w:uiPriority w:val="99"/>
    <w:semiHidden/>
    <w:rsid w:val="00326DEE"/>
    <w:rPr>
      <w:sz w:val="28"/>
      <w:lang w:eastAsia="es-ES"/>
    </w:rPr>
  </w:style>
  <w:style w:type="paragraph" w:customStyle="1" w:styleId="BodyText28">
    <w:name w:val="Body Text 28"/>
    <w:basedOn w:val="Normal"/>
    <w:rsid w:val="008851CB"/>
    <w:pPr>
      <w:widowControl w:val="0"/>
      <w:tabs>
        <w:tab w:val="left" w:pos="0"/>
        <w:tab w:val="left" w:pos="708"/>
        <w:tab w:val="left" w:pos="1416"/>
        <w:tab w:val="left" w:pos="2124"/>
        <w:tab w:val="left" w:pos="2832"/>
        <w:tab w:val="left" w:pos="3540"/>
        <w:tab w:val="left" w:pos="4956"/>
        <w:tab w:val="left" w:pos="5664"/>
        <w:tab w:val="left" w:pos="6372"/>
        <w:tab w:val="left" w:pos="7080"/>
        <w:tab w:val="left" w:pos="7788"/>
        <w:tab w:val="left" w:pos="8496"/>
      </w:tabs>
      <w:suppressAutoHyphens/>
      <w:overflowPunct w:val="0"/>
      <w:autoSpaceDE w:val="0"/>
      <w:autoSpaceDN w:val="0"/>
      <w:adjustRightInd w:val="0"/>
      <w:spacing w:after="0" w:line="360" w:lineRule="auto"/>
      <w:jc w:val="both"/>
      <w:textAlignment w:val="baseline"/>
    </w:pPr>
    <w:rPr>
      <w:rFonts w:ascii="Arial" w:hAnsi="Arial"/>
      <w:spacing w:val="-2"/>
    </w:rPr>
  </w:style>
  <w:style w:type="character" w:customStyle="1" w:styleId="Cuadrculavistosa-nfasis1Car">
    <w:name w:val="Cuadrícula vistosa - Énfasis 1 Car"/>
    <w:link w:val="Cuadrculavistosa-nfasis1"/>
    <w:uiPriority w:val="29"/>
    <w:rsid w:val="0054789A"/>
    <w:rPr>
      <w:rFonts w:ascii="Arial" w:eastAsia="MS Mincho" w:hAnsi="Arial" w:cs="Arial Narrow"/>
      <w:iCs/>
      <w:color w:val="000000"/>
      <w:szCs w:val="22"/>
      <w:lang w:eastAsia="es-ES"/>
    </w:rPr>
  </w:style>
  <w:style w:type="table" w:styleId="Cuadrculavistosa-nfasis1">
    <w:name w:val="Colorful Grid Accent 1"/>
    <w:basedOn w:val="Tablanormal"/>
    <w:link w:val="Cuadrculavistosa-nfasis1Car"/>
    <w:uiPriority w:val="29"/>
    <w:rsid w:val="0054789A"/>
    <w:rPr>
      <w:rFonts w:ascii="Arial" w:eastAsia="MS Mincho" w:hAnsi="Arial" w:cs="Arial Narrow"/>
      <w:iCs/>
      <w:color w:val="000000"/>
      <w:lang w:eastAsia="es-E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character" w:customStyle="1" w:styleId="Mencinsinresolver2">
    <w:name w:val="Mención sin resolver2"/>
    <w:basedOn w:val="Fuentedeprrafopredeter"/>
    <w:uiPriority w:val="99"/>
    <w:semiHidden/>
    <w:unhideWhenUsed/>
    <w:rsid w:val="00EA266E"/>
    <w:rPr>
      <w:color w:val="605E5C"/>
      <w:shd w:val="clear" w:color="auto" w:fill="E1DFDD"/>
    </w:rPr>
  </w:style>
  <w:style w:type="character" w:customStyle="1" w:styleId="Mencinsinresolver3">
    <w:name w:val="Mención sin resolver3"/>
    <w:basedOn w:val="Fuentedeprrafopredeter"/>
    <w:uiPriority w:val="99"/>
    <w:semiHidden/>
    <w:unhideWhenUsed/>
    <w:rsid w:val="006413AF"/>
    <w:rPr>
      <w:color w:val="605E5C"/>
      <w:shd w:val="clear" w:color="auto" w:fill="E1DFDD"/>
    </w:rPr>
  </w:style>
  <w:style w:type="paragraph" w:customStyle="1" w:styleId="Refdenotaalpie2">
    <w:name w:val="Ref. de nota al pie2"/>
    <w:aliases w:val="Pie de pagina"/>
    <w:basedOn w:val="Normal"/>
    <w:uiPriority w:val="99"/>
    <w:qFormat/>
    <w:rsid w:val="00066652"/>
    <w:pPr>
      <w:spacing w:line="240" w:lineRule="exact"/>
      <w:jc w:val="both"/>
    </w:pPr>
    <w:rPr>
      <w:vertAlign w:val="superscript"/>
      <w:lang w:eastAsia="en-US"/>
    </w:rPr>
  </w:style>
  <w:style w:type="character" w:customStyle="1" w:styleId="Ancladenotaalpie">
    <w:name w:val="Ancla de nota al pie"/>
    <w:rsid w:val="00066652"/>
    <w:rPr>
      <w:vertAlign w:val="superscript"/>
    </w:rPr>
  </w:style>
  <w:style w:type="character" w:customStyle="1" w:styleId="FootnoteCharacters">
    <w:name w:val="Footnote Characters"/>
    <w:uiPriority w:val="99"/>
    <w:unhideWhenUsed/>
    <w:qFormat/>
    <w:rsid w:val="00066652"/>
    <w:rPr>
      <w:vertAlign w:val="superscript"/>
    </w:rPr>
  </w:style>
  <w:style w:type="character" w:customStyle="1" w:styleId="Caracteresdenotaalpie">
    <w:name w:val="Caracteres de nota al pie"/>
    <w:qFormat/>
    <w:rsid w:val="00066652"/>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B079DB"/>
    <w:pPr>
      <w:spacing w:after="0"/>
      <w:jc w:val="both"/>
    </w:pPr>
    <w:rPr>
      <w:rFonts w:eastAsiaTheme="minorHAnsi"/>
      <w:vertAlign w:val="superscript"/>
      <w:lang w:eastAsia="en-US"/>
    </w:rPr>
  </w:style>
  <w:style w:type="character" w:customStyle="1" w:styleId="TextonotapieCar">
    <w:name w:val="Texto nota pie Car"/>
    <w:aliases w:val="Ref. de nota al pie1 Car,Texto de nota al pie Car,referencia nota al pie Car,Fago Fußnotenzeichen Car,Appel note de bas de page Car,Ref. de nota al pie 2 Car,Footnote Text Char Char Char Char Char Car,Ref. de nota al pie2 Car"/>
    <w:basedOn w:val="Fuentedeprrafopredeter"/>
    <w:uiPriority w:val="99"/>
    <w:locked/>
    <w:rsid w:val="005A41AB"/>
    <w:rPr>
      <w:rFonts w:ascii="Calibri" w:eastAsia="MS Mincho" w:hAnsi="Calibri" w:cs="Times New Roman"/>
      <w:sz w:val="20"/>
      <w:szCs w:val="20"/>
      <w:lang w:val="es-ES_tradnl" w:eastAsia="es-ES"/>
    </w:rPr>
  </w:style>
  <w:style w:type="paragraph" w:styleId="Cita">
    <w:name w:val="Quote"/>
    <w:basedOn w:val="Normal"/>
    <w:next w:val="Normal"/>
    <w:link w:val="CitaCar"/>
    <w:uiPriority w:val="29"/>
    <w:qFormat/>
    <w:rsid w:val="004A0123"/>
    <w:pPr>
      <w:tabs>
        <w:tab w:val="left" w:pos="426"/>
      </w:tabs>
      <w:ind w:left="567"/>
      <w:jc w:val="both"/>
    </w:pPr>
    <w:rPr>
      <w:rFonts w:ascii="Times New Roman" w:hAnsi="Times New Roman"/>
      <w:sz w:val="26"/>
      <w:szCs w:val="26"/>
    </w:rPr>
  </w:style>
  <w:style w:type="character" w:customStyle="1" w:styleId="CitaCar">
    <w:name w:val="Cita Car"/>
    <w:basedOn w:val="Fuentedeprrafopredeter"/>
    <w:link w:val="Cita"/>
    <w:uiPriority w:val="29"/>
    <w:locked/>
    <w:rsid w:val="004A0123"/>
    <w:rPr>
      <w:rFonts w:ascii="Times New Roman" w:eastAsia="MS Mincho" w:hAnsi="Times New Roman" w:cs="Times New Roman"/>
      <w:sz w:val="26"/>
      <w:szCs w:val="26"/>
      <w:lang w:val="x-none" w:eastAsia="es-ES"/>
    </w:rPr>
  </w:style>
  <w:style w:type="paragraph" w:styleId="Subttulo">
    <w:name w:val="Subtitle"/>
    <w:basedOn w:val="Normal"/>
    <w:next w:val="Normal"/>
    <w:link w:val="SubttuloCar"/>
    <w:autoRedefine/>
    <w:uiPriority w:val="11"/>
    <w:qFormat/>
    <w:rsid w:val="00580960"/>
    <w:pPr>
      <w:numPr>
        <w:numId w:val="4"/>
      </w:numPr>
      <w:spacing w:line="360" w:lineRule="auto"/>
      <w:ind w:hanging="360"/>
      <w:jc w:val="both"/>
    </w:pPr>
    <w:rPr>
      <w:rFonts w:ascii="Times New Roman" w:hAnsi="Times New Roman"/>
      <w:i/>
      <w:spacing w:val="15"/>
      <w:sz w:val="28"/>
      <w:lang w:val="es-ES" w:eastAsia="es-ES_tradnl"/>
    </w:rPr>
  </w:style>
  <w:style w:type="character" w:customStyle="1" w:styleId="SubttuloCar">
    <w:name w:val="Subtítulo Car"/>
    <w:basedOn w:val="Fuentedeprrafopredeter"/>
    <w:link w:val="Subttulo"/>
    <w:uiPriority w:val="11"/>
    <w:rsid w:val="00580960"/>
    <w:rPr>
      <w:rFonts w:ascii="Times New Roman" w:eastAsiaTheme="minorEastAsia" w:hAnsi="Times New Roman"/>
      <w:i/>
      <w:spacing w:val="15"/>
      <w:sz w:val="28"/>
      <w:lang w:val="es-ES" w:eastAsia="es-ES_tradnl"/>
    </w:rPr>
  </w:style>
  <w:style w:type="paragraph" w:customStyle="1" w:styleId="Style3">
    <w:name w:val="Style3"/>
    <w:basedOn w:val="Normal"/>
    <w:uiPriority w:val="99"/>
    <w:rsid w:val="00157B34"/>
    <w:pPr>
      <w:widowControl w:val="0"/>
      <w:autoSpaceDE w:val="0"/>
      <w:autoSpaceDN w:val="0"/>
      <w:adjustRightInd w:val="0"/>
      <w:spacing w:after="0" w:line="240" w:lineRule="auto"/>
    </w:pPr>
    <w:rPr>
      <w:rFonts w:ascii="Times New Roman" w:eastAsia="MS Mincho" w:hAnsi="Times New Roman" w:cs="Times New Roman"/>
      <w:sz w:val="24"/>
      <w:szCs w:val="24"/>
    </w:rPr>
  </w:style>
  <w:style w:type="character" w:customStyle="1" w:styleId="FontStyle19">
    <w:name w:val="Font Style19"/>
    <w:uiPriority w:val="99"/>
    <w:rsid w:val="00157B34"/>
    <w:rPr>
      <w:rFonts w:ascii="Times New Roman" w:hAnsi="Times New Roman" w:cs="Times New Roman"/>
      <w:sz w:val="26"/>
      <w:szCs w:val="26"/>
    </w:rPr>
  </w:style>
  <w:style w:type="paragraph" w:customStyle="1" w:styleId="Piedepagina0">
    <w:name w:val="Pie de pagina"/>
    <w:basedOn w:val="Normal"/>
    <w:uiPriority w:val="99"/>
    <w:rsid w:val="00ED670B"/>
    <w:pPr>
      <w:spacing w:line="240" w:lineRule="exact"/>
    </w:pPr>
    <w:rPr>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69606" TargetMode="External"/><Relationship Id="rId3" Type="http://schemas.openxmlformats.org/officeDocument/2006/relationships/hyperlink" Target="https://www.corteconstitucional.gov.co/secretaria/archivo.php?id=69807" TargetMode="External"/><Relationship Id="rId7" Type="http://schemas.openxmlformats.org/officeDocument/2006/relationships/hyperlink" Target="https://www.corteconstitucional.gov.co/secretaria/archivo.php?id=69479" TargetMode="External"/><Relationship Id="rId2" Type="http://schemas.openxmlformats.org/officeDocument/2006/relationships/hyperlink" Target="https://www.corteconstitucional.gov.co/secretaria/archivo.php?id=69857" TargetMode="External"/><Relationship Id="rId1" Type="http://schemas.openxmlformats.org/officeDocument/2006/relationships/hyperlink" Target="https://www.corteconstitucional.gov.co/secretaria/archivo.php?id=69857" TargetMode="External"/><Relationship Id="rId6" Type="http://schemas.openxmlformats.org/officeDocument/2006/relationships/hyperlink" Target="https://www.corteconstitucional.gov.co/secretaria/archivo.php?id=69808" TargetMode="External"/><Relationship Id="rId5" Type="http://schemas.openxmlformats.org/officeDocument/2006/relationships/hyperlink" Target="https://www.corteconstitucional.gov.co/secretaria/archivo.php?id=69808" TargetMode="External"/><Relationship Id="rId4" Type="http://schemas.openxmlformats.org/officeDocument/2006/relationships/hyperlink" Target="https://www.corteconstitucional.gov.co/secretaria/archivo.php?id=71908" TargetMode="External"/><Relationship Id="rId9" Type="http://schemas.openxmlformats.org/officeDocument/2006/relationships/hyperlink" Target="https://www.corteconstitucional.gov.co/secretaria/archivo.php?id=7169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27938</Words>
  <Characters>153665</Characters>
  <Application>Microsoft Office Word</Application>
  <DocSecurity>0</DocSecurity>
  <Lines>1280</Lines>
  <Paragraphs>362</Paragraphs>
  <ScaleCrop>false</ScaleCrop>
  <Company/>
  <LinksUpToDate>false</LinksUpToDate>
  <CharactersWithSpaces>181241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2025-01-17T17:12:00Z</dcterms:created>
  <dcterms:modified xsi:type="dcterms:W3CDTF">2025-01-17T17:12:00Z</dcterms:modified>
</cp:coreProperties>
</file>