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772D" w:rsidRPr="0096658B" w:rsidRDefault="000E1788">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96658B">
        <w:rPr>
          <w:rFonts w:ascii="Times New Roman" w:hAnsi="Times New Roman" w:cs="Times New Roman"/>
          <w:sz w:val="28"/>
          <w:szCs w:val="24"/>
        </w:rPr>
        <w:t xml:space="preserve"> </w:t>
      </w:r>
    </w:p>
    <w:p w:rsidR="0004772D" w:rsidRPr="0096658B" w:rsidRDefault="0004772D">
      <w:pPr>
        <w:widowControl w:val="0"/>
        <w:autoSpaceDE w:val="0"/>
        <w:autoSpaceDN w:val="0"/>
        <w:adjustRightInd w:val="0"/>
        <w:spacing w:after="0" w:line="240" w:lineRule="auto"/>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center"/>
        <w:rPr>
          <w:rFonts w:ascii="Times New Roman" w:hAnsi="Times New Roman" w:cs="Times New Roman"/>
          <w:b/>
          <w:bCs/>
          <w:sz w:val="28"/>
          <w:szCs w:val="28"/>
        </w:rPr>
      </w:pPr>
      <w:r w:rsidRPr="0096658B">
        <w:rPr>
          <w:rFonts w:ascii="Times New Roman" w:hAnsi="Times New Roman" w:cs="Times New Roman"/>
          <w:b/>
          <w:bCs/>
          <w:sz w:val="28"/>
          <w:szCs w:val="28"/>
        </w:rPr>
        <w:t xml:space="preserve">TEMAS-SUBTEMAS </w:t>
      </w:r>
    </w:p>
    <w:p w:rsidR="0004772D" w:rsidRPr="0096658B" w:rsidRDefault="0004772D">
      <w:pPr>
        <w:widowControl w:val="0"/>
        <w:autoSpaceDE w:val="0"/>
        <w:autoSpaceDN w:val="0"/>
        <w:adjustRightInd w:val="0"/>
        <w:spacing w:after="0" w:line="240" w:lineRule="auto"/>
        <w:jc w:val="center"/>
        <w:rPr>
          <w:rFonts w:ascii="Times New Roman" w:hAnsi="Times New Roman" w:cs="Times New Roman"/>
          <w:b/>
          <w:bCs/>
          <w:sz w:val="28"/>
          <w:szCs w:val="28"/>
        </w:rPr>
      </w:pPr>
    </w:p>
    <w:p w:rsidR="0004772D" w:rsidRPr="0096658B" w:rsidRDefault="000E1788">
      <w:pPr>
        <w:widowControl w:val="0"/>
        <w:autoSpaceDE w:val="0"/>
        <w:autoSpaceDN w:val="0"/>
        <w:adjustRightInd w:val="0"/>
        <w:spacing w:after="0" w:line="240" w:lineRule="auto"/>
        <w:jc w:val="center"/>
        <w:rPr>
          <w:rFonts w:ascii="Times New Roman" w:hAnsi="Times New Roman" w:cs="Times New Roman"/>
          <w:sz w:val="28"/>
          <w:szCs w:val="28"/>
        </w:rPr>
      </w:pPr>
      <w:r w:rsidRPr="0096658B">
        <w:rPr>
          <w:rFonts w:ascii="Times New Roman" w:hAnsi="Times New Roman" w:cs="Times New Roman"/>
          <w:b/>
          <w:bCs/>
          <w:sz w:val="28"/>
          <w:szCs w:val="28"/>
        </w:rPr>
        <w:t xml:space="preserve">Sentencia C-136/24 </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b/>
          <w:bCs/>
          <w:sz w:val="28"/>
          <w:szCs w:val="28"/>
        </w:rPr>
        <w:t>PROYECTO DE LEY ESTATUTARIA QUE ESTABLECE MEDIDAS PARA GARANTIZAR LA PARTICIPACIÓN DE LAS MUJERES EN LAS RAMAS Y ÓRGANOS DEL PODER PÚBLICO</w:t>
      </w:r>
      <w:r w:rsidRPr="0096658B">
        <w:rPr>
          <w:rFonts w:ascii="Times New Roman" w:hAnsi="Times New Roman" w:cs="Times New Roman"/>
          <w:sz w:val="28"/>
          <w:szCs w:val="28"/>
        </w:rPr>
        <w:t>-Aumento de la cuota de participación de las mujeres al cincuenta por ciento se ajusta a la Constitución Política</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i/>
          <w:iCs/>
          <w:sz w:val="28"/>
          <w:szCs w:val="28"/>
        </w:rPr>
        <w:t>(...) la modificación de la cuota del 30% al 50% en los CMND y los CND resulta compatible con la Constitución. Como lo señalaron varios intervinientes, esta disposición perfecciona el mandato de equidad entre hombres y mujeres previsto por los artículos 13 y 43 superiores, mediante un instrumento que asegura no solo determinado nivel de participación para estas, sino que instaura una regla de paridad. Esta previsión, además, se acompasa con las normas del derecho internacional de los derechos humanos, explicadas en esta sentencia, las cuales no fijan un máximo deseable de cuota, sino que, antes bien, también propugnan por ese mismo criterio de paridad. Este criterio logra su mayor grado de realización cuando los cargos en mención son distribuidos bajo un criterio óptimo, esto es, de manera igualitaria.</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b/>
          <w:bCs/>
          <w:sz w:val="28"/>
          <w:szCs w:val="28"/>
        </w:rPr>
        <w:t>PROYECTO DE LEY ESTATUTARIA QUE ESTABLECE MEDIDAS PARA GARANTIZAR LA PARTICIPACIÓN DE LAS MUJERES EN LAS RAMAS Y ÓRGANOS DEL PODER PÚBLICO</w:t>
      </w:r>
      <w:r w:rsidRPr="0096658B">
        <w:rPr>
          <w:rFonts w:ascii="Times New Roman" w:hAnsi="Times New Roman" w:cs="Times New Roman"/>
          <w:sz w:val="28"/>
          <w:szCs w:val="28"/>
        </w:rPr>
        <w:t>-Legislador estatutario no puede limitar temporalmente el ejercicio de la potestad reglamentaria</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i/>
          <w:iCs/>
          <w:sz w:val="28"/>
          <w:szCs w:val="28"/>
        </w:rPr>
        <w:t>(...) la norma reitera la titularidad de esa función, aunque la regla de determinación de plazo sí contradice la Carta Política. Una previsión de esa naturaleza es incompatible con la mencionada disposición constitucional, puesto que la Carta adscribe al presidente de la República la potestad reglamentaria con carácter permanente y no confiere al Congreso la posibilidad de circunscribirla temporal o materialmente.</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b/>
          <w:bCs/>
          <w:sz w:val="28"/>
          <w:szCs w:val="28"/>
        </w:rPr>
        <w:t>POTESTAD REGLAMENTARIA DEL PRESIDENTE DE LA REPUBLICA</w:t>
      </w:r>
      <w:r w:rsidRPr="0096658B">
        <w:rPr>
          <w:rFonts w:ascii="Times New Roman" w:hAnsi="Times New Roman" w:cs="Times New Roman"/>
          <w:sz w:val="28"/>
          <w:szCs w:val="28"/>
        </w:rPr>
        <w:t xml:space="preserve">-Alcance </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b/>
          <w:bCs/>
          <w:sz w:val="28"/>
          <w:szCs w:val="28"/>
        </w:rPr>
        <w:t>PROYECTO DE LEY ESTATUTARIA QUE ESTABLECE MEDIDAS PARA GARANTIZAR LA PARTICIPACIÓN DE LAS MUJERES EN LAS RAMAS Y ÓRGANOS DEL PODER PÚBLICO</w:t>
      </w:r>
      <w:r w:rsidRPr="0096658B">
        <w:rPr>
          <w:rFonts w:ascii="Times New Roman" w:hAnsi="Times New Roman" w:cs="Times New Roman"/>
          <w:sz w:val="28"/>
          <w:szCs w:val="28"/>
        </w:rPr>
        <w:t>-Paridad de hombres y mujeres en la participación en las delegaciones internacionales</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i/>
          <w:iCs/>
          <w:sz w:val="28"/>
          <w:szCs w:val="28"/>
        </w:rPr>
        <w:t>Las medidas examinadas no circunscriben la participación en los escenarios referidos únicamente a las mujeres. En contraste, garantizan que, junto con los hombres, participen en estos. De esta forma, no se limita o reduce, de manera desproporcionada, la participación de estos últimos. En todo caso, la Sala resalta que la evidencia empírica explicada en esta sentencia permite inferir que existe una similar distribución de las competencias y habilidades profesionales entre hombres y mujeres, por lo que el establecimiento de una regla de paridad en la participación en las delegaciones internacionales resulta neutro en términos de la adecuada representación del Estado colombiano en esas instancias y certámenes. De esta manera, la previsión de la paridad en este caso desarrolla adecuadamente los fines de la función administrativa de que trata el artículo 209 de la Constitución, en especial los de igualdad, eficacia e imparcialidad.</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b/>
          <w:bCs/>
          <w:sz w:val="28"/>
          <w:szCs w:val="28"/>
        </w:rPr>
        <w:t>PROYECTO DE LEY ESTATUTARIA QUE ESTABLECE MEDIDAS PARA GARANTIZAR LA PARTICIPACIÓN DE LAS MUJERES EN LAS RAMAS Y ÓRGANOS DEL PODER PÚBLICO</w:t>
      </w:r>
      <w:r w:rsidRPr="0096658B">
        <w:rPr>
          <w:rFonts w:ascii="Times New Roman" w:hAnsi="Times New Roman" w:cs="Times New Roman"/>
          <w:sz w:val="28"/>
          <w:szCs w:val="28"/>
        </w:rPr>
        <w:t>-Medidas de cuota para hacer efectiva la participación de las mujeres en los cargos de las corporaciones públicas</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i/>
          <w:iCs/>
          <w:sz w:val="28"/>
          <w:szCs w:val="28"/>
        </w:rPr>
        <w:t>(...) fijar una cuota de cuando menos una mujer como integrante de la lista de candidatos es una herramienta que efectivamente dinamiza la participación de las mujeres, puesto que impide que la lista esté conformada exclusivamente por hombres. Con todo, para la Sala es importante resaltar que la medida de cuota debe entenderse como un mínimo de participación, por lo que es apenas un punto de partida para el logro del objetivo óptimo, en términos de efectivización de la igualdad, que no es otro que la paridad. En modo alguno puede entenderse, en consecuencia, que la medida de cuota completa el deber de garantía de participación de las mujeres.</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b/>
          <w:bCs/>
          <w:sz w:val="28"/>
          <w:szCs w:val="28"/>
        </w:rPr>
        <w:t>COSA JUZGADA CONSTITUCIONAL EN PROYECTO DE LEY ESTATUTARIA</w:t>
      </w:r>
      <w:r w:rsidRPr="0096658B">
        <w:rPr>
          <w:rFonts w:ascii="Times New Roman" w:hAnsi="Times New Roman" w:cs="Times New Roman"/>
          <w:sz w:val="28"/>
          <w:szCs w:val="28"/>
        </w:rPr>
        <w:t xml:space="preserve">-Inexistencia por objeto y contenidos normativos diferentes </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b/>
          <w:bCs/>
          <w:sz w:val="28"/>
          <w:szCs w:val="28"/>
        </w:rPr>
        <w:t>RESERVA DE LEY ESTATUTARIA</w:t>
      </w:r>
      <w:r w:rsidRPr="0096658B">
        <w:rPr>
          <w:rFonts w:ascii="Times New Roman" w:hAnsi="Times New Roman" w:cs="Times New Roman"/>
          <w:sz w:val="28"/>
          <w:szCs w:val="28"/>
        </w:rPr>
        <w:t xml:space="preserve">-Criterios para determinar los asuntos que requieren el trámite de ley estatutaria </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b/>
          <w:bCs/>
          <w:sz w:val="28"/>
          <w:szCs w:val="28"/>
        </w:rPr>
        <w:t>CONTROL DE CONSTITUCIONALIDAD DE PROYECTO DE LEY ESTATUTARIA</w:t>
      </w:r>
      <w:r w:rsidRPr="0096658B">
        <w:rPr>
          <w:rFonts w:ascii="Times New Roman" w:hAnsi="Times New Roman" w:cs="Times New Roman"/>
          <w:sz w:val="28"/>
          <w:szCs w:val="28"/>
        </w:rPr>
        <w:t xml:space="preserve">-Carácter jurisdiccional, automático, previo, integral, definitivo y participativo </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b/>
          <w:bCs/>
          <w:sz w:val="28"/>
          <w:szCs w:val="28"/>
        </w:rPr>
        <w:t>PROCEDIMIENTO DE FORMACION DE PROYECTO DE LEY ESTATUTARIA</w:t>
      </w:r>
      <w:r w:rsidRPr="0096658B">
        <w:rPr>
          <w:rFonts w:ascii="Times New Roman" w:hAnsi="Times New Roman" w:cs="Times New Roman"/>
          <w:sz w:val="28"/>
          <w:szCs w:val="28"/>
        </w:rPr>
        <w:t xml:space="preserve">-Reglas aplicables </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b/>
          <w:bCs/>
          <w:sz w:val="28"/>
          <w:szCs w:val="28"/>
        </w:rPr>
        <w:t>PROYECTO DE LEY ESTATUTARIA</w:t>
      </w:r>
      <w:r w:rsidRPr="0096658B">
        <w:rPr>
          <w:rFonts w:ascii="Times New Roman" w:hAnsi="Times New Roman" w:cs="Times New Roman"/>
          <w:sz w:val="28"/>
          <w:szCs w:val="28"/>
        </w:rPr>
        <w:t xml:space="preserve">-Sujeción de trámite a requisitos generales y especiales previstos en la Constitución </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b/>
          <w:bCs/>
          <w:sz w:val="28"/>
          <w:szCs w:val="28"/>
        </w:rPr>
        <w:t>PROYECTO DE LEY ESTATUTARIA</w:t>
      </w:r>
      <w:r w:rsidRPr="0096658B">
        <w:rPr>
          <w:rFonts w:ascii="Times New Roman" w:hAnsi="Times New Roman" w:cs="Times New Roman"/>
          <w:sz w:val="28"/>
          <w:szCs w:val="28"/>
        </w:rPr>
        <w:t xml:space="preserve">-Control formal </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b/>
          <w:bCs/>
          <w:sz w:val="28"/>
          <w:szCs w:val="28"/>
        </w:rPr>
        <w:t>PROYECTO DE LEY ESTATUTARIA</w:t>
      </w:r>
      <w:r w:rsidRPr="0096658B">
        <w:rPr>
          <w:rFonts w:ascii="Times New Roman" w:hAnsi="Times New Roman" w:cs="Times New Roman"/>
          <w:sz w:val="28"/>
          <w:szCs w:val="28"/>
        </w:rPr>
        <w:t xml:space="preserve">-Presentación e iniciativa legislativa </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b/>
          <w:bCs/>
          <w:sz w:val="28"/>
          <w:szCs w:val="28"/>
        </w:rPr>
        <w:t>CONTROL DE CONSTITUCIONALIDAD DE PROYECTOS DE LEY ESTATUTARIA</w:t>
      </w:r>
      <w:r w:rsidRPr="0096658B">
        <w:rPr>
          <w:rFonts w:ascii="Times New Roman" w:hAnsi="Times New Roman" w:cs="Times New Roman"/>
          <w:sz w:val="28"/>
          <w:szCs w:val="28"/>
        </w:rPr>
        <w:t xml:space="preserve">-Cumplimiento de requisitos de consecutividad, identidad flexible y unidad de materia </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b/>
          <w:bCs/>
          <w:sz w:val="28"/>
          <w:szCs w:val="28"/>
        </w:rPr>
        <w:t>IMPACTO FISCAL EN PROYECTO DE LEY ESTATUTARIA</w:t>
      </w:r>
      <w:r w:rsidRPr="0096658B">
        <w:rPr>
          <w:rFonts w:ascii="Times New Roman" w:hAnsi="Times New Roman" w:cs="Times New Roman"/>
          <w:sz w:val="28"/>
          <w:szCs w:val="28"/>
        </w:rPr>
        <w:t xml:space="preserve">-Contenido y alcance </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b/>
          <w:bCs/>
          <w:sz w:val="28"/>
          <w:szCs w:val="28"/>
        </w:rPr>
        <w:t>ANÁLISIS DE IMPACTO FISCAL EN PROYECTO DE LEY ESTATUTARIA</w:t>
      </w:r>
      <w:r w:rsidRPr="0096658B">
        <w:rPr>
          <w:rFonts w:ascii="Times New Roman" w:hAnsi="Times New Roman" w:cs="Times New Roman"/>
          <w:sz w:val="28"/>
          <w:szCs w:val="28"/>
        </w:rPr>
        <w:t xml:space="preserve">-No es exigible al no ordenar gasto u otorgar beneficio tributario </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b/>
          <w:bCs/>
          <w:sz w:val="28"/>
          <w:szCs w:val="28"/>
        </w:rPr>
        <w:t>PROYECTO DE LEY ESTATUTARIA</w:t>
      </w:r>
      <w:r w:rsidRPr="0096658B">
        <w:rPr>
          <w:rFonts w:ascii="Times New Roman" w:hAnsi="Times New Roman" w:cs="Times New Roman"/>
          <w:sz w:val="28"/>
          <w:szCs w:val="28"/>
        </w:rPr>
        <w:t xml:space="preserve">-Consulta previa cuando incluya medidas que afecten directamente a las comunidades étnicas </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b/>
          <w:bCs/>
          <w:sz w:val="28"/>
          <w:szCs w:val="28"/>
        </w:rPr>
        <w:t>DEMOCRACIA CONSTITUCIONAL</w:t>
      </w:r>
      <w:r w:rsidRPr="0096658B">
        <w:rPr>
          <w:rFonts w:ascii="Times New Roman" w:hAnsi="Times New Roman" w:cs="Times New Roman"/>
          <w:sz w:val="28"/>
          <w:szCs w:val="28"/>
        </w:rPr>
        <w:t>-Participación de las mujeres</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i/>
          <w:iCs/>
          <w:sz w:val="28"/>
          <w:szCs w:val="28"/>
        </w:rPr>
        <w:t xml:space="preserve">(...) la participación de las mujeres en la esfera pública, en particular en los niveles decisorios del Estado, es una consecuencia necesaria de la satisfacción del derecho a la igualdad y el perfeccionamiento del valor constitucional del pluralismo. Así, el logro de una participación equitativa entre los géneros, que responda a la composición demográfica de la sociedad y la necesidad de garantizar la remoción de barreras en contra de las minorías históricamente discriminadas, es un objetivo central y permanente del Estado. Uno de los instrumentos, aunque por supuesto no el único, para lograr ese objetivo es la previsión de disposiciones que establezcan cuotas mínimas de participación. Con todo, estos mecanismos deben ser necesariamente complementados por otros que adicionen la faceta material del derecho a la igualdad mediante la adopción de un enfoque de género. </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b/>
          <w:bCs/>
          <w:sz w:val="28"/>
          <w:szCs w:val="28"/>
        </w:rPr>
        <w:t>DERECHO A LA PARTICIPACIÓN DE LAS MUJERES</w:t>
      </w:r>
      <w:r w:rsidRPr="0096658B">
        <w:rPr>
          <w:rFonts w:ascii="Times New Roman" w:hAnsi="Times New Roman" w:cs="Times New Roman"/>
          <w:sz w:val="28"/>
          <w:szCs w:val="28"/>
        </w:rPr>
        <w:t>-Bloque de constitucionalidad</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i/>
          <w:iCs/>
          <w:sz w:val="28"/>
          <w:szCs w:val="28"/>
        </w:rPr>
        <w:t>(...) existe un robusto grupo de disposiciones del derecho internacional de los derechos humanos, que establecen reglas específicas sobre la obligación de los Estados de promover y garantizar la equidad de género en los cargos de representación política y, en particular, de la dirección del Estado. Estas disposiciones, al estar contenidas en instrumentos internacionales ratificados por Colombia, hacen parte del bloque de constitucionalidad y, en consecuencia, integran el parámetro de control judicial de las disposiciones del PLE.</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b/>
          <w:bCs/>
          <w:sz w:val="28"/>
          <w:szCs w:val="28"/>
        </w:rPr>
        <w:t>ACCIONES AFIRMATIVAS A FAVOR DE LA MUJER EN BLOQUE DE CONSTITUCIONALIDAD</w:t>
      </w:r>
      <w:r w:rsidRPr="0096658B">
        <w:rPr>
          <w:rFonts w:ascii="Times New Roman" w:hAnsi="Times New Roman" w:cs="Times New Roman"/>
          <w:sz w:val="28"/>
          <w:szCs w:val="28"/>
        </w:rPr>
        <w:t>-Convención Internacional sobre la eliminación de todas las formas de discriminación contra la mujer</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i/>
          <w:iCs/>
          <w:sz w:val="28"/>
          <w:szCs w:val="28"/>
        </w:rPr>
        <w:t>Las disposiciones del derecho internacional de los derechos humanos son coincidentes en prever garantías para la participación de las mujeres en la esfera pública, en especial en los cargos de elección popular y en las posiciones de dirección y liderazgo en el Estado. Para ello, establecen mandatos específicos para la remoción de las barreras de acceso a las mujeres a esas instancias, entre ellas aquellas medidas temporales de cuotas, como algunas de las contenidas en el PLE. Sin embargo, es importante resaltar que estos instrumentos hacen parte de una perspectiva más amplia, esta sí de carácter permanente, la cual propugna por la paridad entre hombres y mujeres en el ejercicio de las referidas posiciones y, en general, en el ejercicio del poder político.</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b/>
          <w:bCs/>
          <w:sz w:val="28"/>
          <w:szCs w:val="28"/>
        </w:rPr>
        <w:t>PRINCIPIO DE IGUALDAD Y PROHIBICION DE DISCRIMINACION POR RAZON DE SEXO</w:t>
      </w:r>
      <w:r w:rsidRPr="0096658B">
        <w:rPr>
          <w:rFonts w:ascii="Times New Roman" w:hAnsi="Times New Roman" w:cs="Times New Roman"/>
          <w:sz w:val="28"/>
          <w:szCs w:val="28"/>
        </w:rPr>
        <w:t xml:space="preserve">-Protección reforzada y especial de los derechos de la mujer </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b/>
          <w:bCs/>
          <w:sz w:val="28"/>
          <w:szCs w:val="28"/>
        </w:rPr>
        <w:t>ACCIONES AFIRMATIVAS PARA GARANTIZAR LA IGUALDAD DE LA MUJER</w:t>
      </w:r>
      <w:r w:rsidRPr="0096658B">
        <w:rPr>
          <w:rFonts w:ascii="Times New Roman" w:hAnsi="Times New Roman" w:cs="Times New Roman"/>
          <w:sz w:val="28"/>
          <w:szCs w:val="28"/>
        </w:rPr>
        <w:t xml:space="preserve">-Consagración constitucional </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b/>
          <w:bCs/>
          <w:sz w:val="28"/>
          <w:szCs w:val="28"/>
        </w:rPr>
        <w:t>DISCRIMINACION CONTRA LA MUJER</w:t>
      </w:r>
      <w:r w:rsidRPr="0096658B">
        <w:rPr>
          <w:rFonts w:ascii="Times New Roman" w:hAnsi="Times New Roman" w:cs="Times New Roman"/>
          <w:sz w:val="28"/>
          <w:szCs w:val="28"/>
        </w:rPr>
        <w:t>-Enfoque interseccional</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i/>
          <w:iCs/>
          <w:sz w:val="28"/>
          <w:szCs w:val="28"/>
        </w:rPr>
        <w:t>(...) la Corte reconoce que la interseccionalidad es un enfoque crucial para abordar la complejidad de las desigualdades que enfrentan las mujeres en diferentes aspectos de sus vidas, por esto, al priorizar la interseccionalidad en la actividad legislativa que complemente y desarrolle la ley en estudio, se reconoce la necesidad de abordar no solo la discriminación de género, sino también las diversas formas de opresión y discriminación que pueden afectar de manera desproporcionada a diferentes grupos de mujeres. Esto incluye a mujeres de comunidades marginadas o históricamente excluidas que enfrentan barreras adicionales para acceder a oportunidades económicas, educativas y políticas.</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b/>
          <w:bCs/>
          <w:sz w:val="28"/>
          <w:szCs w:val="28"/>
        </w:rPr>
        <w:t>DERECHO DE LAS MUJERES A PARTICIPAR EN LA VIDA POLITICA Y PUBLICA</w:t>
      </w:r>
      <w:r w:rsidRPr="0096658B">
        <w:rPr>
          <w:rFonts w:ascii="Times New Roman" w:hAnsi="Times New Roman" w:cs="Times New Roman"/>
          <w:sz w:val="28"/>
          <w:szCs w:val="28"/>
        </w:rPr>
        <w:t xml:space="preserve">-Obligaciones del Estado </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b/>
          <w:bCs/>
          <w:sz w:val="28"/>
          <w:szCs w:val="28"/>
        </w:rPr>
        <w:t>DERECHO DE LAS MUJERES A PARTICIPAR EN LA VIDA POLITICA Y PUBLICA</w:t>
      </w:r>
      <w:r w:rsidRPr="0096658B">
        <w:rPr>
          <w:rFonts w:ascii="Times New Roman" w:hAnsi="Times New Roman" w:cs="Times New Roman"/>
          <w:sz w:val="28"/>
          <w:szCs w:val="28"/>
        </w:rPr>
        <w:t xml:space="preserve">-Medidas afirmativas para promover el acceso a cargos públicos </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b/>
          <w:bCs/>
          <w:sz w:val="28"/>
          <w:szCs w:val="28"/>
        </w:rPr>
        <w:t>DERECHO DE LAS MUJERES A PARTICIPAR EN LA VIDA POLITICA Y PUBLICA</w:t>
      </w:r>
      <w:r w:rsidRPr="0096658B">
        <w:rPr>
          <w:rFonts w:ascii="Times New Roman" w:hAnsi="Times New Roman" w:cs="Times New Roman"/>
          <w:sz w:val="28"/>
          <w:szCs w:val="28"/>
        </w:rPr>
        <w:t>-Medidas de cuota</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i/>
          <w:iCs/>
          <w:sz w:val="28"/>
          <w:szCs w:val="28"/>
        </w:rPr>
        <w:t xml:space="preserve">(...) las medidas de cuota, como lo ha señalado la Corte, son puntos de partida, pero también de llegada. En ese sentido, obran como instrumentos dinamizadores para la equidad, pero también operan como herramientas temporales cuya finalización se logra una vez el tratamiento equitativo opere como regla general y eficiente para el acceso a las altas responsabilidades del Estado. Esto quiere decir que las medidas de cuota no pueden operar como máximos de participación, sino apenas como vías para el logro y consolidación de la equidad, al igual que para la remoción de obstáculos en el proceso para la consolidación de la paridad en la participación. Por lo tanto, no es constitucionalmente admisible que se conciban como techos o límites para la participación de las mujeres, pues ello sería contrario al mandato de equidad en el acceso a los CMND y CND. </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b/>
          <w:bCs/>
          <w:sz w:val="28"/>
          <w:szCs w:val="28"/>
        </w:rPr>
        <w:t>DERECHO DE LAS MUJERES A PARTICIPAR EN LA VIDA POLITICA Y PUBLICA</w:t>
      </w:r>
      <w:r w:rsidRPr="0096658B">
        <w:rPr>
          <w:rFonts w:ascii="Times New Roman" w:hAnsi="Times New Roman" w:cs="Times New Roman"/>
          <w:sz w:val="28"/>
          <w:szCs w:val="28"/>
        </w:rPr>
        <w:t>-Medidas de paridad</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i/>
          <w:iCs/>
          <w:sz w:val="28"/>
          <w:szCs w:val="28"/>
        </w:rPr>
        <w:t>(...) la Sala considera que el legislador estatutario está habilitado para que, dentro de sus amplias competencias y prevalido de un debate democrático suficiente, utilice diversas estrategias para agilizar el logro de la paridad y dentro del enfoque interseccional explicado en esta sentencia. Así, instrumentos como la aplicación temporal de ternas conformadas exclusivamente por mujeres o incentivos de diversa índole para el fomento de la participación de las mujeres son herramientas que válidamente pueden permitir una implementación más oportuna del mandato de paridad el cual, como se ha explicado en esta sentencia, tiene suficiente sustento en la Constitución</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b/>
          <w:bCs/>
          <w:sz w:val="28"/>
          <w:szCs w:val="28"/>
        </w:rPr>
        <w:t>JUICIO DE PROPORCIONALIDAD</w:t>
      </w:r>
      <w:r w:rsidRPr="0096658B">
        <w:rPr>
          <w:rFonts w:ascii="Times New Roman" w:hAnsi="Times New Roman" w:cs="Times New Roman"/>
          <w:sz w:val="28"/>
          <w:szCs w:val="28"/>
        </w:rPr>
        <w:t xml:space="preserve">-Determinación </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b/>
          <w:bCs/>
          <w:sz w:val="28"/>
          <w:szCs w:val="28"/>
        </w:rPr>
        <w:t>JUICIO DE PROPORCIONALIDAD EN PROYECTO DE LEY ESTATUTARIA</w:t>
      </w:r>
      <w:r w:rsidRPr="0096658B">
        <w:rPr>
          <w:rFonts w:ascii="Times New Roman" w:hAnsi="Times New Roman" w:cs="Times New Roman"/>
          <w:sz w:val="28"/>
          <w:szCs w:val="28"/>
        </w:rPr>
        <w:t xml:space="preserve">-Constitucionalidad de la norma </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b/>
          <w:bCs/>
          <w:sz w:val="28"/>
          <w:szCs w:val="28"/>
        </w:rPr>
        <w:t>SEXO</w:t>
      </w:r>
      <w:r w:rsidRPr="0096658B">
        <w:rPr>
          <w:rFonts w:ascii="Times New Roman" w:hAnsi="Times New Roman" w:cs="Times New Roman"/>
          <w:sz w:val="28"/>
          <w:szCs w:val="28"/>
        </w:rPr>
        <w:t>-Definición</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i/>
          <w:iCs/>
          <w:sz w:val="28"/>
          <w:szCs w:val="28"/>
        </w:rPr>
        <w:t>El sexo ha sido definido como “las características biológicas y fisiológicas (anatómicas, físicas, genéticas, hormonales y cromosómicas) con base en las cuales las personas son clasificadas como hombres (de sexo masculino), mujeres (de sexo femenino) o personas intersexuales (con ambigüedad sexual o genital) al momento del nacimiento”</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b/>
          <w:bCs/>
          <w:sz w:val="28"/>
          <w:szCs w:val="28"/>
        </w:rPr>
        <w:t>GENERO</w:t>
      </w:r>
      <w:r w:rsidRPr="0096658B">
        <w:rPr>
          <w:rFonts w:ascii="Times New Roman" w:hAnsi="Times New Roman" w:cs="Times New Roman"/>
          <w:sz w:val="28"/>
          <w:szCs w:val="28"/>
        </w:rPr>
        <w:t>-Definición</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i/>
          <w:iCs/>
          <w:sz w:val="28"/>
          <w:szCs w:val="28"/>
        </w:rPr>
        <w:t>(...) el género “es el concepto con el cual una sociedad o cultura, en un momento histórico determinado, se refiere a ciertos roles, atributos y comportamientos de los hombres y de las mujeres, según el significado que [culturalmente se] le da a sus características biológicas y fisiológicas”.</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b/>
          <w:bCs/>
          <w:sz w:val="28"/>
          <w:szCs w:val="28"/>
        </w:rPr>
        <w:t>IDENTIDAD DE GENERO</w:t>
      </w:r>
      <w:r w:rsidRPr="0096658B">
        <w:rPr>
          <w:rFonts w:ascii="Times New Roman" w:hAnsi="Times New Roman" w:cs="Times New Roman"/>
          <w:sz w:val="28"/>
          <w:szCs w:val="28"/>
        </w:rPr>
        <w:t>-Definición</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i/>
          <w:iCs/>
          <w:sz w:val="28"/>
          <w:szCs w:val="28"/>
        </w:rPr>
        <w:t>(...) la identidad de género ha sido definido como “la vivencia interna e individual del género tal como cada persona la siente profundamente, y que puede corresponder o no con el sexo al momento del nacimiento”. Es decir, la identidad de género responde a “una construcción individual que depende de las elecciones personales sobre la forma de vivir la propia sexualidad tanto en el plano personal como en su proyección en la sociedad”</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b/>
          <w:bCs/>
          <w:sz w:val="28"/>
          <w:szCs w:val="28"/>
        </w:rPr>
        <w:t>COMUNIDAD TRANS</w:t>
      </w:r>
      <w:r w:rsidRPr="0096658B">
        <w:rPr>
          <w:rFonts w:ascii="Times New Roman" w:hAnsi="Times New Roman" w:cs="Times New Roman"/>
          <w:sz w:val="28"/>
          <w:szCs w:val="28"/>
        </w:rPr>
        <w:t xml:space="preserve">-Concepto </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b/>
          <w:bCs/>
          <w:sz w:val="28"/>
          <w:szCs w:val="28"/>
        </w:rPr>
        <w:t>IDENTIDAD DE GÉNERO NO BINARIA</w:t>
      </w:r>
      <w:r w:rsidRPr="0096658B">
        <w:rPr>
          <w:rFonts w:ascii="Times New Roman" w:hAnsi="Times New Roman" w:cs="Times New Roman"/>
          <w:sz w:val="28"/>
          <w:szCs w:val="28"/>
        </w:rPr>
        <w:t xml:space="preserve">-Concepto </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b/>
          <w:bCs/>
          <w:sz w:val="28"/>
          <w:szCs w:val="28"/>
        </w:rPr>
        <w:t>DERECHO FUNDAMENTAL A LA IDENTIDAD DE GENERO</w:t>
      </w:r>
      <w:r w:rsidRPr="0096658B">
        <w:rPr>
          <w:rFonts w:ascii="Times New Roman" w:hAnsi="Times New Roman" w:cs="Times New Roman"/>
          <w:sz w:val="28"/>
          <w:szCs w:val="28"/>
        </w:rPr>
        <w:t xml:space="preserve">-Ámbito de protección </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b/>
          <w:bCs/>
          <w:sz w:val="28"/>
          <w:szCs w:val="28"/>
        </w:rPr>
        <w:t>IDENTIDAD DE GÉNERO NO BINARIA</w:t>
      </w:r>
      <w:r w:rsidRPr="0096658B">
        <w:rPr>
          <w:rFonts w:ascii="Times New Roman" w:hAnsi="Times New Roman" w:cs="Times New Roman"/>
          <w:sz w:val="28"/>
          <w:szCs w:val="28"/>
        </w:rPr>
        <w:t xml:space="preserve">-Protección </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b/>
          <w:bCs/>
          <w:sz w:val="28"/>
          <w:szCs w:val="28"/>
        </w:rPr>
        <w:t>PROYECTO DE LEY ESTATUTARIA QUE ESTABLECE MEDIDAS PARA GARANTIZAR LA PARTICIPACIÓN DE LAS MUJERES EN LAS RAMAS Y ÓRGANOS DEL PODER PÚBLICO</w:t>
      </w:r>
      <w:r w:rsidRPr="0096658B">
        <w:rPr>
          <w:rFonts w:ascii="Times New Roman" w:hAnsi="Times New Roman" w:cs="Times New Roman"/>
          <w:sz w:val="28"/>
          <w:szCs w:val="28"/>
        </w:rPr>
        <w:t xml:space="preserve">-No regula derechos de las personas no binarias </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0E1788">
      <w:pPr>
        <w:widowControl w:val="0"/>
        <w:autoSpaceDE w:val="0"/>
        <w:autoSpaceDN w:val="0"/>
        <w:adjustRightInd w:val="0"/>
        <w:spacing w:after="0" w:line="240" w:lineRule="auto"/>
        <w:jc w:val="both"/>
        <w:rPr>
          <w:rFonts w:ascii="Times New Roman" w:hAnsi="Times New Roman" w:cs="Times New Roman"/>
          <w:sz w:val="28"/>
          <w:szCs w:val="28"/>
        </w:rPr>
      </w:pPr>
      <w:r w:rsidRPr="0096658B">
        <w:rPr>
          <w:rFonts w:ascii="Times New Roman" w:hAnsi="Times New Roman" w:cs="Times New Roman"/>
          <w:b/>
          <w:bCs/>
          <w:sz w:val="28"/>
          <w:szCs w:val="28"/>
        </w:rPr>
        <w:t>OMISION LEGISLATIVA ABSOLUTA</w:t>
      </w:r>
      <w:r w:rsidRPr="0096658B">
        <w:rPr>
          <w:rFonts w:ascii="Times New Roman" w:hAnsi="Times New Roman" w:cs="Times New Roman"/>
          <w:sz w:val="28"/>
          <w:szCs w:val="28"/>
        </w:rPr>
        <w:t xml:space="preserve">-Incompetencia de la Corte Constitucional </w:t>
      </w:r>
    </w:p>
    <w:p w:rsidR="0004772D" w:rsidRPr="0096658B" w:rsidRDefault="0004772D">
      <w:pPr>
        <w:widowControl w:val="0"/>
        <w:autoSpaceDE w:val="0"/>
        <w:autoSpaceDN w:val="0"/>
        <w:adjustRightInd w:val="0"/>
        <w:spacing w:after="0" w:line="240" w:lineRule="auto"/>
        <w:jc w:val="both"/>
        <w:rPr>
          <w:rFonts w:ascii="Times New Roman" w:hAnsi="Times New Roman" w:cs="Times New Roman"/>
          <w:sz w:val="28"/>
          <w:szCs w:val="28"/>
        </w:rPr>
      </w:pPr>
    </w:p>
    <w:p w:rsidR="0004772D" w:rsidRPr="0096658B" w:rsidRDefault="0096658B">
      <w:pPr>
        <w:widowControl w:val="0"/>
        <w:autoSpaceDE w:val="0"/>
        <w:autoSpaceDN w:val="0"/>
        <w:adjustRightInd w:val="0"/>
        <w:spacing w:after="0" w:line="240" w:lineRule="auto"/>
        <w:jc w:val="both"/>
        <w:rPr>
          <w:rFonts w:ascii="Times New Roman" w:hAnsi="Times New Roman" w:cs="Times New Roman"/>
          <w:sz w:val="28"/>
        </w:rPr>
      </w:pPr>
      <w:r w:rsidRPr="0096658B">
        <w:rPr>
          <w:rFonts w:ascii="Times New Roman" w:hAnsi="Times New Roman" w:cs="Times New Roman"/>
          <w:sz w:val="28"/>
          <w:szCs w:val="28"/>
        </w:rPr>
        <w:pict>
          <v:rect id="_x0000_i1025" style="width:0;height:1.5pt" o:hralign="center" o:hrstd="t" o:hr="t" fillcolor="#a0a0a0" stroked="f"/>
        </w:pict>
      </w:r>
    </w:p>
    <w:p w:rsidR="00454692" w:rsidRPr="0096658B" w:rsidRDefault="0096658B" w:rsidP="006B7BF0">
      <w:pPr>
        <w:jc w:val="center"/>
        <w:rPr>
          <w:rFonts w:ascii="Times New Roman" w:hAnsi="Times New Roman" w:cs="Times New Roman"/>
          <w:b/>
          <w:bCs/>
          <w:color w:val="000000" w:themeColor="text1"/>
          <w:sz w:val="28"/>
          <w:szCs w:val="28"/>
          <w:lang w:val="es-ES_tradnl"/>
        </w:rPr>
      </w:pPr>
      <w:r w:rsidRPr="0096658B">
        <w:rPr>
          <w:rFonts w:ascii="Times New Roman" w:hAnsi="Times New Roman" w:cs="Times New Roman"/>
          <w:b/>
          <w:bCs/>
          <w:color w:val="000000" w:themeColor="text1"/>
          <w:sz w:val="28"/>
          <w:szCs w:val="28"/>
          <w:lang w:val="es-ES_tradnl"/>
        </w:rPr>
        <w:t>REPÚBLICA DE COLOMBIA</w:t>
      </w:r>
    </w:p>
    <w:p w:rsidR="006B7BF0" w:rsidRPr="0096658B" w:rsidRDefault="0096658B" w:rsidP="006B7BF0">
      <w:pPr>
        <w:jc w:val="center"/>
        <w:rPr>
          <w:rFonts w:ascii="Times New Roman" w:hAnsi="Times New Roman" w:cs="Times New Roman"/>
          <w:b/>
          <w:bCs/>
          <w:color w:val="000000" w:themeColor="text1"/>
          <w:sz w:val="28"/>
          <w:szCs w:val="28"/>
          <w:lang w:val="es-ES_tradnl"/>
        </w:rPr>
      </w:pPr>
      <w:r w:rsidRPr="0096658B">
        <w:rPr>
          <w:rFonts w:ascii="Times New Roman" w:hAnsi="Times New Roman" w:cs="Times New Roman"/>
          <w:b/>
          <w:bCs/>
          <w:noProof/>
          <w:color w:val="000000" w:themeColor="text1"/>
          <w:sz w:val="28"/>
          <w:szCs w:val="28"/>
        </w:rPr>
        <w:drawing>
          <wp:inline distT="0" distB="0" distL="0" distR="0" wp14:anchorId="0712D628" wp14:editId="7A2E9A52">
            <wp:extent cx="792480" cy="786765"/>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86765"/>
                    </a:xfrm>
                    <a:prstGeom prst="rect">
                      <a:avLst/>
                    </a:prstGeom>
                    <a:noFill/>
                  </pic:spPr>
                </pic:pic>
              </a:graphicData>
            </a:graphic>
          </wp:inline>
        </w:drawing>
      </w:r>
    </w:p>
    <w:p w:rsidR="00454692" w:rsidRPr="0096658B" w:rsidRDefault="0096658B" w:rsidP="006B7BF0">
      <w:pPr>
        <w:jc w:val="center"/>
        <w:rPr>
          <w:rFonts w:ascii="Times New Roman" w:hAnsi="Times New Roman" w:cs="Times New Roman"/>
          <w:b/>
          <w:bCs/>
          <w:color w:val="000000" w:themeColor="text1"/>
          <w:sz w:val="28"/>
          <w:szCs w:val="28"/>
          <w:lang w:val="es-ES_tradnl"/>
        </w:rPr>
      </w:pPr>
      <w:r w:rsidRPr="0096658B">
        <w:rPr>
          <w:rFonts w:ascii="Times New Roman" w:hAnsi="Times New Roman" w:cs="Times New Roman"/>
          <w:b/>
          <w:bCs/>
          <w:color w:val="000000" w:themeColor="text1"/>
          <w:sz w:val="28"/>
          <w:szCs w:val="28"/>
          <w:lang w:val="es-ES_tradnl"/>
        </w:rPr>
        <w:t>CORTE CONSTITUCIONAL</w:t>
      </w:r>
    </w:p>
    <w:p w:rsidR="00454692" w:rsidRPr="0096658B" w:rsidRDefault="0096658B" w:rsidP="00454692">
      <w:pPr>
        <w:pStyle w:val="Textoindependiente2"/>
        <w:ind w:right="0"/>
        <w:rPr>
          <w:rFonts w:ascii="Times New Roman" w:hAnsi="Times New Roman" w:cs="Times New Roman"/>
          <w:b/>
          <w:bCs/>
          <w:color w:val="000000" w:themeColor="text1"/>
          <w:lang w:val="es-ES_tradnl"/>
        </w:rPr>
      </w:pPr>
    </w:p>
    <w:p w:rsidR="00E336F8" w:rsidRPr="0096658B" w:rsidRDefault="0096658B" w:rsidP="00454692">
      <w:pPr>
        <w:pStyle w:val="Textoindependiente2"/>
        <w:ind w:right="0"/>
        <w:rPr>
          <w:rFonts w:ascii="Times New Roman" w:hAnsi="Times New Roman" w:cs="Times New Roman"/>
          <w:b/>
          <w:bCs/>
          <w:color w:val="000000" w:themeColor="text1"/>
          <w:lang w:val="es-ES_tradnl"/>
        </w:rPr>
      </w:pPr>
    </w:p>
    <w:p w:rsidR="00454692" w:rsidRPr="0096658B" w:rsidRDefault="0096658B" w:rsidP="00454692">
      <w:pPr>
        <w:pStyle w:val="Textoindependiente2"/>
        <w:ind w:right="0"/>
        <w:jc w:val="center"/>
        <w:rPr>
          <w:rFonts w:ascii="Times New Roman" w:hAnsi="Times New Roman" w:cs="Times New Roman"/>
          <w:b/>
          <w:bCs/>
          <w:color w:val="000000" w:themeColor="text1"/>
          <w:lang w:val="es-ES_tradnl"/>
        </w:rPr>
      </w:pPr>
      <w:r w:rsidRPr="0096658B">
        <w:rPr>
          <w:rFonts w:ascii="Times New Roman" w:hAnsi="Times New Roman" w:cs="Times New Roman"/>
          <w:b/>
          <w:bCs/>
          <w:color w:val="000000" w:themeColor="text1"/>
          <w:lang w:val="es-ES_tradnl"/>
        </w:rPr>
        <w:t>SENTENCIA</w:t>
      </w:r>
      <w:r w:rsidRPr="0096658B">
        <w:rPr>
          <w:rFonts w:ascii="Times New Roman" w:hAnsi="Times New Roman" w:cs="Times New Roman"/>
          <w:b/>
          <w:bCs/>
          <w:color w:val="000000" w:themeColor="text1"/>
          <w:lang w:val="es-ES_tradnl"/>
        </w:rPr>
        <w:t xml:space="preserve"> C-136</w:t>
      </w:r>
      <w:r w:rsidRPr="0096658B">
        <w:rPr>
          <w:rFonts w:ascii="Times New Roman" w:hAnsi="Times New Roman" w:cs="Times New Roman"/>
          <w:b/>
          <w:bCs/>
          <w:color w:val="000000" w:themeColor="text1"/>
          <w:lang w:val="es-ES_tradnl"/>
        </w:rPr>
        <w:t xml:space="preserve"> DE 2024</w:t>
      </w:r>
    </w:p>
    <w:p w:rsidR="00454692" w:rsidRPr="0096658B" w:rsidRDefault="0096658B" w:rsidP="00454692">
      <w:pPr>
        <w:rPr>
          <w:rFonts w:ascii="Times New Roman" w:hAnsi="Times New Roman" w:cs="Times New Roman"/>
          <w:b/>
          <w:color w:val="000000" w:themeColor="text1"/>
          <w:sz w:val="28"/>
          <w:szCs w:val="28"/>
          <w:lang w:val="es-ES_tradnl"/>
        </w:rPr>
      </w:pPr>
    </w:p>
    <w:p w:rsidR="00E336F8" w:rsidRPr="0096658B" w:rsidRDefault="0096658B" w:rsidP="00454692">
      <w:pPr>
        <w:rPr>
          <w:rFonts w:ascii="Times New Roman" w:hAnsi="Times New Roman" w:cs="Times New Roman"/>
          <w:b/>
          <w:color w:val="000000" w:themeColor="text1"/>
          <w:sz w:val="28"/>
          <w:szCs w:val="28"/>
          <w:lang w:val="es-ES_tradnl"/>
        </w:rPr>
      </w:pPr>
    </w:p>
    <w:p w:rsidR="00454692" w:rsidRPr="0096658B" w:rsidRDefault="0096658B" w:rsidP="00454692">
      <w:pPr>
        <w:ind w:left="3540"/>
        <w:rPr>
          <w:rFonts w:ascii="Times New Roman" w:hAnsi="Times New Roman" w:cs="Times New Roman"/>
          <w:color w:val="000000" w:themeColor="text1"/>
          <w:sz w:val="28"/>
          <w:szCs w:val="28"/>
          <w:lang w:val="es-ES_tradnl"/>
        </w:rPr>
      </w:pPr>
      <w:r w:rsidRPr="0096658B">
        <w:rPr>
          <w:rFonts w:ascii="Times New Roman" w:hAnsi="Times New Roman" w:cs="Times New Roman"/>
          <w:b/>
          <w:bCs/>
          <w:color w:val="000000" w:themeColor="text1"/>
          <w:sz w:val="28"/>
          <w:szCs w:val="28"/>
          <w:lang w:val="es-ES_tradnl"/>
        </w:rPr>
        <w:t>Ref</w:t>
      </w:r>
      <w:r w:rsidRPr="0096658B">
        <w:rPr>
          <w:rFonts w:ascii="Times New Roman" w:hAnsi="Times New Roman" w:cs="Times New Roman"/>
          <w:b/>
          <w:bCs/>
          <w:color w:val="000000" w:themeColor="text1"/>
          <w:sz w:val="28"/>
          <w:szCs w:val="28"/>
          <w:lang w:val="es-ES_tradnl"/>
        </w:rPr>
        <w:t>erencia</w:t>
      </w:r>
      <w:r w:rsidRPr="0096658B">
        <w:rPr>
          <w:rFonts w:ascii="Times New Roman" w:hAnsi="Times New Roman" w:cs="Times New Roman"/>
          <w:b/>
          <w:bCs/>
          <w:color w:val="000000" w:themeColor="text1"/>
          <w:sz w:val="28"/>
          <w:szCs w:val="28"/>
          <w:lang w:val="es-ES_tradnl"/>
        </w:rPr>
        <w:t>:</w:t>
      </w:r>
      <w:r w:rsidRPr="0096658B">
        <w:rPr>
          <w:rFonts w:ascii="Times New Roman" w:hAnsi="Times New Roman" w:cs="Times New Roman"/>
          <w:b/>
          <w:color w:val="000000" w:themeColor="text1"/>
          <w:sz w:val="28"/>
          <w:szCs w:val="28"/>
          <w:lang w:val="es-ES_tradnl"/>
        </w:rPr>
        <w:t xml:space="preserve"> </w:t>
      </w:r>
      <w:r w:rsidRPr="0096658B">
        <w:rPr>
          <w:rFonts w:ascii="Times New Roman" w:hAnsi="Times New Roman" w:cs="Times New Roman"/>
          <w:color w:val="000000" w:themeColor="text1"/>
          <w:sz w:val="28"/>
          <w:szCs w:val="28"/>
          <w:lang w:val="es-ES_tradnl"/>
        </w:rPr>
        <w:t>Expediente</w:t>
      </w:r>
      <w:r w:rsidRPr="0096658B">
        <w:rPr>
          <w:rFonts w:ascii="Times New Roman" w:hAnsi="Times New Roman" w:cs="Times New Roman"/>
          <w:b/>
          <w:color w:val="000000" w:themeColor="text1"/>
          <w:sz w:val="28"/>
          <w:szCs w:val="28"/>
          <w:lang w:val="es-ES_tradnl"/>
        </w:rPr>
        <w:t xml:space="preserve"> </w:t>
      </w:r>
      <w:r w:rsidRPr="0096658B">
        <w:rPr>
          <w:rFonts w:ascii="Times New Roman" w:hAnsi="Times New Roman" w:cs="Times New Roman"/>
          <w:color w:val="000000" w:themeColor="text1"/>
          <w:sz w:val="28"/>
          <w:szCs w:val="28"/>
          <w:lang w:val="es-ES_tradnl"/>
        </w:rPr>
        <w:t>PE-053</w:t>
      </w:r>
    </w:p>
    <w:p w:rsidR="00454692" w:rsidRPr="0096658B" w:rsidRDefault="0096658B" w:rsidP="00454692">
      <w:pPr>
        <w:rPr>
          <w:rFonts w:ascii="Times New Roman" w:hAnsi="Times New Roman" w:cs="Times New Roman"/>
          <w:color w:val="000000" w:themeColor="text1"/>
          <w:sz w:val="28"/>
          <w:szCs w:val="28"/>
          <w:lang w:val="es-ES_tradnl"/>
        </w:rPr>
      </w:pPr>
    </w:p>
    <w:p w:rsidR="00454692" w:rsidRPr="0096658B" w:rsidRDefault="0096658B" w:rsidP="00862B9D">
      <w:pPr>
        <w:ind w:left="3540"/>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Revisión de constitucionalidad d</w:t>
      </w:r>
      <w:r w:rsidRPr="0096658B">
        <w:rPr>
          <w:rFonts w:ascii="Times New Roman" w:hAnsi="Times New Roman" w:cs="Times New Roman"/>
          <w:color w:val="000000" w:themeColor="text1"/>
          <w:sz w:val="28"/>
          <w:szCs w:val="28"/>
          <w:lang w:val="es-ES_tradnl"/>
        </w:rPr>
        <w:t xml:space="preserve">el Proyecto de Ley Estatutaria 093 de 2022 Senado – 349 de 2023 Cámara “por la cual se adoptan medidas para garantizar la participación paritaria de las mujeres en las diferentes ramas y órganos del </w:t>
      </w:r>
      <w:r w:rsidRPr="0096658B">
        <w:rPr>
          <w:rFonts w:ascii="Times New Roman" w:hAnsi="Times New Roman" w:cs="Times New Roman"/>
          <w:color w:val="000000" w:themeColor="text1"/>
          <w:sz w:val="28"/>
          <w:szCs w:val="28"/>
          <w:lang w:val="es-ES_tradnl"/>
        </w:rPr>
        <w:t>Poder Público de conformidad con los artículos 13, 40 y 43 de la Constitución Política y se dictan otras disposiciones”</w:t>
      </w:r>
    </w:p>
    <w:p w:rsidR="00862B9D" w:rsidRPr="0096658B" w:rsidRDefault="0096658B" w:rsidP="00862B9D">
      <w:pPr>
        <w:ind w:left="3540"/>
        <w:jc w:val="both"/>
        <w:rPr>
          <w:rFonts w:ascii="Times New Roman" w:hAnsi="Times New Roman" w:cs="Times New Roman"/>
          <w:color w:val="000000" w:themeColor="text1"/>
          <w:sz w:val="28"/>
          <w:szCs w:val="28"/>
          <w:lang w:val="es-ES_tradnl"/>
        </w:rPr>
      </w:pPr>
    </w:p>
    <w:p w:rsidR="00454692" w:rsidRPr="0096658B" w:rsidRDefault="0096658B" w:rsidP="00454692">
      <w:pPr>
        <w:ind w:left="3540"/>
        <w:rPr>
          <w:rFonts w:ascii="Times New Roman" w:hAnsi="Times New Roman" w:cs="Times New Roman"/>
          <w:b/>
          <w:bCs/>
          <w:color w:val="000000" w:themeColor="text1"/>
          <w:sz w:val="28"/>
          <w:szCs w:val="28"/>
          <w:lang w:val="es-ES_tradnl"/>
        </w:rPr>
      </w:pPr>
      <w:r w:rsidRPr="0096658B">
        <w:rPr>
          <w:rFonts w:ascii="Times New Roman" w:hAnsi="Times New Roman" w:cs="Times New Roman"/>
          <w:b/>
          <w:bCs/>
          <w:color w:val="000000" w:themeColor="text1"/>
          <w:sz w:val="28"/>
          <w:szCs w:val="28"/>
          <w:lang w:val="es-ES_tradnl"/>
        </w:rPr>
        <w:t xml:space="preserve">Magistrada </w:t>
      </w:r>
      <w:r w:rsidRPr="0096658B">
        <w:rPr>
          <w:rFonts w:ascii="Times New Roman" w:hAnsi="Times New Roman" w:cs="Times New Roman"/>
          <w:b/>
          <w:bCs/>
          <w:color w:val="000000" w:themeColor="text1"/>
          <w:sz w:val="28"/>
          <w:szCs w:val="28"/>
          <w:lang w:val="es-ES_tradnl"/>
        </w:rPr>
        <w:t>sustanciadora</w:t>
      </w:r>
      <w:r w:rsidRPr="0096658B">
        <w:rPr>
          <w:rFonts w:ascii="Times New Roman" w:hAnsi="Times New Roman" w:cs="Times New Roman"/>
          <w:b/>
          <w:bCs/>
          <w:color w:val="000000" w:themeColor="text1"/>
          <w:sz w:val="28"/>
          <w:szCs w:val="28"/>
          <w:lang w:val="es-ES_tradnl"/>
        </w:rPr>
        <w:t xml:space="preserve">: </w:t>
      </w:r>
    </w:p>
    <w:p w:rsidR="00454692" w:rsidRPr="0096658B" w:rsidRDefault="0096658B" w:rsidP="00454692">
      <w:pPr>
        <w:ind w:left="3540"/>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PAOLA ANDREA MENESES MOSQUERA</w:t>
      </w:r>
    </w:p>
    <w:p w:rsidR="00454692" w:rsidRPr="0096658B" w:rsidRDefault="0096658B" w:rsidP="00454692">
      <w:pPr>
        <w:ind w:left="3927"/>
        <w:rPr>
          <w:rFonts w:ascii="Times New Roman" w:hAnsi="Times New Roman" w:cs="Times New Roman"/>
          <w:color w:val="000000" w:themeColor="text1"/>
          <w:sz w:val="28"/>
          <w:szCs w:val="28"/>
          <w:lang w:val="es-ES_tradnl"/>
        </w:rPr>
      </w:pPr>
    </w:p>
    <w:p w:rsidR="00454692" w:rsidRPr="0096658B" w:rsidRDefault="0096658B" w:rsidP="00454692">
      <w:pPr>
        <w:tabs>
          <w:tab w:val="left" w:pos="0"/>
        </w:tabs>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 xml:space="preserve">Bogotá, D.C., </w:t>
      </w:r>
      <w:r w:rsidRPr="0096658B">
        <w:rPr>
          <w:rFonts w:ascii="Times New Roman" w:hAnsi="Times New Roman" w:cs="Times New Roman"/>
          <w:color w:val="000000" w:themeColor="text1"/>
          <w:sz w:val="28"/>
          <w:szCs w:val="28"/>
          <w:lang w:val="es-ES_tradnl"/>
        </w:rPr>
        <w:t>veinticuatro</w:t>
      </w:r>
      <w:r w:rsidRPr="0096658B">
        <w:rPr>
          <w:rFonts w:ascii="Times New Roman" w:hAnsi="Times New Roman" w:cs="Times New Roman"/>
          <w:color w:val="000000" w:themeColor="text1"/>
          <w:sz w:val="28"/>
          <w:szCs w:val="28"/>
          <w:lang w:val="es-ES_tradnl"/>
        </w:rPr>
        <w:t xml:space="preserve"> (</w:t>
      </w:r>
      <w:r w:rsidRPr="0096658B">
        <w:rPr>
          <w:rFonts w:ascii="Times New Roman" w:hAnsi="Times New Roman" w:cs="Times New Roman"/>
          <w:color w:val="000000" w:themeColor="text1"/>
          <w:sz w:val="28"/>
          <w:szCs w:val="28"/>
          <w:lang w:val="es-ES_tradnl"/>
        </w:rPr>
        <w:t>24</w:t>
      </w:r>
      <w:r w:rsidRPr="0096658B">
        <w:rPr>
          <w:rFonts w:ascii="Times New Roman" w:hAnsi="Times New Roman" w:cs="Times New Roman"/>
          <w:color w:val="000000" w:themeColor="text1"/>
          <w:sz w:val="28"/>
          <w:szCs w:val="28"/>
          <w:lang w:val="es-ES_tradnl"/>
        </w:rPr>
        <w:t xml:space="preserve">) de </w:t>
      </w:r>
      <w:r w:rsidRPr="0096658B">
        <w:rPr>
          <w:rFonts w:ascii="Times New Roman" w:hAnsi="Times New Roman" w:cs="Times New Roman"/>
          <w:color w:val="000000" w:themeColor="text1"/>
          <w:sz w:val="28"/>
          <w:szCs w:val="28"/>
          <w:lang w:val="es-ES_tradnl"/>
        </w:rPr>
        <w:t>abril</w:t>
      </w:r>
      <w:r w:rsidRPr="0096658B">
        <w:rPr>
          <w:rFonts w:ascii="Times New Roman" w:hAnsi="Times New Roman" w:cs="Times New Roman"/>
          <w:color w:val="000000" w:themeColor="text1"/>
          <w:sz w:val="28"/>
          <w:szCs w:val="28"/>
          <w:lang w:val="es-ES_tradnl"/>
        </w:rPr>
        <w:t xml:space="preserve"> de dos mil </w:t>
      </w:r>
      <w:r w:rsidRPr="0096658B">
        <w:rPr>
          <w:rFonts w:ascii="Times New Roman" w:hAnsi="Times New Roman" w:cs="Times New Roman"/>
          <w:color w:val="000000" w:themeColor="text1"/>
          <w:sz w:val="28"/>
          <w:szCs w:val="28"/>
          <w:lang w:val="es-ES_tradnl"/>
        </w:rPr>
        <w:t>veinti</w:t>
      </w:r>
      <w:r w:rsidRPr="0096658B">
        <w:rPr>
          <w:rFonts w:ascii="Times New Roman" w:hAnsi="Times New Roman" w:cs="Times New Roman"/>
          <w:color w:val="000000" w:themeColor="text1"/>
          <w:sz w:val="28"/>
          <w:szCs w:val="28"/>
          <w:lang w:val="es-ES_tradnl"/>
        </w:rPr>
        <w:t>cuatro</w:t>
      </w:r>
      <w:r w:rsidRPr="0096658B">
        <w:rPr>
          <w:rFonts w:ascii="Times New Roman" w:hAnsi="Times New Roman" w:cs="Times New Roman"/>
          <w:color w:val="000000" w:themeColor="text1"/>
          <w:sz w:val="28"/>
          <w:szCs w:val="28"/>
          <w:lang w:val="es-ES_tradnl"/>
        </w:rPr>
        <w:t xml:space="preserve"> (202</w:t>
      </w:r>
      <w:r w:rsidRPr="0096658B">
        <w:rPr>
          <w:rFonts w:ascii="Times New Roman" w:hAnsi="Times New Roman" w:cs="Times New Roman"/>
          <w:color w:val="000000" w:themeColor="text1"/>
          <w:sz w:val="28"/>
          <w:szCs w:val="28"/>
          <w:lang w:val="es-ES_tradnl"/>
        </w:rPr>
        <w:t>4</w:t>
      </w:r>
      <w:r w:rsidRPr="0096658B">
        <w:rPr>
          <w:rFonts w:ascii="Times New Roman" w:hAnsi="Times New Roman" w:cs="Times New Roman"/>
          <w:color w:val="000000" w:themeColor="text1"/>
          <w:sz w:val="28"/>
          <w:szCs w:val="28"/>
          <w:lang w:val="es-ES_tradnl"/>
        </w:rPr>
        <w:t>)</w:t>
      </w:r>
    </w:p>
    <w:p w:rsidR="00454692" w:rsidRPr="0096658B" w:rsidRDefault="0096658B" w:rsidP="00454692">
      <w:pPr>
        <w:tabs>
          <w:tab w:val="left" w:pos="0"/>
        </w:tabs>
        <w:rPr>
          <w:rFonts w:ascii="Times New Roman" w:hAnsi="Times New Roman" w:cs="Times New Roman"/>
          <w:color w:val="000000" w:themeColor="text1"/>
          <w:sz w:val="28"/>
          <w:szCs w:val="28"/>
          <w:lang w:val="es-ES_tradnl"/>
        </w:rPr>
      </w:pPr>
    </w:p>
    <w:p w:rsidR="00811F4A" w:rsidRPr="0096658B" w:rsidRDefault="0096658B" w:rsidP="00811F4A">
      <w:pPr>
        <w:pStyle w:val="Style1"/>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 xml:space="preserve">La </w:t>
      </w:r>
      <w:r w:rsidRPr="0096658B">
        <w:rPr>
          <w:rFonts w:ascii="Times New Roman" w:hAnsi="Times New Roman" w:cs="Times New Roman"/>
          <w:color w:val="000000" w:themeColor="text1"/>
          <w:sz w:val="28"/>
          <w:szCs w:val="28"/>
          <w:lang w:val="es-ES_tradnl"/>
        </w:rPr>
        <w:t>Sala Plena de la Corte Constitucional, en ejercicio de sus atribuciones constitucionales y legales, en especial de las previstas en el numeral 8º del artículo 241 de la Constitución Política, cumplidos todos los trámites y requisitos contemplados en el Dec</w:t>
      </w:r>
      <w:r w:rsidRPr="0096658B">
        <w:rPr>
          <w:rFonts w:ascii="Times New Roman" w:hAnsi="Times New Roman" w:cs="Times New Roman"/>
          <w:color w:val="000000" w:themeColor="text1"/>
          <w:sz w:val="28"/>
          <w:szCs w:val="28"/>
          <w:lang w:val="es-ES_tradnl"/>
        </w:rPr>
        <w:t>reto 2067 de 1991, ha proferido la siguiente:</w:t>
      </w:r>
    </w:p>
    <w:p w:rsidR="00811F4A" w:rsidRPr="0096658B" w:rsidRDefault="0096658B" w:rsidP="00811F4A">
      <w:pPr>
        <w:pStyle w:val="Style1"/>
        <w:jc w:val="both"/>
        <w:rPr>
          <w:rFonts w:ascii="Times New Roman" w:hAnsi="Times New Roman" w:cs="Times New Roman"/>
          <w:color w:val="000000" w:themeColor="text1"/>
          <w:sz w:val="28"/>
          <w:szCs w:val="28"/>
          <w:lang w:val="es-ES_tradnl"/>
        </w:rPr>
      </w:pPr>
    </w:p>
    <w:p w:rsidR="00811F4A" w:rsidRPr="0096658B" w:rsidRDefault="0096658B" w:rsidP="00811F4A">
      <w:pPr>
        <w:pStyle w:val="Style1"/>
        <w:rPr>
          <w:rFonts w:ascii="Times New Roman" w:hAnsi="Times New Roman" w:cs="Times New Roman"/>
          <w:b/>
          <w:bCs/>
          <w:color w:val="000000" w:themeColor="text1"/>
          <w:sz w:val="28"/>
          <w:szCs w:val="28"/>
          <w:lang w:val="es-ES_tradnl"/>
        </w:rPr>
      </w:pPr>
      <w:r w:rsidRPr="0096658B">
        <w:rPr>
          <w:rFonts w:ascii="Times New Roman" w:hAnsi="Times New Roman" w:cs="Times New Roman"/>
          <w:b/>
          <w:bCs/>
          <w:color w:val="000000" w:themeColor="text1"/>
          <w:sz w:val="28"/>
          <w:szCs w:val="28"/>
          <w:lang w:val="es-ES_tradnl"/>
        </w:rPr>
        <w:t>SENTENCIA</w:t>
      </w:r>
    </w:p>
    <w:p w:rsidR="00A903BB" w:rsidRPr="0096658B" w:rsidRDefault="0096658B" w:rsidP="00811F4A">
      <w:pPr>
        <w:pStyle w:val="Style1"/>
        <w:rPr>
          <w:rFonts w:ascii="Times New Roman" w:hAnsi="Times New Roman" w:cs="Times New Roman"/>
          <w:b/>
          <w:bCs/>
          <w:color w:val="000000" w:themeColor="text1"/>
          <w:sz w:val="28"/>
          <w:szCs w:val="28"/>
          <w:lang w:val="es-ES_tradnl"/>
        </w:rPr>
      </w:pPr>
    </w:p>
    <w:p w:rsidR="00A903BB" w:rsidRPr="0096658B" w:rsidRDefault="0096658B" w:rsidP="00A903BB">
      <w:pPr>
        <w:pStyle w:val="Style1"/>
        <w:jc w:val="both"/>
        <w:rPr>
          <w:rFonts w:ascii="Times New Roman" w:hAnsi="Times New Roman" w:cs="Times New Roman"/>
          <w:b/>
          <w:bCs/>
          <w:color w:val="000000" w:themeColor="text1"/>
          <w:sz w:val="28"/>
          <w:szCs w:val="28"/>
          <w:lang w:val="es-ES_tradnl"/>
        </w:rPr>
      </w:pPr>
      <w:r w:rsidRPr="0096658B">
        <w:rPr>
          <w:rFonts w:ascii="Times New Roman" w:hAnsi="Times New Roman" w:cs="Times New Roman"/>
          <w:b/>
          <w:bCs/>
          <w:color w:val="000000" w:themeColor="text1"/>
          <w:sz w:val="28"/>
          <w:szCs w:val="28"/>
          <w:lang w:val="es-ES_tradnl"/>
        </w:rPr>
        <w:t xml:space="preserve">Síntesis de la decisión </w:t>
      </w:r>
    </w:p>
    <w:p w:rsidR="00A903BB" w:rsidRPr="0096658B" w:rsidRDefault="0096658B" w:rsidP="00A903BB">
      <w:pPr>
        <w:pStyle w:val="Style1"/>
        <w:jc w:val="both"/>
        <w:rPr>
          <w:rFonts w:ascii="Times New Roman" w:hAnsi="Times New Roman" w:cs="Times New Roman"/>
          <w:color w:val="000000" w:themeColor="text1"/>
          <w:sz w:val="28"/>
          <w:szCs w:val="28"/>
          <w:lang w:val="es-ES_tradnl"/>
        </w:rPr>
      </w:pPr>
    </w:p>
    <w:p w:rsidR="00A903BB" w:rsidRPr="0096658B" w:rsidRDefault="0096658B" w:rsidP="00A903BB">
      <w:pPr>
        <w:pStyle w:val="Style1"/>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La Corte Constitucional adelantó el control de constitucionalidad del Proyecto de Ley Estatutaria 093 de 2022 Senado – 349 de 2023 Cámara “por la cual se adoptan medidas pa</w:t>
      </w:r>
      <w:r w:rsidRPr="0096658B">
        <w:rPr>
          <w:rFonts w:ascii="Times New Roman" w:hAnsi="Times New Roman" w:cs="Times New Roman"/>
          <w:color w:val="000000" w:themeColor="text1"/>
          <w:sz w:val="28"/>
          <w:szCs w:val="28"/>
          <w:lang w:val="es-ES_tradnl"/>
        </w:rPr>
        <w:t>ra garantizar la participación paritaria de las mujeres en las diferentes ramas y órganos del Poder Público de conformidad con los artículos 13, 40 y 43 de la Constitución Política y se dictan otras disposiciones”.</w:t>
      </w:r>
    </w:p>
    <w:p w:rsidR="00A903BB" w:rsidRPr="0096658B" w:rsidRDefault="0096658B" w:rsidP="00A903BB">
      <w:pPr>
        <w:pStyle w:val="Style1"/>
        <w:jc w:val="both"/>
        <w:rPr>
          <w:rFonts w:ascii="Times New Roman" w:hAnsi="Times New Roman" w:cs="Times New Roman"/>
          <w:color w:val="000000" w:themeColor="text1"/>
          <w:sz w:val="28"/>
          <w:szCs w:val="28"/>
          <w:lang w:val="es-ES_tradnl"/>
        </w:rPr>
      </w:pPr>
    </w:p>
    <w:p w:rsidR="00A903BB" w:rsidRPr="0096658B" w:rsidRDefault="0096658B" w:rsidP="00A903BB">
      <w:pPr>
        <w:pStyle w:val="Style1"/>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Este proyecto de ley modifica dos dispos</w:t>
      </w:r>
      <w:r w:rsidRPr="0096658B">
        <w:rPr>
          <w:rFonts w:ascii="Times New Roman" w:hAnsi="Times New Roman" w:cs="Times New Roman"/>
          <w:color w:val="000000" w:themeColor="text1"/>
          <w:sz w:val="28"/>
          <w:szCs w:val="28"/>
          <w:lang w:val="es-ES_tradnl"/>
        </w:rPr>
        <w:t>iciones de la Ley 581 de 2000 y otra de la Ley 1475 de 2011. Tiene por objeto esencial (i) ampliar la participación obligatoria de las mujeres en los cargos de máximo nivel decisorio del Estado y otros cargos de nivel decisorio del 30% al 50%; (ii) ordenar</w:t>
      </w:r>
      <w:r w:rsidRPr="0096658B">
        <w:rPr>
          <w:rFonts w:ascii="Times New Roman" w:hAnsi="Times New Roman" w:cs="Times New Roman"/>
          <w:color w:val="000000" w:themeColor="text1"/>
          <w:sz w:val="28"/>
          <w:szCs w:val="28"/>
          <w:lang w:val="es-ES_tradnl"/>
        </w:rPr>
        <w:t xml:space="preserve"> la paridad entre hombres y mujeres en la participación en las delegaciones oficiales en eventos internacionales; y (iii) determinar que en las listas para corporaciones públicas destinadas a proveer menos de cinco curules, cuando menos una de las candidat</w:t>
      </w:r>
      <w:r w:rsidRPr="0096658B">
        <w:rPr>
          <w:rFonts w:ascii="Times New Roman" w:hAnsi="Times New Roman" w:cs="Times New Roman"/>
          <w:color w:val="000000" w:themeColor="text1"/>
          <w:sz w:val="28"/>
          <w:szCs w:val="28"/>
          <w:lang w:val="es-ES_tradnl"/>
        </w:rPr>
        <w:t xml:space="preserve">as debe ser una mujer. </w:t>
      </w:r>
    </w:p>
    <w:p w:rsidR="00A903BB" w:rsidRPr="0096658B" w:rsidRDefault="0096658B" w:rsidP="00A903BB">
      <w:pPr>
        <w:pStyle w:val="Style1"/>
        <w:jc w:val="both"/>
        <w:rPr>
          <w:rFonts w:ascii="Times New Roman" w:hAnsi="Times New Roman" w:cs="Times New Roman"/>
          <w:color w:val="000000" w:themeColor="text1"/>
          <w:sz w:val="28"/>
          <w:szCs w:val="28"/>
          <w:lang w:val="es-ES_tradnl"/>
        </w:rPr>
      </w:pPr>
    </w:p>
    <w:p w:rsidR="00A903BB" w:rsidRPr="0096658B" w:rsidRDefault="0096658B" w:rsidP="00A903BB">
      <w:pPr>
        <w:pStyle w:val="Style1"/>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La Corte encontró que estas disposiciones, al modificar previsiones de naturaleza estatutaria y regular acciones afirmativas en materia de acceso a los cargos públicos y a la participación democrática, estaban sometidas a reserva d</w:t>
      </w:r>
      <w:r w:rsidRPr="0096658B">
        <w:rPr>
          <w:rFonts w:ascii="Times New Roman" w:hAnsi="Times New Roman" w:cs="Times New Roman"/>
          <w:color w:val="000000" w:themeColor="text1"/>
          <w:sz w:val="28"/>
          <w:szCs w:val="28"/>
          <w:lang w:val="es-ES_tradnl"/>
        </w:rPr>
        <w:t xml:space="preserve">e ley estatutaria. Asimismo, el procedimiento legislativo cumplió con todos los requisitos constitucionales y orgánicos exigibles a este tipo de iniciativas. </w:t>
      </w:r>
    </w:p>
    <w:p w:rsidR="00A903BB" w:rsidRPr="0096658B" w:rsidRDefault="0096658B" w:rsidP="00A903BB">
      <w:pPr>
        <w:pStyle w:val="Style1"/>
        <w:jc w:val="both"/>
        <w:rPr>
          <w:rFonts w:ascii="Times New Roman" w:hAnsi="Times New Roman" w:cs="Times New Roman"/>
          <w:color w:val="000000" w:themeColor="text1"/>
          <w:sz w:val="28"/>
          <w:szCs w:val="28"/>
          <w:lang w:val="es-ES_tradnl"/>
        </w:rPr>
      </w:pPr>
    </w:p>
    <w:p w:rsidR="00A903BB" w:rsidRPr="0096658B" w:rsidRDefault="0096658B" w:rsidP="00A903BB">
      <w:pPr>
        <w:pStyle w:val="Style1"/>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Con el fin de otorgar un contexto para el análisis material del proyecto de ley, la Sala Plena a</w:t>
      </w:r>
      <w:r w:rsidRPr="0096658B">
        <w:rPr>
          <w:rFonts w:ascii="Times New Roman" w:hAnsi="Times New Roman" w:cs="Times New Roman"/>
          <w:color w:val="000000" w:themeColor="text1"/>
          <w:sz w:val="28"/>
          <w:szCs w:val="28"/>
          <w:lang w:val="es-ES_tradnl"/>
        </w:rPr>
        <w:t>nalizó los aspectos transversales a la normatividad objeto de examen, esto es, el contenido y alcance de la participación de las mujeres en la democracia constitucional, las normas del derecho internacional de los derechos humanos que disponen la paridad d</w:t>
      </w:r>
      <w:r w:rsidRPr="0096658B">
        <w:rPr>
          <w:rFonts w:ascii="Times New Roman" w:hAnsi="Times New Roman" w:cs="Times New Roman"/>
          <w:color w:val="000000" w:themeColor="text1"/>
          <w:sz w:val="28"/>
          <w:szCs w:val="28"/>
          <w:lang w:val="es-ES_tradnl"/>
        </w:rPr>
        <w:t xml:space="preserve">e género en el ejercicio del poder político, el desarrollo de medidas de acción afirmativa a favor de las mujeres en el constitucionalismo colombiano y en el marco de la vigencia del principio de igualdad de oportunidades, </w:t>
      </w:r>
      <w:r w:rsidRPr="0096658B">
        <w:rPr>
          <w:rFonts w:ascii="Times New Roman" w:hAnsi="Times New Roman" w:cs="Times New Roman"/>
          <w:color w:val="000000" w:themeColor="text1"/>
          <w:sz w:val="28"/>
          <w:szCs w:val="28"/>
          <w:lang w:val="es-ES_tradnl"/>
        </w:rPr>
        <w:t xml:space="preserve">la temporalidad de esas medidas, </w:t>
      </w:r>
      <w:r w:rsidRPr="0096658B">
        <w:rPr>
          <w:rFonts w:ascii="Times New Roman" w:hAnsi="Times New Roman" w:cs="Times New Roman"/>
          <w:color w:val="000000" w:themeColor="text1"/>
          <w:sz w:val="28"/>
          <w:szCs w:val="28"/>
          <w:lang w:val="es-ES_tradnl"/>
        </w:rPr>
        <w:t xml:space="preserve">el balance sobre los logros y retos para la eficacia de las medidas de cuota, y los límites inmanentes de dichas medidas. </w:t>
      </w:r>
    </w:p>
    <w:p w:rsidR="00A903BB" w:rsidRPr="0096658B" w:rsidRDefault="0096658B" w:rsidP="00A903BB">
      <w:pPr>
        <w:pStyle w:val="Style1"/>
        <w:jc w:val="both"/>
        <w:rPr>
          <w:rFonts w:ascii="Times New Roman" w:hAnsi="Times New Roman" w:cs="Times New Roman"/>
          <w:color w:val="000000" w:themeColor="text1"/>
          <w:sz w:val="28"/>
          <w:szCs w:val="28"/>
          <w:lang w:val="es-ES_tradnl"/>
        </w:rPr>
      </w:pPr>
    </w:p>
    <w:p w:rsidR="00A903BB" w:rsidRPr="0096658B" w:rsidRDefault="0096658B" w:rsidP="00A903BB">
      <w:pPr>
        <w:pStyle w:val="Style1"/>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A partir de estos análisis la Corte concluyó, entre otros aspectos, que las medidas de cuota a favor de las mujeres son un instrumen</w:t>
      </w:r>
      <w:r w:rsidRPr="0096658B">
        <w:rPr>
          <w:rFonts w:ascii="Times New Roman" w:hAnsi="Times New Roman" w:cs="Times New Roman"/>
          <w:color w:val="000000" w:themeColor="text1"/>
          <w:sz w:val="28"/>
          <w:szCs w:val="28"/>
          <w:lang w:val="es-ES_tradnl"/>
        </w:rPr>
        <w:t xml:space="preserve">to que, de manera general, desarrollan el principio constitucional de igualdad, por lo que son </w:t>
      </w:r>
      <w:r w:rsidRPr="0096658B">
        <w:rPr>
          <w:rFonts w:ascii="Times New Roman" w:hAnsi="Times New Roman" w:cs="Times New Roman"/>
          <w:i/>
          <w:iCs/>
          <w:color w:val="000000" w:themeColor="text1"/>
          <w:sz w:val="28"/>
          <w:szCs w:val="28"/>
          <w:lang w:val="es-ES_tradnl"/>
        </w:rPr>
        <w:t>prima facie</w:t>
      </w:r>
      <w:r w:rsidRPr="0096658B">
        <w:rPr>
          <w:rFonts w:ascii="Times New Roman" w:hAnsi="Times New Roman" w:cs="Times New Roman"/>
          <w:color w:val="000000" w:themeColor="text1"/>
          <w:sz w:val="28"/>
          <w:szCs w:val="28"/>
          <w:lang w:val="es-ES_tradnl"/>
        </w:rPr>
        <w:t xml:space="preserve"> compatibles con la Constitución. Estas medidas, a su turno, si bien han permitido aumentar los márgenes de participación de las mujeres en la vida po</w:t>
      </w:r>
      <w:r w:rsidRPr="0096658B">
        <w:rPr>
          <w:rFonts w:ascii="Times New Roman" w:hAnsi="Times New Roman" w:cs="Times New Roman"/>
          <w:color w:val="000000" w:themeColor="text1"/>
          <w:sz w:val="28"/>
          <w:szCs w:val="28"/>
          <w:lang w:val="es-ES_tradnl"/>
        </w:rPr>
        <w:t>lítica del país y en los cargos directivos del Estado, en todo caso no han alcanzado el logro de la paridad y desde una perspectiva sustancial. Esto debido a, esencialmente, dos tipos de razones: la pervivencia de estereotipos y prejuicios en contra de las</w:t>
      </w:r>
      <w:r w:rsidRPr="0096658B">
        <w:rPr>
          <w:rFonts w:ascii="Times New Roman" w:hAnsi="Times New Roman" w:cs="Times New Roman"/>
          <w:color w:val="000000" w:themeColor="text1"/>
          <w:sz w:val="28"/>
          <w:szCs w:val="28"/>
          <w:lang w:val="es-ES_tradnl"/>
        </w:rPr>
        <w:t xml:space="preserve"> mujeres respecto de su aptitud para ejercer cargos directivos y de representación, y la existencia de inequidades en la distribución de las labores de cuidado entre hombres y mujeres, que obran en perjuicio de estas respecto de la posibilidad material de </w:t>
      </w:r>
      <w:r w:rsidRPr="0096658B">
        <w:rPr>
          <w:rFonts w:ascii="Times New Roman" w:hAnsi="Times New Roman" w:cs="Times New Roman"/>
          <w:color w:val="000000" w:themeColor="text1"/>
          <w:sz w:val="28"/>
          <w:szCs w:val="28"/>
          <w:lang w:val="es-ES_tradnl"/>
        </w:rPr>
        <w:t>acceder a las mencionadas responsabilidades. Ello a pesar de que se comprueba la equivalencia, e incluso la mayor participación de las mujeres, en las instancias educativas superiores. Por lo tanto, aunque se han alcanzado avances significativos</w:t>
      </w:r>
      <w:r w:rsidRPr="0096658B">
        <w:rPr>
          <w:rFonts w:ascii="Times New Roman" w:hAnsi="Times New Roman" w:cs="Times New Roman"/>
          <w:color w:val="000000" w:themeColor="text1"/>
          <w:sz w:val="28"/>
          <w:szCs w:val="28"/>
          <w:lang w:val="es-ES_tradnl"/>
        </w:rPr>
        <w:t xml:space="preserve"> y, en cual</w:t>
      </w:r>
      <w:r w:rsidRPr="0096658B">
        <w:rPr>
          <w:rFonts w:ascii="Times New Roman" w:hAnsi="Times New Roman" w:cs="Times New Roman"/>
          <w:color w:val="000000" w:themeColor="text1"/>
          <w:sz w:val="28"/>
          <w:szCs w:val="28"/>
          <w:lang w:val="es-ES_tradnl"/>
        </w:rPr>
        <w:t>quier caso, se trata de instrumentos cuyo carácter temporal está vinculado a la remoción de las barreras para la participación efectiva de las mujeres</w:t>
      </w:r>
      <w:r w:rsidRPr="0096658B">
        <w:rPr>
          <w:rFonts w:ascii="Times New Roman" w:hAnsi="Times New Roman" w:cs="Times New Roman"/>
          <w:color w:val="000000" w:themeColor="text1"/>
          <w:sz w:val="28"/>
          <w:szCs w:val="28"/>
          <w:lang w:val="es-ES_tradnl"/>
        </w:rPr>
        <w:t xml:space="preserve">, los supuestos fácticos que justifican las medidas de acción afirmativa analizadas aún están presentes. </w:t>
      </w:r>
    </w:p>
    <w:p w:rsidR="00A903BB" w:rsidRPr="0096658B" w:rsidRDefault="0096658B" w:rsidP="00A903BB">
      <w:pPr>
        <w:pStyle w:val="Style1"/>
        <w:jc w:val="both"/>
        <w:rPr>
          <w:rFonts w:ascii="Times New Roman" w:hAnsi="Times New Roman" w:cs="Times New Roman"/>
          <w:color w:val="000000" w:themeColor="text1"/>
          <w:sz w:val="28"/>
          <w:szCs w:val="28"/>
          <w:lang w:val="es-ES_tradnl"/>
        </w:rPr>
      </w:pPr>
    </w:p>
    <w:p w:rsidR="00A903BB" w:rsidRPr="0096658B" w:rsidRDefault="0096658B" w:rsidP="000E19D8">
      <w:pPr>
        <w:pStyle w:val="Style1"/>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 xml:space="preserve">Con base en estas consideraciones la Corte estudió la constitucionalidad de las disposiciones del proyecto de ley y, de manera general, las encontró compatibles con la Carta Política, puesto que están en sintonía con la eficacia de la igualdad material o </w:t>
      </w:r>
      <w:r w:rsidRPr="0096658B">
        <w:rPr>
          <w:rFonts w:ascii="Times New Roman" w:hAnsi="Times New Roman" w:cs="Times New Roman"/>
          <w:color w:val="000000" w:themeColor="text1"/>
          <w:sz w:val="28"/>
          <w:szCs w:val="28"/>
          <w:lang w:val="es-ES_tradnl"/>
        </w:rPr>
        <w:t>de oportunidades</w:t>
      </w:r>
      <w:r w:rsidRPr="0096658B">
        <w:rPr>
          <w:rFonts w:ascii="Times New Roman" w:hAnsi="Times New Roman" w:cs="Times New Roman"/>
          <w:color w:val="000000" w:themeColor="text1"/>
          <w:sz w:val="28"/>
          <w:szCs w:val="28"/>
          <w:lang w:val="es-ES_tradnl"/>
        </w:rPr>
        <w:t xml:space="preserve"> de las mujeres</w:t>
      </w:r>
      <w:r w:rsidRPr="0096658B">
        <w:rPr>
          <w:rFonts w:ascii="Times New Roman" w:hAnsi="Times New Roman" w:cs="Times New Roman"/>
          <w:color w:val="000000" w:themeColor="text1"/>
          <w:sz w:val="28"/>
          <w:szCs w:val="28"/>
          <w:lang w:val="es-ES_tradnl"/>
        </w:rPr>
        <w:t xml:space="preserve"> y en los términos explicados en la jurisprudencia constitucional.</w:t>
      </w:r>
      <w:r w:rsidRPr="0096658B">
        <w:rPr>
          <w:rFonts w:ascii="Times New Roman" w:hAnsi="Times New Roman" w:cs="Times New Roman"/>
          <w:color w:val="000000" w:themeColor="text1"/>
          <w:sz w:val="28"/>
          <w:szCs w:val="28"/>
          <w:lang w:val="es-ES_tradnl"/>
        </w:rPr>
        <w:t xml:space="preserve"> Además, no contradicen las reglas jurisprudenciales que esta Corporación ha previsto para las medidas de cuota a favor de las mujeres. Asimismo, cumplen con u</w:t>
      </w:r>
      <w:r w:rsidRPr="0096658B">
        <w:rPr>
          <w:rFonts w:ascii="Times New Roman" w:hAnsi="Times New Roman" w:cs="Times New Roman"/>
          <w:color w:val="000000" w:themeColor="text1"/>
          <w:sz w:val="28"/>
          <w:szCs w:val="28"/>
          <w:lang w:val="es-ES_tradnl"/>
        </w:rPr>
        <w:t>n juicio de proporcionalidad de intensidad intermedia, aplicable al caso de las acciones afirmativas.</w:t>
      </w:r>
      <w:r w:rsidRPr="0096658B">
        <w:rPr>
          <w:rFonts w:ascii="Times New Roman" w:hAnsi="Times New Roman" w:cs="Times New Roman"/>
          <w:color w:val="000000" w:themeColor="text1"/>
          <w:sz w:val="28"/>
          <w:szCs w:val="28"/>
          <w:lang w:val="es-ES_tradnl"/>
        </w:rPr>
        <w:t xml:space="preserve"> Sin embargo</w:t>
      </w:r>
      <w:r w:rsidRPr="0096658B">
        <w:rPr>
          <w:rFonts w:ascii="Times New Roman" w:hAnsi="Times New Roman" w:cs="Times New Roman"/>
          <w:color w:val="000000" w:themeColor="text1"/>
          <w:sz w:val="28"/>
          <w:szCs w:val="28"/>
          <w:lang w:val="es-ES_tradnl"/>
        </w:rPr>
        <w:t xml:space="preserve">, de forma puntual encontró que el parágrafo segundo del artículo 1º debía condicionarse en su constitucionalidad, de manera que el plazo allí </w:t>
      </w:r>
      <w:r w:rsidRPr="0096658B">
        <w:rPr>
          <w:rFonts w:ascii="Times New Roman" w:hAnsi="Times New Roman" w:cs="Times New Roman"/>
          <w:color w:val="000000" w:themeColor="text1"/>
          <w:sz w:val="28"/>
          <w:szCs w:val="28"/>
          <w:lang w:val="es-ES_tradnl"/>
        </w:rPr>
        <w:t>previsto no pueda ser interpretado como de carácter preclusivo. En ese sentido, luego de vencido ese plazo el Presidente mantiene su potestad reglamentaria, delimitada en cualquier circunstancia por el contenido y alcance de las disposiciones legales objet</w:t>
      </w:r>
      <w:r w:rsidRPr="0096658B">
        <w:rPr>
          <w:rFonts w:ascii="Times New Roman" w:hAnsi="Times New Roman" w:cs="Times New Roman"/>
          <w:color w:val="000000" w:themeColor="text1"/>
          <w:sz w:val="28"/>
          <w:szCs w:val="28"/>
          <w:lang w:val="es-ES_tradnl"/>
        </w:rPr>
        <w:t>o de reglamentación.</w:t>
      </w:r>
      <w:r w:rsidRPr="0096658B">
        <w:rPr>
          <w:rFonts w:ascii="Times New Roman" w:hAnsi="Times New Roman" w:cs="Times New Roman"/>
          <w:color w:val="000000" w:themeColor="text1"/>
          <w:sz w:val="28"/>
          <w:szCs w:val="28"/>
          <w:lang w:val="es-ES_tradnl"/>
        </w:rPr>
        <w:t xml:space="preserve"> </w:t>
      </w:r>
    </w:p>
    <w:p w:rsidR="00E336F8" w:rsidRPr="0096658B" w:rsidRDefault="0096658B" w:rsidP="00811F4A">
      <w:pPr>
        <w:pStyle w:val="Style1"/>
        <w:widowControl/>
        <w:jc w:val="both"/>
        <w:rPr>
          <w:rFonts w:ascii="Times New Roman" w:hAnsi="Times New Roman" w:cs="Times New Roman"/>
          <w:color w:val="000000" w:themeColor="text1"/>
          <w:sz w:val="28"/>
          <w:szCs w:val="28"/>
          <w:lang w:val="es-ES_tradnl"/>
        </w:rPr>
      </w:pPr>
    </w:p>
    <w:p w:rsidR="00811F4A" w:rsidRPr="0096658B" w:rsidRDefault="0096658B" w:rsidP="00811F4A">
      <w:pPr>
        <w:pStyle w:val="Style1"/>
        <w:widowControl/>
        <w:numPr>
          <w:ilvl w:val="0"/>
          <w:numId w:val="3"/>
        </w:numPr>
        <w:ind w:left="426" w:hanging="426"/>
        <w:jc w:val="left"/>
        <w:rPr>
          <w:rStyle w:val="FontStyle12"/>
          <w:rFonts w:eastAsia="SimSun"/>
          <w:color w:val="000000" w:themeColor="text1"/>
          <w:sz w:val="28"/>
          <w:szCs w:val="28"/>
          <w:lang w:val="es-ES_tradnl" w:eastAsia="es-ES_tradnl"/>
        </w:rPr>
      </w:pPr>
      <w:r w:rsidRPr="0096658B">
        <w:rPr>
          <w:rStyle w:val="FontStyle12"/>
          <w:rFonts w:eastAsia="SimSun"/>
          <w:color w:val="000000" w:themeColor="text1"/>
          <w:sz w:val="28"/>
          <w:szCs w:val="28"/>
          <w:lang w:val="es-ES_tradnl" w:eastAsia="es-ES_tradnl"/>
        </w:rPr>
        <w:t>ANTECEDENTES</w:t>
      </w:r>
    </w:p>
    <w:p w:rsidR="00811F4A" w:rsidRPr="0096658B" w:rsidRDefault="0096658B" w:rsidP="00811F4A">
      <w:pPr>
        <w:pStyle w:val="Style3"/>
        <w:widowControl/>
        <w:spacing w:line="240" w:lineRule="auto"/>
        <w:rPr>
          <w:rFonts w:ascii="Times New Roman" w:hAnsi="Times New Roman" w:cs="Times New Roman"/>
          <w:color w:val="000000" w:themeColor="text1"/>
          <w:sz w:val="28"/>
          <w:szCs w:val="28"/>
          <w:lang w:val="es-ES_tradnl"/>
        </w:rPr>
      </w:pPr>
    </w:p>
    <w:p w:rsidR="00811F4A" w:rsidRPr="0096658B" w:rsidRDefault="0096658B" w:rsidP="00811F4A">
      <w:pPr>
        <w:pStyle w:val="Style1"/>
        <w:tabs>
          <w:tab w:val="left" w:pos="284"/>
        </w:tabs>
        <w:ind w:right="5"/>
        <w:jc w:val="both"/>
        <w:rPr>
          <w:rFonts w:ascii="Times New Roman" w:hAnsi="Times New Roman" w:cs="Times New Roman"/>
          <w:bCs/>
          <w:color w:val="000000" w:themeColor="text1"/>
          <w:sz w:val="28"/>
          <w:szCs w:val="28"/>
          <w:lang w:val="es-CO"/>
        </w:rPr>
      </w:pPr>
      <w:r w:rsidRPr="0096658B">
        <w:rPr>
          <w:rFonts w:ascii="Times New Roman" w:hAnsi="Times New Roman" w:cs="Times New Roman"/>
          <w:bCs/>
          <w:color w:val="000000" w:themeColor="text1"/>
          <w:sz w:val="28"/>
          <w:szCs w:val="28"/>
          <w:lang w:val="es-MX"/>
        </w:rPr>
        <w:t xml:space="preserve">El </w:t>
      </w:r>
      <w:r w:rsidRPr="0096658B">
        <w:rPr>
          <w:rFonts w:ascii="Times New Roman" w:hAnsi="Times New Roman" w:cs="Times New Roman"/>
          <w:bCs/>
          <w:color w:val="000000" w:themeColor="text1"/>
          <w:sz w:val="28"/>
          <w:szCs w:val="28"/>
          <w:lang w:val="es-MX"/>
        </w:rPr>
        <w:t xml:space="preserve">30 de junio de </w:t>
      </w:r>
      <w:r w:rsidRPr="0096658B">
        <w:rPr>
          <w:rFonts w:ascii="Times New Roman" w:hAnsi="Times New Roman" w:cs="Times New Roman"/>
          <w:bCs/>
          <w:color w:val="000000" w:themeColor="text1"/>
          <w:sz w:val="28"/>
          <w:szCs w:val="28"/>
          <w:lang w:val="es-MX"/>
        </w:rPr>
        <w:t>2023</w:t>
      </w:r>
      <w:r w:rsidRPr="0096658B">
        <w:rPr>
          <w:rFonts w:ascii="Times New Roman" w:hAnsi="Times New Roman" w:cs="Times New Roman"/>
          <w:bCs/>
          <w:color w:val="000000" w:themeColor="text1"/>
          <w:sz w:val="28"/>
          <w:szCs w:val="28"/>
          <w:lang w:val="es-MX"/>
        </w:rPr>
        <w:t xml:space="preserve">, el </w:t>
      </w:r>
      <w:r w:rsidRPr="0096658B">
        <w:rPr>
          <w:rFonts w:ascii="Times New Roman" w:hAnsi="Times New Roman" w:cs="Times New Roman"/>
          <w:bCs/>
          <w:color w:val="000000" w:themeColor="text1"/>
          <w:sz w:val="28"/>
          <w:szCs w:val="28"/>
          <w:lang w:val="es-MX"/>
        </w:rPr>
        <w:t>s</w:t>
      </w:r>
      <w:r w:rsidRPr="0096658B">
        <w:rPr>
          <w:rFonts w:ascii="Times New Roman" w:hAnsi="Times New Roman" w:cs="Times New Roman"/>
          <w:bCs/>
          <w:color w:val="000000" w:themeColor="text1"/>
          <w:sz w:val="28"/>
          <w:szCs w:val="28"/>
          <w:lang w:val="es-MX"/>
        </w:rPr>
        <w:t xml:space="preserve">ecretario </w:t>
      </w:r>
      <w:r w:rsidRPr="0096658B">
        <w:rPr>
          <w:rFonts w:ascii="Times New Roman" w:hAnsi="Times New Roman" w:cs="Times New Roman"/>
          <w:bCs/>
          <w:color w:val="000000" w:themeColor="text1"/>
          <w:sz w:val="28"/>
          <w:szCs w:val="28"/>
          <w:lang w:val="es-MX"/>
        </w:rPr>
        <w:t>g</w:t>
      </w:r>
      <w:r w:rsidRPr="0096658B">
        <w:rPr>
          <w:rFonts w:ascii="Times New Roman" w:hAnsi="Times New Roman" w:cs="Times New Roman"/>
          <w:bCs/>
          <w:color w:val="000000" w:themeColor="text1"/>
          <w:sz w:val="28"/>
          <w:szCs w:val="28"/>
          <w:lang w:val="es-MX"/>
        </w:rPr>
        <w:t xml:space="preserve">eneral del Senado de la República, en cumplimiento de lo ordenado en los </w:t>
      </w:r>
      <w:r w:rsidRPr="0096658B">
        <w:rPr>
          <w:rFonts w:ascii="Times New Roman" w:hAnsi="Times New Roman" w:cs="Times New Roman"/>
          <w:bCs/>
          <w:color w:val="000000" w:themeColor="text1"/>
          <w:sz w:val="28"/>
          <w:szCs w:val="28"/>
          <w:lang w:val="es-CO"/>
        </w:rPr>
        <w:t>artículos 153 y 241, numeral 8° de la Constitución Política y el artículo 39 del Decreto Ley 2067 de 1991</w:t>
      </w:r>
      <w:r w:rsidRPr="0096658B">
        <w:rPr>
          <w:rFonts w:ascii="Times New Roman" w:hAnsi="Times New Roman" w:cs="Times New Roman"/>
          <w:bCs/>
          <w:color w:val="000000" w:themeColor="text1"/>
          <w:sz w:val="28"/>
          <w:szCs w:val="28"/>
          <w:lang w:val="es-MX"/>
        </w:rPr>
        <w:t xml:space="preserve">, remitió a esta Corporación el expediente del </w:t>
      </w:r>
      <w:r w:rsidRPr="0096658B">
        <w:rPr>
          <w:rFonts w:ascii="Times New Roman" w:hAnsi="Times New Roman" w:cs="Times New Roman"/>
          <w:bCs/>
          <w:color w:val="000000" w:themeColor="text1"/>
          <w:sz w:val="28"/>
          <w:szCs w:val="28"/>
          <w:lang w:val="es-CO"/>
        </w:rPr>
        <w:t xml:space="preserve">Proyecto de Ley Estatutaria </w:t>
      </w:r>
      <w:r w:rsidRPr="0096658B">
        <w:rPr>
          <w:rFonts w:ascii="Times New Roman" w:hAnsi="Times New Roman" w:cs="Times New Roman"/>
          <w:bCs/>
          <w:color w:val="000000" w:themeColor="text1"/>
          <w:sz w:val="28"/>
          <w:szCs w:val="28"/>
          <w:lang w:val="es-CO"/>
        </w:rPr>
        <w:t>093 de 2022 Senado – 349 de 2023 Cámara “por la cual se adoptan medidas para garantizar la participación paritaria de las mujeres en las diferentes ramas y órganos del Poder Público</w:t>
      </w:r>
      <w:r w:rsidRPr="0096658B">
        <w:rPr>
          <w:rFonts w:ascii="Times New Roman" w:hAnsi="Times New Roman" w:cs="Times New Roman"/>
          <w:bCs/>
          <w:color w:val="000000" w:themeColor="text1"/>
          <w:sz w:val="28"/>
          <w:szCs w:val="28"/>
          <w:lang w:val="es-CO"/>
        </w:rPr>
        <w:t xml:space="preserve"> de conformidad con los artículos 13, 40 y 43 de la Constitución Política y se dictan otras disposiciones” </w:t>
      </w:r>
      <w:r w:rsidRPr="0096658B">
        <w:rPr>
          <w:rFonts w:ascii="Times New Roman" w:hAnsi="Times New Roman" w:cs="Times New Roman"/>
          <w:bCs/>
          <w:color w:val="000000" w:themeColor="text1"/>
          <w:sz w:val="28"/>
          <w:szCs w:val="28"/>
          <w:lang w:val="es-CO"/>
        </w:rPr>
        <w:t>(en adelante, el “Proyecto de Ley”</w:t>
      </w:r>
      <w:r w:rsidRPr="0096658B">
        <w:rPr>
          <w:rFonts w:ascii="Times New Roman" w:hAnsi="Times New Roman" w:cs="Times New Roman"/>
          <w:bCs/>
          <w:color w:val="000000" w:themeColor="text1"/>
          <w:sz w:val="28"/>
          <w:szCs w:val="28"/>
          <w:lang w:val="es-CO"/>
        </w:rPr>
        <w:t xml:space="preserve"> o PLE</w:t>
      </w:r>
      <w:r w:rsidRPr="0096658B">
        <w:rPr>
          <w:rFonts w:ascii="Times New Roman" w:hAnsi="Times New Roman" w:cs="Times New Roman"/>
          <w:bCs/>
          <w:color w:val="000000" w:themeColor="text1"/>
          <w:sz w:val="28"/>
          <w:szCs w:val="28"/>
          <w:lang w:val="es-CO"/>
        </w:rPr>
        <w:t>).</w:t>
      </w:r>
      <w:r w:rsidRPr="0096658B">
        <w:rPr>
          <w:rFonts w:ascii="Times New Roman" w:hAnsi="Times New Roman" w:cs="Times New Roman"/>
          <w:bCs/>
          <w:color w:val="000000" w:themeColor="text1"/>
          <w:sz w:val="28"/>
          <w:szCs w:val="28"/>
          <w:lang w:val="es-CO"/>
        </w:rPr>
        <w:t xml:space="preserve"> Asimismo, remitió copia del respect</w:t>
      </w:r>
      <w:r w:rsidRPr="0096658B">
        <w:rPr>
          <w:rFonts w:ascii="Times New Roman" w:hAnsi="Times New Roman" w:cs="Times New Roman"/>
          <w:bCs/>
          <w:color w:val="000000" w:themeColor="text1"/>
          <w:sz w:val="28"/>
          <w:szCs w:val="28"/>
          <w:lang w:val="es-CO"/>
        </w:rPr>
        <w:t>ivo</w:t>
      </w:r>
      <w:r w:rsidRPr="0096658B">
        <w:rPr>
          <w:rFonts w:ascii="Times New Roman" w:hAnsi="Times New Roman" w:cs="Times New Roman"/>
          <w:bCs/>
          <w:color w:val="000000" w:themeColor="text1"/>
          <w:sz w:val="28"/>
          <w:szCs w:val="28"/>
          <w:lang w:val="es-CO"/>
        </w:rPr>
        <w:t xml:space="preserve"> expediente legislativo. El asunto fue repartido a la </w:t>
      </w:r>
      <w:r w:rsidRPr="0096658B">
        <w:rPr>
          <w:rFonts w:ascii="Times New Roman" w:hAnsi="Times New Roman" w:cs="Times New Roman"/>
          <w:bCs/>
          <w:color w:val="000000" w:themeColor="text1"/>
          <w:sz w:val="28"/>
          <w:szCs w:val="28"/>
          <w:lang w:val="es-CO"/>
        </w:rPr>
        <w:t>m</w:t>
      </w:r>
      <w:r w:rsidRPr="0096658B">
        <w:rPr>
          <w:rFonts w:ascii="Times New Roman" w:hAnsi="Times New Roman" w:cs="Times New Roman"/>
          <w:bCs/>
          <w:color w:val="000000" w:themeColor="text1"/>
          <w:sz w:val="28"/>
          <w:szCs w:val="28"/>
          <w:lang w:val="es-CO"/>
        </w:rPr>
        <w:t>agistrada sus</w:t>
      </w:r>
      <w:r w:rsidRPr="0096658B">
        <w:rPr>
          <w:rFonts w:ascii="Times New Roman" w:hAnsi="Times New Roman" w:cs="Times New Roman"/>
          <w:bCs/>
          <w:color w:val="000000" w:themeColor="text1"/>
          <w:sz w:val="28"/>
          <w:szCs w:val="28"/>
          <w:lang w:val="es-CO"/>
        </w:rPr>
        <w:t>tanciadora en la sesión de Sala Plena de 13 de julio de 2023</w:t>
      </w:r>
      <w:r w:rsidRPr="0096658B">
        <w:rPr>
          <w:rFonts w:ascii="Times New Roman" w:hAnsi="Times New Roman" w:cs="Times New Roman"/>
          <w:bCs/>
          <w:color w:val="000000" w:themeColor="text1"/>
          <w:sz w:val="28"/>
          <w:szCs w:val="28"/>
          <w:lang w:val="es-CO"/>
        </w:rPr>
        <w:t>.</w:t>
      </w:r>
    </w:p>
    <w:p w:rsidR="00811F4A" w:rsidRPr="0096658B" w:rsidRDefault="0096658B" w:rsidP="00811F4A">
      <w:pPr>
        <w:pStyle w:val="Style1"/>
        <w:ind w:right="5"/>
        <w:jc w:val="both"/>
        <w:rPr>
          <w:rFonts w:ascii="Times New Roman" w:hAnsi="Times New Roman" w:cs="Times New Roman"/>
          <w:bCs/>
          <w:color w:val="000000" w:themeColor="text1"/>
          <w:sz w:val="28"/>
          <w:szCs w:val="28"/>
          <w:lang w:val="es-CO"/>
        </w:rPr>
      </w:pPr>
    </w:p>
    <w:p w:rsidR="00811F4A" w:rsidRPr="0096658B" w:rsidRDefault="0096658B" w:rsidP="00811F4A">
      <w:pPr>
        <w:pStyle w:val="Style1"/>
        <w:tabs>
          <w:tab w:val="left" w:pos="284"/>
        </w:tabs>
        <w:ind w:right="5"/>
        <w:jc w:val="both"/>
        <w:rPr>
          <w:rFonts w:ascii="Times New Roman" w:hAnsi="Times New Roman" w:cs="Times New Roman"/>
          <w:bCs/>
          <w:color w:val="000000" w:themeColor="text1"/>
          <w:sz w:val="28"/>
          <w:szCs w:val="28"/>
          <w:lang w:val="es-CO"/>
        </w:rPr>
      </w:pPr>
      <w:r w:rsidRPr="0096658B">
        <w:rPr>
          <w:rFonts w:ascii="Times New Roman" w:hAnsi="Times New Roman" w:cs="Times New Roman"/>
          <w:bCs/>
          <w:color w:val="000000" w:themeColor="text1"/>
          <w:sz w:val="28"/>
          <w:szCs w:val="28"/>
          <w:lang w:val="es-MX"/>
        </w:rPr>
        <w:t xml:space="preserve">Mediante providencia de </w:t>
      </w:r>
      <w:r w:rsidRPr="0096658B">
        <w:rPr>
          <w:rFonts w:ascii="Times New Roman" w:hAnsi="Times New Roman" w:cs="Times New Roman"/>
          <w:bCs/>
          <w:color w:val="000000" w:themeColor="text1"/>
          <w:sz w:val="28"/>
          <w:szCs w:val="28"/>
          <w:lang w:val="es-MX"/>
        </w:rPr>
        <w:t>26</w:t>
      </w:r>
      <w:r w:rsidRPr="0096658B">
        <w:rPr>
          <w:rFonts w:ascii="Times New Roman" w:hAnsi="Times New Roman" w:cs="Times New Roman"/>
          <w:bCs/>
          <w:color w:val="000000" w:themeColor="text1"/>
          <w:sz w:val="28"/>
          <w:szCs w:val="28"/>
          <w:lang w:val="es-MX"/>
        </w:rPr>
        <w:t xml:space="preserve"> de julio de 20</w:t>
      </w:r>
      <w:r w:rsidRPr="0096658B">
        <w:rPr>
          <w:rFonts w:ascii="Times New Roman" w:hAnsi="Times New Roman" w:cs="Times New Roman"/>
          <w:bCs/>
          <w:color w:val="000000" w:themeColor="text1"/>
          <w:sz w:val="28"/>
          <w:szCs w:val="28"/>
          <w:lang w:val="es-MX"/>
        </w:rPr>
        <w:t>23</w:t>
      </w:r>
      <w:r w:rsidRPr="0096658B">
        <w:rPr>
          <w:rFonts w:ascii="Times New Roman" w:hAnsi="Times New Roman" w:cs="Times New Roman"/>
          <w:bCs/>
          <w:color w:val="000000" w:themeColor="text1"/>
          <w:sz w:val="28"/>
          <w:szCs w:val="28"/>
          <w:lang w:val="es-MX"/>
        </w:rPr>
        <w:t xml:space="preserve">, la </w:t>
      </w:r>
      <w:r w:rsidRPr="0096658B">
        <w:rPr>
          <w:rFonts w:ascii="Times New Roman" w:hAnsi="Times New Roman" w:cs="Times New Roman"/>
          <w:bCs/>
          <w:color w:val="000000" w:themeColor="text1"/>
          <w:sz w:val="28"/>
          <w:szCs w:val="28"/>
          <w:lang w:val="es-MX"/>
        </w:rPr>
        <w:t>m</w:t>
      </w:r>
      <w:r w:rsidRPr="0096658B">
        <w:rPr>
          <w:rFonts w:ascii="Times New Roman" w:hAnsi="Times New Roman" w:cs="Times New Roman"/>
          <w:bCs/>
          <w:color w:val="000000" w:themeColor="text1"/>
          <w:sz w:val="28"/>
          <w:szCs w:val="28"/>
          <w:lang w:val="es-MX"/>
        </w:rPr>
        <w:t xml:space="preserve">agistrada sustanciadora asumió el conocimiento del presente asunto y </w:t>
      </w:r>
      <w:r w:rsidRPr="0096658B">
        <w:rPr>
          <w:rFonts w:ascii="Times New Roman" w:hAnsi="Times New Roman" w:cs="Times New Roman"/>
          <w:bCs/>
          <w:color w:val="000000" w:themeColor="text1"/>
          <w:sz w:val="28"/>
          <w:szCs w:val="28"/>
          <w:lang w:val="es-MX"/>
        </w:rPr>
        <w:t>ofició</w:t>
      </w:r>
      <w:r w:rsidRPr="0096658B">
        <w:rPr>
          <w:rFonts w:ascii="Times New Roman" w:hAnsi="Times New Roman" w:cs="Times New Roman"/>
          <w:bCs/>
          <w:color w:val="000000" w:themeColor="text1"/>
          <w:sz w:val="28"/>
          <w:szCs w:val="28"/>
          <w:lang w:val="es-MX"/>
        </w:rPr>
        <w:t xml:space="preserve"> a los </w:t>
      </w:r>
      <w:r w:rsidRPr="0096658B">
        <w:rPr>
          <w:rFonts w:ascii="Times New Roman" w:hAnsi="Times New Roman" w:cs="Times New Roman"/>
          <w:bCs/>
          <w:color w:val="000000" w:themeColor="text1"/>
          <w:sz w:val="28"/>
          <w:szCs w:val="28"/>
          <w:lang w:val="es-MX"/>
        </w:rPr>
        <w:t>s</w:t>
      </w:r>
      <w:r w:rsidRPr="0096658B">
        <w:rPr>
          <w:rFonts w:ascii="Times New Roman" w:hAnsi="Times New Roman" w:cs="Times New Roman"/>
          <w:bCs/>
          <w:color w:val="000000" w:themeColor="text1"/>
          <w:sz w:val="28"/>
          <w:szCs w:val="28"/>
          <w:lang w:val="es-MX"/>
        </w:rPr>
        <w:t xml:space="preserve">ecretarios </w:t>
      </w:r>
      <w:r w:rsidRPr="0096658B">
        <w:rPr>
          <w:rFonts w:ascii="Times New Roman" w:hAnsi="Times New Roman" w:cs="Times New Roman"/>
          <w:bCs/>
          <w:color w:val="000000" w:themeColor="text1"/>
          <w:sz w:val="28"/>
          <w:szCs w:val="28"/>
          <w:lang w:val="es-MX"/>
        </w:rPr>
        <w:t>g</w:t>
      </w:r>
      <w:r w:rsidRPr="0096658B">
        <w:rPr>
          <w:rFonts w:ascii="Times New Roman" w:hAnsi="Times New Roman" w:cs="Times New Roman"/>
          <w:bCs/>
          <w:color w:val="000000" w:themeColor="text1"/>
          <w:sz w:val="28"/>
          <w:szCs w:val="28"/>
          <w:lang w:val="es-MX"/>
        </w:rPr>
        <w:t xml:space="preserve">enerales del Senado de la República y de la Cámara de Representantes, para que remitieran copia del expediente legislativo y de las certificaciones sobre </w:t>
      </w:r>
      <w:r w:rsidRPr="0096658B">
        <w:rPr>
          <w:rFonts w:ascii="Times New Roman" w:hAnsi="Times New Roman" w:cs="Times New Roman"/>
          <w:bCs/>
          <w:i/>
          <w:iCs/>
          <w:color w:val="000000" w:themeColor="text1"/>
          <w:sz w:val="28"/>
          <w:szCs w:val="28"/>
          <w:lang w:val="es-MX"/>
        </w:rPr>
        <w:t>quorum</w:t>
      </w:r>
      <w:r w:rsidRPr="0096658B">
        <w:rPr>
          <w:rFonts w:ascii="Times New Roman" w:hAnsi="Times New Roman" w:cs="Times New Roman"/>
          <w:bCs/>
          <w:color w:val="000000" w:themeColor="text1"/>
          <w:sz w:val="28"/>
          <w:szCs w:val="28"/>
          <w:lang w:val="es-MX"/>
        </w:rPr>
        <w:t xml:space="preserve"> deliberatorio y decisorio en cada una de las etapas del proceso de aprobación del proyecto esta</w:t>
      </w:r>
      <w:r w:rsidRPr="0096658B">
        <w:rPr>
          <w:rFonts w:ascii="Times New Roman" w:hAnsi="Times New Roman" w:cs="Times New Roman"/>
          <w:bCs/>
          <w:color w:val="000000" w:themeColor="text1"/>
          <w:sz w:val="28"/>
          <w:szCs w:val="28"/>
          <w:lang w:val="es-MX"/>
        </w:rPr>
        <w:t xml:space="preserve">tutario, de conformidad con los artículos </w:t>
      </w:r>
      <w:r w:rsidRPr="0096658B">
        <w:rPr>
          <w:rFonts w:ascii="Times New Roman" w:hAnsi="Times New Roman" w:cs="Times New Roman"/>
          <w:bCs/>
          <w:color w:val="000000" w:themeColor="text1"/>
          <w:sz w:val="28"/>
          <w:szCs w:val="28"/>
          <w:lang w:val="es-CO"/>
        </w:rPr>
        <w:t>133, 145, 146, 153, 157, 160 y 161 y Ley 5ª de 1992, Reglamento del Congreso de la República.</w:t>
      </w:r>
      <w:r w:rsidRPr="0096658B">
        <w:rPr>
          <w:rFonts w:ascii="Times New Roman" w:hAnsi="Times New Roman" w:cs="Times New Roman"/>
          <w:bCs/>
          <w:color w:val="000000" w:themeColor="text1"/>
          <w:sz w:val="28"/>
          <w:szCs w:val="28"/>
          <w:lang w:val="es-CO"/>
        </w:rPr>
        <w:t xml:space="preserve"> Igualmente, </w:t>
      </w:r>
      <w:r w:rsidRPr="0096658B">
        <w:rPr>
          <w:rFonts w:ascii="Times New Roman" w:hAnsi="Times New Roman" w:cs="Times New Roman"/>
          <w:bCs/>
          <w:color w:val="000000" w:themeColor="text1"/>
          <w:sz w:val="28"/>
          <w:szCs w:val="28"/>
          <w:lang w:val="es-CO"/>
        </w:rPr>
        <w:t>ofició</w:t>
      </w:r>
      <w:r w:rsidRPr="0096658B">
        <w:rPr>
          <w:rFonts w:ascii="Times New Roman" w:hAnsi="Times New Roman" w:cs="Times New Roman"/>
          <w:bCs/>
          <w:color w:val="000000" w:themeColor="text1"/>
          <w:sz w:val="28"/>
          <w:szCs w:val="28"/>
          <w:lang w:val="es-CO"/>
        </w:rPr>
        <w:t xml:space="preserve"> al Ministerio de Hacienda y Crédito Público con el fin de </w:t>
      </w:r>
      <w:r w:rsidRPr="0096658B">
        <w:rPr>
          <w:rFonts w:ascii="Times New Roman" w:hAnsi="Times New Roman" w:cs="Times New Roman"/>
          <w:bCs/>
          <w:color w:val="000000" w:themeColor="text1"/>
          <w:sz w:val="28"/>
          <w:szCs w:val="28"/>
          <w:lang w:val="es-CO"/>
        </w:rPr>
        <w:t xml:space="preserve">que </w:t>
      </w:r>
      <w:r w:rsidRPr="0096658B">
        <w:rPr>
          <w:rFonts w:ascii="Times New Roman" w:hAnsi="Times New Roman" w:cs="Times New Roman"/>
          <w:bCs/>
          <w:color w:val="000000" w:themeColor="text1"/>
          <w:sz w:val="28"/>
          <w:szCs w:val="28"/>
          <w:lang w:val="es-CO"/>
        </w:rPr>
        <w:t xml:space="preserve">informara a la Corte si </w:t>
      </w:r>
      <w:r w:rsidRPr="0096658B">
        <w:rPr>
          <w:rFonts w:ascii="Times New Roman" w:hAnsi="Times New Roman" w:cs="Times New Roman"/>
          <w:bCs/>
          <w:color w:val="000000" w:themeColor="text1"/>
          <w:sz w:val="28"/>
          <w:szCs w:val="28"/>
          <w:lang w:val="es-CO"/>
        </w:rPr>
        <w:t>formuló</w:t>
      </w:r>
      <w:r w:rsidRPr="0096658B">
        <w:rPr>
          <w:rFonts w:ascii="Times New Roman" w:hAnsi="Times New Roman" w:cs="Times New Roman"/>
          <w:bCs/>
          <w:color w:val="000000" w:themeColor="text1"/>
          <w:sz w:val="28"/>
          <w:szCs w:val="28"/>
          <w:lang w:val="es-CO"/>
        </w:rPr>
        <w:t xml:space="preserve"> concept</w:t>
      </w:r>
      <w:r w:rsidRPr="0096658B">
        <w:rPr>
          <w:rFonts w:ascii="Times New Roman" w:hAnsi="Times New Roman" w:cs="Times New Roman"/>
          <w:bCs/>
          <w:color w:val="000000" w:themeColor="text1"/>
          <w:sz w:val="28"/>
          <w:szCs w:val="28"/>
          <w:lang w:val="es-CO"/>
        </w:rPr>
        <w:t>o sobre el impacto fiscal del Proyecto de Ley</w:t>
      </w:r>
      <w:r w:rsidRPr="0096658B">
        <w:rPr>
          <w:rFonts w:ascii="Times New Roman" w:hAnsi="Times New Roman" w:cs="Times New Roman"/>
          <w:bCs/>
          <w:color w:val="000000" w:themeColor="text1"/>
          <w:sz w:val="28"/>
          <w:szCs w:val="28"/>
          <w:lang w:val="es-CO"/>
        </w:rPr>
        <w:t>,</w:t>
      </w:r>
      <w:r w:rsidRPr="0096658B">
        <w:rPr>
          <w:rFonts w:ascii="Times New Roman" w:hAnsi="Times New Roman" w:cs="Times New Roman"/>
          <w:bCs/>
          <w:color w:val="000000" w:themeColor="text1"/>
          <w:sz w:val="28"/>
          <w:szCs w:val="28"/>
          <w:lang w:val="es-CO"/>
        </w:rPr>
        <w:t xml:space="preserve"> en los términos del artículo</w:t>
      </w:r>
      <w:r w:rsidRPr="0096658B">
        <w:rPr>
          <w:rFonts w:ascii="Times New Roman" w:hAnsi="Times New Roman" w:cs="Times New Roman"/>
          <w:bCs/>
          <w:color w:val="000000" w:themeColor="text1"/>
          <w:sz w:val="28"/>
          <w:szCs w:val="28"/>
          <w:lang w:val="es-CO"/>
        </w:rPr>
        <w:t xml:space="preserve"> 7º de la Ley 819 de 2003. </w:t>
      </w:r>
      <w:r w:rsidRPr="0096658B">
        <w:rPr>
          <w:rFonts w:ascii="Times New Roman" w:hAnsi="Times New Roman" w:cs="Times New Roman"/>
          <w:bCs/>
          <w:color w:val="000000" w:themeColor="text1"/>
          <w:sz w:val="28"/>
          <w:szCs w:val="28"/>
          <w:lang w:val="es-CO"/>
        </w:rPr>
        <w:t xml:space="preserve"> </w:t>
      </w:r>
    </w:p>
    <w:p w:rsidR="00811F4A" w:rsidRPr="0096658B" w:rsidRDefault="0096658B" w:rsidP="00811F4A">
      <w:pPr>
        <w:pStyle w:val="Style1"/>
        <w:ind w:right="5"/>
        <w:jc w:val="both"/>
        <w:rPr>
          <w:rFonts w:ascii="Times New Roman" w:hAnsi="Times New Roman" w:cs="Times New Roman"/>
          <w:bCs/>
          <w:color w:val="000000" w:themeColor="text1"/>
          <w:sz w:val="28"/>
          <w:szCs w:val="28"/>
          <w:lang w:val="es-CO"/>
        </w:rPr>
      </w:pPr>
    </w:p>
    <w:p w:rsidR="00811F4A" w:rsidRPr="0096658B" w:rsidRDefault="0096658B" w:rsidP="00811F4A">
      <w:pPr>
        <w:pStyle w:val="Style1"/>
        <w:ind w:right="5"/>
        <w:jc w:val="both"/>
        <w:rPr>
          <w:rFonts w:ascii="Times New Roman" w:hAnsi="Times New Roman" w:cs="Times New Roman"/>
          <w:bCs/>
          <w:color w:val="000000" w:themeColor="text1"/>
          <w:sz w:val="28"/>
          <w:szCs w:val="28"/>
          <w:lang w:val="es-CO"/>
        </w:rPr>
      </w:pPr>
      <w:r w:rsidRPr="0096658B">
        <w:rPr>
          <w:rFonts w:ascii="Times New Roman" w:hAnsi="Times New Roman" w:cs="Times New Roman"/>
          <w:bCs/>
          <w:color w:val="000000" w:themeColor="text1"/>
          <w:sz w:val="28"/>
          <w:szCs w:val="28"/>
          <w:lang w:val="es-MX"/>
        </w:rPr>
        <w:t>Adicionalmente</w:t>
      </w:r>
      <w:r w:rsidRPr="0096658B">
        <w:rPr>
          <w:rFonts w:ascii="Times New Roman" w:hAnsi="Times New Roman" w:cs="Times New Roman"/>
          <w:bCs/>
          <w:color w:val="000000" w:themeColor="text1"/>
          <w:sz w:val="28"/>
          <w:szCs w:val="28"/>
          <w:lang w:val="es-MX"/>
        </w:rPr>
        <w:t xml:space="preserve">, la magistrada sustanciadora dispuso </w:t>
      </w:r>
      <w:r w:rsidRPr="0096658B">
        <w:rPr>
          <w:rFonts w:ascii="Times New Roman" w:hAnsi="Times New Roman" w:cs="Times New Roman"/>
          <w:bCs/>
          <w:color w:val="000000" w:themeColor="text1"/>
          <w:sz w:val="28"/>
          <w:szCs w:val="28"/>
          <w:lang w:val="es-MX"/>
        </w:rPr>
        <w:t>que</w:t>
      </w:r>
      <w:r w:rsidRPr="0096658B">
        <w:rPr>
          <w:rFonts w:ascii="Times New Roman" w:hAnsi="Times New Roman" w:cs="Times New Roman"/>
          <w:bCs/>
          <w:color w:val="000000" w:themeColor="text1"/>
          <w:sz w:val="28"/>
          <w:szCs w:val="28"/>
          <w:lang w:val="es-MX"/>
        </w:rPr>
        <w:t>,</w:t>
      </w:r>
      <w:r w:rsidRPr="0096658B">
        <w:rPr>
          <w:rFonts w:ascii="Times New Roman" w:hAnsi="Times New Roman" w:cs="Times New Roman"/>
          <w:bCs/>
          <w:color w:val="000000" w:themeColor="text1"/>
          <w:sz w:val="28"/>
          <w:szCs w:val="28"/>
          <w:lang w:val="es-MX"/>
        </w:rPr>
        <w:t xml:space="preserve"> una vez fueran recibidas las pruebas, se efectuara la fijación en lista del proceso y se surtiera el traslado a</w:t>
      </w:r>
      <w:r w:rsidRPr="0096658B">
        <w:rPr>
          <w:rFonts w:ascii="Times New Roman" w:hAnsi="Times New Roman" w:cs="Times New Roman"/>
          <w:bCs/>
          <w:color w:val="000000" w:themeColor="text1"/>
          <w:sz w:val="28"/>
          <w:szCs w:val="28"/>
          <w:lang w:val="es-MX"/>
        </w:rPr>
        <w:t xml:space="preserve"> </w:t>
      </w:r>
      <w:r w:rsidRPr="0096658B">
        <w:rPr>
          <w:rFonts w:ascii="Times New Roman" w:hAnsi="Times New Roman" w:cs="Times New Roman"/>
          <w:bCs/>
          <w:color w:val="000000" w:themeColor="text1"/>
          <w:sz w:val="28"/>
          <w:szCs w:val="28"/>
          <w:lang w:val="es-MX"/>
        </w:rPr>
        <w:t>l</w:t>
      </w:r>
      <w:r w:rsidRPr="0096658B">
        <w:rPr>
          <w:rFonts w:ascii="Times New Roman" w:hAnsi="Times New Roman" w:cs="Times New Roman"/>
          <w:bCs/>
          <w:color w:val="000000" w:themeColor="text1"/>
          <w:sz w:val="28"/>
          <w:szCs w:val="28"/>
          <w:lang w:val="es-MX"/>
        </w:rPr>
        <w:t>a</w:t>
      </w:r>
      <w:r w:rsidRPr="0096658B">
        <w:rPr>
          <w:rFonts w:ascii="Times New Roman" w:hAnsi="Times New Roman" w:cs="Times New Roman"/>
          <w:bCs/>
          <w:color w:val="000000" w:themeColor="text1"/>
          <w:sz w:val="28"/>
          <w:szCs w:val="28"/>
          <w:lang w:val="es-MX"/>
        </w:rPr>
        <w:t xml:space="preserve"> Procurador</w:t>
      </w:r>
      <w:r w:rsidRPr="0096658B">
        <w:rPr>
          <w:rFonts w:ascii="Times New Roman" w:hAnsi="Times New Roman" w:cs="Times New Roman"/>
          <w:bCs/>
          <w:color w:val="000000" w:themeColor="text1"/>
          <w:sz w:val="28"/>
          <w:szCs w:val="28"/>
          <w:lang w:val="es-MX"/>
        </w:rPr>
        <w:t>a</w:t>
      </w:r>
      <w:r w:rsidRPr="0096658B">
        <w:rPr>
          <w:rFonts w:ascii="Times New Roman" w:hAnsi="Times New Roman" w:cs="Times New Roman"/>
          <w:bCs/>
          <w:color w:val="000000" w:themeColor="text1"/>
          <w:sz w:val="28"/>
          <w:szCs w:val="28"/>
          <w:lang w:val="es-MX"/>
        </w:rPr>
        <w:t xml:space="preserve"> General de la Nación, para el concepto correspondiente.</w:t>
      </w:r>
      <w:r w:rsidRPr="0096658B">
        <w:rPr>
          <w:rFonts w:ascii="Times New Roman" w:hAnsi="Times New Roman" w:cs="Times New Roman"/>
          <w:bCs/>
          <w:color w:val="000000" w:themeColor="text1"/>
          <w:sz w:val="28"/>
          <w:szCs w:val="28"/>
          <w:lang w:val="es-MX"/>
        </w:rPr>
        <w:t xml:space="preserve"> Asimismo, ordenó </w:t>
      </w:r>
      <w:r w:rsidRPr="0096658B">
        <w:rPr>
          <w:rFonts w:ascii="Times New Roman" w:hAnsi="Times New Roman" w:cs="Times New Roman"/>
          <w:bCs/>
          <w:color w:val="000000" w:themeColor="text1"/>
          <w:sz w:val="28"/>
          <w:szCs w:val="28"/>
          <w:lang w:val="es-MX"/>
        </w:rPr>
        <w:t xml:space="preserve">de conformidad con lo </w:t>
      </w:r>
      <w:r w:rsidRPr="0096658B">
        <w:rPr>
          <w:rFonts w:ascii="Times New Roman" w:hAnsi="Times New Roman" w:cs="Times New Roman"/>
          <w:bCs/>
          <w:color w:val="000000" w:themeColor="text1"/>
          <w:sz w:val="28"/>
          <w:szCs w:val="28"/>
          <w:lang w:val="es-MX"/>
        </w:rPr>
        <w:t xml:space="preserve">previsto por </w:t>
      </w:r>
      <w:r w:rsidRPr="0096658B">
        <w:rPr>
          <w:rFonts w:ascii="Times New Roman" w:hAnsi="Times New Roman" w:cs="Times New Roman"/>
          <w:bCs/>
          <w:color w:val="000000" w:themeColor="text1"/>
          <w:sz w:val="28"/>
          <w:szCs w:val="28"/>
          <w:lang w:val="es-MX"/>
        </w:rPr>
        <w:t>el artículo 11 del D</w:t>
      </w:r>
      <w:r w:rsidRPr="0096658B">
        <w:rPr>
          <w:rFonts w:ascii="Times New Roman" w:hAnsi="Times New Roman" w:cs="Times New Roman"/>
          <w:bCs/>
          <w:color w:val="000000" w:themeColor="text1"/>
          <w:sz w:val="28"/>
          <w:szCs w:val="28"/>
          <w:lang w:val="es-MX"/>
        </w:rPr>
        <w:t>ecreto 2067 de 1991, comunicar la iniciación de este proceso a</w:t>
      </w:r>
      <w:r w:rsidRPr="0096658B">
        <w:rPr>
          <w:rFonts w:ascii="Times New Roman" w:hAnsi="Times New Roman" w:cs="Times New Roman"/>
          <w:bCs/>
          <w:color w:val="000000" w:themeColor="text1"/>
          <w:sz w:val="28"/>
          <w:szCs w:val="28"/>
          <w:lang w:val="es-MX"/>
        </w:rPr>
        <w:t xml:space="preserve"> los presidentes</w:t>
      </w:r>
      <w:r w:rsidRPr="0096658B">
        <w:rPr>
          <w:rFonts w:ascii="Times New Roman" w:hAnsi="Times New Roman" w:cs="Times New Roman"/>
          <w:bCs/>
          <w:color w:val="000000" w:themeColor="text1"/>
          <w:sz w:val="28"/>
          <w:szCs w:val="28"/>
          <w:lang w:val="es-MX"/>
        </w:rPr>
        <w:t xml:space="preserve"> de la República</w:t>
      </w:r>
      <w:r w:rsidRPr="0096658B">
        <w:rPr>
          <w:rFonts w:ascii="Times New Roman" w:hAnsi="Times New Roman" w:cs="Times New Roman"/>
          <w:bCs/>
          <w:color w:val="000000" w:themeColor="text1"/>
          <w:sz w:val="28"/>
          <w:szCs w:val="28"/>
          <w:lang w:val="es-MX"/>
        </w:rPr>
        <w:t xml:space="preserve"> y del Congreso de la República,</w:t>
      </w:r>
      <w:r w:rsidRPr="0096658B">
        <w:rPr>
          <w:rFonts w:ascii="Times New Roman" w:hAnsi="Times New Roman" w:cs="Times New Roman"/>
          <w:color w:val="000000" w:themeColor="text1"/>
          <w:sz w:val="28"/>
        </w:rPr>
        <w:t xml:space="preserve"> </w:t>
      </w:r>
      <w:r w:rsidRPr="0096658B">
        <w:rPr>
          <w:rFonts w:ascii="Times New Roman" w:hAnsi="Times New Roman" w:cs="Times New Roman"/>
          <w:bCs/>
          <w:color w:val="000000" w:themeColor="text1"/>
          <w:sz w:val="28"/>
          <w:szCs w:val="28"/>
          <w:lang w:val="es-MX"/>
        </w:rPr>
        <w:t>así como a los ministros de Interior, de Justicia y del Derecho, de Relaciones Exteriores y de Igualdad y Equidad</w:t>
      </w:r>
      <w:r w:rsidRPr="0096658B">
        <w:rPr>
          <w:rFonts w:ascii="Times New Roman" w:hAnsi="Times New Roman" w:cs="Times New Roman"/>
          <w:bCs/>
          <w:color w:val="000000" w:themeColor="text1"/>
          <w:sz w:val="28"/>
          <w:szCs w:val="28"/>
          <w:lang w:val="es-MX"/>
        </w:rPr>
        <w:t xml:space="preserve">, para que, </w:t>
      </w:r>
      <w:r w:rsidRPr="0096658B">
        <w:rPr>
          <w:rFonts w:ascii="Times New Roman" w:hAnsi="Times New Roman" w:cs="Times New Roman"/>
          <w:bCs/>
          <w:color w:val="000000" w:themeColor="text1"/>
          <w:sz w:val="28"/>
          <w:szCs w:val="28"/>
          <w:lang w:val="es-CO"/>
        </w:rPr>
        <w:t>si l</w:t>
      </w:r>
      <w:r w:rsidRPr="0096658B">
        <w:rPr>
          <w:rFonts w:ascii="Times New Roman" w:hAnsi="Times New Roman" w:cs="Times New Roman"/>
          <w:bCs/>
          <w:color w:val="000000" w:themeColor="text1"/>
          <w:sz w:val="28"/>
          <w:szCs w:val="28"/>
          <w:lang w:val="es-CO"/>
        </w:rPr>
        <w:t>o estimaban oportuno, conceptuaran sobre la constitucionalidad del proyecto de ley estatutaria bajo estudio.</w:t>
      </w:r>
    </w:p>
    <w:p w:rsidR="00811F4A" w:rsidRPr="0096658B" w:rsidRDefault="0096658B" w:rsidP="00811F4A">
      <w:pPr>
        <w:pStyle w:val="Style1"/>
        <w:ind w:right="5"/>
        <w:jc w:val="both"/>
        <w:rPr>
          <w:rFonts w:ascii="Times New Roman" w:hAnsi="Times New Roman" w:cs="Times New Roman"/>
          <w:bCs/>
          <w:color w:val="000000" w:themeColor="text1"/>
          <w:sz w:val="28"/>
          <w:szCs w:val="28"/>
          <w:lang w:val="es-CO"/>
        </w:rPr>
      </w:pPr>
    </w:p>
    <w:p w:rsidR="00811F4A" w:rsidRPr="0096658B" w:rsidRDefault="0096658B" w:rsidP="00811F4A">
      <w:pPr>
        <w:pStyle w:val="Style1"/>
        <w:ind w:right="5"/>
        <w:jc w:val="both"/>
        <w:rPr>
          <w:rFonts w:ascii="Times New Roman" w:hAnsi="Times New Roman" w:cs="Times New Roman"/>
          <w:bCs/>
          <w:color w:val="000000" w:themeColor="text1"/>
          <w:sz w:val="28"/>
          <w:szCs w:val="28"/>
          <w:lang w:val="es-CO"/>
        </w:rPr>
      </w:pPr>
      <w:r w:rsidRPr="0096658B">
        <w:rPr>
          <w:rFonts w:ascii="Times New Roman" w:hAnsi="Times New Roman" w:cs="Times New Roman"/>
          <w:bCs/>
          <w:color w:val="000000" w:themeColor="text1"/>
          <w:sz w:val="28"/>
          <w:szCs w:val="28"/>
          <w:lang w:val="es-CO"/>
        </w:rPr>
        <w:t xml:space="preserve">En ese mismo auto, y de conformidad con lo dispuesto </w:t>
      </w:r>
      <w:r w:rsidRPr="0096658B">
        <w:rPr>
          <w:rFonts w:ascii="Times New Roman" w:hAnsi="Times New Roman" w:cs="Times New Roman"/>
          <w:bCs/>
          <w:color w:val="000000" w:themeColor="text1"/>
          <w:sz w:val="28"/>
          <w:szCs w:val="28"/>
          <w:lang w:val="es-CO"/>
        </w:rPr>
        <w:t xml:space="preserve">por </w:t>
      </w:r>
      <w:r w:rsidRPr="0096658B">
        <w:rPr>
          <w:rFonts w:ascii="Times New Roman" w:hAnsi="Times New Roman" w:cs="Times New Roman"/>
          <w:bCs/>
          <w:color w:val="000000" w:themeColor="text1"/>
          <w:sz w:val="28"/>
          <w:szCs w:val="28"/>
          <w:lang w:val="es-CO"/>
        </w:rPr>
        <w:t xml:space="preserve">el artículo 13 del Decreto 2067 de 1991, </w:t>
      </w:r>
      <w:r w:rsidRPr="0096658B">
        <w:rPr>
          <w:rFonts w:ascii="Times New Roman" w:hAnsi="Times New Roman" w:cs="Times New Roman"/>
          <w:bCs/>
          <w:color w:val="000000" w:themeColor="text1"/>
          <w:sz w:val="28"/>
          <w:szCs w:val="28"/>
          <w:lang w:val="es-CO"/>
        </w:rPr>
        <w:t>la magistrada sustanciadora</w:t>
      </w:r>
      <w:r w:rsidRPr="0096658B">
        <w:rPr>
          <w:rFonts w:ascii="Times New Roman" w:hAnsi="Times New Roman" w:cs="Times New Roman"/>
          <w:bCs/>
          <w:color w:val="000000" w:themeColor="text1"/>
          <w:sz w:val="28"/>
          <w:szCs w:val="28"/>
          <w:lang w:val="es-CO"/>
        </w:rPr>
        <w:t xml:space="preserve"> invitó a las siguien</w:t>
      </w:r>
      <w:r w:rsidRPr="0096658B">
        <w:rPr>
          <w:rFonts w:ascii="Times New Roman" w:hAnsi="Times New Roman" w:cs="Times New Roman"/>
          <w:bCs/>
          <w:color w:val="000000" w:themeColor="text1"/>
          <w:sz w:val="28"/>
          <w:szCs w:val="28"/>
          <w:lang w:val="es-CO"/>
        </w:rPr>
        <w:t xml:space="preserve">tes instituciones, con el propósito de que rindieran concepto técnico </w:t>
      </w:r>
      <w:r w:rsidRPr="0096658B">
        <w:rPr>
          <w:rFonts w:ascii="Times New Roman" w:hAnsi="Times New Roman" w:cs="Times New Roman"/>
          <w:bCs/>
          <w:color w:val="000000" w:themeColor="text1"/>
          <w:sz w:val="28"/>
          <w:szCs w:val="28"/>
          <w:lang w:val="es-MX"/>
        </w:rPr>
        <w:t>en el proceso de la referencia</w:t>
      </w:r>
      <w:r w:rsidRPr="0096658B">
        <w:rPr>
          <w:rFonts w:ascii="Times New Roman" w:hAnsi="Times New Roman" w:cs="Times New Roman"/>
          <w:bCs/>
          <w:color w:val="000000" w:themeColor="text1"/>
          <w:sz w:val="28"/>
          <w:szCs w:val="28"/>
          <w:lang w:val="es-CO"/>
        </w:rPr>
        <w:t>, si así lo estimaban pertinente:</w:t>
      </w:r>
    </w:p>
    <w:p w:rsidR="00811F4A" w:rsidRPr="0096658B" w:rsidRDefault="0096658B" w:rsidP="00811F4A">
      <w:pPr>
        <w:pStyle w:val="Style1"/>
        <w:ind w:right="5"/>
        <w:jc w:val="both"/>
        <w:rPr>
          <w:rFonts w:ascii="Times New Roman" w:hAnsi="Times New Roman" w:cs="Times New Roman"/>
          <w:bCs/>
          <w:color w:val="000000" w:themeColor="text1"/>
          <w:sz w:val="28"/>
          <w:szCs w:val="28"/>
          <w:lang w:val="es-CO"/>
        </w:rPr>
      </w:pPr>
    </w:p>
    <w:p w:rsidR="00DA6974" w:rsidRPr="0096658B" w:rsidRDefault="0096658B" w:rsidP="002521A3">
      <w:pPr>
        <w:pStyle w:val="Style1"/>
        <w:numPr>
          <w:ilvl w:val="0"/>
          <w:numId w:val="4"/>
        </w:numPr>
        <w:ind w:left="709" w:right="5"/>
        <w:jc w:val="both"/>
        <w:rPr>
          <w:rFonts w:ascii="Times New Roman" w:hAnsi="Times New Roman" w:cs="Times New Roman"/>
          <w:bCs/>
          <w:color w:val="000000" w:themeColor="text1"/>
          <w:sz w:val="28"/>
          <w:szCs w:val="28"/>
          <w:lang w:val="es-CO"/>
        </w:rPr>
      </w:pPr>
      <w:r w:rsidRPr="0096658B">
        <w:rPr>
          <w:rFonts w:ascii="Times New Roman" w:hAnsi="Times New Roman" w:cs="Times New Roman"/>
          <w:bCs/>
          <w:color w:val="000000" w:themeColor="text1"/>
          <w:sz w:val="28"/>
          <w:szCs w:val="28"/>
          <w:lang w:val="es-CO"/>
        </w:rPr>
        <w:t>Facultades de Derecho de la Universidad Nacional de Colombia, Universidad de Antioquia, Universidad Autónoma de Bucaraman</w:t>
      </w:r>
      <w:r w:rsidRPr="0096658B">
        <w:rPr>
          <w:rFonts w:ascii="Times New Roman" w:hAnsi="Times New Roman" w:cs="Times New Roman"/>
          <w:bCs/>
          <w:color w:val="000000" w:themeColor="text1"/>
          <w:sz w:val="28"/>
          <w:szCs w:val="28"/>
          <w:lang w:val="es-CO"/>
        </w:rPr>
        <w:t>ga, Universidad Externado de Colombia, Universidad del Rosario, Universidad de los Andes, Pontificia Universidad Javeriana sede Bogotá, Universidad Libre, Universidad del Rosario, Universidad EAFIT, Universidad Santo Tomás sede Bogotá, Universidad del Cauc</w:t>
      </w:r>
      <w:r w:rsidRPr="0096658B">
        <w:rPr>
          <w:rFonts w:ascii="Times New Roman" w:hAnsi="Times New Roman" w:cs="Times New Roman"/>
          <w:bCs/>
          <w:color w:val="000000" w:themeColor="text1"/>
          <w:sz w:val="28"/>
          <w:szCs w:val="28"/>
          <w:lang w:val="es-CO"/>
        </w:rPr>
        <w:t>a, Universidad de la Sabana y Universidad del Norte.</w:t>
      </w:r>
    </w:p>
    <w:p w:rsidR="00DA6974" w:rsidRPr="0096658B" w:rsidRDefault="0096658B" w:rsidP="00DA6974">
      <w:pPr>
        <w:pStyle w:val="Style1"/>
        <w:ind w:left="1080" w:right="5"/>
        <w:jc w:val="both"/>
        <w:rPr>
          <w:rFonts w:ascii="Times New Roman" w:hAnsi="Times New Roman" w:cs="Times New Roman"/>
          <w:bCs/>
          <w:color w:val="000000" w:themeColor="text1"/>
          <w:sz w:val="28"/>
          <w:szCs w:val="28"/>
          <w:lang w:val="es-CO"/>
        </w:rPr>
      </w:pPr>
    </w:p>
    <w:p w:rsidR="00DA6974" w:rsidRPr="0096658B" w:rsidRDefault="0096658B" w:rsidP="002521A3">
      <w:pPr>
        <w:pStyle w:val="Style1"/>
        <w:numPr>
          <w:ilvl w:val="0"/>
          <w:numId w:val="4"/>
        </w:numPr>
        <w:ind w:left="709" w:right="5"/>
        <w:jc w:val="both"/>
        <w:rPr>
          <w:rFonts w:ascii="Times New Roman" w:hAnsi="Times New Roman" w:cs="Times New Roman"/>
          <w:bCs/>
          <w:color w:val="000000" w:themeColor="text1"/>
          <w:sz w:val="28"/>
          <w:szCs w:val="28"/>
          <w:lang w:val="es-CO"/>
        </w:rPr>
      </w:pPr>
      <w:r w:rsidRPr="0096658B">
        <w:rPr>
          <w:rFonts w:ascii="Times New Roman" w:hAnsi="Times New Roman" w:cs="Times New Roman"/>
          <w:bCs/>
          <w:color w:val="000000" w:themeColor="text1"/>
          <w:sz w:val="28"/>
          <w:szCs w:val="28"/>
          <w:lang w:val="es-CO"/>
        </w:rPr>
        <w:t>Defensoría del Pueblo, Consejo Nacional Electoral, Registraduría Nacional del Estado Civil, Departamento Nacional de Planeación, Departamento Administrativo de la Función Pública y Comisión Nacional del</w:t>
      </w:r>
      <w:r w:rsidRPr="0096658B">
        <w:rPr>
          <w:rFonts w:ascii="Times New Roman" w:hAnsi="Times New Roman" w:cs="Times New Roman"/>
          <w:bCs/>
          <w:color w:val="000000" w:themeColor="text1"/>
          <w:sz w:val="28"/>
          <w:szCs w:val="28"/>
          <w:lang w:val="es-CO"/>
        </w:rPr>
        <w:t xml:space="preserve"> Servicio Civil.</w:t>
      </w:r>
    </w:p>
    <w:p w:rsidR="00690F5F" w:rsidRPr="0096658B" w:rsidRDefault="0096658B" w:rsidP="00690F5F">
      <w:pPr>
        <w:pStyle w:val="Prrafodelista"/>
        <w:rPr>
          <w:rFonts w:ascii="Times New Roman" w:hAnsi="Times New Roman" w:cs="Times New Roman"/>
          <w:bCs/>
          <w:color w:val="000000" w:themeColor="text1"/>
          <w:lang w:val="es-CO"/>
        </w:rPr>
      </w:pPr>
    </w:p>
    <w:p w:rsidR="00690F5F" w:rsidRPr="0096658B" w:rsidRDefault="0096658B" w:rsidP="00337A19">
      <w:pPr>
        <w:pStyle w:val="Style1"/>
        <w:numPr>
          <w:ilvl w:val="0"/>
          <w:numId w:val="4"/>
        </w:numPr>
        <w:ind w:left="709" w:right="5"/>
        <w:jc w:val="both"/>
        <w:rPr>
          <w:rFonts w:ascii="Times New Roman" w:hAnsi="Times New Roman" w:cs="Times New Roman"/>
          <w:bCs/>
          <w:color w:val="000000" w:themeColor="text1"/>
          <w:sz w:val="28"/>
          <w:szCs w:val="28"/>
          <w:lang w:val="es-CO"/>
        </w:rPr>
      </w:pPr>
      <w:r w:rsidRPr="0096658B">
        <w:rPr>
          <w:rFonts w:ascii="Times New Roman" w:hAnsi="Times New Roman" w:cs="Times New Roman"/>
          <w:bCs/>
          <w:color w:val="000000" w:themeColor="text1"/>
          <w:sz w:val="28"/>
          <w:szCs w:val="28"/>
          <w:lang w:val="es-CO"/>
        </w:rPr>
        <w:t xml:space="preserve">Comisión Colombiana de Juristas, Academia Colombiana de Jurisprudencia, Centro de Estudios sobre Derecho, Justicia y Sociedad – Dejusticia, Red de Académicas/os Latinoamericanas/os del Derecho – Red ALAS, Corporación Humanas, Corporación </w:t>
      </w:r>
      <w:r w:rsidRPr="0096658B">
        <w:rPr>
          <w:rFonts w:ascii="Times New Roman" w:hAnsi="Times New Roman" w:cs="Times New Roman"/>
          <w:bCs/>
          <w:color w:val="000000" w:themeColor="text1"/>
          <w:sz w:val="28"/>
          <w:szCs w:val="28"/>
          <w:lang w:val="es-CO"/>
        </w:rPr>
        <w:t>Sisma Mujer, Instituto de Ciencia Política Hernán Echavarría Olózaga.</w:t>
      </w:r>
    </w:p>
    <w:p w:rsidR="00690F5F" w:rsidRPr="0096658B" w:rsidRDefault="0096658B" w:rsidP="00337A19">
      <w:pPr>
        <w:pStyle w:val="Prrafodelista"/>
        <w:ind w:left="709"/>
        <w:rPr>
          <w:rFonts w:ascii="Times New Roman" w:hAnsi="Times New Roman" w:cs="Times New Roman"/>
          <w:bCs/>
          <w:color w:val="000000" w:themeColor="text1"/>
          <w:lang w:val="es-CO"/>
        </w:rPr>
      </w:pPr>
    </w:p>
    <w:p w:rsidR="00690F5F" w:rsidRPr="0096658B" w:rsidRDefault="0096658B" w:rsidP="00337A19">
      <w:pPr>
        <w:pStyle w:val="Style1"/>
        <w:numPr>
          <w:ilvl w:val="0"/>
          <w:numId w:val="4"/>
        </w:numPr>
        <w:ind w:left="709" w:right="5"/>
        <w:jc w:val="both"/>
        <w:rPr>
          <w:rFonts w:ascii="Times New Roman" w:hAnsi="Times New Roman" w:cs="Times New Roman"/>
          <w:bCs/>
          <w:color w:val="000000" w:themeColor="text1"/>
          <w:sz w:val="28"/>
          <w:szCs w:val="28"/>
          <w:lang w:val="es-CO"/>
        </w:rPr>
      </w:pPr>
      <w:r w:rsidRPr="0096658B">
        <w:rPr>
          <w:rFonts w:ascii="Times New Roman" w:hAnsi="Times New Roman" w:cs="Times New Roman"/>
          <w:bCs/>
          <w:color w:val="000000" w:themeColor="text1"/>
          <w:sz w:val="28"/>
          <w:szCs w:val="28"/>
          <w:lang w:val="es-CO"/>
        </w:rPr>
        <w:t>Departamentos de Ciencia Política de la Universidad Nacional de Colombia, Pontificia Universidad Javeriana sede Bogotá, Universidad de los Andes, Universidad del Rosario, Universidad de</w:t>
      </w:r>
      <w:r w:rsidRPr="0096658B">
        <w:rPr>
          <w:rFonts w:ascii="Times New Roman" w:hAnsi="Times New Roman" w:cs="Times New Roman"/>
          <w:bCs/>
          <w:color w:val="000000" w:themeColor="text1"/>
          <w:sz w:val="28"/>
          <w:szCs w:val="28"/>
          <w:lang w:val="es-CO"/>
        </w:rPr>
        <w:t xml:space="preserve"> la Sabana y Universidad Pontificia Bolivariana.</w:t>
      </w:r>
    </w:p>
    <w:p w:rsidR="00690F5F" w:rsidRPr="0096658B" w:rsidRDefault="0096658B" w:rsidP="00690F5F">
      <w:pPr>
        <w:pStyle w:val="Prrafodelista"/>
        <w:rPr>
          <w:rFonts w:ascii="Times New Roman" w:hAnsi="Times New Roman" w:cs="Times New Roman"/>
          <w:bCs/>
          <w:color w:val="000000" w:themeColor="text1"/>
          <w:lang w:val="es-CO"/>
        </w:rPr>
      </w:pPr>
    </w:p>
    <w:p w:rsidR="008A1A8E" w:rsidRPr="0096658B" w:rsidRDefault="0096658B" w:rsidP="00811F4A">
      <w:pPr>
        <w:pStyle w:val="Style1"/>
        <w:tabs>
          <w:tab w:val="left" w:pos="284"/>
        </w:tabs>
        <w:ind w:right="5"/>
        <w:jc w:val="both"/>
        <w:rPr>
          <w:rFonts w:ascii="Times New Roman" w:hAnsi="Times New Roman" w:cs="Times New Roman"/>
          <w:bCs/>
          <w:color w:val="000000" w:themeColor="text1"/>
          <w:sz w:val="28"/>
          <w:szCs w:val="28"/>
          <w:lang w:val="es-MX"/>
        </w:rPr>
      </w:pPr>
      <w:r w:rsidRPr="0096658B">
        <w:rPr>
          <w:rFonts w:ascii="Times New Roman" w:hAnsi="Times New Roman" w:cs="Times New Roman"/>
          <w:bCs/>
          <w:color w:val="000000" w:themeColor="text1"/>
          <w:sz w:val="28"/>
          <w:szCs w:val="28"/>
          <w:lang w:val="es-MX"/>
        </w:rPr>
        <w:t xml:space="preserve">Ante la ausencia de respuesta a las pruebas decretadas </w:t>
      </w:r>
      <w:r w:rsidRPr="0096658B">
        <w:rPr>
          <w:rFonts w:ascii="Times New Roman" w:hAnsi="Times New Roman" w:cs="Times New Roman"/>
          <w:bCs/>
          <w:color w:val="000000" w:themeColor="text1"/>
          <w:sz w:val="28"/>
          <w:szCs w:val="28"/>
          <w:lang w:val="es-MX"/>
        </w:rPr>
        <w:t xml:space="preserve">en relación con </w:t>
      </w:r>
      <w:r w:rsidRPr="0096658B">
        <w:rPr>
          <w:rFonts w:ascii="Times New Roman" w:hAnsi="Times New Roman" w:cs="Times New Roman"/>
          <w:bCs/>
          <w:color w:val="000000" w:themeColor="text1"/>
          <w:sz w:val="28"/>
          <w:szCs w:val="28"/>
          <w:lang w:val="es-MX"/>
        </w:rPr>
        <w:t xml:space="preserve">el trámite legislativo, mediante </w:t>
      </w:r>
      <w:r w:rsidRPr="0096658B">
        <w:rPr>
          <w:rFonts w:ascii="Times New Roman" w:hAnsi="Times New Roman" w:cs="Times New Roman"/>
          <w:bCs/>
          <w:color w:val="000000" w:themeColor="text1"/>
          <w:sz w:val="28"/>
          <w:szCs w:val="28"/>
          <w:lang w:val="es-MX"/>
        </w:rPr>
        <w:t xml:space="preserve">el </w:t>
      </w:r>
      <w:r w:rsidRPr="0096658B">
        <w:rPr>
          <w:rFonts w:ascii="Times New Roman" w:hAnsi="Times New Roman" w:cs="Times New Roman"/>
          <w:bCs/>
          <w:color w:val="000000" w:themeColor="text1"/>
          <w:sz w:val="28"/>
          <w:szCs w:val="28"/>
          <w:lang w:val="es-MX"/>
        </w:rPr>
        <w:t>auto de 18 de agosto de 2023,</w:t>
      </w:r>
      <w:r w:rsidRPr="0096658B">
        <w:rPr>
          <w:rFonts w:ascii="Times New Roman" w:hAnsi="Times New Roman" w:cs="Times New Roman"/>
          <w:bCs/>
          <w:color w:val="000000" w:themeColor="text1"/>
          <w:sz w:val="28"/>
          <w:szCs w:val="28"/>
          <w:lang w:val="es-MX"/>
        </w:rPr>
        <w:t xml:space="preserve"> </w:t>
      </w:r>
      <w:r w:rsidRPr="0096658B">
        <w:rPr>
          <w:rFonts w:ascii="Times New Roman" w:hAnsi="Times New Roman" w:cs="Times New Roman"/>
          <w:bCs/>
          <w:color w:val="000000" w:themeColor="text1"/>
          <w:sz w:val="28"/>
          <w:szCs w:val="28"/>
          <w:lang w:val="es-MX"/>
        </w:rPr>
        <w:t xml:space="preserve">la </w:t>
      </w:r>
      <w:r w:rsidRPr="0096658B">
        <w:rPr>
          <w:rFonts w:ascii="Times New Roman" w:hAnsi="Times New Roman" w:cs="Times New Roman"/>
          <w:bCs/>
          <w:color w:val="000000" w:themeColor="text1"/>
          <w:sz w:val="28"/>
          <w:szCs w:val="28"/>
          <w:lang w:val="es-MX"/>
        </w:rPr>
        <w:t>m</w:t>
      </w:r>
      <w:r w:rsidRPr="0096658B">
        <w:rPr>
          <w:rFonts w:ascii="Times New Roman" w:hAnsi="Times New Roman" w:cs="Times New Roman"/>
          <w:bCs/>
          <w:color w:val="000000" w:themeColor="text1"/>
          <w:sz w:val="28"/>
          <w:szCs w:val="28"/>
          <w:lang w:val="es-MX"/>
        </w:rPr>
        <w:t xml:space="preserve">agistrada sustanciadora requirió su práctica, luego de lo cual fue enviada la mayoría de los documentos </w:t>
      </w:r>
      <w:r w:rsidRPr="0096658B">
        <w:rPr>
          <w:rFonts w:ascii="Times New Roman" w:hAnsi="Times New Roman" w:cs="Times New Roman"/>
          <w:bCs/>
          <w:color w:val="000000" w:themeColor="text1"/>
          <w:sz w:val="28"/>
          <w:szCs w:val="28"/>
          <w:lang w:val="es-MX"/>
        </w:rPr>
        <w:t>solicitados</w:t>
      </w:r>
      <w:r w:rsidRPr="0096658B">
        <w:rPr>
          <w:rFonts w:ascii="Times New Roman" w:hAnsi="Times New Roman" w:cs="Times New Roman"/>
          <w:bCs/>
          <w:color w:val="000000" w:themeColor="text1"/>
          <w:sz w:val="28"/>
          <w:szCs w:val="28"/>
          <w:lang w:val="es-MX"/>
        </w:rPr>
        <w:t>, con excepción de aquellas gacetas del Congreso que en ese momento no habían sido publicadas</w:t>
      </w:r>
      <w:r w:rsidRPr="0096658B">
        <w:rPr>
          <w:rFonts w:ascii="Times New Roman" w:hAnsi="Times New Roman" w:cs="Times New Roman"/>
          <w:bCs/>
          <w:color w:val="000000" w:themeColor="text1"/>
          <w:sz w:val="28"/>
          <w:szCs w:val="28"/>
          <w:lang w:val="es-MX"/>
        </w:rPr>
        <w:t>, pero que en todo caso la información pertinent</w:t>
      </w:r>
      <w:r w:rsidRPr="0096658B">
        <w:rPr>
          <w:rFonts w:ascii="Times New Roman" w:hAnsi="Times New Roman" w:cs="Times New Roman"/>
          <w:bCs/>
          <w:color w:val="000000" w:themeColor="text1"/>
          <w:sz w:val="28"/>
          <w:szCs w:val="28"/>
          <w:lang w:val="es-MX"/>
        </w:rPr>
        <w:t>e había sido remitida como parte del expediente legislativo</w:t>
      </w:r>
      <w:r w:rsidRPr="0096658B">
        <w:rPr>
          <w:rFonts w:ascii="Times New Roman" w:hAnsi="Times New Roman" w:cs="Times New Roman"/>
          <w:bCs/>
          <w:color w:val="000000" w:themeColor="text1"/>
          <w:sz w:val="28"/>
          <w:szCs w:val="28"/>
          <w:lang w:val="es-MX"/>
        </w:rPr>
        <w:t xml:space="preserve">. En consecuencia y con el fin de otorgar eficacia al principio de celeridad procesal, </w:t>
      </w:r>
      <w:r w:rsidRPr="0096658B">
        <w:rPr>
          <w:rFonts w:ascii="Times New Roman" w:hAnsi="Times New Roman" w:cs="Times New Roman"/>
          <w:bCs/>
          <w:color w:val="000000" w:themeColor="text1"/>
          <w:sz w:val="28"/>
          <w:szCs w:val="28"/>
          <w:lang w:val="es-MX"/>
        </w:rPr>
        <w:t>por medio</w:t>
      </w:r>
      <w:r w:rsidRPr="0096658B">
        <w:rPr>
          <w:rFonts w:ascii="Times New Roman" w:hAnsi="Times New Roman" w:cs="Times New Roman"/>
          <w:bCs/>
          <w:color w:val="000000" w:themeColor="text1"/>
          <w:sz w:val="28"/>
          <w:szCs w:val="28"/>
          <w:lang w:val="es-MX"/>
        </w:rPr>
        <w:t xml:space="preserve"> de providencia de </w:t>
      </w:r>
      <w:r w:rsidRPr="0096658B">
        <w:rPr>
          <w:rFonts w:ascii="Times New Roman" w:hAnsi="Times New Roman" w:cs="Times New Roman"/>
          <w:bCs/>
          <w:color w:val="000000" w:themeColor="text1"/>
          <w:sz w:val="28"/>
          <w:szCs w:val="28"/>
          <w:lang w:val="es-MX"/>
        </w:rPr>
        <w:t xml:space="preserve">3 de octubre de 2023 ordenó continuar con la actuación, en particular con la fijación en lista del proceso, el envío de las invitaciones a las entidades e instituciones convocadas y el traslado a la Procuradora General de la Nación. </w:t>
      </w:r>
    </w:p>
    <w:p w:rsidR="007234C8" w:rsidRPr="0096658B" w:rsidRDefault="0096658B" w:rsidP="00811F4A">
      <w:pPr>
        <w:pStyle w:val="Style1"/>
        <w:tabs>
          <w:tab w:val="left" w:pos="284"/>
        </w:tabs>
        <w:ind w:right="5"/>
        <w:jc w:val="both"/>
        <w:rPr>
          <w:rFonts w:ascii="Times New Roman" w:hAnsi="Times New Roman" w:cs="Times New Roman"/>
          <w:bCs/>
          <w:color w:val="000000" w:themeColor="text1"/>
          <w:sz w:val="28"/>
          <w:szCs w:val="28"/>
          <w:lang w:val="es-MX"/>
        </w:rPr>
      </w:pPr>
    </w:p>
    <w:p w:rsidR="00811F4A" w:rsidRPr="0096658B" w:rsidRDefault="0096658B" w:rsidP="00811F4A">
      <w:pPr>
        <w:pStyle w:val="Style1"/>
        <w:tabs>
          <w:tab w:val="left" w:pos="284"/>
        </w:tabs>
        <w:ind w:right="5"/>
        <w:jc w:val="both"/>
        <w:rPr>
          <w:rFonts w:ascii="Times New Roman" w:hAnsi="Times New Roman" w:cs="Times New Roman"/>
          <w:bCs/>
          <w:color w:val="000000" w:themeColor="text1"/>
          <w:sz w:val="28"/>
          <w:szCs w:val="28"/>
          <w:lang w:val="es-CO"/>
        </w:rPr>
      </w:pPr>
      <w:r w:rsidRPr="0096658B">
        <w:rPr>
          <w:rFonts w:ascii="Times New Roman" w:hAnsi="Times New Roman" w:cs="Times New Roman"/>
          <w:bCs/>
          <w:color w:val="000000" w:themeColor="text1"/>
          <w:sz w:val="28"/>
          <w:szCs w:val="28"/>
          <w:lang w:val="es-MX"/>
        </w:rPr>
        <w:t>De este modo, c</w:t>
      </w:r>
      <w:r w:rsidRPr="0096658B">
        <w:rPr>
          <w:rFonts w:ascii="Times New Roman" w:hAnsi="Times New Roman" w:cs="Times New Roman"/>
          <w:bCs/>
          <w:color w:val="000000" w:themeColor="text1"/>
          <w:sz w:val="28"/>
          <w:szCs w:val="28"/>
          <w:lang w:val="es-MX"/>
        </w:rPr>
        <w:t>umplid</w:t>
      </w:r>
      <w:r w:rsidRPr="0096658B">
        <w:rPr>
          <w:rFonts w:ascii="Times New Roman" w:hAnsi="Times New Roman" w:cs="Times New Roman"/>
          <w:bCs/>
          <w:color w:val="000000" w:themeColor="text1"/>
          <w:sz w:val="28"/>
          <w:szCs w:val="28"/>
          <w:lang w:val="es-MX"/>
        </w:rPr>
        <w:t xml:space="preserve">os los trámites previstos </w:t>
      </w:r>
      <w:r w:rsidRPr="0096658B">
        <w:rPr>
          <w:rFonts w:ascii="Times New Roman" w:hAnsi="Times New Roman" w:cs="Times New Roman"/>
          <w:bCs/>
          <w:color w:val="000000" w:themeColor="text1"/>
          <w:sz w:val="28"/>
          <w:szCs w:val="28"/>
          <w:lang w:val="es-MX"/>
        </w:rPr>
        <w:t xml:space="preserve">por </w:t>
      </w:r>
      <w:r w:rsidRPr="0096658B">
        <w:rPr>
          <w:rFonts w:ascii="Times New Roman" w:hAnsi="Times New Roman" w:cs="Times New Roman"/>
          <w:bCs/>
          <w:color w:val="000000" w:themeColor="text1"/>
          <w:sz w:val="28"/>
          <w:szCs w:val="28"/>
          <w:lang w:val="es-MX"/>
        </w:rPr>
        <w:t xml:space="preserve">el Decreto 2067 de 1991, procede esta Corte a decidir sobre la </w:t>
      </w:r>
      <w:r w:rsidRPr="0096658B">
        <w:rPr>
          <w:rFonts w:ascii="Times New Roman" w:hAnsi="Times New Roman" w:cs="Times New Roman"/>
          <w:bCs/>
          <w:color w:val="000000" w:themeColor="text1"/>
          <w:sz w:val="28"/>
          <w:szCs w:val="28"/>
          <w:lang w:val="es-MX"/>
        </w:rPr>
        <w:t xml:space="preserve">constitucionalidad </w:t>
      </w:r>
      <w:r w:rsidRPr="0096658B">
        <w:rPr>
          <w:rFonts w:ascii="Times New Roman" w:hAnsi="Times New Roman" w:cs="Times New Roman"/>
          <w:bCs/>
          <w:color w:val="000000" w:themeColor="text1"/>
          <w:sz w:val="28"/>
          <w:szCs w:val="28"/>
          <w:lang w:val="es-MX"/>
        </w:rPr>
        <w:t>del Proyecto de la Ley Estatutaria.</w:t>
      </w:r>
    </w:p>
    <w:p w:rsidR="00811F4A" w:rsidRPr="0096658B" w:rsidRDefault="0096658B" w:rsidP="00811F4A">
      <w:pPr>
        <w:pStyle w:val="Style1"/>
        <w:widowControl/>
        <w:ind w:right="5"/>
        <w:jc w:val="left"/>
        <w:rPr>
          <w:rFonts w:ascii="Times New Roman" w:hAnsi="Times New Roman" w:cs="Times New Roman"/>
          <w:bCs/>
          <w:color w:val="000000" w:themeColor="text1"/>
          <w:sz w:val="28"/>
          <w:szCs w:val="28"/>
          <w:lang w:val="es-CO"/>
        </w:rPr>
      </w:pPr>
    </w:p>
    <w:p w:rsidR="00811F4A" w:rsidRPr="0096658B" w:rsidRDefault="0096658B" w:rsidP="00811F4A">
      <w:pPr>
        <w:pStyle w:val="Style1"/>
        <w:widowControl/>
        <w:numPr>
          <w:ilvl w:val="0"/>
          <w:numId w:val="3"/>
        </w:numPr>
        <w:ind w:left="426" w:right="6" w:hanging="426"/>
        <w:jc w:val="left"/>
        <w:rPr>
          <w:rFonts w:ascii="Times New Roman" w:hAnsi="Times New Roman" w:cs="Times New Roman"/>
          <w:b/>
          <w:color w:val="000000" w:themeColor="text1"/>
          <w:sz w:val="28"/>
          <w:szCs w:val="28"/>
          <w:lang w:val="es-ES_tradnl"/>
        </w:rPr>
      </w:pPr>
      <w:r w:rsidRPr="0096658B">
        <w:rPr>
          <w:rFonts w:ascii="Times New Roman" w:hAnsi="Times New Roman" w:cs="Times New Roman"/>
          <w:b/>
          <w:color w:val="000000" w:themeColor="text1"/>
          <w:sz w:val="28"/>
          <w:szCs w:val="28"/>
          <w:lang w:val="es-ES_tradnl"/>
        </w:rPr>
        <w:t>TEXTO DE LA NORMA</w:t>
      </w:r>
    </w:p>
    <w:p w:rsidR="00811F4A" w:rsidRPr="0096658B" w:rsidRDefault="0096658B" w:rsidP="00811F4A">
      <w:pPr>
        <w:pStyle w:val="Style1"/>
        <w:widowControl/>
        <w:ind w:right="6"/>
        <w:jc w:val="left"/>
        <w:rPr>
          <w:rFonts w:ascii="Times New Roman" w:hAnsi="Times New Roman" w:cs="Times New Roman"/>
          <w:color w:val="000000" w:themeColor="text1"/>
          <w:sz w:val="28"/>
          <w:szCs w:val="28"/>
          <w:lang w:val="es-ES_tradnl"/>
        </w:rPr>
      </w:pPr>
    </w:p>
    <w:p w:rsidR="00811F4A" w:rsidRPr="0096658B" w:rsidRDefault="0096658B" w:rsidP="00811F4A">
      <w:pPr>
        <w:pStyle w:val="Style1"/>
        <w:ind w:right="5"/>
        <w:jc w:val="both"/>
        <w:rPr>
          <w:rFonts w:ascii="Times New Roman" w:hAnsi="Times New Roman" w:cs="Times New Roman"/>
          <w:color w:val="000000" w:themeColor="text1"/>
          <w:sz w:val="28"/>
          <w:szCs w:val="28"/>
          <w:lang w:val="es-CO"/>
        </w:rPr>
      </w:pPr>
      <w:r w:rsidRPr="0096658B">
        <w:rPr>
          <w:rFonts w:ascii="Times New Roman" w:hAnsi="Times New Roman" w:cs="Times New Roman"/>
          <w:color w:val="000000" w:themeColor="text1"/>
          <w:sz w:val="28"/>
          <w:szCs w:val="28"/>
          <w:lang w:val="es-CO"/>
        </w:rPr>
        <w:t>El texto de</w:t>
      </w:r>
      <w:r w:rsidRPr="0096658B">
        <w:rPr>
          <w:rFonts w:ascii="Times New Roman" w:hAnsi="Times New Roman" w:cs="Times New Roman"/>
          <w:color w:val="000000" w:themeColor="text1"/>
          <w:sz w:val="28"/>
          <w:szCs w:val="28"/>
          <w:lang w:val="es-CO"/>
        </w:rPr>
        <w:t>l</w:t>
      </w:r>
      <w:r w:rsidRPr="0096658B">
        <w:rPr>
          <w:rFonts w:ascii="Times New Roman" w:hAnsi="Times New Roman" w:cs="Times New Roman"/>
          <w:color w:val="000000" w:themeColor="text1"/>
          <w:sz w:val="28"/>
          <w:szCs w:val="28"/>
          <w:lang w:val="es-CO"/>
        </w:rPr>
        <w:t xml:space="preserve"> Proyecto de Ley Estatutaria aprobado por el Congreso de la República, es el siguiente</w:t>
      </w:r>
      <w:r w:rsidRPr="0096658B">
        <w:rPr>
          <w:rStyle w:val="Refdenotaalpie"/>
          <w:rFonts w:ascii="Times New Roman" w:hAnsi="Times New Roman"/>
          <w:color w:val="000000" w:themeColor="text1"/>
          <w:sz w:val="28"/>
          <w:szCs w:val="28"/>
          <w:lang w:val="es-CO"/>
        </w:rPr>
        <w:footnoteReference w:id="1"/>
      </w:r>
      <w:r w:rsidRPr="0096658B">
        <w:rPr>
          <w:rFonts w:ascii="Times New Roman" w:hAnsi="Times New Roman" w:cs="Times New Roman"/>
          <w:color w:val="000000" w:themeColor="text1"/>
          <w:sz w:val="28"/>
          <w:szCs w:val="28"/>
          <w:lang w:val="es-CO"/>
        </w:rPr>
        <w:t>:</w:t>
      </w:r>
    </w:p>
    <w:p w:rsidR="00811F4A" w:rsidRPr="0096658B" w:rsidRDefault="0096658B" w:rsidP="00811F4A">
      <w:pPr>
        <w:pStyle w:val="Style1"/>
        <w:ind w:right="5"/>
        <w:jc w:val="both"/>
        <w:rPr>
          <w:rFonts w:ascii="Times New Roman" w:hAnsi="Times New Roman" w:cs="Times New Roman"/>
          <w:color w:val="000000" w:themeColor="text1"/>
          <w:sz w:val="28"/>
          <w:szCs w:val="28"/>
          <w:lang w:val="es-CO"/>
        </w:rPr>
      </w:pPr>
    </w:p>
    <w:p w:rsidR="003434AF" w:rsidRPr="0096658B" w:rsidRDefault="0096658B" w:rsidP="00337A19">
      <w:pPr>
        <w:pStyle w:val="Style1"/>
        <w:ind w:left="567" w:right="567"/>
        <w:rPr>
          <w:rFonts w:ascii="Times New Roman" w:hAnsi="Times New Roman" w:cs="Times New Roman"/>
          <w:bCs/>
          <w:color w:val="000000" w:themeColor="text1"/>
          <w:sz w:val="28"/>
          <w:lang w:val="es-CO"/>
        </w:rPr>
      </w:pPr>
    </w:p>
    <w:p w:rsidR="00F462EC" w:rsidRPr="0096658B" w:rsidRDefault="0096658B" w:rsidP="00337A19">
      <w:pPr>
        <w:pStyle w:val="Style1"/>
        <w:ind w:left="567" w:right="567"/>
        <w:rPr>
          <w:rFonts w:ascii="Times New Roman" w:hAnsi="Times New Roman" w:cs="Times New Roman"/>
          <w:bCs/>
          <w:color w:val="000000" w:themeColor="text1"/>
          <w:sz w:val="28"/>
          <w:lang w:val="es-CO"/>
        </w:rPr>
      </w:pPr>
      <w:r w:rsidRPr="0096658B">
        <w:rPr>
          <w:rFonts w:ascii="Times New Roman" w:hAnsi="Times New Roman" w:cs="Times New Roman"/>
          <w:bCs/>
          <w:color w:val="000000" w:themeColor="text1"/>
          <w:sz w:val="28"/>
          <w:lang w:val="es-CO"/>
        </w:rPr>
        <w:t xml:space="preserve">Ley </w:t>
      </w:r>
      <w:r w:rsidRPr="0096658B">
        <w:rPr>
          <w:rFonts w:ascii="Times New Roman" w:hAnsi="Times New Roman" w:cs="Times New Roman"/>
          <w:bCs/>
          <w:color w:val="000000" w:themeColor="text1"/>
          <w:sz w:val="28"/>
          <w:lang w:val="es-CO"/>
        </w:rPr>
        <w:t>___</w:t>
      </w:r>
    </w:p>
    <w:p w:rsidR="00317382" w:rsidRPr="0096658B" w:rsidRDefault="0096658B" w:rsidP="00337A19">
      <w:pPr>
        <w:pStyle w:val="Style1"/>
        <w:ind w:left="567" w:right="567"/>
        <w:rPr>
          <w:rStyle w:val="FontStyle12"/>
          <w:rFonts w:eastAsia="SimSun"/>
          <w:b w:val="0"/>
          <w:color w:val="000000" w:themeColor="text1"/>
          <w:sz w:val="28"/>
          <w:szCs w:val="24"/>
          <w:lang w:val="es-ES_tradnl" w:eastAsia="es-ES_tradnl"/>
        </w:rPr>
      </w:pPr>
      <w:r w:rsidRPr="0096658B">
        <w:rPr>
          <w:rFonts w:ascii="Times New Roman" w:hAnsi="Times New Roman" w:cs="Times New Roman"/>
          <w:bCs/>
          <w:color w:val="000000" w:themeColor="text1"/>
          <w:sz w:val="28"/>
          <w:lang w:val="es-CO"/>
        </w:rPr>
        <w:t xml:space="preserve"> “por la cual se adoptan medidas para garantizar la participación paritaria de las mujeres en las diferentes ramas y órganos del Poder Público de conformidad</w:t>
      </w:r>
      <w:r w:rsidRPr="0096658B">
        <w:rPr>
          <w:rFonts w:ascii="Times New Roman" w:hAnsi="Times New Roman" w:cs="Times New Roman"/>
          <w:bCs/>
          <w:color w:val="000000" w:themeColor="text1"/>
          <w:sz w:val="28"/>
          <w:lang w:val="es-CO"/>
        </w:rPr>
        <w:t xml:space="preserve"> con los artículos 13, 40 y 43 de la Constitución Política y se dictan otras disposiciones”.</w:t>
      </w:r>
    </w:p>
    <w:p w:rsidR="00317382" w:rsidRPr="0096658B" w:rsidRDefault="0096658B" w:rsidP="00337A19">
      <w:pPr>
        <w:pStyle w:val="Style1"/>
        <w:ind w:left="567" w:right="567"/>
        <w:rPr>
          <w:rStyle w:val="FontStyle12"/>
          <w:rFonts w:eastAsia="SimSun"/>
          <w:b w:val="0"/>
          <w:color w:val="000000" w:themeColor="text1"/>
          <w:sz w:val="28"/>
          <w:szCs w:val="24"/>
          <w:lang w:val="es-ES_tradnl" w:eastAsia="es-ES_tradnl"/>
        </w:rPr>
      </w:pPr>
    </w:p>
    <w:p w:rsidR="00317382" w:rsidRPr="0096658B" w:rsidRDefault="0096658B" w:rsidP="00337A19">
      <w:pPr>
        <w:pStyle w:val="Style1"/>
        <w:ind w:left="567" w:right="567"/>
        <w:rPr>
          <w:rStyle w:val="FontStyle12"/>
          <w:rFonts w:eastAsia="SimSun"/>
          <w:b w:val="0"/>
          <w:color w:val="000000" w:themeColor="text1"/>
          <w:sz w:val="28"/>
          <w:szCs w:val="24"/>
          <w:lang w:val="es-ES_tradnl" w:eastAsia="es-ES_tradnl"/>
        </w:rPr>
      </w:pPr>
      <w:r w:rsidRPr="0096658B">
        <w:rPr>
          <w:rStyle w:val="FontStyle12"/>
          <w:rFonts w:eastAsia="SimSun"/>
          <w:b w:val="0"/>
          <w:color w:val="000000" w:themeColor="text1"/>
          <w:sz w:val="28"/>
          <w:szCs w:val="24"/>
          <w:lang w:val="es-ES_tradnl" w:eastAsia="es-ES_tradnl"/>
        </w:rPr>
        <w:t>El Congreso de Colombia,</w:t>
      </w:r>
    </w:p>
    <w:p w:rsidR="00317382" w:rsidRPr="0096658B" w:rsidRDefault="0096658B" w:rsidP="00337A19">
      <w:pPr>
        <w:pStyle w:val="Style1"/>
        <w:ind w:left="567" w:right="567"/>
        <w:rPr>
          <w:rStyle w:val="FontStyle12"/>
          <w:rFonts w:eastAsia="SimSun"/>
          <w:b w:val="0"/>
          <w:color w:val="000000" w:themeColor="text1"/>
          <w:sz w:val="28"/>
          <w:szCs w:val="24"/>
          <w:lang w:val="es-ES_tradnl" w:eastAsia="es-ES_tradnl"/>
        </w:rPr>
      </w:pPr>
    </w:p>
    <w:p w:rsidR="00317382" w:rsidRPr="0096658B" w:rsidRDefault="0096658B" w:rsidP="00337A19">
      <w:pPr>
        <w:pStyle w:val="Style1"/>
        <w:ind w:left="567" w:right="567"/>
        <w:rPr>
          <w:rStyle w:val="FontStyle12"/>
          <w:rFonts w:eastAsia="SimSun"/>
          <w:b w:val="0"/>
          <w:color w:val="000000" w:themeColor="text1"/>
          <w:sz w:val="28"/>
          <w:szCs w:val="24"/>
          <w:lang w:val="es-ES_tradnl" w:eastAsia="es-ES_tradnl"/>
        </w:rPr>
      </w:pPr>
      <w:r w:rsidRPr="0096658B">
        <w:rPr>
          <w:rStyle w:val="FontStyle12"/>
          <w:rFonts w:eastAsia="SimSun"/>
          <w:b w:val="0"/>
          <w:color w:val="000000" w:themeColor="text1"/>
          <w:sz w:val="28"/>
          <w:szCs w:val="24"/>
          <w:lang w:val="es-ES_tradnl" w:eastAsia="es-ES_tradnl"/>
        </w:rPr>
        <w:t>DECRETA:</w:t>
      </w:r>
    </w:p>
    <w:p w:rsidR="00317382" w:rsidRPr="0096658B" w:rsidRDefault="0096658B" w:rsidP="00337A19">
      <w:pPr>
        <w:pStyle w:val="Style1"/>
        <w:ind w:left="567" w:right="567"/>
        <w:rPr>
          <w:rStyle w:val="FontStyle12"/>
          <w:rFonts w:eastAsia="SimSun"/>
          <w:b w:val="0"/>
          <w:color w:val="000000" w:themeColor="text1"/>
          <w:sz w:val="28"/>
          <w:szCs w:val="24"/>
          <w:lang w:val="es-ES_tradnl" w:eastAsia="es-ES_tradnl"/>
        </w:rPr>
      </w:pPr>
    </w:p>
    <w:p w:rsidR="00317382" w:rsidRPr="0096658B" w:rsidRDefault="0096658B" w:rsidP="00337A19">
      <w:pPr>
        <w:pStyle w:val="Style1"/>
        <w:ind w:left="567" w:right="567"/>
        <w:jc w:val="both"/>
        <w:rPr>
          <w:rStyle w:val="FontStyle12"/>
          <w:rFonts w:eastAsia="SimSun"/>
          <w:b w:val="0"/>
          <w:color w:val="000000" w:themeColor="text1"/>
          <w:sz w:val="28"/>
          <w:szCs w:val="24"/>
          <w:lang w:val="es-ES_tradnl" w:eastAsia="es-ES_tradnl"/>
        </w:rPr>
      </w:pPr>
      <w:r w:rsidRPr="0096658B">
        <w:rPr>
          <w:rStyle w:val="FontStyle12"/>
          <w:rFonts w:eastAsia="SimSun"/>
          <w:bCs w:val="0"/>
          <w:color w:val="000000" w:themeColor="text1"/>
          <w:sz w:val="28"/>
          <w:szCs w:val="24"/>
          <w:lang w:val="es-ES_tradnl" w:eastAsia="es-ES_tradnl"/>
        </w:rPr>
        <w:t>Artículo 1°.</w:t>
      </w:r>
      <w:r w:rsidRPr="0096658B">
        <w:rPr>
          <w:rStyle w:val="FontStyle12"/>
          <w:rFonts w:eastAsia="SimSun"/>
          <w:b w:val="0"/>
          <w:color w:val="000000" w:themeColor="text1"/>
          <w:sz w:val="28"/>
          <w:szCs w:val="24"/>
          <w:lang w:val="es-ES_tradnl" w:eastAsia="es-ES_tradnl"/>
        </w:rPr>
        <w:t xml:space="preserve"> Modifíquese el </w:t>
      </w:r>
      <w:r w:rsidRPr="0096658B">
        <w:rPr>
          <w:rStyle w:val="FontStyle12"/>
          <w:rFonts w:eastAsia="SimSun"/>
          <w:b w:val="0"/>
          <w:color w:val="000000" w:themeColor="text1"/>
          <w:sz w:val="28"/>
          <w:szCs w:val="24"/>
          <w:lang w:val="es-ES_tradnl" w:eastAsia="es-ES_tradnl"/>
        </w:rPr>
        <w:t>artículo</w:t>
      </w:r>
      <w:r w:rsidRPr="0096658B">
        <w:rPr>
          <w:rStyle w:val="FontStyle12"/>
          <w:rFonts w:eastAsia="SimSun"/>
          <w:b w:val="0"/>
          <w:color w:val="000000" w:themeColor="text1"/>
          <w:sz w:val="28"/>
          <w:szCs w:val="24"/>
          <w:lang w:val="es-ES_tradnl" w:eastAsia="es-ES_tradnl"/>
        </w:rPr>
        <w:t xml:space="preserve"> 4° de la Ley 581 de 2000, el cual quedará </w:t>
      </w:r>
      <w:r w:rsidRPr="0096658B">
        <w:rPr>
          <w:rStyle w:val="FontStyle12"/>
          <w:rFonts w:eastAsia="SimSun"/>
          <w:b w:val="0"/>
          <w:color w:val="000000" w:themeColor="text1"/>
          <w:sz w:val="28"/>
          <w:szCs w:val="24"/>
          <w:lang w:val="es-ES_tradnl" w:eastAsia="es-ES_tradnl"/>
        </w:rPr>
        <w:t>así</w:t>
      </w:r>
      <w:r w:rsidRPr="0096658B">
        <w:rPr>
          <w:rStyle w:val="FontStyle12"/>
          <w:rFonts w:eastAsia="SimSun"/>
          <w:b w:val="0"/>
          <w:color w:val="000000" w:themeColor="text1"/>
          <w:sz w:val="28"/>
          <w:szCs w:val="24"/>
          <w:lang w:val="es-ES_tradnl" w:eastAsia="es-ES_tradnl"/>
        </w:rPr>
        <w:t>́:</w:t>
      </w:r>
    </w:p>
    <w:p w:rsidR="00317382" w:rsidRPr="0096658B" w:rsidRDefault="0096658B" w:rsidP="00337A19">
      <w:pPr>
        <w:pStyle w:val="Style1"/>
        <w:ind w:left="567" w:right="567"/>
        <w:jc w:val="both"/>
        <w:rPr>
          <w:rStyle w:val="FontStyle12"/>
          <w:rFonts w:eastAsia="SimSun"/>
          <w:b w:val="0"/>
          <w:color w:val="000000" w:themeColor="text1"/>
          <w:sz w:val="28"/>
          <w:szCs w:val="24"/>
          <w:lang w:val="es-ES_tradnl" w:eastAsia="es-ES_tradnl"/>
        </w:rPr>
      </w:pPr>
    </w:p>
    <w:p w:rsidR="00317382" w:rsidRPr="0096658B" w:rsidRDefault="0096658B" w:rsidP="00337A19">
      <w:pPr>
        <w:pStyle w:val="Style1"/>
        <w:ind w:left="567" w:right="567"/>
        <w:jc w:val="both"/>
        <w:rPr>
          <w:rStyle w:val="FontStyle12"/>
          <w:rFonts w:eastAsia="SimSun"/>
          <w:b w:val="0"/>
          <w:color w:val="000000" w:themeColor="text1"/>
          <w:sz w:val="28"/>
          <w:szCs w:val="24"/>
          <w:lang w:val="es-ES_tradnl" w:eastAsia="es-ES_tradnl"/>
        </w:rPr>
      </w:pPr>
      <w:r w:rsidRPr="0096658B">
        <w:rPr>
          <w:rStyle w:val="FontStyle12"/>
          <w:rFonts w:eastAsia="SimSun"/>
          <w:bCs w:val="0"/>
          <w:color w:val="000000" w:themeColor="text1"/>
          <w:sz w:val="28"/>
          <w:szCs w:val="24"/>
          <w:lang w:val="es-ES_tradnl" w:eastAsia="es-ES_tradnl"/>
        </w:rPr>
        <w:t xml:space="preserve">Artículo 4. Participación efectiva de </w:t>
      </w:r>
      <w:r w:rsidRPr="0096658B">
        <w:rPr>
          <w:rStyle w:val="FontStyle12"/>
          <w:rFonts w:eastAsia="SimSun"/>
          <w:bCs w:val="0"/>
          <w:color w:val="000000" w:themeColor="text1"/>
          <w:sz w:val="28"/>
          <w:szCs w:val="24"/>
          <w:lang w:val="es-ES_tradnl" w:eastAsia="es-ES_tradnl"/>
        </w:rPr>
        <w:t>las mujeres.</w:t>
      </w:r>
      <w:r w:rsidRPr="0096658B">
        <w:rPr>
          <w:rStyle w:val="FontStyle12"/>
          <w:rFonts w:eastAsia="SimSun"/>
          <w:b w:val="0"/>
          <w:color w:val="000000" w:themeColor="text1"/>
          <w:sz w:val="28"/>
          <w:szCs w:val="24"/>
          <w:lang w:val="es-ES_tradnl" w:eastAsia="es-ES_tradnl"/>
        </w:rPr>
        <w:t xml:space="preserve"> La participación adecuada de las mujeres en los niveles del poder público definidos en los artículos 2</w:t>
      </w:r>
      <w:r w:rsidRPr="0096658B">
        <w:rPr>
          <w:rStyle w:val="FontStyle12"/>
          <w:rFonts w:eastAsia="SimSun"/>
          <w:b w:val="0"/>
          <w:color w:val="000000" w:themeColor="text1"/>
          <w:sz w:val="28"/>
          <w:szCs w:val="24"/>
          <w:lang w:val="es-ES_tradnl" w:eastAsia="es-ES_tradnl"/>
        </w:rPr>
        <w:t>º</w:t>
      </w:r>
      <w:r w:rsidRPr="0096658B">
        <w:rPr>
          <w:rStyle w:val="FontStyle12"/>
          <w:rFonts w:eastAsia="SimSun"/>
          <w:b w:val="0"/>
          <w:color w:val="000000" w:themeColor="text1"/>
          <w:sz w:val="28"/>
          <w:szCs w:val="24"/>
          <w:lang w:val="es-ES_tradnl" w:eastAsia="es-ES_tradnl"/>
        </w:rPr>
        <w:t xml:space="preserve"> y 3</w:t>
      </w:r>
      <w:r w:rsidRPr="0096658B">
        <w:rPr>
          <w:rStyle w:val="FontStyle12"/>
          <w:rFonts w:eastAsia="SimSun"/>
          <w:b w:val="0"/>
          <w:color w:val="000000" w:themeColor="text1"/>
          <w:sz w:val="28"/>
          <w:szCs w:val="24"/>
          <w:lang w:val="es-ES_tradnl" w:eastAsia="es-ES_tradnl"/>
        </w:rPr>
        <w:t>º</w:t>
      </w:r>
      <w:r w:rsidRPr="0096658B">
        <w:rPr>
          <w:rStyle w:val="FontStyle12"/>
          <w:rFonts w:eastAsia="SimSun"/>
          <w:b w:val="0"/>
          <w:color w:val="000000" w:themeColor="text1"/>
          <w:sz w:val="28"/>
          <w:szCs w:val="24"/>
          <w:lang w:val="es-ES_tradnl" w:eastAsia="es-ES_tradnl"/>
        </w:rPr>
        <w:t xml:space="preserve"> de la presente ley, se hará́ efectiva aplicando por parte de las autoridades nominadoras las siguientes reglas:</w:t>
      </w:r>
    </w:p>
    <w:p w:rsidR="00317382" w:rsidRPr="0096658B" w:rsidRDefault="0096658B" w:rsidP="00337A19">
      <w:pPr>
        <w:pStyle w:val="Style1"/>
        <w:ind w:left="567" w:right="567"/>
        <w:jc w:val="both"/>
        <w:rPr>
          <w:rStyle w:val="FontStyle12"/>
          <w:rFonts w:eastAsia="SimSun"/>
          <w:b w:val="0"/>
          <w:color w:val="000000" w:themeColor="text1"/>
          <w:sz w:val="28"/>
          <w:szCs w:val="24"/>
          <w:lang w:val="es-ES_tradnl" w:eastAsia="es-ES_tradnl"/>
        </w:rPr>
      </w:pPr>
    </w:p>
    <w:p w:rsidR="00317382" w:rsidRPr="0096658B" w:rsidRDefault="0096658B" w:rsidP="00337A19">
      <w:pPr>
        <w:pStyle w:val="Style1"/>
        <w:ind w:left="567" w:right="567"/>
        <w:jc w:val="both"/>
        <w:rPr>
          <w:rStyle w:val="FontStyle12"/>
          <w:rFonts w:eastAsia="SimSun"/>
          <w:b w:val="0"/>
          <w:color w:val="000000" w:themeColor="text1"/>
          <w:sz w:val="28"/>
          <w:szCs w:val="24"/>
          <w:lang w:val="es-ES_tradnl" w:eastAsia="es-ES_tradnl"/>
        </w:rPr>
      </w:pPr>
      <w:r w:rsidRPr="0096658B">
        <w:rPr>
          <w:rStyle w:val="FontStyle12"/>
          <w:rFonts w:eastAsia="SimSun"/>
          <w:b w:val="0"/>
          <w:color w:val="000000" w:themeColor="text1"/>
          <w:sz w:val="28"/>
          <w:szCs w:val="24"/>
          <w:lang w:val="es-ES_tradnl" w:eastAsia="es-ES_tradnl"/>
        </w:rPr>
        <w:t>a) Mínimo el cincuent</w:t>
      </w:r>
      <w:r w:rsidRPr="0096658B">
        <w:rPr>
          <w:rStyle w:val="FontStyle12"/>
          <w:rFonts w:eastAsia="SimSun"/>
          <w:b w:val="0"/>
          <w:color w:val="000000" w:themeColor="text1"/>
          <w:sz w:val="28"/>
          <w:szCs w:val="24"/>
          <w:lang w:val="es-ES_tradnl" w:eastAsia="es-ES_tradnl"/>
        </w:rPr>
        <w:t>a por ciento (50%) de los cargos de máximo nivel decisorio, de que trata el artículo 2</w:t>
      </w:r>
      <w:r w:rsidRPr="0096658B">
        <w:rPr>
          <w:rStyle w:val="FontStyle12"/>
          <w:rFonts w:eastAsia="SimSun"/>
          <w:b w:val="0"/>
          <w:color w:val="000000" w:themeColor="text1"/>
          <w:sz w:val="28"/>
          <w:szCs w:val="24"/>
          <w:lang w:val="es-ES_tradnl" w:eastAsia="es-ES_tradnl"/>
        </w:rPr>
        <w:t>º</w:t>
      </w:r>
      <w:r w:rsidRPr="0096658B">
        <w:rPr>
          <w:rStyle w:val="FontStyle12"/>
          <w:rFonts w:eastAsia="SimSun"/>
          <w:b w:val="0"/>
          <w:color w:val="000000" w:themeColor="text1"/>
          <w:sz w:val="28"/>
          <w:szCs w:val="24"/>
          <w:lang w:val="es-ES_tradnl" w:eastAsia="es-ES_tradnl"/>
        </w:rPr>
        <w:t>, serán desempeñados por mujeres;</w:t>
      </w:r>
    </w:p>
    <w:p w:rsidR="00317382" w:rsidRPr="0096658B" w:rsidRDefault="0096658B" w:rsidP="00337A19">
      <w:pPr>
        <w:pStyle w:val="Style1"/>
        <w:ind w:left="567" w:right="567"/>
        <w:jc w:val="both"/>
        <w:rPr>
          <w:rStyle w:val="FontStyle12"/>
          <w:rFonts w:eastAsia="SimSun"/>
          <w:b w:val="0"/>
          <w:color w:val="000000" w:themeColor="text1"/>
          <w:sz w:val="28"/>
          <w:szCs w:val="24"/>
          <w:lang w:val="es-ES_tradnl" w:eastAsia="es-ES_tradnl"/>
        </w:rPr>
      </w:pPr>
    </w:p>
    <w:p w:rsidR="00317382" w:rsidRPr="0096658B" w:rsidRDefault="0096658B" w:rsidP="00337A19">
      <w:pPr>
        <w:pStyle w:val="Style1"/>
        <w:ind w:left="567" w:right="567"/>
        <w:jc w:val="both"/>
        <w:rPr>
          <w:rStyle w:val="FontStyle12"/>
          <w:rFonts w:eastAsia="SimSun"/>
          <w:b w:val="0"/>
          <w:color w:val="000000" w:themeColor="text1"/>
          <w:sz w:val="28"/>
          <w:szCs w:val="24"/>
          <w:lang w:val="es-ES_tradnl" w:eastAsia="es-ES_tradnl"/>
        </w:rPr>
      </w:pPr>
      <w:r w:rsidRPr="0096658B">
        <w:rPr>
          <w:rStyle w:val="FontStyle12"/>
          <w:rFonts w:eastAsia="SimSun"/>
          <w:b w:val="0"/>
          <w:color w:val="000000" w:themeColor="text1"/>
          <w:sz w:val="28"/>
          <w:szCs w:val="24"/>
          <w:lang w:val="es-ES_tradnl" w:eastAsia="es-ES_tradnl"/>
        </w:rPr>
        <w:t>b) Mínimo el cincuenta por ciento (50%) de los cargos de otros niveles decisorios, de que trata el artículo 3</w:t>
      </w:r>
      <w:r w:rsidRPr="0096658B">
        <w:rPr>
          <w:rStyle w:val="FontStyle12"/>
          <w:rFonts w:eastAsia="SimSun"/>
          <w:b w:val="0"/>
          <w:color w:val="000000" w:themeColor="text1"/>
          <w:sz w:val="28"/>
          <w:szCs w:val="24"/>
          <w:lang w:val="es-ES_tradnl" w:eastAsia="es-ES_tradnl"/>
        </w:rPr>
        <w:t>º</w:t>
      </w:r>
      <w:r w:rsidRPr="0096658B">
        <w:rPr>
          <w:rStyle w:val="FontStyle12"/>
          <w:rFonts w:eastAsia="SimSun"/>
          <w:b w:val="0"/>
          <w:color w:val="000000" w:themeColor="text1"/>
          <w:sz w:val="28"/>
          <w:szCs w:val="24"/>
          <w:lang w:val="es-ES_tradnl" w:eastAsia="es-ES_tradnl"/>
        </w:rPr>
        <w:t>, serán desempeñados por</w:t>
      </w:r>
      <w:r w:rsidRPr="0096658B">
        <w:rPr>
          <w:rStyle w:val="FontStyle12"/>
          <w:rFonts w:eastAsia="SimSun"/>
          <w:b w:val="0"/>
          <w:color w:val="000000" w:themeColor="text1"/>
          <w:sz w:val="28"/>
          <w:szCs w:val="24"/>
          <w:lang w:val="es-ES_tradnl" w:eastAsia="es-ES_tradnl"/>
        </w:rPr>
        <w:t xml:space="preserve"> mujeres.</w:t>
      </w:r>
    </w:p>
    <w:p w:rsidR="00317382" w:rsidRPr="0096658B" w:rsidRDefault="0096658B" w:rsidP="00337A19">
      <w:pPr>
        <w:pStyle w:val="Style1"/>
        <w:ind w:left="567" w:right="567"/>
        <w:jc w:val="both"/>
        <w:rPr>
          <w:rStyle w:val="FontStyle12"/>
          <w:rFonts w:eastAsia="SimSun"/>
          <w:b w:val="0"/>
          <w:color w:val="000000" w:themeColor="text1"/>
          <w:sz w:val="28"/>
          <w:szCs w:val="24"/>
          <w:lang w:val="es-ES_tradnl" w:eastAsia="es-ES_tradnl"/>
        </w:rPr>
      </w:pPr>
    </w:p>
    <w:p w:rsidR="00317382" w:rsidRPr="0096658B" w:rsidRDefault="0096658B" w:rsidP="00337A19">
      <w:pPr>
        <w:pStyle w:val="Style1"/>
        <w:ind w:left="567" w:right="567"/>
        <w:jc w:val="both"/>
        <w:rPr>
          <w:rStyle w:val="FontStyle12"/>
          <w:rFonts w:eastAsia="SimSun"/>
          <w:b w:val="0"/>
          <w:color w:val="000000" w:themeColor="text1"/>
          <w:sz w:val="28"/>
          <w:szCs w:val="24"/>
          <w:lang w:val="es-ES_tradnl" w:eastAsia="es-ES_tradnl"/>
        </w:rPr>
      </w:pPr>
      <w:r w:rsidRPr="0096658B">
        <w:rPr>
          <w:rStyle w:val="FontStyle12"/>
          <w:rFonts w:eastAsia="SimSun"/>
          <w:bCs w:val="0"/>
          <w:color w:val="000000" w:themeColor="text1"/>
          <w:sz w:val="28"/>
          <w:szCs w:val="24"/>
          <w:lang w:val="es-ES_tradnl" w:eastAsia="es-ES_tradnl"/>
        </w:rPr>
        <w:t xml:space="preserve">Parágrafo. </w:t>
      </w:r>
      <w:r w:rsidRPr="0096658B">
        <w:rPr>
          <w:rStyle w:val="FontStyle12"/>
          <w:rFonts w:eastAsia="SimSun"/>
          <w:b w:val="0"/>
          <w:color w:val="000000" w:themeColor="text1"/>
          <w:sz w:val="28"/>
          <w:szCs w:val="24"/>
          <w:lang w:val="es-ES_tradnl" w:eastAsia="es-ES_tradnl"/>
        </w:rPr>
        <w:t>El incumplimiento de lo ordenado en este artículo constituye causal de mala conducta, que será sancionada con suspensión hasta de treinta (30) días en el ejercicio del cargo, y con la destitución del mismo en caso de persistir en la c</w:t>
      </w:r>
      <w:r w:rsidRPr="0096658B">
        <w:rPr>
          <w:rStyle w:val="FontStyle12"/>
          <w:rFonts w:eastAsia="SimSun"/>
          <w:b w:val="0"/>
          <w:color w:val="000000" w:themeColor="text1"/>
          <w:sz w:val="28"/>
          <w:szCs w:val="24"/>
          <w:lang w:val="es-ES_tradnl" w:eastAsia="es-ES_tradnl"/>
        </w:rPr>
        <w:t>onducta, de conformidad con el régimen disciplinario vigente.</w:t>
      </w:r>
    </w:p>
    <w:p w:rsidR="00317382" w:rsidRPr="0096658B" w:rsidRDefault="0096658B" w:rsidP="00337A19">
      <w:pPr>
        <w:pStyle w:val="Style1"/>
        <w:ind w:left="567" w:right="567"/>
        <w:jc w:val="both"/>
        <w:rPr>
          <w:rStyle w:val="FontStyle12"/>
          <w:rFonts w:eastAsia="SimSun"/>
          <w:b w:val="0"/>
          <w:color w:val="000000" w:themeColor="text1"/>
          <w:sz w:val="28"/>
          <w:szCs w:val="24"/>
          <w:lang w:val="es-ES_tradnl" w:eastAsia="es-ES_tradnl"/>
        </w:rPr>
      </w:pPr>
    </w:p>
    <w:p w:rsidR="00317382" w:rsidRPr="0096658B" w:rsidRDefault="0096658B" w:rsidP="00337A19">
      <w:pPr>
        <w:pStyle w:val="Style1"/>
        <w:ind w:left="567" w:right="567"/>
        <w:jc w:val="both"/>
        <w:rPr>
          <w:rStyle w:val="FontStyle12"/>
          <w:rFonts w:eastAsia="SimSun"/>
          <w:b w:val="0"/>
          <w:color w:val="000000" w:themeColor="text1"/>
          <w:sz w:val="28"/>
          <w:szCs w:val="24"/>
          <w:lang w:val="es-ES_tradnl" w:eastAsia="es-ES_tradnl"/>
        </w:rPr>
      </w:pPr>
      <w:r w:rsidRPr="0096658B">
        <w:rPr>
          <w:rStyle w:val="FontStyle12"/>
          <w:rFonts w:eastAsia="SimSun"/>
          <w:bCs w:val="0"/>
          <w:color w:val="000000" w:themeColor="text1"/>
          <w:sz w:val="28"/>
          <w:szCs w:val="24"/>
          <w:lang w:val="es-ES_tradnl" w:eastAsia="es-ES_tradnl"/>
        </w:rPr>
        <w:t>Parágrafo 2.</w:t>
      </w:r>
      <w:r w:rsidRPr="0096658B">
        <w:rPr>
          <w:rStyle w:val="FontStyle12"/>
          <w:rFonts w:eastAsia="SimSun"/>
          <w:b w:val="0"/>
          <w:color w:val="000000" w:themeColor="text1"/>
          <w:sz w:val="28"/>
          <w:szCs w:val="24"/>
          <w:lang w:val="es-ES_tradnl" w:eastAsia="es-ES_tradnl"/>
        </w:rPr>
        <w:t xml:space="preserve"> El Gobierno Nacional en el plazo de seis meses, contados a partir de la entrada en vigencia de la presente Ley, reglamentará los cargos a los cuales les aplicará la presente Ley.</w:t>
      </w:r>
    </w:p>
    <w:p w:rsidR="00317382" w:rsidRPr="0096658B" w:rsidRDefault="0096658B" w:rsidP="00337A19">
      <w:pPr>
        <w:pStyle w:val="Style1"/>
        <w:ind w:left="567" w:right="567"/>
        <w:jc w:val="both"/>
        <w:rPr>
          <w:rStyle w:val="FontStyle12"/>
          <w:rFonts w:eastAsia="SimSun"/>
          <w:b w:val="0"/>
          <w:color w:val="000000" w:themeColor="text1"/>
          <w:sz w:val="28"/>
          <w:szCs w:val="24"/>
          <w:lang w:val="es-ES_tradnl" w:eastAsia="es-ES_tradnl"/>
        </w:rPr>
      </w:pPr>
    </w:p>
    <w:p w:rsidR="00317382" w:rsidRPr="0096658B" w:rsidRDefault="0096658B" w:rsidP="00337A19">
      <w:pPr>
        <w:pStyle w:val="Style1"/>
        <w:ind w:left="567" w:right="567"/>
        <w:jc w:val="both"/>
        <w:rPr>
          <w:rStyle w:val="FontStyle12"/>
          <w:rFonts w:eastAsia="SimSun"/>
          <w:b w:val="0"/>
          <w:color w:val="000000" w:themeColor="text1"/>
          <w:sz w:val="28"/>
          <w:szCs w:val="24"/>
          <w:lang w:val="es-ES_tradnl" w:eastAsia="es-ES_tradnl"/>
        </w:rPr>
      </w:pPr>
      <w:r w:rsidRPr="0096658B">
        <w:rPr>
          <w:rStyle w:val="FontStyle12"/>
          <w:rFonts w:eastAsia="SimSun"/>
          <w:bCs w:val="0"/>
          <w:color w:val="000000" w:themeColor="text1"/>
          <w:sz w:val="28"/>
          <w:szCs w:val="24"/>
          <w:lang w:val="es-ES_tradnl" w:eastAsia="es-ES_tradnl"/>
        </w:rPr>
        <w:t>Artículo 2°.</w:t>
      </w:r>
      <w:r w:rsidRPr="0096658B">
        <w:rPr>
          <w:rStyle w:val="FontStyle12"/>
          <w:rFonts w:eastAsia="SimSun"/>
          <w:b w:val="0"/>
          <w:color w:val="000000" w:themeColor="text1"/>
          <w:sz w:val="28"/>
          <w:szCs w:val="24"/>
          <w:lang w:val="es-ES_tradnl" w:eastAsia="es-ES_tradnl"/>
        </w:rPr>
        <w:t xml:space="preserve"> Modifíquese el artículo 13º de la Ley 581 de 2000, el cual quedará así:</w:t>
      </w:r>
    </w:p>
    <w:p w:rsidR="00317382" w:rsidRPr="0096658B" w:rsidRDefault="0096658B" w:rsidP="00337A19">
      <w:pPr>
        <w:pStyle w:val="Style1"/>
        <w:ind w:left="567" w:right="567"/>
        <w:jc w:val="both"/>
        <w:rPr>
          <w:rStyle w:val="FontStyle12"/>
          <w:rFonts w:eastAsia="SimSun"/>
          <w:b w:val="0"/>
          <w:color w:val="000000" w:themeColor="text1"/>
          <w:sz w:val="28"/>
          <w:szCs w:val="24"/>
          <w:lang w:val="es-ES_tradnl" w:eastAsia="es-ES_tradnl"/>
        </w:rPr>
      </w:pPr>
    </w:p>
    <w:p w:rsidR="00317382" w:rsidRPr="0096658B" w:rsidRDefault="0096658B" w:rsidP="00337A19">
      <w:pPr>
        <w:pStyle w:val="Style1"/>
        <w:ind w:left="567" w:right="567"/>
        <w:jc w:val="both"/>
        <w:rPr>
          <w:rStyle w:val="FontStyle12"/>
          <w:rFonts w:eastAsia="SimSun"/>
          <w:b w:val="0"/>
          <w:color w:val="000000" w:themeColor="text1"/>
          <w:sz w:val="28"/>
          <w:szCs w:val="24"/>
          <w:lang w:val="es-ES_tradnl" w:eastAsia="es-ES_tradnl"/>
        </w:rPr>
      </w:pPr>
      <w:r w:rsidRPr="0096658B">
        <w:rPr>
          <w:rStyle w:val="FontStyle12"/>
          <w:rFonts w:eastAsia="SimSun"/>
          <w:bCs w:val="0"/>
          <w:color w:val="000000" w:themeColor="text1"/>
          <w:sz w:val="28"/>
          <w:szCs w:val="24"/>
          <w:lang w:val="es-ES_tradnl" w:eastAsia="es-ES_tradnl"/>
        </w:rPr>
        <w:t>Artículo 13. Representación en el exterior.</w:t>
      </w:r>
      <w:r w:rsidRPr="0096658B">
        <w:rPr>
          <w:rStyle w:val="FontStyle12"/>
          <w:rFonts w:eastAsia="SimSun"/>
          <w:b w:val="0"/>
          <w:color w:val="000000" w:themeColor="text1"/>
          <w:sz w:val="28"/>
          <w:szCs w:val="24"/>
          <w:lang w:val="es-ES_tradnl" w:eastAsia="es-ES_tradnl"/>
        </w:rPr>
        <w:t xml:space="preserve"> El Gobierno y el Congreso de la República, deberán incluir mujeres de forma paritaria en las delegaciones de colombianos que</w:t>
      </w:r>
      <w:r w:rsidRPr="0096658B">
        <w:rPr>
          <w:rStyle w:val="FontStyle12"/>
          <w:rFonts w:eastAsia="SimSun"/>
          <w:b w:val="0"/>
          <w:color w:val="000000" w:themeColor="text1"/>
          <w:sz w:val="28"/>
          <w:szCs w:val="24"/>
          <w:lang w:val="es-ES_tradnl" w:eastAsia="es-ES_tradnl"/>
        </w:rPr>
        <w:t xml:space="preserve"> en comisiones oficiales atiendan conferencias diplomáticas, reuniones, foros internacionales, comités de expertos y eventos de naturaleza similar.</w:t>
      </w:r>
    </w:p>
    <w:p w:rsidR="00317382" w:rsidRPr="0096658B" w:rsidRDefault="0096658B" w:rsidP="00337A19">
      <w:pPr>
        <w:pStyle w:val="Style1"/>
        <w:ind w:left="567" w:right="567"/>
        <w:jc w:val="both"/>
        <w:rPr>
          <w:rStyle w:val="FontStyle12"/>
          <w:rFonts w:eastAsia="SimSun"/>
          <w:b w:val="0"/>
          <w:color w:val="000000" w:themeColor="text1"/>
          <w:sz w:val="28"/>
          <w:szCs w:val="24"/>
          <w:lang w:val="es-ES_tradnl" w:eastAsia="es-ES_tradnl"/>
        </w:rPr>
      </w:pPr>
    </w:p>
    <w:p w:rsidR="00317382" w:rsidRPr="0096658B" w:rsidRDefault="0096658B" w:rsidP="00337A19">
      <w:pPr>
        <w:pStyle w:val="Style1"/>
        <w:ind w:left="567" w:right="567"/>
        <w:jc w:val="both"/>
        <w:rPr>
          <w:rStyle w:val="FontStyle12"/>
          <w:rFonts w:eastAsia="SimSun"/>
          <w:b w:val="0"/>
          <w:color w:val="000000" w:themeColor="text1"/>
          <w:sz w:val="28"/>
          <w:szCs w:val="24"/>
          <w:lang w:val="es-ES_tradnl" w:eastAsia="es-ES_tradnl"/>
        </w:rPr>
      </w:pPr>
      <w:r w:rsidRPr="0096658B">
        <w:rPr>
          <w:rStyle w:val="FontStyle12"/>
          <w:rFonts w:eastAsia="SimSun"/>
          <w:b w:val="0"/>
          <w:color w:val="000000" w:themeColor="text1"/>
          <w:sz w:val="28"/>
          <w:szCs w:val="24"/>
          <w:lang w:val="es-ES_tradnl" w:eastAsia="es-ES_tradnl"/>
        </w:rPr>
        <w:t>Así mismo, asegurará la participación de mujeres en los cursos y seminarios de capacitación que se ofrezcan</w:t>
      </w:r>
      <w:r w:rsidRPr="0096658B">
        <w:rPr>
          <w:rStyle w:val="FontStyle12"/>
          <w:rFonts w:eastAsia="SimSun"/>
          <w:b w:val="0"/>
          <w:color w:val="000000" w:themeColor="text1"/>
          <w:sz w:val="28"/>
          <w:szCs w:val="24"/>
          <w:lang w:val="es-ES_tradnl" w:eastAsia="es-ES_tradnl"/>
        </w:rPr>
        <w:t xml:space="preserve"> en el exterior a los servidores públicos colombianos en las diferentes áreas.</w:t>
      </w:r>
    </w:p>
    <w:p w:rsidR="00317382" w:rsidRPr="0096658B" w:rsidRDefault="0096658B" w:rsidP="00337A19">
      <w:pPr>
        <w:pStyle w:val="Style1"/>
        <w:ind w:left="567" w:right="567"/>
        <w:jc w:val="both"/>
        <w:rPr>
          <w:rStyle w:val="FontStyle12"/>
          <w:rFonts w:eastAsia="SimSun"/>
          <w:b w:val="0"/>
          <w:color w:val="000000" w:themeColor="text1"/>
          <w:sz w:val="28"/>
          <w:szCs w:val="24"/>
          <w:lang w:val="es-ES_tradnl" w:eastAsia="es-ES_tradnl"/>
        </w:rPr>
      </w:pPr>
    </w:p>
    <w:p w:rsidR="00317382" w:rsidRPr="0096658B" w:rsidRDefault="0096658B" w:rsidP="00337A19">
      <w:pPr>
        <w:pStyle w:val="Style1"/>
        <w:ind w:left="567" w:right="567"/>
        <w:jc w:val="both"/>
        <w:rPr>
          <w:rStyle w:val="FontStyle12"/>
          <w:rFonts w:eastAsia="SimSun"/>
          <w:b w:val="0"/>
          <w:color w:val="000000" w:themeColor="text1"/>
          <w:sz w:val="28"/>
          <w:szCs w:val="24"/>
          <w:lang w:val="es-ES_tradnl" w:eastAsia="es-ES_tradnl"/>
        </w:rPr>
      </w:pPr>
      <w:r w:rsidRPr="0096658B">
        <w:rPr>
          <w:rStyle w:val="FontStyle12"/>
          <w:rFonts w:eastAsia="SimSun"/>
          <w:b w:val="0"/>
          <w:color w:val="000000" w:themeColor="text1"/>
          <w:sz w:val="28"/>
          <w:szCs w:val="24"/>
          <w:lang w:val="es-ES_tradnl" w:eastAsia="es-ES_tradnl"/>
        </w:rPr>
        <w:t>Parágrafo. El incumplimiento de esta disposición será causal de mala conducta.</w:t>
      </w:r>
    </w:p>
    <w:p w:rsidR="00317382" w:rsidRPr="0096658B" w:rsidRDefault="0096658B" w:rsidP="00337A19">
      <w:pPr>
        <w:pStyle w:val="Style1"/>
        <w:ind w:left="567" w:right="567"/>
        <w:jc w:val="both"/>
        <w:rPr>
          <w:rStyle w:val="FontStyle12"/>
          <w:rFonts w:eastAsia="SimSun"/>
          <w:b w:val="0"/>
          <w:color w:val="000000" w:themeColor="text1"/>
          <w:sz w:val="28"/>
          <w:szCs w:val="24"/>
          <w:lang w:val="es-ES_tradnl" w:eastAsia="es-ES_tradnl"/>
        </w:rPr>
      </w:pPr>
    </w:p>
    <w:p w:rsidR="00317382" w:rsidRPr="0096658B" w:rsidRDefault="0096658B" w:rsidP="00337A19">
      <w:pPr>
        <w:pStyle w:val="Style1"/>
        <w:ind w:left="567" w:right="567"/>
        <w:jc w:val="both"/>
        <w:rPr>
          <w:rStyle w:val="FontStyle12"/>
          <w:rFonts w:eastAsia="SimSun"/>
          <w:b w:val="0"/>
          <w:color w:val="000000" w:themeColor="text1"/>
          <w:sz w:val="28"/>
          <w:szCs w:val="24"/>
          <w:lang w:val="es-ES_tradnl" w:eastAsia="es-ES_tradnl"/>
        </w:rPr>
      </w:pPr>
      <w:r w:rsidRPr="0096658B">
        <w:rPr>
          <w:rStyle w:val="FontStyle12"/>
          <w:rFonts w:eastAsia="SimSun"/>
          <w:bCs w:val="0"/>
          <w:color w:val="000000" w:themeColor="text1"/>
          <w:sz w:val="28"/>
          <w:szCs w:val="24"/>
          <w:lang w:val="es-ES_tradnl" w:eastAsia="es-ES_tradnl"/>
        </w:rPr>
        <w:t>Artículo 3º</w:t>
      </w:r>
      <w:r w:rsidRPr="0096658B">
        <w:rPr>
          <w:rStyle w:val="FontStyle12"/>
          <w:rFonts w:eastAsia="SimSun"/>
          <w:b w:val="0"/>
          <w:color w:val="000000" w:themeColor="text1"/>
          <w:sz w:val="28"/>
          <w:szCs w:val="24"/>
          <w:lang w:val="es-ES_tradnl" w:eastAsia="es-ES_tradnl"/>
        </w:rPr>
        <w:t>. Modifíquese el artículo 28º de la Ley 1475 de 2011, el cual quedará así:</w:t>
      </w:r>
    </w:p>
    <w:p w:rsidR="00317382" w:rsidRPr="0096658B" w:rsidRDefault="0096658B" w:rsidP="00337A19">
      <w:pPr>
        <w:pStyle w:val="Style1"/>
        <w:ind w:left="567" w:right="567"/>
        <w:jc w:val="both"/>
        <w:rPr>
          <w:rStyle w:val="FontStyle12"/>
          <w:rFonts w:eastAsia="SimSun"/>
          <w:b w:val="0"/>
          <w:color w:val="000000" w:themeColor="text1"/>
          <w:sz w:val="28"/>
          <w:szCs w:val="24"/>
          <w:lang w:val="es-ES_tradnl" w:eastAsia="es-ES_tradnl"/>
        </w:rPr>
      </w:pPr>
    </w:p>
    <w:p w:rsidR="00317382" w:rsidRPr="0096658B" w:rsidRDefault="0096658B" w:rsidP="00337A19">
      <w:pPr>
        <w:pStyle w:val="Style1"/>
        <w:ind w:left="567" w:right="567"/>
        <w:jc w:val="both"/>
        <w:rPr>
          <w:rStyle w:val="FontStyle12"/>
          <w:rFonts w:eastAsia="SimSun"/>
          <w:b w:val="0"/>
          <w:color w:val="000000" w:themeColor="text1"/>
          <w:sz w:val="28"/>
          <w:szCs w:val="24"/>
          <w:lang w:val="es-ES_tradnl" w:eastAsia="es-ES_tradnl"/>
        </w:rPr>
      </w:pPr>
      <w:r w:rsidRPr="0096658B">
        <w:rPr>
          <w:rStyle w:val="FontStyle12"/>
          <w:rFonts w:eastAsia="SimSun"/>
          <w:bCs w:val="0"/>
          <w:color w:val="000000" w:themeColor="text1"/>
          <w:sz w:val="28"/>
          <w:szCs w:val="24"/>
          <w:lang w:val="es-ES_tradnl" w:eastAsia="es-ES_tradnl"/>
        </w:rPr>
        <w:t xml:space="preserve">Artículo </w:t>
      </w:r>
      <w:r w:rsidRPr="0096658B">
        <w:rPr>
          <w:rStyle w:val="FontStyle12"/>
          <w:rFonts w:eastAsia="SimSun"/>
          <w:bCs w:val="0"/>
          <w:color w:val="000000" w:themeColor="text1"/>
          <w:sz w:val="28"/>
          <w:szCs w:val="24"/>
          <w:lang w:val="es-ES_tradnl" w:eastAsia="es-ES_tradnl"/>
        </w:rPr>
        <w:t>28. Inscripción de candidatos.</w:t>
      </w:r>
      <w:r w:rsidRPr="0096658B">
        <w:rPr>
          <w:rStyle w:val="FontStyle12"/>
          <w:rFonts w:eastAsia="SimSun"/>
          <w:b w:val="0"/>
          <w:color w:val="000000" w:themeColor="text1"/>
          <w:sz w:val="28"/>
          <w:szCs w:val="24"/>
          <w:lang w:val="es-ES_tradnl" w:eastAsia="es-ES_tradnl"/>
        </w:rPr>
        <w:t xml:space="preserve"> Los partidos y movimientos políticos con personería jurídica podrán inscribir candidatos a cargos y corporaciones de elección popular previa verificación del cumplimiento de las calidades y requisitos de sus candidatos, así c</w:t>
      </w:r>
      <w:r w:rsidRPr="0096658B">
        <w:rPr>
          <w:rStyle w:val="FontStyle12"/>
          <w:rFonts w:eastAsia="SimSun"/>
          <w:b w:val="0"/>
          <w:color w:val="000000" w:themeColor="text1"/>
          <w:sz w:val="28"/>
          <w:szCs w:val="24"/>
          <w:lang w:val="es-ES_tradnl" w:eastAsia="es-ES_tradnl"/>
        </w:rPr>
        <w:t>omo de que no se encuentran incursos en causales de inhabilidad o incompatibilidad. Dichos candidatos deberán ser escogidos mediante procedimientos democráticos, de conformidad con sus estatutos. Las listas donde se elijan 5 o más curules para corporacione</w:t>
      </w:r>
      <w:r w:rsidRPr="0096658B">
        <w:rPr>
          <w:rStyle w:val="FontStyle12"/>
          <w:rFonts w:eastAsia="SimSun"/>
          <w:b w:val="0"/>
          <w:color w:val="000000" w:themeColor="text1"/>
          <w:sz w:val="28"/>
          <w:szCs w:val="24"/>
          <w:lang w:val="es-ES_tradnl" w:eastAsia="es-ES_tradnl"/>
        </w:rPr>
        <w:t>s de elección popular o las que se sometan a consulta -exceptuando su resultado- deberán conformarse por mínimo un 30% de uno de los géneros.</w:t>
      </w:r>
    </w:p>
    <w:p w:rsidR="00317382" w:rsidRPr="0096658B" w:rsidRDefault="0096658B" w:rsidP="00337A19">
      <w:pPr>
        <w:pStyle w:val="Style1"/>
        <w:ind w:left="567" w:right="567"/>
        <w:jc w:val="both"/>
        <w:rPr>
          <w:rStyle w:val="FontStyle12"/>
          <w:rFonts w:eastAsia="SimSun"/>
          <w:b w:val="0"/>
          <w:color w:val="000000" w:themeColor="text1"/>
          <w:sz w:val="28"/>
          <w:szCs w:val="24"/>
          <w:lang w:val="es-ES_tradnl" w:eastAsia="es-ES_tradnl"/>
        </w:rPr>
      </w:pPr>
    </w:p>
    <w:p w:rsidR="00317382" w:rsidRPr="0096658B" w:rsidRDefault="0096658B" w:rsidP="00337A19">
      <w:pPr>
        <w:pStyle w:val="Style1"/>
        <w:ind w:left="567" w:right="567"/>
        <w:jc w:val="both"/>
        <w:rPr>
          <w:rStyle w:val="FontStyle12"/>
          <w:rFonts w:eastAsia="SimSun"/>
          <w:b w:val="0"/>
          <w:color w:val="000000" w:themeColor="text1"/>
          <w:sz w:val="28"/>
          <w:szCs w:val="24"/>
          <w:lang w:val="es-ES_tradnl" w:eastAsia="es-ES_tradnl"/>
        </w:rPr>
      </w:pPr>
      <w:r w:rsidRPr="0096658B">
        <w:rPr>
          <w:rStyle w:val="FontStyle12"/>
          <w:rFonts w:eastAsia="SimSun"/>
          <w:b w:val="0"/>
          <w:color w:val="000000" w:themeColor="text1"/>
          <w:sz w:val="28"/>
          <w:szCs w:val="24"/>
          <w:lang w:val="es-ES_tradnl" w:eastAsia="es-ES_tradnl"/>
        </w:rPr>
        <w:t>Los Partidos y Movimientos Políticos con Personería Jurídica podrán inscribir candidatos y listas para toda clase</w:t>
      </w:r>
      <w:r w:rsidRPr="0096658B">
        <w:rPr>
          <w:rStyle w:val="FontStyle12"/>
          <w:rFonts w:eastAsia="SimSun"/>
          <w:b w:val="0"/>
          <w:color w:val="000000" w:themeColor="text1"/>
          <w:sz w:val="28"/>
          <w:szCs w:val="24"/>
          <w:lang w:val="es-ES_tradnl" w:eastAsia="es-ES_tradnl"/>
        </w:rPr>
        <w:t xml:space="preserve"> de cargos y corporaciones de elección popular, excepto para la elección de congresistas por las circunscripciones especiales de minorías étnicas.</w:t>
      </w:r>
    </w:p>
    <w:p w:rsidR="00317382" w:rsidRPr="0096658B" w:rsidRDefault="0096658B" w:rsidP="00337A19">
      <w:pPr>
        <w:pStyle w:val="Style1"/>
        <w:ind w:left="567" w:right="567"/>
        <w:jc w:val="both"/>
        <w:rPr>
          <w:rStyle w:val="FontStyle12"/>
          <w:rFonts w:eastAsia="SimSun"/>
          <w:b w:val="0"/>
          <w:color w:val="000000" w:themeColor="text1"/>
          <w:sz w:val="28"/>
          <w:szCs w:val="24"/>
          <w:lang w:val="es-ES_tradnl" w:eastAsia="es-ES_tradnl"/>
        </w:rPr>
      </w:pPr>
    </w:p>
    <w:p w:rsidR="00317382" w:rsidRPr="0096658B" w:rsidRDefault="0096658B" w:rsidP="00337A19">
      <w:pPr>
        <w:pStyle w:val="Style1"/>
        <w:ind w:left="567" w:right="567"/>
        <w:jc w:val="both"/>
        <w:rPr>
          <w:rStyle w:val="FontStyle12"/>
          <w:rFonts w:eastAsia="SimSun"/>
          <w:b w:val="0"/>
          <w:color w:val="000000" w:themeColor="text1"/>
          <w:sz w:val="28"/>
          <w:szCs w:val="24"/>
          <w:lang w:val="es-ES_tradnl" w:eastAsia="es-ES_tradnl"/>
        </w:rPr>
      </w:pPr>
      <w:r w:rsidRPr="0096658B">
        <w:rPr>
          <w:rStyle w:val="FontStyle12"/>
          <w:rFonts w:eastAsia="SimSun"/>
          <w:b w:val="0"/>
          <w:color w:val="000000" w:themeColor="text1"/>
          <w:sz w:val="28"/>
          <w:szCs w:val="24"/>
          <w:lang w:val="es-ES_tradnl" w:eastAsia="es-ES_tradnl"/>
        </w:rPr>
        <w:t>Los candidatos de los grupos significativos de ciudadanos serán inscritos por un comité integrado por tres (</w:t>
      </w:r>
      <w:r w:rsidRPr="0096658B">
        <w:rPr>
          <w:rStyle w:val="FontStyle12"/>
          <w:rFonts w:eastAsia="SimSun"/>
          <w:b w:val="0"/>
          <w:color w:val="000000" w:themeColor="text1"/>
          <w:sz w:val="28"/>
          <w:szCs w:val="24"/>
          <w:lang w:val="es-ES_tradnl" w:eastAsia="es-ES_tradnl"/>
        </w:rPr>
        <w:t>3) ciudadanos, el cual deberá registrarse ante la correspondiente autoridad electoral cuando menos un (1) mes antes de la fecha de cierre de la respectiva inscripción y, en todo caso, antes del inicio de la recolección de firmas de apoyo a la candidatura o</w:t>
      </w:r>
      <w:r w:rsidRPr="0096658B">
        <w:rPr>
          <w:rStyle w:val="FontStyle12"/>
          <w:rFonts w:eastAsia="SimSun"/>
          <w:b w:val="0"/>
          <w:color w:val="000000" w:themeColor="text1"/>
          <w:sz w:val="28"/>
          <w:szCs w:val="24"/>
          <w:lang w:val="es-ES_tradnl" w:eastAsia="es-ES_tradnl"/>
        </w:rPr>
        <w:t xml:space="preserve"> lista. Los nombres de los integrantes del Comité, así como la de los candidatos que postulen, deberán figurar en el formulario de recolección de las firmas de apoyo.</w:t>
      </w:r>
    </w:p>
    <w:p w:rsidR="008A1A8E" w:rsidRPr="0096658B" w:rsidRDefault="0096658B" w:rsidP="00337A19">
      <w:pPr>
        <w:pStyle w:val="Style1"/>
        <w:ind w:left="567" w:right="567"/>
        <w:jc w:val="both"/>
        <w:rPr>
          <w:rStyle w:val="FontStyle12"/>
          <w:rFonts w:eastAsia="SimSun"/>
          <w:b w:val="0"/>
          <w:color w:val="000000" w:themeColor="text1"/>
          <w:sz w:val="28"/>
          <w:szCs w:val="24"/>
          <w:lang w:val="es-ES_tradnl" w:eastAsia="es-ES_tradnl"/>
        </w:rPr>
      </w:pPr>
    </w:p>
    <w:p w:rsidR="00317382" w:rsidRPr="0096658B" w:rsidRDefault="0096658B" w:rsidP="00337A19">
      <w:pPr>
        <w:pStyle w:val="Style1"/>
        <w:ind w:left="567" w:right="567"/>
        <w:jc w:val="both"/>
        <w:rPr>
          <w:rStyle w:val="FontStyle12"/>
          <w:rFonts w:eastAsia="SimSun"/>
          <w:b w:val="0"/>
          <w:color w:val="000000" w:themeColor="text1"/>
          <w:sz w:val="28"/>
          <w:szCs w:val="24"/>
          <w:lang w:val="es-ES_tradnl" w:eastAsia="es-ES_tradnl"/>
        </w:rPr>
      </w:pPr>
      <w:r w:rsidRPr="0096658B">
        <w:rPr>
          <w:rStyle w:val="FontStyle12"/>
          <w:rFonts w:eastAsia="SimSun"/>
          <w:b w:val="0"/>
          <w:color w:val="000000" w:themeColor="text1"/>
          <w:sz w:val="28"/>
          <w:szCs w:val="24"/>
          <w:lang w:val="es-ES_tradnl" w:eastAsia="es-ES_tradnl"/>
        </w:rPr>
        <w:t xml:space="preserve">Los partidos y movimientos políticos con personería jurídica que decidan promover el </w:t>
      </w:r>
      <w:r w:rsidRPr="0096658B">
        <w:rPr>
          <w:rStyle w:val="FontStyle12"/>
          <w:rFonts w:eastAsia="SimSun"/>
          <w:b w:val="0"/>
          <w:color w:val="000000" w:themeColor="text1"/>
          <w:sz w:val="28"/>
          <w:szCs w:val="24"/>
          <w:lang w:val="es-ES_tradnl" w:eastAsia="es-ES_tradnl"/>
        </w:rPr>
        <w:t>voto en blanco y los comités independientes que se organicen para el efecto, deberán inscribirse ante la autoridad electoral competente para recibir la inscripción de candidatos, de listas o de la correspondiente iniciativa en los mecanismos de participaci</w:t>
      </w:r>
      <w:r w:rsidRPr="0096658B">
        <w:rPr>
          <w:rStyle w:val="FontStyle12"/>
          <w:rFonts w:eastAsia="SimSun"/>
          <w:b w:val="0"/>
          <w:color w:val="000000" w:themeColor="text1"/>
          <w:sz w:val="28"/>
          <w:szCs w:val="24"/>
          <w:lang w:val="es-ES_tradnl" w:eastAsia="es-ES_tradnl"/>
        </w:rPr>
        <w:t>ón ciudadana. A dichos promotores se les reconocerán en lo que fuere pertinente, los derechos y garantías que la ley establece para las demás campañas electorales, incluida la reposición de gastos de campaña, hasta el monto que previamente haya fijado el C</w:t>
      </w:r>
      <w:r w:rsidRPr="0096658B">
        <w:rPr>
          <w:rStyle w:val="FontStyle12"/>
          <w:rFonts w:eastAsia="SimSun"/>
          <w:b w:val="0"/>
          <w:color w:val="000000" w:themeColor="text1"/>
          <w:sz w:val="28"/>
          <w:szCs w:val="24"/>
          <w:lang w:val="es-ES_tradnl" w:eastAsia="es-ES_tradnl"/>
        </w:rPr>
        <w:t>onsejo Nacional Electoral.</w:t>
      </w:r>
    </w:p>
    <w:p w:rsidR="00317382" w:rsidRPr="0096658B" w:rsidRDefault="0096658B" w:rsidP="00337A19">
      <w:pPr>
        <w:pStyle w:val="Style1"/>
        <w:ind w:left="567" w:right="567"/>
        <w:jc w:val="both"/>
        <w:rPr>
          <w:rStyle w:val="FontStyle12"/>
          <w:rFonts w:eastAsia="SimSun"/>
          <w:b w:val="0"/>
          <w:color w:val="000000" w:themeColor="text1"/>
          <w:sz w:val="28"/>
          <w:szCs w:val="24"/>
          <w:lang w:val="es-ES_tradnl" w:eastAsia="es-ES_tradnl"/>
        </w:rPr>
      </w:pPr>
    </w:p>
    <w:p w:rsidR="00317382" w:rsidRPr="0096658B" w:rsidRDefault="0096658B" w:rsidP="00337A19">
      <w:pPr>
        <w:pStyle w:val="Style1"/>
        <w:ind w:left="567" w:right="567"/>
        <w:jc w:val="both"/>
        <w:rPr>
          <w:rStyle w:val="FontStyle12"/>
          <w:rFonts w:eastAsia="SimSun"/>
          <w:b w:val="0"/>
          <w:color w:val="000000" w:themeColor="text1"/>
          <w:sz w:val="28"/>
          <w:szCs w:val="24"/>
          <w:lang w:val="es-ES_tradnl" w:eastAsia="es-ES_tradnl"/>
        </w:rPr>
      </w:pPr>
      <w:r w:rsidRPr="0096658B">
        <w:rPr>
          <w:rStyle w:val="FontStyle12"/>
          <w:rFonts w:eastAsia="SimSun"/>
          <w:bCs w:val="0"/>
          <w:color w:val="000000" w:themeColor="text1"/>
          <w:sz w:val="28"/>
          <w:szCs w:val="24"/>
          <w:lang w:val="es-ES_tradnl" w:eastAsia="es-ES_tradnl"/>
        </w:rPr>
        <w:t>Parágrafo</w:t>
      </w:r>
      <w:r w:rsidRPr="0096658B">
        <w:rPr>
          <w:rStyle w:val="FontStyle12"/>
          <w:rFonts w:eastAsia="SimSun"/>
          <w:b w:val="0"/>
          <w:color w:val="000000" w:themeColor="text1"/>
          <w:sz w:val="28"/>
          <w:szCs w:val="24"/>
          <w:lang w:val="es-ES_tradnl" w:eastAsia="es-ES_tradnl"/>
        </w:rPr>
        <w:t>. A partir del año 2026, en las listas donde se elijan menos de cinco (5) curules para corporaciones de elección popular o las que se sometan a consulta -exceptuando su resultado - deberán integrar al menos (1) mujer.</w:t>
      </w:r>
    </w:p>
    <w:p w:rsidR="00317382" w:rsidRPr="0096658B" w:rsidRDefault="0096658B" w:rsidP="00337A19">
      <w:pPr>
        <w:pStyle w:val="Style1"/>
        <w:ind w:left="567" w:right="567"/>
        <w:jc w:val="both"/>
        <w:rPr>
          <w:rStyle w:val="FontStyle12"/>
          <w:rFonts w:eastAsia="SimSun"/>
          <w:b w:val="0"/>
          <w:color w:val="000000" w:themeColor="text1"/>
          <w:sz w:val="28"/>
          <w:szCs w:val="24"/>
          <w:lang w:val="es-ES_tradnl" w:eastAsia="es-ES_tradnl"/>
        </w:rPr>
      </w:pPr>
    </w:p>
    <w:p w:rsidR="00317382" w:rsidRPr="0096658B" w:rsidRDefault="0096658B" w:rsidP="00337A19">
      <w:pPr>
        <w:pStyle w:val="Style1"/>
        <w:widowControl/>
        <w:ind w:left="567" w:right="567"/>
        <w:jc w:val="both"/>
        <w:rPr>
          <w:rStyle w:val="FontStyle12"/>
          <w:rFonts w:eastAsia="SimSun"/>
          <w:b w:val="0"/>
          <w:color w:val="000000" w:themeColor="text1"/>
          <w:sz w:val="28"/>
          <w:szCs w:val="26"/>
          <w:lang w:val="es-ES_tradnl" w:eastAsia="es-ES_tradnl"/>
        </w:rPr>
      </w:pPr>
      <w:r w:rsidRPr="0096658B">
        <w:rPr>
          <w:rStyle w:val="FontStyle12"/>
          <w:rFonts w:eastAsia="SimSun"/>
          <w:bCs w:val="0"/>
          <w:color w:val="000000" w:themeColor="text1"/>
          <w:sz w:val="28"/>
          <w:szCs w:val="24"/>
          <w:lang w:val="es-ES_tradnl" w:eastAsia="es-ES_tradnl"/>
        </w:rPr>
        <w:t xml:space="preserve">Artículo 4. </w:t>
      </w:r>
      <w:r w:rsidRPr="0096658B">
        <w:rPr>
          <w:rStyle w:val="FontStyle12"/>
          <w:rFonts w:eastAsia="SimSun"/>
          <w:b w:val="0"/>
          <w:color w:val="000000" w:themeColor="text1"/>
          <w:sz w:val="28"/>
          <w:szCs w:val="24"/>
          <w:lang w:val="es-ES_tradnl" w:eastAsia="es-ES_tradnl"/>
        </w:rPr>
        <w:t xml:space="preserve">La presente Ley rige a partir de su promulgación. </w:t>
      </w:r>
    </w:p>
    <w:p w:rsidR="00317382" w:rsidRPr="0096658B" w:rsidRDefault="0096658B" w:rsidP="00317382">
      <w:pPr>
        <w:pStyle w:val="Style1"/>
        <w:widowControl/>
        <w:ind w:right="5"/>
        <w:jc w:val="both"/>
        <w:rPr>
          <w:rStyle w:val="FontStyle12"/>
          <w:rFonts w:eastAsia="SimSun"/>
          <w:b w:val="0"/>
          <w:color w:val="000000" w:themeColor="text1"/>
          <w:sz w:val="28"/>
          <w:szCs w:val="28"/>
          <w:lang w:val="es-ES_tradnl" w:eastAsia="es-ES_tradnl"/>
        </w:rPr>
      </w:pPr>
    </w:p>
    <w:p w:rsidR="004D19AD" w:rsidRPr="0096658B" w:rsidRDefault="0096658B" w:rsidP="004D19AD">
      <w:pPr>
        <w:pStyle w:val="Style1"/>
        <w:widowControl/>
        <w:ind w:right="5"/>
        <w:jc w:val="left"/>
        <w:rPr>
          <w:rStyle w:val="FontStyle12"/>
          <w:rFonts w:eastAsia="SimSun"/>
          <w:bCs w:val="0"/>
          <w:color w:val="000000" w:themeColor="text1"/>
          <w:sz w:val="28"/>
          <w:szCs w:val="28"/>
          <w:lang w:val="es-ES_tradnl" w:eastAsia="es-ES_tradnl"/>
        </w:rPr>
      </w:pPr>
      <w:r w:rsidRPr="0096658B">
        <w:rPr>
          <w:rStyle w:val="FontStyle12"/>
          <w:rFonts w:eastAsia="SimSun"/>
          <w:bCs w:val="0"/>
          <w:color w:val="000000" w:themeColor="text1"/>
          <w:sz w:val="28"/>
          <w:szCs w:val="28"/>
          <w:lang w:val="es-ES_tradnl" w:eastAsia="es-ES_tradnl"/>
        </w:rPr>
        <w:t>I</w:t>
      </w:r>
      <w:r w:rsidRPr="0096658B">
        <w:rPr>
          <w:rStyle w:val="FontStyle12"/>
          <w:rFonts w:eastAsia="SimSun"/>
          <w:bCs w:val="0"/>
          <w:color w:val="000000" w:themeColor="text1"/>
          <w:sz w:val="28"/>
          <w:szCs w:val="28"/>
          <w:lang w:val="es-ES_tradnl" w:eastAsia="es-ES_tradnl"/>
        </w:rPr>
        <w:t>II.</w:t>
      </w:r>
      <w:r w:rsidRPr="0096658B">
        <w:rPr>
          <w:rStyle w:val="FontStyle12"/>
          <w:rFonts w:eastAsia="SimSun"/>
          <w:bCs w:val="0"/>
          <w:color w:val="000000" w:themeColor="text1"/>
          <w:sz w:val="28"/>
          <w:szCs w:val="28"/>
          <w:lang w:val="es-ES_tradnl" w:eastAsia="es-ES_tradnl"/>
        </w:rPr>
        <w:t xml:space="preserve"> PRUEBAS DECRETADAS</w:t>
      </w:r>
    </w:p>
    <w:p w:rsidR="004D19AD" w:rsidRPr="0096658B" w:rsidRDefault="0096658B" w:rsidP="004D19AD">
      <w:pPr>
        <w:pStyle w:val="Style1"/>
        <w:widowControl/>
        <w:ind w:right="5"/>
        <w:jc w:val="left"/>
        <w:rPr>
          <w:rStyle w:val="FontStyle12"/>
          <w:rFonts w:eastAsia="SimSun"/>
          <w:bCs w:val="0"/>
          <w:color w:val="000000" w:themeColor="text1"/>
          <w:sz w:val="28"/>
          <w:szCs w:val="28"/>
          <w:lang w:val="es-ES_tradnl" w:eastAsia="es-ES_tradnl"/>
        </w:rPr>
      </w:pPr>
    </w:p>
    <w:p w:rsidR="004D19AD" w:rsidRPr="0096658B" w:rsidRDefault="0096658B" w:rsidP="004D19AD">
      <w:pPr>
        <w:pStyle w:val="Style1"/>
        <w:widowControl/>
        <w:ind w:right="5"/>
        <w:jc w:val="both"/>
        <w:rPr>
          <w:rStyle w:val="FontStyle12"/>
          <w:rFonts w:eastAsia="SimSun"/>
          <w:b w:val="0"/>
          <w:color w:val="000000" w:themeColor="text1"/>
          <w:sz w:val="28"/>
          <w:szCs w:val="28"/>
          <w:lang w:val="es-ES_tradnl" w:eastAsia="es-ES_tradnl"/>
        </w:rPr>
      </w:pPr>
      <w:r w:rsidRPr="0096658B">
        <w:rPr>
          <w:rStyle w:val="FontStyle12"/>
          <w:rFonts w:eastAsia="SimSun"/>
          <w:b w:val="0"/>
          <w:color w:val="000000" w:themeColor="text1"/>
          <w:sz w:val="28"/>
          <w:szCs w:val="28"/>
          <w:lang w:val="es-ES_tradnl" w:eastAsia="es-ES_tradnl"/>
        </w:rPr>
        <w:t xml:space="preserve">Como se indicó en precedencia, la </w:t>
      </w:r>
      <w:r w:rsidRPr="0096658B">
        <w:rPr>
          <w:rStyle w:val="FontStyle12"/>
          <w:rFonts w:eastAsia="SimSun"/>
          <w:b w:val="0"/>
          <w:color w:val="000000" w:themeColor="text1"/>
          <w:sz w:val="28"/>
          <w:szCs w:val="28"/>
          <w:lang w:val="es-ES_tradnl" w:eastAsia="es-ES_tradnl"/>
        </w:rPr>
        <w:t>m</w:t>
      </w:r>
      <w:r w:rsidRPr="0096658B">
        <w:rPr>
          <w:rStyle w:val="FontStyle12"/>
          <w:rFonts w:eastAsia="SimSun"/>
          <w:b w:val="0"/>
          <w:color w:val="000000" w:themeColor="text1"/>
          <w:sz w:val="28"/>
          <w:szCs w:val="28"/>
          <w:lang w:val="es-ES_tradnl" w:eastAsia="es-ES_tradnl"/>
        </w:rPr>
        <w:t>agistrada sustanciadora solicitó a los secretarios generales del Senado de la República y de la Cámara de Representantes las gacetas del congreso y las constancias que dieran cuenta del trámite legislativo. La Corte hará referencia particular a estos docum</w:t>
      </w:r>
      <w:r w:rsidRPr="0096658B">
        <w:rPr>
          <w:rStyle w:val="FontStyle12"/>
          <w:rFonts w:eastAsia="SimSun"/>
          <w:b w:val="0"/>
          <w:color w:val="000000" w:themeColor="text1"/>
          <w:sz w:val="28"/>
          <w:szCs w:val="28"/>
          <w:lang w:val="es-ES_tradnl" w:eastAsia="es-ES_tradnl"/>
        </w:rPr>
        <w:t xml:space="preserve">entos </w:t>
      </w:r>
      <w:r w:rsidRPr="0096658B">
        <w:rPr>
          <w:rStyle w:val="FontStyle12"/>
          <w:rFonts w:eastAsia="SimSun"/>
          <w:b w:val="0"/>
          <w:color w:val="000000" w:themeColor="text1"/>
          <w:sz w:val="28"/>
          <w:szCs w:val="28"/>
          <w:lang w:val="es-ES_tradnl" w:eastAsia="es-ES_tradnl"/>
        </w:rPr>
        <w:t xml:space="preserve">en el </w:t>
      </w:r>
      <w:r w:rsidRPr="0096658B">
        <w:rPr>
          <w:rStyle w:val="FontStyle12"/>
          <w:rFonts w:eastAsia="SimSun"/>
          <w:b w:val="0"/>
          <w:color w:val="000000" w:themeColor="text1"/>
          <w:sz w:val="28"/>
          <w:szCs w:val="28"/>
          <w:lang w:val="es-ES_tradnl" w:eastAsia="es-ES_tradnl"/>
        </w:rPr>
        <w:t xml:space="preserve">análisis sobre la constitucionalidad del procedimiento legislativo. </w:t>
      </w:r>
    </w:p>
    <w:p w:rsidR="004D19AD" w:rsidRPr="0096658B" w:rsidRDefault="0096658B" w:rsidP="004D19AD">
      <w:pPr>
        <w:pStyle w:val="Style1"/>
        <w:widowControl/>
        <w:ind w:right="5"/>
        <w:jc w:val="both"/>
        <w:rPr>
          <w:rStyle w:val="FontStyle12"/>
          <w:rFonts w:eastAsia="SimSun"/>
          <w:b w:val="0"/>
          <w:color w:val="000000" w:themeColor="text1"/>
          <w:sz w:val="28"/>
          <w:szCs w:val="28"/>
          <w:lang w:val="es-ES_tradnl" w:eastAsia="es-ES_tradnl"/>
        </w:rPr>
      </w:pPr>
    </w:p>
    <w:p w:rsidR="004D19AD" w:rsidRPr="0096658B" w:rsidRDefault="0096658B" w:rsidP="004D19AD">
      <w:pPr>
        <w:pStyle w:val="Style1"/>
        <w:widowControl/>
        <w:ind w:right="5"/>
        <w:jc w:val="both"/>
        <w:rPr>
          <w:rStyle w:val="FontStyle12"/>
          <w:rFonts w:eastAsia="SimSun"/>
          <w:b w:val="0"/>
          <w:color w:val="000000" w:themeColor="text1"/>
          <w:sz w:val="28"/>
          <w:szCs w:val="28"/>
          <w:lang w:val="es-ES_tradnl" w:eastAsia="es-ES_tradnl"/>
        </w:rPr>
      </w:pPr>
      <w:r w:rsidRPr="0096658B">
        <w:rPr>
          <w:rStyle w:val="FontStyle12"/>
          <w:rFonts w:eastAsia="SimSun"/>
          <w:b w:val="0"/>
          <w:color w:val="000000" w:themeColor="text1"/>
          <w:sz w:val="28"/>
          <w:szCs w:val="28"/>
          <w:lang w:val="es-ES_tradnl" w:eastAsia="es-ES_tradnl"/>
        </w:rPr>
        <w:t>De igual manera, en lo que tiene que ver con la existencia del concepto de impacto fiscal</w:t>
      </w:r>
      <w:r w:rsidRPr="0096658B">
        <w:rPr>
          <w:rStyle w:val="FontStyle12"/>
          <w:rFonts w:eastAsia="SimSun"/>
          <w:b w:val="0"/>
          <w:color w:val="000000" w:themeColor="text1"/>
          <w:sz w:val="28"/>
          <w:szCs w:val="28"/>
          <w:lang w:val="es-ES_tradnl" w:eastAsia="es-ES_tradnl"/>
        </w:rPr>
        <w:t>, mediante oficio de 17 de agosto de 2023</w:t>
      </w:r>
      <w:r w:rsidRPr="0096658B">
        <w:rPr>
          <w:rStyle w:val="Refdenotaalpie"/>
          <w:rFonts w:ascii="Times New Roman" w:eastAsia="SimSun" w:hAnsi="Times New Roman"/>
          <w:bCs/>
          <w:color w:val="000000" w:themeColor="text1"/>
          <w:sz w:val="28"/>
          <w:szCs w:val="28"/>
          <w:lang w:val="es-ES_tradnl" w:eastAsia="es-ES_tradnl"/>
        </w:rPr>
        <w:footnoteReference w:id="2"/>
      </w:r>
      <w:r w:rsidRPr="0096658B">
        <w:rPr>
          <w:rStyle w:val="FontStyle12"/>
          <w:rFonts w:eastAsia="SimSun"/>
          <w:b w:val="0"/>
          <w:color w:val="000000" w:themeColor="text1"/>
          <w:sz w:val="28"/>
          <w:szCs w:val="28"/>
          <w:lang w:val="es-ES_tradnl" w:eastAsia="es-ES_tradnl"/>
        </w:rPr>
        <w:t xml:space="preserve">, el asesor delegado del </w:t>
      </w:r>
      <w:r w:rsidRPr="0096658B">
        <w:rPr>
          <w:rStyle w:val="FontStyle12"/>
          <w:rFonts w:eastAsia="SimSun"/>
          <w:b w:val="0"/>
          <w:color w:val="000000" w:themeColor="text1"/>
          <w:sz w:val="28"/>
          <w:szCs w:val="28"/>
          <w:lang w:val="es-ES_tradnl" w:eastAsia="es-ES_tradnl"/>
        </w:rPr>
        <w:t>m</w:t>
      </w:r>
      <w:r w:rsidRPr="0096658B">
        <w:rPr>
          <w:rStyle w:val="FontStyle12"/>
          <w:rFonts w:eastAsia="SimSun"/>
          <w:b w:val="0"/>
          <w:color w:val="000000" w:themeColor="text1"/>
          <w:sz w:val="28"/>
          <w:szCs w:val="28"/>
          <w:lang w:val="es-ES_tradnl" w:eastAsia="es-ES_tradnl"/>
        </w:rPr>
        <w:t xml:space="preserve">inistro de Hacienda y Crédito Público señaló que la Dirección General de Presupuesto Público Nacional de esa cartera informó que no tenía “observaciones de índole presupuestal </w:t>
      </w:r>
      <w:r w:rsidRPr="0096658B">
        <w:rPr>
          <w:rStyle w:val="FontStyle12"/>
          <w:rFonts w:eastAsia="SimSun"/>
          <w:b w:val="0"/>
          <w:color w:val="000000" w:themeColor="text1"/>
          <w:sz w:val="28"/>
          <w:szCs w:val="28"/>
          <w:lang w:val="es-ES_tradnl" w:eastAsia="es-ES_tradnl"/>
        </w:rPr>
        <w:t>sobre la iniciativa, toda vez que los costos asociados a la nómi</w:t>
      </w:r>
      <w:r w:rsidRPr="0096658B">
        <w:rPr>
          <w:rStyle w:val="FontStyle12"/>
          <w:rFonts w:eastAsia="SimSun"/>
          <w:b w:val="0"/>
          <w:color w:val="000000" w:themeColor="text1"/>
          <w:sz w:val="28"/>
          <w:szCs w:val="28"/>
          <w:lang w:val="es-ES_tradnl" w:eastAsia="es-ES_tradnl"/>
        </w:rPr>
        <w:t>n</w:t>
      </w:r>
      <w:r w:rsidRPr="0096658B">
        <w:rPr>
          <w:rStyle w:val="FontStyle12"/>
          <w:rFonts w:eastAsia="SimSun"/>
          <w:b w:val="0"/>
          <w:color w:val="000000" w:themeColor="text1"/>
          <w:sz w:val="28"/>
          <w:szCs w:val="28"/>
          <w:lang w:val="es-ES_tradnl" w:eastAsia="es-ES_tradnl"/>
        </w:rPr>
        <w:t>a de las entida</w:t>
      </w:r>
      <w:r w:rsidRPr="0096658B">
        <w:rPr>
          <w:rStyle w:val="FontStyle12"/>
          <w:rFonts w:eastAsia="SimSun"/>
          <w:b w:val="0"/>
          <w:color w:val="000000" w:themeColor="text1"/>
          <w:sz w:val="28"/>
          <w:szCs w:val="28"/>
          <w:lang w:val="es-ES_tradnl" w:eastAsia="es-ES_tradnl"/>
        </w:rPr>
        <w:t>des que hace parte del Presupuesto General de la Nación no variarían, independientemente del género de la persona que los ocupe”</w:t>
      </w:r>
      <w:r w:rsidRPr="0096658B">
        <w:rPr>
          <w:rStyle w:val="Refdenotaalpie"/>
          <w:rFonts w:ascii="Times New Roman" w:eastAsia="SimSun" w:hAnsi="Times New Roman"/>
          <w:bCs/>
          <w:color w:val="000000" w:themeColor="text1"/>
          <w:sz w:val="28"/>
          <w:szCs w:val="28"/>
          <w:lang w:val="es-ES_tradnl" w:eastAsia="es-ES_tradnl"/>
        </w:rPr>
        <w:footnoteReference w:id="3"/>
      </w:r>
      <w:r w:rsidRPr="0096658B">
        <w:rPr>
          <w:rStyle w:val="FontStyle12"/>
          <w:rFonts w:eastAsia="SimSun"/>
          <w:b w:val="0"/>
          <w:color w:val="000000" w:themeColor="text1"/>
          <w:sz w:val="28"/>
          <w:szCs w:val="28"/>
          <w:lang w:val="es-ES_tradnl" w:eastAsia="es-ES_tradnl"/>
        </w:rPr>
        <w:t>.</w:t>
      </w:r>
      <w:r w:rsidRPr="0096658B">
        <w:rPr>
          <w:rStyle w:val="FontStyle12"/>
          <w:rFonts w:eastAsia="SimSun"/>
          <w:b w:val="0"/>
          <w:color w:val="000000" w:themeColor="text1"/>
          <w:sz w:val="28"/>
          <w:szCs w:val="28"/>
          <w:lang w:val="es-ES_tradnl" w:eastAsia="es-ES_tradnl"/>
        </w:rPr>
        <w:t xml:space="preserve"> A partir de esa consideración y habida cuenta </w:t>
      </w:r>
      <w:r w:rsidRPr="0096658B">
        <w:rPr>
          <w:rStyle w:val="FontStyle12"/>
          <w:rFonts w:eastAsia="SimSun"/>
          <w:b w:val="0"/>
          <w:color w:val="000000" w:themeColor="text1"/>
          <w:sz w:val="28"/>
          <w:szCs w:val="28"/>
          <w:lang w:val="es-ES_tradnl" w:eastAsia="es-ES_tradnl"/>
        </w:rPr>
        <w:t xml:space="preserve">de </w:t>
      </w:r>
      <w:r w:rsidRPr="0096658B">
        <w:rPr>
          <w:rStyle w:val="FontStyle12"/>
          <w:rFonts w:eastAsia="SimSun"/>
          <w:b w:val="0"/>
          <w:color w:val="000000" w:themeColor="text1"/>
          <w:sz w:val="28"/>
          <w:szCs w:val="28"/>
          <w:lang w:val="es-ES_tradnl" w:eastAsia="es-ES_tradnl"/>
        </w:rPr>
        <w:t>que el Proyecto de Ley no ordena gasto público o establece un beneficio trib</w:t>
      </w:r>
      <w:r w:rsidRPr="0096658B">
        <w:rPr>
          <w:rStyle w:val="FontStyle12"/>
          <w:rFonts w:eastAsia="SimSun"/>
          <w:b w:val="0"/>
          <w:color w:val="000000" w:themeColor="text1"/>
          <w:sz w:val="28"/>
          <w:szCs w:val="28"/>
          <w:lang w:val="es-ES_tradnl" w:eastAsia="es-ES_tradnl"/>
        </w:rPr>
        <w:t>utario</w:t>
      </w:r>
      <w:r w:rsidRPr="0096658B">
        <w:rPr>
          <w:rStyle w:val="Refdenotaalpie"/>
          <w:rFonts w:ascii="Times New Roman" w:eastAsia="SimSun" w:hAnsi="Times New Roman"/>
          <w:bCs/>
          <w:color w:val="000000" w:themeColor="text1"/>
          <w:sz w:val="28"/>
          <w:szCs w:val="28"/>
          <w:lang w:val="es-ES_tradnl" w:eastAsia="es-ES_tradnl"/>
        </w:rPr>
        <w:footnoteReference w:id="4"/>
      </w:r>
      <w:r w:rsidRPr="0096658B">
        <w:rPr>
          <w:rStyle w:val="FontStyle12"/>
          <w:rFonts w:eastAsia="SimSun"/>
          <w:b w:val="0"/>
          <w:color w:val="000000" w:themeColor="text1"/>
          <w:sz w:val="28"/>
          <w:szCs w:val="28"/>
          <w:lang w:val="es-ES_tradnl" w:eastAsia="es-ES_tradnl"/>
        </w:rPr>
        <w:t xml:space="preserve">, el Ministerio no estimó necesario formular el concepto de impacto fiscal sobre dicha iniciativa. </w:t>
      </w:r>
    </w:p>
    <w:p w:rsidR="00811F4A" w:rsidRPr="0096658B" w:rsidRDefault="0096658B" w:rsidP="00811F4A">
      <w:pPr>
        <w:pStyle w:val="Style1"/>
        <w:widowControl/>
        <w:ind w:right="5"/>
        <w:jc w:val="left"/>
        <w:rPr>
          <w:rFonts w:ascii="Times New Roman" w:hAnsi="Times New Roman" w:cs="Times New Roman"/>
          <w:b/>
          <w:bCs/>
          <w:color w:val="000000" w:themeColor="text1"/>
          <w:sz w:val="28"/>
          <w:szCs w:val="28"/>
          <w:lang w:val="es-ES_tradnl"/>
        </w:rPr>
      </w:pPr>
    </w:p>
    <w:p w:rsidR="00854918" w:rsidRPr="0096658B" w:rsidRDefault="0096658B" w:rsidP="00854918">
      <w:pPr>
        <w:pStyle w:val="Style1"/>
        <w:widowControl/>
        <w:ind w:right="5"/>
        <w:jc w:val="left"/>
        <w:rPr>
          <w:rFonts w:ascii="Times New Roman" w:hAnsi="Times New Roman" w:cs="Times New Roman"/>
          <w:b/>
          <w:color w:val="000000" w:themeColor="text1"/>
          <w:sz w:val="28"/>
          <w:szCs w:val="28"/>
          <w:lang w:val="es-ES_tradnl"/>
        </w:rPr>
      </w:pPr>
      <w:r w:rsidRPr="0096658B">
        <w:rPr>
          <w:rFonts w:ascii="Times New Roman" w:hAnsi="Times New Roman" w:cs="Times New Roman"/>
          <w:b/>
          <w:color w:val="000000" w:themeColor="text1"/>
          <w:sz w:val="28"/>
          <w:szCs w:val="28"/>
          <w:lang w:val="es-ES_tradnl"/>
        </w:rPr>
        <w:t>IV. INTERVENCIONES</w:t>
      </w:r>
    </w:p>
    <w:p w:rsidR="00854918" w:rsidRPr="0096658B" w:rsidRDefault="0096658B" w:rsidP="00854918">
      <w:pPr>
        <w:pStyle w:val="Style1"/>
        <w:widowControl/>
        <w:ind w:right="5"/>
        <w:jc w:val="left"/>
        <w:rPr>
          <w:rFonts w:ascii="Times New Roman" w:hAnsi="Times New Roman" w:cs="Times New Roman"/>
          <w:color w:val="000000" w:themeColor="text1"/>
          <w:sz w:val="28"/>
          <w:szCs w:val="28"/>
          <w:lang w:val="es-ES_tradnl"/>
        </w:rPr>
      </w:pPr>
    </w:p>
    <w:p w:rsidR="00854918"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Dentro del presente proceso formularon intervenciones las siguientes entidades e instituciones, expresando todas ellas que, a su</w:t>
      </w:r>
      <w:r w:rsidRPr="0096658B">
        <w:rPr>
          <w:rFonts w:ascii="Times New Roman" w:hAnsi="Times New Roman" w:cs="Times New Roman"/>
          <w:color w:val="000000" w:themeColor="text1"/>
          <w:sz w:val="28"/>
          <w:szCs w:val="28"/>
          <w:lang w:val="es-ES_tradnl"/>
        </w:rPr>
        <w:t xml:space="preserve"> juicio, el Proyecto de Ley es constitucional. Esto con excepción de</w:t>
      </w:r>
      <w:r w:rsidRPr="0096658B">
        <w:rPr>
          <w:rFonts w:ascii="Times New Roman" w:hAnsi="Times New Roman" w:cs="Times New Roman"/>
          <w:color w:val="000000" w:themeColor="text1"/>
          <w:sz w:val="28"/>
          <w:szCs w:val="28"/>
          <w:lang w:val="es-ES_tradnl"/>
        </w:rPr>
        <w:t xml:space="preserve"> la intervención del ciudadano Harold Sua Montaña, quien </w:t>
      </w:r>
      <w:r w:rsidRPr="0096658B">
        <w:rPr>
          <w:rFonts w:ascii="Times New Roman" w:hAnsi="Times New Roman" w:cs="Times New Roman"/>
          <w:color w:val="000000" w:themeColor="text1"/>
          <w:sz w:val="28"/>
          <w:szCs w:val="28"/>
          <w:lang w:val="es-ES_tradnl"/>
        </w:rPr>
        <w:t>remiti</w:t>
      </w:r>
      <w:r w:rsidRPr="0096658B">
        <w:rPr>
          <w:rFonts w:ascii="Times New Roman" w:hAnsi="Times New Roman" w:cs="Times New Roman"/>
          <w:color w:val="000000" w:themeColor="text1"/>
          <w:sz w:val="28"/>
          <w:szCs w:val="28"/>
          <w:lang w:val="es-ES_tradnl"/>
        </w:rPr>
        <w:t xml:space="preserve">ó un mensaje electrónico en el que solicita a la Corte insistir en el envío de los documentos faltantes sobre el trámite legislativo. </w:t>
      </w:r>
    </w:p>
    <w:p w:rsidR="00854918"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p>
    <w:tbl>
      <w:tblPr>
        <w:tblStyle w:val="Tablaconcuadrcula"/>
        <w:tblW w:w="0" w:type="auto"/>
        <w:tblLook w:val="04A0" w:firstRow="1" w:lastRow="0" w:firstColumn="1" w:lastColumn="0" w:noHBand="0" w:noVBand="1"/>
      </w:tblPr>
      <w:tblGrid>
        <w:gridCol w:w="8828"/>
      </w:tblGrid>
      <w:tr w:rsidR="009F6B08" w:rsidRPr="0096658B" w:rsidTr="00F234E5">
        <w:tc>
          <w:tcPr>
            <w:tcW w:w="8828" w:type="dxa"/>
            <w:shd w:val="clear" w:color="auto" w:fill="BFBFBF" w:themeFill="background1" w:themeFillShade="BF"/>
          </w:tcPr>
          <w:p w:rsidR="00F234E5" w:rsidRPr="0096658B" w:rsidRDefault="0096658B" w:rsidP="00337A19">
            <w:pPr>
              <w:pStyle w:val="Style1"/>
              <w:widowControl/>
              <w:ind w:right="5"/>
              <w:rPr>
                <w:rFonts w:ascii="Times New Roman" w:hAnsi="Times New Roman" w:cs="Times New Roman"/>
                <w:b/>
                <w:bCs/>
                <w:color w:val="000000" w:themeColor="text1"/>
                <w:sz w:val="28"/>
              </w:rPr>
            </w:pPr>
            <w:r w:rsidRPr="0096658B">
              <w:rPr>
                <w:rFonts w:ascii="Times New Roman" w:hAnsi="Times New Roman" w:cs="Times New Roman"/>
                <w:b/>
                <w:bCs/>
                <w:color w:val="000000" w:themeColor="text1"/>
                <w:sz w:val="28"/>
              </w:rPr>
              <w:t>Intervinientes</w:t>
            </w:r>
          </w:p>
        </w:tc>
      </w:tr>
      <w:tr w:rsidR="009F6B08" w:rsidRPr="0096658B" w:rsidTr="00854918">
        <w:tc>
          <w:tcPr>
            <w:tcW w:w="8828" w:type="dxa"/>
          </w:tcPr>
          <w:p w:rsidR="00854918" w:rsidRPr="0096658B" w:rsidRDefault="0096658B" w:rsidP="00854918">
            <w:pPr>
              <w:pStyle w:val="Style1"/>
              <w:widowControl/>
              <w:ind w:right="5"/>
              <w:jc w:val="both"/>
              <w:rPr>
                <w:rFonts w:ascii="Times New Roman" w:hAnsi="Times New Roman" w:cs="Times New Roman"/>
                <w:color w:val="000000" w:themeColor="text1"/>
                <w:sz w:val="28"/>
                <w:lang w:val="es-ES_tradnl"/>
              </w:rPr>
            </w:pPr>
            <w:r w:rsidRPr="0096658B">
              <w:rPr>
                <w:rFonts w:ascii="Times New Roman" w:hAnsi="Times New Roman" w:cs="Times New Roman"/>
                <w:color w:val="000000" w:themeColor="text1"/>
                <w:sz w:val="28"/>
              </w:rPr>
              <w:t>Secretaría General del Senado de la República.</w:t>
            </w:r>
            <w:r w:rsidRPr="0096658B">
              <w:rPr>
                <w:rFonts w:ascii="Times New Roman" w:hAnsi="Times New Roman" w:cs="Times New Roman"/>
                <w:color w:val="000000" w:themeColor="text1"/>
                <w:sz w:val="28"/>
              </w:rPr>
              <w:t xml:space="preserve"> </w:t>
            </w:r>
          </w:p>
        </w:tc>
      </w:tr>
      <w:tr w:rsidR="009F6B08" w:rsidRPr="0096658B" w:rsidTr="00854918">
        <w:tc>
          <w:tcPr>
            <w:tcW w:w="8828" w:type="dxa"/>
          </w:tcPr>
          <w:p w:rsidR="00854918" w:rsidRPr="0096658B" w:rsidRDefault="0096658B" w:rsidP="00854918">
            <w:pPr>
              <w:pStyle w:val="Style1"/>
              <w:widowControl/>
              <w:ind w:right="5"/>
              <w:jc w:val="both"/>
              <w:rPr>
                <w:rFonts w:ascii="Times New Roman" w:hAnsi="Times New Roman" w:cs="Times New Roman"/>
                <w:color w:val="000000" w:themeColor="text1"/>
                <w:sz w:val="28"/>
                <w:lang w:val="es-ES_tradnl"/>
              </w:rPr>
            </w:pPr>
            <w:r w:rsidRPr="0096658B">
              <w:rPr>
                <w:rFonts w:ascii="Times New Roman" w:hAnsi="Times New Roman" w:cs="Times New Roman"/>
                <w:color w:val="000000" w:themeColor="text1"/>
                <w:sz w:val="28"/>
                <w:lang w:val="es-ES_tradnl"/>
              </w:rPr>
              <w:t xml:space="preserve">Oficina Asesora Jurídica del Ministerio de Relaciones </w:t>
            </w:r>
            <w:r w:rsidRPr="0096658B">
              <w:rPr>
                <w:rFonts w:ascii="Times New Roman" w:hAnsi="Times New Roman" w:cs="Times New Roman"/>
                <w:color w:val="000000" w:themeColor="text1"/>
                <w:sz w:val="28"/>
                <w:lang w:val="es-ES_tradnl"/>
              </w:rPr>
              <w:t>Exteriores.</w:t>
            </w:r>
          </w:p>
        </w:tc>
      </w:tr>
      <w:tr w:rsidR="009F6B08" w:rsidRPr="0096658B" w:rsidTr="00854918">
        <w:tc>
          <w:tcPr>
            <w:tcW w:w="8828" w:type="dxa"/>
          </w:tcPr>
          <w:p w:rsidR="00854918" w:rsidRPr="0096658B" w:rsidRDefault="0096658B" w:rsidP="00854918">
            <w:pPr>
              <w:pStyle w:val="Style1"/>
              <w:widowControl/>
              <w:ind w:right="5"/>
              <w:jc w:val="both"/>
              <w:rPr>
                <w:rFonts w:ascii="Times New Roman" w:hAnsi="Times New Roman" w:cs="Times New Roman"/>
                <w:color w:val="000000" w:themeColor="text1"/>
                <w:sz w:val="28"/>
                <w:lang w:val="es-ES_tradnl"/>
              </w:rPr>
            </w:pPr>
            <w:r w:rsidRPr="0096658B">
              <w:rPr>
                <w:rFonts w:ascii="Times New Roman" w:hAnsi="Times New Roman" w:cs="Times New Roman"/>
                <w:color w:val="000000" w:themeColor="text1"/>
                <w:sz w:val="28"/>
                <w:lang w:val="es-ES_tradnl"/>
              </w:rPr>
              <w:t xml:space="preserve">Dirección de Desarrollo del Derecho y del Ordenamiento Jurídico del Ministerio de Justicia y del Derecho. </w:t>
            </w:r>
          </w:p>
        </w:tc>
      </w:tr>
      <w:tr w:rsidR="009F6B08" w:rsidRPr="0096658B" w:rsidTr="00854918">
        <w:tc>
          <w:tcPr>
            <w:tcW w:w="8828" w:type="dxa"/>
          </w:tcPr>
          <w:p w:rsidR="00854918" w:rsidRPr="0096658B" w:rsidRDefault="0096658B" w:rsidP="00854918">
            <w:pPr>
              <w:pStyle w:val="Style1"/>
              <w:widowControl/>
              <w:ind w:right="5"/>
              <w:jc w:val="both"/>
              <w:rPr>
                <w:rFonts w:ascii="Times New Roman" w:hAnsi="Times New Roman" w:cs="Times New Roman"/>
                <w:color w:val="000000" w:themeColor="text1"/>
                <w:sz w:val="28"/>
                <w:lang w:val="es-ES_tradnl"/>
              </w:rPr>
            </w:pPr>
            <w:r w:rsidRPr="0096658B">
              <w:rPr>
                <w:rFonts w:ascii="Times New Roman" w:hAnsi="Times New Roman" w:cs="Times New Roman"/>
                <w:color w:val="000000" w:themeColor="text1"/>
                <w:sz w:val="28"/>
                <w:lang w:val="es-ES_tradnl"/>
              </w:rPr>
              <w:t xml:space="preserve">Clínica Jurídica de la Escuela de Derecho y Ciencias Políticas de la Universidad Pontificia Bolivariana de Medellín – UPB. </w:t>
            </w:r>
          </w:p>
        </w:tc>
      </w:tr>
      <w:tr w:rsidR="009F6B08" w:rsidRPr="0096658B" w:rsidTr="00854918">
        <w:tc>
          <w:tcPr>
            <w:tcW w:w="8828" w:type="dxa"/>
          </w:tcPr>
          <w:p w:rsidR="00852DE5" w:rsidRPr="0096658B" w:rsidRDefault="0096658B" w:rsidP="00854918">
            <w:pPr>
              <w:pStyle w:val="Style1"/>
              <w:widowControl/>
              <w:ind w:right="5"/>
              <w:jc w:val="both"/>
              <w:rPr>
                <w:rFonts w:ascii="Times New Roman" w:hAnsi="Times New Roman" w:cs="Times New Roman"/>
                <w:color w:val="000000" w:themeColor="text1"/>
                <w:sz w:val="28"/>
                <w:lang w:val="es-ES_tradnl"/>
              </w:rPr>
            </w:pPr>
            <w:r w:rsidRPr="0096658B">
              <w:rPr>
                <w:rFonts w:ascii="Times New Roman" w:hAnsi="Times New Roman" w:cs="Times New Roman"/>
                <w:color w:val="000000" w:themeColor="text1"/>
                <w:sz w:val="28"/>
                <w:lang w:val="es-ES_tradnl"/>
              </w:rPr>
              <w:t>Observator</w:t>
            </w:r>
            <w:r w:rsidRPr="0096658B">
              <w:rPr>
                <w:rFonts w:ascii="Times New Roman" w:hAnsi="Times New Roman" w:cs="Times New Roman"/>
                <w:color w:val="000000" w:themeColor="text1"/>
                <w:sz w:val="28"/>
                <w:lang w:val="es-ES_tradnl"/>
              </w:rPr>
              <w:t>io de Intervención Ciudadana Constitucional de la Facultad de Derecho de la Universidad Libre de Bogotá.</w:t>
            </w:r>
          </w:p>
        </w:tc>
      </w:tr>
      <w:tr w:rsidR="009F6B08" w:rsidRPr="0096658B" w:rsidTr="00854918">
        <w:tc>
          <w:tcPr>
            <w:tcW w:w="8828" w:type="dxa"/>
          </w:tcPr>
          <w:p w:rsidR="00174D8D" w:rsidRPr="0096658B" w:rsidRDefault="0096658B" w:rsidP="00854918">
            <w:pPr>
              <w:pStyle w:val="Style1"/>
              <w:widowControl/>
              <w:ind w:right="5"/>
              <w:jc w:val="both"/>
              <w:rPr>
                <w:rFonts w:ascii="Times New Roman" w:hAnsi="Times New Roman" w:cs="Times New Roman"/>
                <w:color w:val="000000" w:themeColor="text1"/>
                <w:sz w:val="28"/>
                <w:lang w:val="es-ES_tradnl"/>
              </w:rPr>
            </w:pPr>
            <w:r w:rsidRPr="0096658B">
              <w:rPr>
                <w:rFonts w:ascii="Times New Roman" w:hAnsi="Times New Roman" w:cs="Times New Roman"/>
                <w:color w:val="000000" w:themeColor="text1"/>
                <w:sz w:val="28"/>
                <w:lang w:val="es-ES_tradnl"/>
              </w:rPr>
              <w:t>Senadora Angélica Lozano Correa.</w:t>
            </w:r>
          </w:p>
        </w:tc>
      </w:tr>
      <w:tr w:rsidR="009F6B08" w:rsidRPr="0096658B" w:rsidTr="00854918">
        <w:tc>
          <w:tcPr>
            <w:tcW w:w="8828" w:type="dxa"/>
          </w:tcPr>
          <w:p w:rsidR="00DF6B93" w:rsidRPr="0096658B" w:rsidRDefault="0096658B" w:rsidP="00854918">
            <w:pPr>
              <w:pStyle w:val="Style1"/>
              <w:widowControl/>
              <w:ind w:right="5"/>
              <w:jc w:val="both"/>
              <w:rPr>
                <w:rFonts w:ascii="Times New Roman" w:hAnsi="Times New Roman" w:cs="Times New Roman"/>
                <w:color w:val="000000" w:themeColor="text1"/>
                <w:sz w:val="28"/>
                <w:lang w:val="es-ES_tradnl"/>
              </w:rPr>
            </w:pPr>
            <w:r w:rsidRPr="0096658B">
              <w:rPr>
                <w:rFonts w:ascii="Times New Roman" w:hAnsi="Times New Roman" w:cs="Times New Roman"/>
                <w:color w:val="000000" w:themeColor="text1"/>
                <w:sz w:val="28"/>
                <w:lang w:val="es-ES_tradnl"/>
              </w:rPr>
              <w:t>Defensoría Delegada para Asuntos Constitucionales de la Defensoría del Pueblo</w:t>
            </w:r>
            <w:r w:rsidRPr="0096658B">
              <w:rPr>
                <w:rFonts w:ascii="Times New Roman" w:hAnsi="Times New Roman" w:cs="Times New Roman"/>
                <w:color w:val="000000" w:themeColor="text1"/>
                <w:sz w:val="28"/>
                <w:lang w:val="es-ES_tradnl"/>
              </w:rPr>
              <w:t>.</w:t>
            </w:r>
          </w:p>
        </w:tc>
      </w:tr>
      <w:tr w:rsidR="009F6B08" w:rsidRPr="0096658B" w:rsidTr="00854918">
        <w:tc>
          <w:tcPr>
            <w:tcW w:w="8828" w:type="dxa"/>
          </w:tcPr>
          <w:p w:rsidR="00174D8D" w:rsidRPr="0096658B" w:rsidRDefault="0096658B" w:rsidP="00854918">
            <w:pPr>
              <w:pStyle w:val="Style1"/>
              <w:widowControl/>
              <w:ind w:right="5"/>
              <w:jc w:val="both"/>
              <w:rPr>
                <w:rFonts w:ascii="Times New Roman" w:hAnsi="Times New Roman" w:cs="Times New Roman"/>
                <w:color w:val="000000" w:themeColor="text1"/>
                <w:sz w:val="28"/>
                <w:lang w:val="es-ES_tradnl"/>
              </w:rPr>
            </w:pPr>
            <w:r w:rsidRPr="0096658B">
              <w:rPr>
                <w:rFonts w:ascii="Times New Roman" w:hAnsi="Times New Roman" w:cs="Times New Roman"/>
                <w:color w:val="000000" w:themeColor="text1"/>
                <w:sz w:val="28"/>
                <w:lang w:val="es-ES_tradnl"/>
              </w:rPr>
              <w:t xml:space="preserve">Facultad de Derecho de la </w:t>
            </w:r>
            <w:r w:rsidRPr="0096658B">
              <w:rPr>
                <w:rFonts w:ascii="Times New Roman" w:hAnsi="Times New Roman" w:cs="Times New Roman"/>
                <w:color w:val="000000" w:themeColor="text1"/>
                <w:sz w:val="28"/>
                <w:lang w:val="es-ES_tradnl"/>
              </w:rPr>
              <w:t>Universidad Santo Tomás.</w:t>
            </w:r>
          </w:p>
        </w:tc>
      </w:tr>
      <w:tr w:rsidR="009F6B08" w:rsidRPr="0096658B" w:rsidTr="00854918">
        <w:tc>
          <w:tcPr>
            <w:tcW w:w="8828" w:type="dxa"/>
          </w:tcPr>
          <w:p w:rsidR="00174D8D" w:rsidRPr="0096658B" w:rsidRDefault="0096658B" w:rsidP="00854918">
            <w:pPr>
              <w:pStyle w:val="Style1"/>
              <w:widowControl/>
              <w:ind w:right="5"/>
              <w:jc w:val="both"/>
              <w:rPr>
                <w:rFonts w:ascii="Times New Roman" w:hAnsi="Times New Roman" w:cs="Times New Roman"/>
                <w:color w:val="000000" w:themeColor="text1"/>
                <w:sz w:val="28"/>
                <w:lang w:val="es-ES_tradnl"/>
              </w:rPr>
            </w:pPr>
            <w:r w:rsidRPr="0096658B">
              <w:rPr>
                <w:rFonts w:ascii="Times New Roman" w:hAnsi="Times New Roman" w:cs="Times New Roman"/>
                <w:color w:val="000000" w:themeColor="text1"/>
                <w:sz w:val="28"/>
                <w:lang w:val="es-ES_tradnl"/>
              </w:rPr>
              <w:t>Comisión Nacional del Servicio Civil.</w:t>
            </w:r>
          </w:p>
        </w:tc>
      </w:tr>
      <w:tr w:rsidR="009F6B08" w:rsidRPr="0096658B" w:rsidTr="00854918">
        <w:tc>
          <w:tcPr>
            <w:tcW w:w="8828" w:type="dxa"/>
          </w:tcPr>
          <w:p w:rsidR="00174D8D" w:rsidRPr="0096658B" w:rsidRDefault="0096658B" w:rsidP="00854918">
            <w:pPr>
              <w:pStyle w:val="Style1"/>
              <w:widowControl/>
              <w:ind w:right="5"/>
              <w:jc w:val="both"/>
              <w:rPr>
                <w:rFonts w:ascii="Times New Roman" w:hAnsi="Times New Roman" w:cs="Times New Roman"/>
                <w:color w:val="000000" w:themeColor="text1"/>
                <w:sz w:val="28"/>
                <w:lang w:val="es-ES_tradnl"/>
              </w:rPr>
            </w:pPr>
            <w:r w:rsidRPr="0096658B">
              <w:rPr>
                <w:rFonts w:ascii="Times New Roman" w:hAnsi="Times New Roman" w:cs="Times New Roman"/>
                <w:color w:val="000000" w:themeColor="text1"/>
                <w:sz w:val="28"/>
                <w:lang w:val="es-ES_tradnl"/>
              </w:rPr>
              <w:t>Comisión Colombiana de Juristas.</w:t>
            </w:r>
          </w:p>
        </w:tc>
      </w:tr>
    </w:tbl>
    <w:p w:rsidR="00854918" w:rsidRPr="0096658B" w:rsidRDefault="0096658B" w:rsidP="00854918">
      <w:pPr>
        <w:pStyle w:val="Style1"/>
        <w:widowControl/>
        <w:ind w:right="5"/>
        <w:jc w:val="both"/>
        <w:rPr>
          <w:rFonts w:ascii="Times New Roman" w:hAnsi="Times New Roman" w:cs="Times New Roman"/>
          <w:color w:val="000000" w:themeColor="text1"/>
          <w:sz w:val="28"/>
          <w:szCs w:val="26"/>
          <w:lang w:val="es-ES_tradnl"/>
        </w:rPr>
      </w:pPr>
    </w:p>
    <w:p w:rsidR="00DB4055" w:rsidRPr="0096658B" w:rsidRDefault="0096658B" w:rsidP="00854918">
      <w:pPr>
        <w:pStyle w:val="Style1"/>
        <w:widowControl/>
        <w:ind w:right="5"/>
        <w:jc w:val="both"/>
        <w:rPr>
          <w:rFonts w:ascii="Times New Roman" w:hAnsi="Times New Roman" w:cs="Times New Roman"/>
          <w:b/>
          <w:bCs/>
          <w:color w:val="000000" w:themeColor="text1"/>
          <w:sz w:val="28"/>
          <w:szCs w:val="28"/>
          <w:lang w:val="es-ES_tradnl"/>
        </w:rPr>
      </w:pPr>
      <w:r w:rsidRPr="0096658B">
        <w:rPr>
          <w:rFonts w:ascii="Times New Roman" w:hAnsi="Times New Roman" w:cs="Times New Roman"/>
          <w:b/>
          <w:bCs/>
          <w:color w:val="000000" w:themeColor="text1"/>
          <w:sz w:val="28"/>
          <w:szCs w:val="28"/>
          <w:lang w:val="es-ES_tradnl"/>
        </w:rPr>
        <w:t xml:space="preserve">Argumentos sobre la constitucionalidad del trámite legislativo </w:t>
      </w:r>
    </w:p>
    <w:p w:rsidR="00DB4055" w:rsidRPr="0096658B" w:rsidRDefault="0096658B" w:rsidP="00854918">
      <w:pPr>
        <w:pStyle w:val="Style1"/>
        <w:widowControl/>
        <w:ind w:right="5"/>
        <w:jc w:val="both"/>
        <w:rPr>
          <w:rFonts w:ascii="Times New Roman" w:hAnsi="Times New Roman" w:cs="Times New Roman"/>
          <w:b/>
          <w:bCs/>
          <w:color w:val="000000" w:themeColor="text1"/>
          <w:sz w:val="28"/>
          <w:szCs w:val="28"/>
          <w:lang w:val="es-ES_tradnl"/>
        </w:rPr>
      </w:pPr>
    </w:p>
    <w:p w:rsidR="00DB4055"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Algunos intervinientes hicieron referencia a la constitucionalidad del trámite legislativo</w:t>
      </w:r>
      <w:r w:rsidRPr="0096658B">
        <w:rPr>
          <w:rFonts w:ascii="Times New Roman" w:hAnsi="Times New Roman" w:cs="Times New Roman"/>
          <w:color w:val="000000" w:themeColor="text1"/>
          <w:sz w:val="28"/>
          <w:szCs w:val="28"/>
          <w:lang w:val="es-ES_tradnl"/>
        </w:rPr>
        <w:t>.</w:t>
      </w:r>
      <w:r w:rsidRPr="0096658B">
        <w:rPr>
          <w:rFonts w:ascii="Times New Roman" w:hAnsi="Times New Roman" w:cs="Times New Roman"/>
          <w:color w:val="000000" w:themeColor="text1"/>
          <w:sz w:val="28"/>
          <w:szCs w:val="28"/>
          <w:lang w:val="es-ES_tradnl"/>
        </w:rPr>
        <w:t xml:space="preserve"> Al respecto, </w:t>
      </w:r>
      <w:r w:rsidRPr="0096658B">
        <w:rPr>
          <w:rFonts w:ascii="Times New Roman" w:hAnsi="Times New Roman" w:cs="Times New Roman"/>
          <w:color w:val="000000" w:themeColor="text1"/>
          <w:sz w:val="28"/>
          <w:szCs w:val="28"/>
          <w:lang w:val="es-ES_tradnl"/>
        </w:rPr>
        <w:t>señalaron</w:t>
      </w:r>
      <w:r w:rsidRPr="0096658B">
        <w:rPr>
          <w:rFonts w:ascii="Times New Roman" w:hAnsi="Times New Roman" w:cs="Times New Roman"/>
          <w:color w:val="000000" w:themeColor="text1"/>
          <w:sz w:val="28"/>
          <w:szCs w:val="28"/>
          <w:lang w:val="es-ES_tradnl"/>
        </w:rPr>
        <w:t xml:space="preserve"> que </w:t>
      </w:r>
      <w:r w:rsidRPr="0096658B">
        <w:rPr>
          <w:rFonts w:ascii="Times New Roman" w:hAnsi="Times New Roman" w:cs="Times New Roman"/>
          <w:color w:val="000000" w:themeColor="text1"/>
          <w:sz w:val="28"/>
          <w:szCs w:val="28"/>
          <w:lang w:val="es-ES_tradnl"/>
        </w:rPr>
        <w:t xml:space="preserve">se cumplieron los requisitos constitucionales y orgánicos exigibles sobre esta materia, entre ellos los de publicidad, oportunidad, </w:t>
      </w:r>
      <w:r w:rsidRPr="0096658B">
        <w:rPr>
          <w:rFonts w:ascii="Times New Roman" w:hAnsi="Times New Roman" w:cs="Times New Roman"/>
          <w:i/>
          <w:iCs/>
          <w:color w:val="000000" w:themeColor="text1"/>
          <w:sz w:val="28"/>
          <w:szCs w:val="28"/>
          <w:lang w:val="es-ES_tradnl"/>
        </w:rPr>
        <w:t>quórums</w:t>
      </w:r>
      <w:r w:rsidRPr="0096658B">
        <w:rPr>
          <w:rFonts w:ascii="Times New Roman" w:hAnsi="Times New Roman" w:cs="Times New Roman"/>
          <w:color w:val="000000" w:themeColor="text1"/>
          <w:sz w:val="28"/>
          <w:szCs w:val="28"/>
          <w:lang w:val="es-ES_tradnl"/>
        </w:rPr>
        <w:t>, así como el de</w:t>
      </w:r>
      <w:r w:rsidRPr="0096658B">
        <w:rPr>
          <w:rFonts w:ascii="Times New Roman" w:hAnsi="Times New Roman" w:cs="Times New Roman"/>
          <w:color w:val="000000" w:themeColor="text1"/>
          <w:sz w:val="28"/>
          <w:szCs w:val="28"/>
          <w:lang w:val="es-ES_tradnl"/>
        </w:rPr>
        <w:t xml:space="preserve"> mayorías para debatir y aprobar el Proyecto de Ley en cada una de las respectivas etapas. </w:t>
      </w:r>
    </w:p>
    <w:p w:rsidR="00E235AE"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p>
    <w:p w:rsidR="00E235AE"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 xml:space="preserve">Sobre este particular, el </w:t>
      </w:r>
      <w:r w:rsidRPr="0096658B">
        <w:rPr>
          <w:rFonts w:ascii="Times New Roman" w:hAnsi="Times New Roman" w:cs="Times New Roman"/>
          <w:color w:val="000000" w:themeColor="text1"/>
          <w:sz w:val="28"/>
          <w:szCs w:val="28"/>
          <w:lang w:val="es-ES_tradnl"/>
        </w:rPr>
        <w:t>s</w:t>
      </w:r>
      <w:r w:rsidRPr="0096658B">
        <w:rPr>
          <w:rFonts w:ascii="Times New Roman" w:hAnsi="Times New Roman" w:cs="Times New Roman"/>
          <w:color w:val="000000" w:themeColor="text1"/>
          <w:sz w:val="28"/>
          <w:szCs w:val="28"/>
          <w:lang w:val="es-ES_tradnl"/>
        </w:rPr>
        <w:t xml:space="preserve">ecretario </w:t>
      </w:r>
      <w:r w:rsidRPr="0096658B">
        <w:rPr>
          <w:rFonts w:ascii="Times New Roman" w:hAnsi="Times New Roman" w:cs="Times New Roman"/>
          <w:color w:val="000000" w:themeColor="text1"/>
          <w:sz w:val="28"/>
          <w:szCs w:val="28"/>
          <w:lang w:val="es-ES_tradnl"/>
        </w:rPr>
        <w:t>g</w:t>
      </w:r>
      <w:r w:rsidRPr="0096658B">
        <w:rPr>
          <w:rFonts w:ascii="Times New Roman" w:hAnsi="Times New Roman" w:cs="Times New Roman"/>
          <w:color w:val="000000" w:themeColor="text1"/>
          <w:sz w:val="28"/>
          <w:szCs w:val="28"/>
          <w:lang w:val="es-ES_tradnl"/>
        </w:rPr>
        <w:t>eneral del Senado de la República indic</w:t>
      </w:r>
      <w:r w:rsidRPr="0096658B">
        <w:rPr>
          <w:rFonts w:ascii="Times New Roman" w:hAnsi="Times New Roman" w:cs="Times New Roman"/>
          <w:color w:val="000000" w:themeColor="text1"/>
          <w:sz w:val="28"/>
          <w:szCs w:val="28"/>
          <w:lang w:val="es-ES_tradnl"/>
        </w:rPr>
        <w:t>ó</w:t>
      </w:r>
      <w:r w:rsidRPr="0096658B">
        <w:rPr>
          <w:rFonts w:ascii="Times New Roman" w:hAnsi="Times New Roman" w:cs="Times New Roman"/>
          <w:color w:val="000000" w:themeColor="text1"/>
          <w:sz w:val="28"/>
          <w:szCs w:val="28"/>
          <w:lang w:val="es-ES_tradnl"/>
        </w:rPr>
        <w:t xml:space="preserve"> que el proyecto fue publicado </w:t>
      </w:r>
      <w:r w:rsidRPr="0096658B">
        <w:rPr>
          <w:rFonts w:ascii="Times New Roman" w:hAnsi="Times New Roman" w:cs="Times New Roman"/>
          <w:color w:val="000000" w:themeColor="text1"/>
          <w:sz w:val="28"/>
          <w:szCs w:val="28"/>
          <w:lang w:val="es-ES_tradnl"/>
        </w:rPr>
        <w:t>previo</w:t>
      </w:r>
      <w:r w:rsidRPr="0096658B">
        <w:rPr>
          <w:rFonts w:ascii="Times New Roman" w:hAnsi="Times New Roman" w:cs="Times New Roman"/>
          <w:color w:val="000000" w:themeColor="text1"/>
          <w:sz w:val="28"/>
          <w:szCs w:val="28"/>
          <w:lang w:val="es-ES_tradnl"/>
        </w:rPr>
        <w:t xml:space="preserve"> al inicio del trámite legislativo</w:t>
      </w:r>
      <w:r w:rsidRPr="0096658B">
        <w:rPr>
          <w:rFonts w:ascii="Times New Roman" w:hAnsi="Times New Roman" w:cs="Times New Roman"/>
          <w:color w:val="000000" w:themeColor="text1"/>
          <w:sz w:val="28"/>
          <w:szCs w:val="28"/>
          <w:lang w:val="es-ES_tradnl"/>
        </w:rPr>
        <w:t xml:space="preserve">, así como </w:t>
      </w:r>
      <w:r w:rsidRPr="0096658B">
        <w:rPr>
          <w:rFonts w:ascii="Times New Roman" w:hAnsi="Times New Roman" w:cs="Times New Roman"/>
          <w:color w:val="000000" w:themeColor="text1"/>
          <w:sz w:val="28"/>
          <w:szCs w:val="28"/>
          <w:lang w:val="es-ES_tradnl"/>
        </w:rPr>
        <w:t>ant</w:t>
      </w:r>
      <w:r w:rsidRPr="0096658B">
        <w:rPr>
          <w:rFonts w:ascii="Times New Roman" w:hAnsi="Times New Roman" w:cs="Times New Roman"/>
          <w:color w:val="000000" w:themeColor="text1"/>
          <w:sz w:val="28"/>
          <w:szCs w:val="28"/>
          <w:lang w:val="es-ES_tradnl"/>
        </w:rPr>
        <w:t>es de cada una de las discusiones en comisiones y en plenarias. Del mismo modo, se cumplieron los plazos constitucionales para el debate entre dichas instancias legislativas</w:t>
      </w:r>
      <w:r w:rsidRPr="0096658B">
        <w:rPr>
          <w:rFonts w:ascii="Times New Roman" w:hAnsi="Times New Roman" w:cs="Times New Roman"/>
          <w:color w:val="000000" w:themeColor="text1"/>
          <w:sz w:val="28"/>
          <w:szCs w:val="28"/>
          <w:lang w:val="es-ES_tradnl"/>
        </w:rPr>
        <w:t>, al igual que con el requisito de anuncio previo de la</w:t>
      </w:r>
      <w:r w:rsidRPr="0096658B">
        <w:rPr>
          <w:rFonts w:ascii="Times New Roman" w:hAnsi="Times New Roman" w:cs="Times New Roman"/>
          <w:color w:val="000000" w:themeColor="text1"/>
          <w:sz w:val="28"/>
          <w:szCs w:val="28"/>
          <w:lang w:val="es-ES_tradnl"/>
        </w:rPr>
        <w:t xml:space="preserve">s </w:t>
      </w:r>
      <w:r w:rsidRPr="0096658B">
        <w:rPr>
          <w:rFonts w:ascii="Times New Roman" w:hAnsi="Times New Roman" w:cs="Times New Roman"/>
          <w:color w:val="000000" w:themeColor="text1"/>
          <w:sz w:val="28"/>
          <w:szCs w:val="28"/>
          <w:lang w:val="es-ES_tradnl"/>
        </w:rPr>
        <w:t xml:space="preserve">votaciones en cada uno de </w:t>
      </w:r>
      <w:r w:rsidRPr="0096658B">
        <w:rPr>
          <w:rFonts w:ascii="Times New Roman" w:hAnsi="Times New Roman" w:cs="Times New Roman"/>
          <w:color w:val="000000" w:themeColor="text1"/>
          <w:sz w:val="28"/>
          <w:szCs w:val="28"/>
          <w:lang w:val="es-ES_tradnl"/>
        </w:rPr>
        <w:t xml:space="preserve">los debates. </w:t>
      </w:r>
    </w:p>
    <w:p w:rsidR="00300EA5"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p>
    <w:p w:rsidR="00300EA5"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El mismo interviniente señal</w:t>
      </w:r>
      <w:r w:rsidRPr="0096658B">
        <w:rPr>
          <w:rFonts w:ascii="Times New Roman" w:hAnsi="Times New Roman" w:cs="Times New Roman"/>
          <w:color w:val="000000" w:themeColor="text1"/>
          <w:sz w:val="28"/>
          <w:szCs w:val="28"/>
          <w:lang w:val="es-ES_tradnl"/>
        </w:rPr>
        <w:t>ó</w:t>
      </w:r>
      <w:r w:rsidRPr="0096658B">
        <w:rPr>
          <w:rFonts w:ascii="Times New Roman" w:hAnsi="Times New Roman" w:cs="Times New Roman"/>
          <w:color w:val="000000" w:themeColor="text1"/>
          <w:sz w:val="28"/>
          <w:szCs w:val="28"/>
          <w:lang w:val="es-ES_tradnl"/>
        </w:rPr>
        <w:t xml:space="preserve"> que se cumplieron los principios de consecutividad e identidad flexible, en la medida en que</w:t>
      </w:r>
      <w:r w:rsidRPr="0096658B">
        <w:rPr>
          <w:rFonts w:ascii="Times New Roman" w:hAnsi="Times New Roman" w:cs="Times New Roman"/>
          <w:color w:val="000000" w:themeColor="text1"/>
          <w:sz w:val="28"/>
          <w:szCs w:val="28"/>
          <w:lang w:val="es-ES_tradnl"/>
        </w:rPr>
        <w:t>,</w:t>
      </w:r>
      <w:r w:rsidRPr="0096658B">
        <w:rPr>
          <w:rFonts w:ascii="Times New Roman" w:hAnsi="Times New Roman" w:cs="Times New Roman"/>
          <w:color w:val="000000" w:themeColor="text1"/>
          <w:sz w:val="28"/>
          <w:szCs w:val="28"/>
          <w:lang w:val="es-ES_tradnl"/>
        </w:rPr>
        <w:t xml:space="preserve"> “de las tres modificaciones que incorpora el proyecto de ley en su versión final del informe de conciliación, dos </w:t>
      </w:r>
      <w:r w:rsidRPr="0096658B">
        <w:rPr>
          <w:rFonts w:ascii="Times New Roman" w:hAnsi="Times New Roman" w:cs="Times New Roman"/>
          <w:color w:val="000000" w:themeColor="text1"/>
          <w:sz w:val="28"/>
          <w:szCs w:val="28"/>
          <w:lang w:val="es-ES_tradnl"/>
        </w:rPr>
        <w:t>existieron desde la radicación del proyecto de ley, manteniéndose intactas, mientras que la tercera también se propuso y se discutió desde la radicación, pero con la particularidad de recibir una ligera modificación en el transcurso de los debates”</w:t>
      </w:r>
      <w:r w:rsidRPr="0096658B">
        <w:rPr>
          <w:rStyle w:val="Refdenotaalpie"/>
          <w:rFonts w:ascii="Times New Roman" w:hAnsi="Times New Roman"/>
          <w:color w:val="000000" w:themeColor="text1"/>
          <w:sz w:val="28"/>
          <w:szCs w:val="28"/>
          <w:lang w:val="es-ES_tradnl"/>
        </w:rPr>
        <w:footnoteReference w:id="5"/>
      </w:r>
      <w:r w:rsidRPr="0096658B">
        <w:rPr>
          <w:rFonts w:ascii="Times New Roman" w:hAnsi="Times New Roman" w:cs="Times New Roman"/>
          <w:color w:val="000000" w:themeColor="text1"/>
          <w:sz w:val="28"/>
          <w:szCs w:val="28"/>
          <w:lang w:val="es-ES_tradnl"/>
        </w:rPr>
        <w:t>.</w:t>
      </w:r>
      <w:r w:rsidRPr="0096658B">
        <w:rPr>
          <w:rFonts w:ascii="Times New Roman" w:hAnsi="Times New Roman" w:cs="Times New Roman"/>
          <w:color w:val="000000" w:themeColor="text1"/>
          <w:sz w:val="28"/>
          <w:szCs w:val="28"/>
          <w:lang w:val="es-ES_tradnl"/>
        </w:rPr>
        <w:t xml:space="preserve"> Respe</w:t>
      </w:r>
      <w:r w:rsidRPr="0096658B">
        <w:rPr>
          <w:rFonts w:ascii="Times New Roman" w:hAnsi="Times New Roman" w:cs="Times New Roman"/>
          <w:color w:val="000000" w:themeColor="text1"/>
          <w:sz w:val="28"/>
          <w:szCs w:val="28"/>
          <w:lang w:val="es-ES_tradnl"/>
        </w:rPr>
        <w:t>cto de este último asunto, relacionado con la inclusión de cuotas de género en listas de menos de cinco integrantes, el interviniente afirm</w:t>
      </w:r>
      <w:r w:rsidRPr="0096658B">
        <w:rPr>
          <w:rFonts w:ascii="Times New Roman" w:hAnsi="Times New Roman" w:cs="Times New Roman"/>
          <w:color w:val="000000" w:themeColor="text1"/>
          <w:sz w:val="28"/>
          <w:szCs w:val="28"/>
          <w:lang w:val="es-ES_tradnl"/>
        </w:rPr>
        <w:t>ó</w:t>
      </w:r>
      <w:r w:rsidRPr="0096658B">
        <w:rPr>
          <w:rFonts w:ascii="Times New Roman" w:hAnsi="Times New Roman" w:cs="Times New Roman"/>
          <w:color w:val="000000" w:themeColor="text1"/>
          <w:sz w:val="28"/>
          <w:szCs w:val="28"/>
          <w:lang w:val="es-ES_tradnl"/>
        </w:rPr>
        <w:t xml:space="preserve"> que se trata de un asunto que hizo parte de las modificaciones propuestas y debatidas en cada una de las cámaras, d</w:t>
      </w:r>
      <w:r w:rsidRPr="0096658B">
        <w:rPr>
          <w:rFonts w:ascii="Times New Roman" w:hAnsi="Times New Roman" w:cs="Times New Roman"/>
          <w:color w:val="000000" w:themeColor="text1"/>
          <w:sz w:val="28"/>
          <w:szCs w:val="28"/>
          <w:lang w:val="es-ES_tradnl"/>
        </w:rPr>
        <w:t>e modo que no se estructur</w:t>
      </w:r>
      <w:r w:rsidRPr="0096658B">
        <w:rPr>
          <w:rFonts w:ascii="Times New Roman" w:hAnsi="Times New Roman" w:cs="Times New Roman"/>
          <w:color w:val="000000" w:themeColor="text1"/>
          <w:sz w:val="28"/>
          <w:szCs w:val="28"/>
          <w:lang w:val="es-ES_tradnl"/>
        </w:rPr>
        <w:t xml:space="preserve">ó </w:t>
      </w:r>
      <w:r w:rsidRPr="0096658B">
        <w:rPr>
          <w:rFonts w:ascii="Times New Roman" w:hAnsi="Times New Roman" w:cs="Times New Roman"/>
          <w:color w:val="000000" w:themeColor="text1"/>
          <w:sz w:val="28"/>
          <w:szCs w:val="28"/>
          <w:lang w:val="es-ES_tradnl"/>
        </w:rPr>
        <w:t xml:space="preserve">vicio alguno de constitucionalidad. </w:t>
      </w:r>
    </w:p>
    <w:p w:rsidR="00904D82"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p>
    <w:p w:rsidR="00904D82"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Finalmente, el interviniente explicó que</w:t>
      </w:r>
      <w:r w:rsidRPr="0096658B">
        <w:rPr>
          <w:rFonts w:ascii="Times New Roman" w:hAnsi="Times New Roman" w:cs="Times New Roman"/>
          <w:color w:val="000000" w:themeColor="text1"/>
          <w:sz w:val="28"/>
          <w:szCs w:val="28"/>
          <w:lang w:val="es-ES_tradnl"/>
        </w:rPr>
        <w:t>, en el asunto de la referencia,</w:t>
      </w:r>
      <w:r w:rsidRPr="0096658B">
        <w:rPr>
          <w:rFonts w:ascii="Times New Roman" w:hAnsi="Times New Roman" w:cs="Times New Roman"/>
          <w:color w:val="000000" w:themeColor="text1"/>
          <w:sz w:val="28"/>
          <w:szCs w:val="28"/>
          <w:lang w:val="es-ES_tradnl"/>
        </w:rPr>
        <w:t xml:space="preserve"> se cumplieron los requisitos de aprobación por mayoría absoluta y en una sola legislatura, exigibles de los proyectos</w:t>
      </w:r>
      <w:r w:rsidRPr="0096658B">
        <w:rPr>
          <w:rFonts w:ascii="Times New Roman" w:hAnsi="Times New Roman" w:cs="Times New Roman"/>
          <w:color w:val="000000" w:themeColor="text1"/>
          <w:sz w:val="28"/>
          <w:szCs w:val="28"/>
          <w:lang w:val="es-ES_tradnl"/>
        </w:rPr>
        <w:t xml:space="preserve"> de ley estatutaria. </w:t>
      </w:r>
    </w:p>
    <w:p w:rsidR="00683139"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p>
    <w:p w:rsidR="00683139"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 xml:space="preserve">En el mismo sentido, </w:t>
      </w:r>
      <w:r w:rsidRPr="0096658B">
        <w:rPr>
          <w:rFonts w:ascii="Times New Roman" w:hAnsi="Times New Roman" w:cs="Times New Roman"/>
          <w:color w:val="000000" w:themeColor="text1"/>
          <w:sz w:val="28"/>
          <w:szCs w:val="28"/>
          <w:lang w:val="es-ES_tradnl"/>
        </w:rPr>
        <w:t xml:space="preserve">el Ministerio de Justicia </w:t>
      </w:r>
      <w:r w:rsidRPr="0096658B">
        <w:rPr>
          <w:rFonts w:ascii="Times New Roman" w:hAnsi="Times New Roman" w:cs="Times New Roman"/>
          <w:color w:val="000000" w:themeColor="text1"/>
          <w:sz w:val="28"/>
          <w:szCs w:val="28"/>
          <w:lang w:val="es-ES_tradnl"/>
        </w:rPr>
        <w:t>señaló q</w:t>
      </w:r>
      <w:r w:rsidRPr="0096658B">
        <w:rPr>
          <w:rFonts w:ascii="Times New Roman" w:hAnsi="Times New Roman" w:cs="Times New Roman"/>
          <w:color w:val="000000" w:themeColor="text1"/>
          <w:sz w:val="28"/>
          <w:szCs w:val="28"/>
          <w:lang w:val="es-ES_tradnl"/>
        </w:rPr>
        <w:t xml:space="preserve">ue se </w:t>
      </w:r>
      <w:r w:rsidRPr="0096658B">
        <w:rPr>
          <w:rFonts w:ascii="Times New Roman" w:hAnsi="Times New Roman" w:cs="Times New Roman"/>
          <w:color w:val="000000" w:themeColor="text1"/>
          <w:sz w:val="28"/>
          <w:szCs w:val="28"/>
          <w:lang w:val="es-ES_tradnl"/>
        </w:rPr>
        <w:t xml:space="preserve">acataron los deberes propios del </w:t>
      </w:r>
      <w:r w:rsidRPr="0096658B">
        <w:rPr>
          <w:rFonts w:ascii="Times New Roman" w:hAnsi="Times New Roman" w:cs="Times New Roman"/>
          <w:color w:val="000000" w:themeColor="text1"/>
          <w:sz w:val="28"/>
          <w:szCs w:val="28"/>
          <w:lang w:val="es-ES_tradnl"/>
        </w:rPr>
        <w:t>trámite legislativo. En particular, inform</w:t>
      </w:r>
      <w:r w:rsidRPr="0096658B">
        <w:rPr>
          <w:rFonts w:ascii="Times New Roman" w:hAnsi="Times New Roman" w:cs="Times New Roman"/>
          <w:color w:val="000000" w:themeColor="text1"/>
          <w:sz w:val="28"/>
          <w:szCs w:val="28"/>
          <w:lang w:val="es-ES_tradnl"/>
        </w:rPr>
        <w:t>ó</w:t>
      </w:r>
      <w:r w:rsidRPr="0096658B">
        <w:rPr>
          <w:rFonts w:ascii="Times New Roman" w:hAnsi="Times New Roman" w:cs="Times New Roman"/>
          <w:color w:val="000000" w:themeColor="text1"/>
          <w:sz w:val="28"/>
          <w:szCs w:val="28"/>
          <w:lang w:val="es-ES_tradnl"/>
        </w:rPr>
        <w:t xml:space="preserve"> que el PLE fue objeto de debate y aprobación tanto en comisiones como en plenarias. Igualmente, la iniciativa cumple, en su criterio, con el principio de unidad de materia, puesto que existe sintonía entre su título y la materia de cada uno de los artícul</w:t>
      </w:r>
      <w:r w:rsidRPr="0096658B">
        <w:rPr>
          <w:rFonts w:ascii="Times New Roman" w:hAnsi="Times New Roman" w:cs="Times New Roman"/>
          <w:color w:val="000000" w:themeColor="text1"/>
          <w:sz w:val="28"/>
          <w:szCs w:val="28"/>
          <w:lang w:val="es-ES_tradnl"/>
        </w:rPr>
        <w:t xml:space="preserve">os, vinculada con el objeto de la ley, esto es, “la participación paritaria de las mujeres en el ejercicio de cargos y funciones en las ramas y órganos del Estado, de tal manera que se haga efectiva la igualdad real y material </w:t>
      </w:r>
      <w:r w:rsidRPr="0096658B">
        <w:rPr>
          <w:rFonts w:ascii="Times New Roman" w:hAnsi="Times New Roman" w:cs="Times New Roman"/>
          <w:color w:val="000000" w:themeColor="text1"/>
          <w:sz w:val="28"/>
          <w:szCs w:val="28"/>
          <w:lang w:val="es-ES_tradnl"/>
        </w:rPr>
        <w:t>de ellas a este respecto, gar</w:t>
      </w:r>
      <w:r w:rsidRPr="0096658B">
        <w:rPr>
          <w:rFonts w:ascii="Times New Roman" w:hAnsi="Times New Roman" w:cs="Times New Roman"/>
          <w:color w:val="000000" w:themeColor="text1"/>
          <w:sz w:val="28"/>
          <w:szCs w:val="28"/>
          <w:lang w:val="es-ES_tradnl"/>
        </w:rPr>
        <w:t>antizando que no continúe ocurriendo la discriminación a la que han sido sometidas en esta materia”</w:t>
      </w:r>
      <w:r w:rsidRPr="0096658B">
        <w:rPr>
          <w:rStyle w:val="Refdenotaalpie"/>
          <w:rFonts w:ascii="Times New Roman" w:hAnsi="Times New Roman"/>
          <w:color w:val="000000" w:themeColor="text1"/>
          <w:sz w:val="28"/>
          <w:szCs w:val="28"/>
          <w:lang w:val="es-ES_tradnl"/>
        </w:rPr>
        <w:footnoteReference w:id="6"/>
      </w:r>
      <w:r w:rsidRPr="0096658B">
        <w:rPr>
          <w:rFonts w:ascii="Times New Roman" w:hAnsi="Times New Roman" w:cs="Times New Roman"/>
          <w:color w:val="000000" w:themeColor="text1"/>
          <w:sz w:val="28"/>
          <w:szCs w:val="28"/>
          <w:lang w:val="es-ES_tradnl"/>
        </w:rPr>
        <w:t xml:space="preserve">. </w:t>
      </w:r>
    </w:p>
    <w:p w:rsidR="00683139"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p>
    <w:p w:rsidR="0048513A"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 xml:space="preserve">A partir de criterios más generales, la Universidad Pontificia Bolivariana, </w:t>
      </w:r>
      <w:r w:rsidRPr="0096658B">
        <w:rPr>
          <w:rFonts w:ascii="Times New Roman" w:hAnsi="Times New Roman" w:cs="Times New Roman"/>
          <w:color w:val="000000" w:themeColor="text1"/>
          <w:sz w:val="28"/>
          <w:szCs w:val="28"/>
          <w:lang w:val="es-ES_tradnl"/>
        </w:rPr>
        <w:t>la senadora Angélica Lozano Correa y la Defensoría del Pueblo</w:t>
      </w:r>
      <w:r w:rsidRPr="0096658B">
        <w:rPr>
          <w:rFonts w:ascii="Times New Roman" w:hAnsi="Times New Roman" w:cs="Times New Roman"/>
          <w:color w:val="000000" w:themeColor="text1"/>
          <w:sz w:val="28"/>
          <w:szCs w:val="28"/>
          <w:lang w:val="es-ES_tradnl"/>
        </w:rPr>
        <w:t xml:space="preserve"> concluyeron el</w:t>
      </w:r>
      <w:r w:rsidRPr="0096658B">
        <w:rPr>
          <w:rFonts w:ascii="Times New Roman" w:hAnsi="Times New Roman" w:cs="Times New Roman"/>
          <w:color w:val="000000" w:themeColor="text1"/>
          <w:sz w:val="28"/>
          <w:szCs w:val="28"/>
          <w:lang w:val="es-ES_tradnl"/>
        </w:rPr>
        <w:t xml:space="preserve"> cabal cumplimiento de los requisitos predicables del trámite legislativo. </w:t>
      </w:r>
      <w:r w:rsidRPr="0096658B">
        <w:rPr>
          <w:rFonts w:ascii="Times New Roman" w:hAnsi="Times New Roman" w:cs="Times New Roman"/>
          <w:color w:val="000000" w:themeColor="text1"/>
          <w:sz w:val="28"/>
          <w:szCs w:val="28"/>
          <w:lang w:val="es-ES_tradnl"/>
        </w:rPr>
        <w:t>La comprobación sobre la constitucionalidad del trámite legislativo también fue realizada, de manera detallada, por parte de la Universidad Santo Tomás, institución que se abstuvo d</w:t>
      </w:r>
      <w:r w:rsidRPr="0096658B">
        <w:rPr>
          <w:rFonts w:ascii="Times New Roman" w:hAnsi="Times New Roman" w:cs="Times New Roman"/>
          <w:color w:val="000000" w:themeColor="text1"/>
          <w:sz w:val="28"/>
          <w:szCs w:val="28"/>
          <w:lang w:val="es-ES_tradnl"/>
        </w:rPr>
        <w:t xml:space="preserve">e formular argumentos sobre la constitucionalidad sustantiva del PLE. </w:t>
      </w:r>
    </w:p>
    <w:p w:rsidR="002F0C4B"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p>
    <w:p w:rsidR="002F0C4B" w:rsidRPr="0096658B" w:rsidRDefault="0096658B" w:rsidP="00854918">
      <w:pPr>
        <w:pStyle w:val="Style1"/>
        <w:widowControl/>
        <w:ind w:right="5"/>
        <w:jc w:val="both"/>
        <w:rPr>
          <w:rFonts w:ascii="Times New Roman" w:hAnsi="Times New Roman" w:cs="Times New Roman"/>
          <w:b/>
          <w:bCs/>
          <w:color w:val="000000" w:themeColor="text1"/>
          <w:sz w:val="28"/>
          <w:szCs w:val="28"/>
          <w:lang w:val="es-ES_tradnl"/>
        </w:rPr>
      </w:pPr>
      <w:r w:rsidRPr="0096658B">
        <w:rPr>
          <w:rFonts w:ascii="Times New Roman" w:hAnsi="Times New Roman" w:cs="Times New Roman"/>
          <w:b/>
          <w:bCs/>
          <w:color w:val="000000" w:themeColor="text1"/>
          <w:sz w:val="28"/>
          <w:szCs w:val="28"/>
          <w:lang w:val="es-ES_tradnl"/>
        </w:rPr>
        <w:t>Argumentos sobre la constitucionalidad material del proyecto de ley estatutaria</w:t>
      </w:r>
    </w:p>
    <w:p w:rsidR="002F0C4B" w:rsidRPr="0096658B" w:rsidRDefault="0096658B" w:rsidP="00854918">
      <w:pPr>
        <w:pStyle w:val="Style1"/>
        <w:widowControl/>
        <w:ind w:right="5"/>
        <w:jc w:val="both"/>
        <w:rPr>
          <w:rFonts w:ascii="Times New Roman" w:hAnsi="Times New Roman" w:cs="Times New Roman"/>
          <w:b/>
          <w:bCs/>
          <w:color w:val="000000" w:themeColor="text1"/>
          <w:sz w:val="28"/>
          <w:szCs w:val="28"/>
          <w:lang w:val="es-ES_tradnl"/>
        </w:rPr>
      </w:pPr>
    </w:p>
    <w:p w:rsidR="002F0C4B"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El PLE, en esencia, modifica las previsiones estatutarias sobre participación de las mujeres en niveles</w:t>
      </w:r>
      <w:r w:rsidRPr="0096658B">
        <w:rPr>
          <w:rFonts w:ascii="Times New Roman" w:hAnsi="Times New Roman" w:cs="Times New Roman"/>
          <w:color w:val="000000" w:themeColor="text1"/>
          <w:sz w:val="28"/>
          <w:szCs w:val="28"/>
          <w:lang w:val="es-ES_tradnl"/>
        </w:rPr>
        <w:t xml:space="preserve"> decisorios del Estado, en corporaciones públicas de elección popular</w:t>
      </w:r>
      <w:r w:rsidRPr="0096658B">
        <w:rPr>
          <w:rFonts w:ascii="Times New Roman" w:hAnsi="Times New Roman" w:cs="Times New Roman"/>
          <w:color w:val="000000" w:themeColor="text1"/>
          <w:sz w:val="28"/>
          <w:szCs w:val="28"/>
          <w:lang w:val="es-ES_tradnl"/>
        </w:rPr>
        <w:t xml:space="preserve">, al igual que </w:t>
      </w:r>
      <w:r w:rsidRPr="0096658B">
        <w:rPr>
          <w:rFonts w:ascii="Times New Roman" w:hAnsi="Times New Roman" w:cs="Times New Roman"/>
          <w:color w:val="000000" w:themeColor="text1"/>
          <w:sz w:val="28"/>
          <w:szCs w:val="28"/>
          <w:lang w:val="es-ES_tradnl"/>
        </w:rPr>
        <w:t>en la representación internacional del Estado, con el fin de aumentar los niveles mínimos de esa participación respecto de lo previsto en la regulación preexistente</w:t>
      </w:r>
      <w:r w:rsidRPr="0096658B">
        <w:rPr>
          <w:rFonts w:ascii="Times New Roman" w:hAnsi="Times New Roman" w:cs="Times New Roman"/>
          <w:color w:val="000000" w:themeColor="text1"/>
          <w:sz w:val="28"/>
          <w:szCs w:val="28"/>
          <w:lang w:val="es-ES_tradnl"/>
        </w:rPr>
        <w:t xml:space="preserve"> y con m</w:t>
      </w:r>
      <w:r w:rsidRPr="0096658B">
        <w:rPr>
          <w:rFonts w:ascii="Times New Roman" w:hAnsi="Times New Roman" w:cs="Times New Roman"/>
          <w:color w:val="000000" w:themeColor="text1"/>
          <w:sz w:val="28"/>
          <w:szCs w:val="28"/>
          <w:lang w:val="es-ES_tradnl"/>
        </w:rPr>
        <w:t>iras a la paridad</w:t>
      </w:r>
      <w:r w:rsidRPr="0096658B">
        <w:rPr>
          <w:rFonts w:ascii="Times New Roman" w:hAnsi="Times New Roman" w:cs="Times New Roman"/>
          <w:color w:val="000000" w:themeColor="text1"/>
          <w:sz w:val="28"/>
          <w:szCs w:val="28"/>
          <w:lang w:val="es-ES_tradnl"/>
        </w:rPr>
        <w:t>. Los intervinientes coinciden en que estas disposiciones son constitucionales en la medida en que hacen eficaz el principio de igualdad, del cual se deriva la garantía de participación paritaria de las mujeres en la vida pública del país.</w:t>
      </w:r>
      <w:r w:rsidRPr="0096658B">
        <w:rPr>
          <w:rFonts w:ascii="Times New Roman" w:hAnsi="Times New Roman" w:cs="Times New Roman"/>
          <w:color w:val="000000" w:themeColor="text1"/>
          <w:sz w:val="28"/>
          <w:szCs w:val="28"/>
          <w:lang w:val="es-ES_tradnl"/>
        </w:rPr>
        <w:t xml:space="preserve"> </w:t>
      </w:r>
      <w:r w:rsidRPr="0096658B">
        <w:rPr>
          <w:rFonts w:ascii="Times New Roman" w:hAnsi="Times New Roman" w:cs="Times New Roman"/>
          <w:color w:val="000000" w:themeColor="text1"/>
          <w:sz w:val="28"/>
          <w:szCs w:val="28"/>
          <w:lang w:val="es-ES_tradnl"/>
        </w:rPr>
        <w:t>Así por ejemplo, la Defensoría del Pueblo sost</w:t>
      </w:r>
      <w:r w:rsidRPr="0096658B">
        <w:rPr>
          <w:rFonts w:ascii="Times New Roman" w:hAnsi="Times New Roman" w:cs="Times New Roman"/>
          <w:color w:val="000000" w:themeColor="text1"/>
          <w:sz w:val="28"/>
          <w:szCs w:val="28"/>
          <w:lang w:val="es-ES_tradnl"/>
        </w:rPr>
        <w:t>uvo</w:t>
      </w:r>
      <w:r w:rsidRPr="0096658B">
        <w:rPr>
          <w:rFonts w:ascii="Times New Roman" w:hAnsi="Times New Roman" w:cs="Times New Roman"/>
          <w:color w:val="000000" w:themeColor="text1"/>
          <w:sz w:val="28"/>
          <w:szCs w:val="28"/>
          <w:lang w:val="es-ES_tradnl"/>
        </w:rPr>
        <w:t xml:space="preserve"> que el objeto del Proyecto de Ley se alinea con los mandatos de garantía de participación política de l</w:t>
      </w:r>
      <w:r w:rsidRPr="0096658B">
        <w:rPr>
          <w:rFonts w:ascii="Times New Roman" w:hAnsi="Times New Roman" w:cs="Times New Roman"/>
          <w:color w:val="000000" w:themeColor="text1"/>
          <w:sz w:val="28"/>
          <w:szCs w:val="28"/>
          <w:lang w:val="es-ES_tradnl"/>
        </w:rPr>
        <w:t xml:space="preserve">as mujeres </w:t>
      </w:r>
      <w:r w:rsidRPr="0096658B">
        <w:rPr>
          <w:rFonts w:ascii="Times New Roman" w:hAnsi="Times New Roman" w:cs="Times New Roman"/>
          <w:color w:val="000000" w:themeColor="text1"/>
          <w:sz w:val="28"/>
          <w:szCs w:val="28"/>
          <w:lang w:val="es-ES_tradnl"/>
        </w:rPr>
        <w:t>que se derivan de los artículos 13 y 40</w:t>
      </w:r>
      <w:r w:rsidRPr="0096658B">
        <w:rPr>
          <w:rFonts w:ascii="Times New Roman" w:hAnsi="Times New Roman" w:cs="Times New Roman"/>
          <w:color w:val="000000" w:themeColor="text1"/>
          <w:sz w:val="28"/>
          <w:szCs w:val="28"/>
          <w:lang w:val="es-ES_tradnl"/>
        </w:rPr>
        <w:t>.</w:t>
      </w:r>
      <w:r w:rsidRPr="0096658B">
        <w:rPr>
          <w:rFonts w:ascii="Times New Roman" w:hAnsi="Times New Roman" w:cs="Times New Roman"/>
          <w:color w:val="000000" w:themeColor="text1"/>
          <w:sz w:val="28"/>
          <w:szCs w:val="28"/>
          <w:lang w:val="es-ES_tradnl"/>
        </w:rPr>
        <w:t>7 de la Constitución</w:t>
      </w:r>
      <w:r w:rsidRPr="0096658B">
        <w:rPr>
          <w:rFonts w:ascii="Times New Roman" w:hAnsi="Times New Roman" w:cs="Times New Roman"/>
          <w:color w:val="000000" w:themeColor="text1"/>
          <w:sz w:val="28"/>
          <w:szCs w:val="28"/>
          <w:lang w:val="es-ES_tradnl"/>
        </w:rPr>
        <w:t>,</w:t>
      </w:r>
      <w:r w:rsidRPr="0096658B">
        <w:rPr>
          <w:rFonts w:ascii="Times New Roman" w:hAnsi="Times New Roman" w:cs="Times New Roman"/>
          <w:color w:val="000000" w:themeColor="text1"/>
          <w:sz w:val="28"/>
          <w:szCs w:val="28"/>
          <w:lang w:val="es-ES_tradnl"/>
        </w:rPr>
        <w:t xml:space="preserve"> y de la manera como han sido </w:t>
      </w:r>
      <w:r w:rsidRPr="0096658B">
        <w:rPr>
          <w:rFonts w:ascii="Times New Roman" w:hAnsi="Times New Roman" w:cs="Times New Roman"/>
          <w:color w:val="000000" w:themeColor="text1"/>
          <w:sz w:val="28"/>
          <w:szCs w:val="28"/>
          <w:lang w:val="es-ES_tradnl"/>
        </w:rPr>
        <w:t>comprendid</w:t>
      </w:r>
      <w:r w:rsidRPr="0096658B">
        <w:rPr>
          <w:rFonts w:ascii="Times New Roman" w:hAnsi="Times New Roman" w:cs="Times New Roman"/>
          <w:color w:val="000000" w:themeColor="text1"/>
          <w:sz w:val="28"/>
          <w:szCs w:val="28"/>
          <w:lang w:val="es-ES_tradnl"/>
        </w:rPr>
        <w:t>a</w:t>
      </w:r>
      <w:r w:rsidRPr="0096658B">
        <w:rPr>
          <w:rFonts w:ascii="Times New Roman" w:hAnsi="Times New Roman" w:cs="Times New Roman"/>
          <w:color w:val="000000" w:themeColor="text1"/>
          <w:sz w:val="28"/>
          <w:szCs w:val="28"/>
          <w:lang w:val="es-ES_tradnl"/>
        </w:rPr>
        <w:t>s</w:t>
      </w:r>
      <w:r w:rsidRPr="0096658B">
        <w:rPr>
          <w:rFonts w:ascii="Times New Roman" w:hAnsi="Times New Roman" w:cs="Times New Roman"/>
          <w:color w:val="000000" w:themeColor="text1"/>
          <w:sz w:val="28"/>
          <w:szCs w:val="28"/>
          <w:lang w:val="es-ES_tradnl"/>
        </w:rPr>
        <w:t xml:space="preserve"> por la jurisprudencia constitucional en tanto componente de la igualdad de oportunidades. </w:t>
      </w:r>
    </w:p>
    <w:p w:rsidR="00AA482E"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p>
    <w:p w:rsidR="00AA482E"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A su turno, la Comisión Colombiana de Juristas expres</w:t>
      </w:r>
      <w:r w:rsidRPr="0096658B">
        <w:rPr>
          <w:rFonts w:ascii="Times New Roman" w:hAnsi="Times New Roman" w:cs="Times New Roman"/>
          <w:color w:val="000000" w:themeColor="text1"/>
          <w:sz w:val="28"/>
          <w:szCs w:val="28"/>
          <w:lang w:val="es-ES_tradnl"/>
        </w:rPr>
        <w:t>ó</w:t>
      </w:r>
      <w:r w:rsidRPr="0096658B">
        <w:rPr>
          <w:rFonts w:ascii="Times New Roman" w:hAnsi="Times New Roman" w:cs="Times New Roman"/>
          <w:color w:val="000000" w:themeColor="text1"/>
          <w:sz w:val="28"/>
          <w:szCs w:val="28"/>
          <w:lang w:val="es-ES_tradnl"/>
        </w:rPr>
        <w:t xml:space="preserve"> que la provisión de cargos públicos bajo un sistema de paridad es corolario necesario tanto de la vigencia del principio de igualdad, como de la profundización de la democracia y la correspondencia entre la composición demográfica de la sociedad y la part</w:t>
      </w:r>
      <w:r w:rsidRPr="0096658B">
        <w:rPr>
          <w:rFonts w:ascii="Times New Roman" w:hAnsi="Times New Roman" w:cs="Times New Roman"/>
          <w:color w:val="000000" w:themeColor="text1"/>
          <w:sz w:val="28"/>
          <w:szCs w:val="28"/>
          <w:lang w:val="es-ES_tradnl"/>
        </w:rPr>
        <w:t xml:space="preserve">icipación en el Estado. </w:t>
      </w:r>
      <w:r w:rsidRPr="0096658B">
        <w:rPr>
          <w:rFonts w:ascii="Times New Roman" w:hAnsi="Times New Roman" w:cs="Times New Roman"/>
          <w:color w:val="000000" w:themeColor="text1"/>
          <w:sz w:val="28"/>
          <w:szCs w:val="28"/>
          <w:lang w:val="es-ES_tradnl"/>
        </w:rPr>
        <w:t>Con todo, a pesar de esos claros fundamentos, es evidente que persisten las barreras para la participación paritaria, fundadas tanto en prejuicios</w:t>
      </w:r>
      <w:r w:rsidRPr="0096658B">
        <w:rPr>
          <w:rFonts w:ascii="Times New Roman" w:hAnsi="Times New Roman" w:cs="Times New Roman"/>
          <w:color w:val="000000" w:themeColor="text1"/>
          <w:sz w:val="28"/>
          <w:szCs w:val="28"/>
          <w:lang w:val="es-ES_tradnl"/>
        </w:rPr>
        <w:t>,</w:t>
      </w:r>
      <w:r w:rsidRPr="0096658B">
        <w:rPr>
          <w:rFonts w:ascii="Times New Roman" w:hAnsi="Times New Roman" w:cs="Times New Roman"/>
          <w:color w:val="000000" w:themeColor="text1"/>
          <w:sz w:val="28"/>
          <w:szCs w:val="28"/>
          <w:lang w:val="es-ES_tradnl"/>
        </w:rPr>
        <w:t xml:space="preserve"> como en la inequidad en </w:t>
      </w:r>
      <w:r w:rsidRPr="0096658B">
        <w:rPr>
          <w:rFonts w:ascii="Times New Roman" w:hAnsi="Times New Roman" w:cs="Times New Roman"/>
          <w:color w:val="000000" w:themeColor="text1"/>
          <w:sz w:val="28"/>
          <w:szCs w:val="28"/>
          <w:lang w:val="es-ES_tradnl"/>
        </w:rPr>
        <w:t xml:space="preserve">la provisión de </w:t>
      </w:r>
      <w:r w:rsidRPr="0096658B">
        <w:rPr>
          <w:rFonts w:ascii="Times New Roman" w:hAnsi="Times New Roman" w:cs="Times New Roman"/>
          <w:color w:val="000000" w:themeColor="text1"/>
          <w:sz w:val="28"/>
          <w:szCs w:val="28"/>
          <w:lang w:val="es-ES_tradnl"/>
        </w:rPr>
        <w:t xml:space="preserve">las condiciones materiales y jurídicas para </w:t>
      </w:r>
      <w:r w:rsidRPr="0096658B">
        <w:rPr>
          <w:rFonts w:ascii="Times New Roman" w:hAnsi="Times New Roman" w:cs="Times New Roman"/>
          <w:color w:val="000000" w:themeColor="text1"/>
          <w:sz w:val="28"/>
          <w:szCs w:val="28"/>
          <w:lang w:val="es-ES_tradnl"/>
        </w:rPr>
        <w:t xml:space="preserve">el acceso pleno de las mujeres a las esferas de la vida pública y privada. </w:t>
      </w:r>
      <w:r w:rsidRPr="0096658B">
        <w:rPr>
          <w:rFonts w:ascii="Times New Roman" w:hAnsi="Times New Roman" w:cs="Times New Roman"/>
          <w:color w:val="000000" w:themeColor="text1"/>
          <w:sz w:val="28"/>
          <w:szCs w:val="28"/>
        </w:rPr>
        <w:t xml:space="preserve">Es por esta razón que diversos tratados de derechos humanos, en especial la </w:t>
      </w:r>
      <w:r w:rsidRPr="0096658B">
        <w:rPr>
          <w:rFonts w:ascii="Times New Roman" w:hAnsi="Times New Roman" w:cs="Times New Roman"/>
          <w:color w:val="000000" w:themeColor="text1"/>
          <w:sz w:val="28"/>
          <w:szCs w:val="28"/>
        </w:rPr>
        <w:t xml:space="preserve">Convención </w:t>
      </w:r>
      <w:r w:rsidRPr="0096658B">
        <w:rPr>
          <w:rFonts w:ascii="Times New Roman" w:hAnsi="Times New Roman" w:cs="Times New Roman"/>
          <w:color w:val="000000" w:themeColor="text1"/>
          <w:sz w:val="28"/>
          <w:szCs w:val="28"/>
        </w:rPr>
        <w:t xml:space="preserve">sobre la eliminación de todas las formas de discriminación contra la mujer </w:t>
      </w:r>
      <w:r w:rsidRPr="0096658B">
        <w:rPr>
          <w:rFonts w:ascii="Times New Roman" w:hAnsi="Times New Roman" w:cs="Times New Roman"/>
          <w:color w:val="000000" w:themeColor="text1"/>
          <w:sz w:val="28"/>
          <w:szCs w:val="28"/>
        </w:rPr>
        <w:t>(</w:t>
      </w:r>
      <w:r w:rsidRPr="0096658B">
        <w:rPr>
          <w:rFonts w:ascii="Times New Roman" w:hAnsi="Times New Roman" w:cs="Times New Roman"/>
          <w:color w:val="000000" w:themeColor="text1"/>
          <w:sz w:val="28"/>
          <w:szCs w:val="28"/>
        </w:rPr>
        <w:t>CEDAW</w:t>
      </w:r>
      <w:r w:rsidRPr="0096658B">
        <w:rPr>
          <w:rFonts w:ascii="Times New Roman" w:hAnsi="Times New Roman" w:cs="Times New Roman"/>
          <w:color w:val="000000" w:themeColor="text1"/>
          <w:sz w:val="28"/>
          <w:szCs w:val="28"/>
        </w:rPr>
        <w:t>)</w:t>
      </w:r>
      <w:r w:rsidRPr="0096658B">
        <w:rPr>
          <w:rFonts w:ascii="Times New Roman" w:hAnsi="Times New Roman" w:cs="Times New Roman"/>
          <w:color w:val="000000" w:themeColor="text1"/>
          <w:sz w:val="28"/>
          <w:szCs w:val="28"/>
          <w:lang w:val="es-ES_tradnl"/>
        </w:rPr>
        <w:t xml:space="preserve"> y la Conven</w:t>
      </w:r>
      <w:r w:rsidRPr="0096658B">
        <w:rPr>
          <w:rFonts w:ascii="Times New Roman" w:hAnsi="Times New Roman" w:cs="Times New Roman"/>
          <w:color w:val="000000" w:themeColor="text1"/>
          <w:sz w:val="28"/>
          <w:szCs w:val="28"/>
          <w:lang w:val="es-ES_tradnl"/>
        </w:rPr>
        <w:t>ción de Belém do Pará</w:t>
      </w:r>
      <w:r w:rsidRPr="0096658B">
        <w:rPr>
          <w:rStyle w:val="Refdenotaalpie"/>
          <w:rFonts w:ascii="Times New Roman" w:hAnsi="Times New Roman"/>
          <w:color w:val="000000" w:themeColor="text1"/>
          <w:sz w:val="28"/>
          <w:szCs w:val="28"/>
          <w:lang w:val="es-ES_tradnl"/>
        </w:rPr>
        <w:footnoteReference w:id="7"/>
      </w:r>
      <w:r w:rsidRPr="0096658B">
        <w:rPr>
          <w:rFonts w:ascii="Times New Roman" w:hAnsi="Times New Roman" w:cs="Times New Roman"/>
          <w:color w:val="000000" w:themeColor="text1"/>
          <w:sz w:val="28"/>
          <w:szCs w:val="28"/>
          <w:lang w:val="es-ES_tradnl"/>
        </w:rPr>
        <w:t xml:space="preserve"> contienen disposiciones específicas para la remoción de tales barreras. Destaca</w:t>
      </w:r>
      <w:r w:rsidRPr="0096658B">
        <w:rPr>
          <w:rFonts w:ascii="Times New Roman" w:hAnsi="Times New Roman" w:cs="Times New Roman"/>
          <w:color w:val="000000" w:themeColor="text1"/>
          <w:sz w:val="28"/>
          <w:szCs w:val="28"/>
          <w:lang w:val="es-ES_tradnl"/>
        </w:rPr>
        <w:t>ro</w:t>
      </w:r>
      <w:r w:rsidRPr="0096658B">
        <w:rPr>
          <w:rFonts w:ascii="Times New Roman" w:hAnsi="Times New Roman" w:cs="Times New Roman"/>
          <w:color w:val="000000" w:themeColor="text1"/>
          <w:sz w:val="28"/>
          <w:szCs w:val="28"/>
          <w:lang w:val="es-ES_tradnl"/>
        </w:rPr>
        <w:t xml:space="preserve">n, entre otras disposiciones, el artículo 7 de la CEDAW, el cual impone a los Estados parte el deber de </w:t>
      </w:r>
      <w:r w:rsidRPr="0096658B">
        <w:rPr>
          <w:rFonts w:ascii="Times New Roman" w:hAnsi="Times New Roman" w:cs="Times New Roman"/>
          <w:color w:val="000000" w:themeColor="text1"/>
          <w:sz w:val="28"/>
          <w:szCs w:val="28"/>
          <w:lang w:val="es-ES_tradnl"/>
        </w:rPr>
        <w:t>garantizar a las mujeres, en igualdad de condici</w:t>
      </w:r>
      <w:r w:rsidRPr="0096658B">
        <w:rPr>
          <w:rFonts w:ascii="Times New Roman" w:hAnsi="Times New Roman" w:cs="Times New Roman"/>
          <w:color w:val="000000" w:themeColor="text1"/>
          <w:sz w:val="28"/>
          <w:szCs w:val="28"/>
          <w:lang w:val="es-ES_tradnl"/>
        </w:rPr>
        <w:t xml:space="preserve">ones a los hombres, entre otros asuntos, participar en la formulación de las políticas gubernamentales y en </w:t>
      </w:r>
      <w:r w:rsidRPr="0096658B">
        <w:rPr>
          <w:rFonts w:ascii="Times New Roman" w:hAnsi="Times New Roman" w:cs="Times New Roman"/>
          <w:color w:val="000000" w:themeColor="text1"/>
          <w:sz w:val="28"/>
          <w:szCs w:val="28"/>
          <w:lang w:val="es-ES_tradnl"/>
        </w:rPr>
        <w:t>su</w:t>
      </w:r>
      <w:r w:rsidRPr="0096658B">
        <w:rPr>
          <w:rFonts w:ascii="Times New Roman" w:hAnsi="Times New Roman" w:cs="Times New Roman"/>
          <w:color w:val="000000" w:themeColor="text1"/>
          <w:sz w:val="28"/>
          <w:szCs w:val="28"/>
          <w:lang w:val="es-ES_tradnl"/>
        </w:rPr>
        <w:t xml:space="preserve"> ejecución, ocupar cargos públicos y ejercer todas las funciones en todos los planos gubernamentales. Estas obligaciones han sido reiteradas en di</w:t>
      </w:r>
      <w:r w:rsidRPr="0096658B">
        <w:rPr>
          <w:rFonts w:ascii="Times New Roman" w:hAnsi="Times New Roman" w:cs="Times New Roman"/>
          <w:color w:val="000000" w:themeColor="text1"/>
          <w:sz w:val="28"/>
          <w:szCs w:val="28"/>
          <w:lang w:val="es-ES_tradnl"/>
        </w:rPr>
        <w:t xml:space="preserve">ferentes documentos proferidos por los órganos previstos en los mencionados tratados, para lo cual </w:t>
      </w:r>
      <w:r w:rsidRPr="0096658B">
        <w:rPr>
          <w:rFonts w:ascii="Times New Roman" w:hAnsi="Times New Roman" w:cs="Times New Roman"/>
          <w:color w:val="000000" w:themeColor="text1"/>
          <w:sz w:val="28"/>
          <w:szCs w:val="28"/>
          <w:lang w:val="es-ES_tradnl"/>
        </w:rPr>
        <w:t>la</w:t>
      </w:r>
      <w:r w:rsidRPr="0096658B">
        <w:rPr>
          <w:rFonts w:ascii="Times New Roman" w:hAnsi="Times New Roman" w:cs="Times New Roman"/>
          <w:color w:val="000000" w:themeColor="text1"/>
          <w:sz w:val="28"/>
          <w:szCs w:val="28"/>
          <w:lang w:val="es-ES_tradnl"/>
        </w:rPr>
        <w:t xml:space="preserve"> interviniente cit</w:t>
      </w:r>
      <w:r w:rsidRPr="0096658B">
        <w:rPr>
          <w:rFonts w:ascii="Times New Roman" w:hAnsi="Times New Roman" w:cs="Times New Roman"/>
          <w:color w:val="000000" w:themeColor="text1"/>
          <w:sz w:val="28"/>
          <w:szCs w:val="28"/>
          <w:lang w:val="es-ES_tradnl"/>
        </w:rPr>
        <w:t>ó</w:t>
      </w:r>
      <w:r w:rsidRPr="0096658B">
        <w:rPr>
          <w:rFonts w:ascii="Times New Roman" w:hAnsi="Times New Roman" w:cs="Times New Roman"/>
          <w:color w:val="000000" w:themeColor="text1"/>
          <w:sz w:val="28"/>
          <w:szCs w:val="28"/>
          <w:lang w:val="es-ES_tradnl"/>
        </w:rPr>
        <w:t xml:space="preserve"> varios de ellos. Estas recomendaciones apuntan unívocamente a considerar que la representación paritaria es el óptimo en materia de efi</w:t>
      </w:r>
      <w:r w:rsidRPr="0096658B">
        <w:rPr>
          <w:rFonts w:ascii="Times New Roman" w:hAnsi="Times New Roman" w:cs="Times New Roman"/>
          <w:color w:val="000000" w:themeColor="text1"/>
          <w:sz w:val="28"/>
          <w:szCs w:val="28"/>
          <w:lang w:val="es-ES_tradnl"/>
        </w:rPr>
        <w:t xml:space="preserve">cacia del derecho a la participación equitativa de las mujeres en el Estado. </w:t>
      </w:r>
      <w:r w:rsidRPr="0096658B">
        <w:rPr>
          <w:rFonts w:ascii="Times New Roman" w:hAnsi="Times New Roman" w:cs="Times New Roman"/>
          <w:color w:val="000000" w:themeColor="text1"/>
          <w:sz w:val="28"/>
          <w:szCs w:val="28"/>
          <w:lang w:val="es-ES_tradnl"/>
        </w:rPr>
        <w:t>Así, decisiones legislativas como la</w:t>
      </w:r>
      <w:r w:rsidRPr="0096658B">
        <w:rPr>
          <w:rFonts w:ascii="Times New Roman" w:hAnsi="Times New Roman" w:cs="Times New Roman"/>
          <w:color w:val="000000" w:themeColor="text1"/>
          <w:sz w:val="28"/>
          <w:szCs w:val="28"/>
          <w:lang w:val="es-ES_tradnl"/>
        </w:rPr>
        <w:t>s</w:t>
      </w:r>
      <w:r w:rsidRPr="0096658B">
        <w:rPr>
          <w:rFonts w:ascii="Times New Roman" w:hAnsi="Times New Roman" w:cs="Times New Roman"/>
          <w:color w:val="000000" w:themeColor="text1"/>
          <w:sz w:val="28"/>
          <w:szCs w:val="28"/>
          <w:lang w:val="es-ES_tradnl"/>
        </w:rPr>
        <w:t xml:space="preserve"> contenida</w:t>
      </w:r>
      <w:r w:rsidRPr="0096658B">
        <w:rPr>
          <w:rFonts w:ascii="Times New Roman" w:hAnsi="Times New Roman" w:cs="Times New Roman"/>
          <w:color w:val="000000" w:themeColor="text1"/>
          <w:sz w:val="28"/>
          <w:szCs w:val="28"/>
          <w:lang w:val="es-ES_tradnl"/>
        </w:rPr>
        <w:t>s</w:t>
      </w:r>
      <w:r w:rsidRPr="0096658B">
        <w:rPr>
          <w:rFonts w:ascii="Times New Roman" w:hAnsi="Times New Roman" w:cs="Times New Roman"/>
          <w:color w:val="000000" w:themeColor="text1"/>
          <w:sz w:val="28"/>
          <w:szCs w:val="28"/>
          <w:lang w:val="es-ES_tradnl"/>
        </w:rPr>
        <w:t xml:space="preserve"> en el PLE supera</w:t>
      </w:r>
      <w:r w:rsidRPr="0096658B">
        <w:rPr>
          <w:rFonts w:ascii="Times New Roman" w:hAnsi="Times New Roman" w:cs="Times New Roman"/>
          <w:color w:val="000000" w:themeColor="text1"/>
          <w:sz w:val="28"/>
          <w:szCs w:val="28"/>
          <w:lang w:val="es-ES_tradnl"/>
        </w:rPr>
        <w:t>n</w:t>
      </w:r>
      <w:r w:rsidRPr="0096658B">
        <w:rPr>
          <w:rFonts w:ascii="Times New Roman" w:hAnsi="Times New Roman" w:cs="Times New Roman"/>
          <w:color w:val="000000" w:themeColor="text1"/>
          <w:sz w:val="28"/>
          <w:szCs w:val="28"/>
          <w:lang w:val="es-ES_tradnl"/>
        </w:rPr>
        <w:t xml:space="preserve"> el criterio de cuota y opta</w:t>
      </w:r>
      <w:r w:rsidRPr="0096658B">
        <w:rPr>
          <w:rFonts w:ascii="Times New Roman" w:hAnsi="Times New Roman" w:cs="Times New Roman"/>
          <w:color w:val="000000" w:themeColor="text1"/>
          <w:sz w:val="28"/>
          <w:szCs w:val="28"/>
          <w:lang w:val="es-ES_tradnl"/>
        </w:rPr>
        <w:t>n</w:t>
      </w:r>
      <w:r w:rsidRPr="0096658B">
        <w:rPr>
          <w:rFonts w:ascii="Times New Roman" w:hAnsi="Times New Roman" w:cs="Times New Roman"/>
          <w:color w:val="000000" w:themeColor="text1"/>
          <w:sz w:val="28"/>
          <w:szCs w:val="28"/>
          <w:lang w:val="es-ES_tradnl"/>
        </w:rPr>
        <w:t xml:space="preserve"> por la paridad, opción que, para la interviniente, protege de mejor manera el mencionado derecho, a la vez que supera la temporalidad que supone toda medida de cuota y se dirige hacia un escenario de aplicación progresiva con miras a la representación par</w:t>
      </w:r>
      <w:r w:rsidRPr="0096658B">
        <w:rPr>
          <w:rFonts w:ascii="Times New Roman" w:hAnsi="Times New Roman" w:cs="Times New Roman"/>
          <w:color w:val="000000" w:themeColor="text1"/>
          <w:sz w:val="28"/>
          <w:szCs w:val="28"/>
          <w:lang w:val="es-ES_tradnl"/>
        </w:rPr>
        <w:t xml:space="preserve">itaria. </w:t>
      </w:r>
      <w:r w:rsidRPr="0096658B">
        <w:rPr>
          <w:rFonts w:ascii="Times New Roman" w:hAnsi="Times New Roman" w:cs="Times New Roman"/>
          <w:color w:val="000000" w:themeColor="text1"/>
          <w:sz w:val="28"/>
          <w:szCs w:val="28"/>
          <w:lang w:val="es-ES_tradnl"/>
        </w:rPr>
        <w:t xml:space="preserve">Por ende, la aplicación de las medidas de acción afirmativa contenidas en el PLE desarrolla adecuadamente el principio de igualdad y el mandato superior de inclusión de las mujeres en la esfera pública. </w:t>
      </w:r>
    </w:p>
    <w:p w:rsidR="00F22C3E"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p>
    <w:p w:rsidR="002F0C4B"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 xml:space="preserve">Bajo esta lógica, el </w:t>
      </w:r>
      <w:r w:rsidRPr="0096658B">
        <w:rPr>
          <w:rFonts w:ascii="Times New Roman" w:hAnsi="Times New Roman" w:cs="Times New Roman"/>
          <w:color w:val="000000" w:themeColor="text1"/>
          <w:sz w:val="28"/>
          <w:szCs w:val="28"/>
          <w:lang w:val="es-ES_tradnl"/>
        </w:rPr>
        <w:t xml:space="preserve">secretario general </w:t>
      </w:r>
      <w:r w:rsidRPr="0096658B">
        <w:rPr>
          <w:rFonts w:ascii="Times New Roman" w:hAnsi="Times New Roman" w:cs="Times New Roman"/>
          <w:color w:val="000000" w:themeColor="text1"/>
          <w:sz w:val="28"/>
          <w:szCs w:val="28"/>
          <w:lang w:val="es-ES_tradnl"/>
        </w:rPr>
        <w:t>del</w:t>
      </w:r>
      <w:r w:rsidRPr="0096658B">
        <w:rPr>
          <w:rFonts w:ascii="Times New Roman" w:hAnsi="Times New Roman" w:cs="Times New Roman"/>
          <w:color w:val="000000" w:themeColor="text1"/>
          <w:sz w:val="28"/>
          <w:szCs w:val="28"/>
          <w:lang w:val="es-ES_tradnl"/>
        </w:rPr>
        <w:t xml:space="preserve"> Senado de la República </w:t>
      </w:r>
      <w:r w:rsidRPr="0096658B">
        <w:rPr>
          <w:rFonts w:ascii="Times New Roman" w:hAnsi="Times New Roman" w:cs="Times New Roman"/>
          <w:color w:val="000000" w:themeColor="text1"/>
          <w:sz w:val="28"/>
          <w:szCs w:val="28"/>
          <w:lang w:val="es-ES_tradnl"/>
        </w:rPr>
        <w:t>indic</w:t>
      </w:r>
      <w:r w:rsidRPr="0096658B">
        <w:rPr>
          <w:rFonts w:ascii="Times New Roman" w:hAnsi="Times New Roman" w:cs="Times New Roman"/>
          <w:color w:val="000000" w:themeColor="text1"/>
          <w:sz w:val="28"/>
          <w:szCs w:val="28"/>
          <w:lang w:val="es-ES_tradnl"/>
        </w:rPr>
        <w:t>ó</w:t>
      </w:r>
      <w:r w:rsidRPr="0096658B">
        <w:rPr>
          <w:rFonts w:ascii="Times New Roman" w:hAnsi="Times New Roman" w:cs="Times New Roman"/>
          <w:color w:val="000000" w:themeColor="text1"/>
          <w:sz w:val="28"/>
          <w:szCs w:val="28"/>
          <w:lang w:val="es-ES_tradnl"/>
        </w:rPr>
        <w:t xml:space="preserve"> que las medidas mencionadas son proporcionadas, en la medida en que se muestran idóneas para lograr la igualdad material de las mujeres en el acceso al poder público y que, a su turno, están en sintonía con instrumentos simil</w:t>
      </w:r>
      <w:r w:rsidRPr="0096658B">
        <w:rPr>
          <w:rFonts w:ascii="Times New Roman" w:hAnsi="Times New Roman" w:cs="Times New Roman"/>
          <w:color w:val="000000" w:themeColor="text1"/>
          <w:sz w:val="28"/>
          <w:szCs w:val="28"/>
          <w:lang w:val="es-ES_tradnl"/>
        </w:rPr>
        <w:t xml:space="preserve">ares que ofrece el derecho comparado. A su vez, son necesarias en tanto no se evidencian alternativas con el mismo nivel de eficacia en el corto plazo, más aún si se tiene en cuenta que </w:t>
      </w:r>
      <w:r w:rsidRPr="0096658B">
        <w:rPr>
          <w:rFonts w:ascii="Times New Roman" w:hAnsi="Times New Roman" w:cs="Times New Roman"/>
          <w:color w:val="000000" w:themeColor="text1"/>
          <w:sz w:val="28"/>
          <w:szCs w:val="28"/>
          <w:lang w:val="es-ES_tradnl"/>
        </w:rPr>
        <w:t xml:space="preserve">se </w:t>
      </w:r>
      <w:r w:rsidRPr="0096658B">
        <w:rPr>
          <w:rFonts w:ascii="Times New Roman" w:hAnsi="Times New Roman" w:cs="Times New Roman"/>
          <w:color w:val="000000" w:themeColor="text1"/>
          <w:sz w:val="28"/>
          <w:szCs w:val="28"/>
          <w:lang w:val="es-ES_tradnl"/>
        </w:rPr>
        <w:t>trata de medidas que propugnan por un trato paritario entre hombres</w:t>
      </w:r>
      <w:r w:rsidRPr="0096658B">
        <w:rPr>
          <w:rFonts w:ascii="Times New Roman" w:hAnsi="Times New Roman" w:cs="Times New Roman"/>
          <w:color w:val="000000" w:themeColor="text1"/>
          <w:sz w:val="28"/>
          <w:szCs w:val="28"/>
          <w:lang w:val="es-ES_tradnl"/>
        </w:rPr>
        <w:t xml:space="preserve"> y mujeres</w:t>
      </w:r>
      <w:r w:rsidRPr="0096658B">
        <w:rPr>
          <w:rFonts w:ascii="Times New Roman" w:hAnsi="Times New Roman" w:cs="Times New Roman"/>
          <w:color w:val="000000" w:themeColor="text1"/>
          <w:sz w:val="28"/>
          <w:szCs w:val="28"/>
          <w:lang w:val="es-ES_tradnl"/>
        </w:rPr>
        <w:t xml:space="preserve">. </w:t>
      </w:r>
      <w:r w:rsidRPr="0096658B">
        <w:rPr>
          <w:rFonts w:ascii="Times New Roman" w:hAnsi="Times New Roman" w:cs="Times New Roman"/>
          <w:color w:val="000000" w:themeColor="text1"/>
          <w:sz w:val="28"/>
          <w:szCs w:val="28"/>
          <w:lang w:val="es-ES_tradnl"/>
        </w:rPr>
        <w:t xml:space="preserve">Consideraciones similares </w:t>
      </w:r>
      <w:r w:rsidRPr="0096658B">
        <w:rPr>
          <w:rFonts w:ascii="Times New Roman" w:hAnsi="Times New Roman" w:cs="Times New Roman"/>
          <w:color w:val="000000" w:themeColor="text1"/>
          <w:sz w:val="28"/>
          <w:szCs w:val="28"/>
          <w:lang w:val="es-ES_tradnl"/>
        </w:rPr>
        <w:t xml:space="preserve">fueron </w:t>
      </w:r>
      <w:r w:rsidRPr="0096658B">
        <w:rPr>
          <w:rFonts w:ascii="Times New Roman" w:hAnsi="Times New Roman" w:cs="Times New Roman"/>
          <w:color w:val="000000" w:themeColor="text1"/>
          <w:sz w:val="28"/>
          <w:szCs w:val="28"/>
          <w:lang w:val="es-ES_tradnl"/>
        </w:rPr>
        <w:t xml:space="preserve">expresadas por la Defensoría del Pueblo, </w:t>
      </w:r>
      <w:r w:rsidRPr="0096658B">
        <w:rPr>
          <w:rFonts w:ascii="Times New Roman" w:hAnsi="Times New Roman" w:cs="Times New Roman"/>
          <w:color w:val="000000" w:themeColor="text1"/>
          <w:sz w:val="28"/>
          <w:szCs w:val="28"/>
          <w:lang w:val="es-ES_tradnl"/>
        </w:rPr>
        <w:t>fundándose</w:t>
      </w:r>
      <w:r w:rsidRPr="0096658B">
        <w:rPr>
          <w:rFonts w:ascii="Times New Roman" w:hAnsi="Times New Roman" w:cs="Times New Roman"/>
          <w:color w:val="000000" w:themeColor="text1"/>
          <w:sz w:val="28"/>
          <w:szCs w:val="28"/>
          <w:lang w:val="es-ES_tradnl"/>
        </w:rPr>
        <w:t xml:space="preserve"> particularmente en los argumentos contenidos en la sentencia C-371 de 2000, que realizó el control previo de constitucionalidad al proyecto de ley estatutaria sancionado como la Ley 581 de 2000. </w:t>
      </w:r>
    </w:p>
    <w:p w:rsidR="004E55A4"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p>
    <w:p w:rsidR="004E55A4"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El interviniente llam</w:t>
      </w:r>
      <w:r w:rsidRPr="0096658B">
        <w:rPr>
          <w:rFonts w:ascii="Times New Roman" w:hAnsi="Times New Roman" w:cs="Times New Roman"/>
          <w:color w:val="000000" w:themeColor="text1"/>
          <w:sz w:val="28"/>
          <w:szCs w:val="28"/>
          <w:lang w:val="es-ES_tradnl"/>
        </w:rPr>
        <w:t>ó</w:t>
      </w:r>
      <w:r w:rsidRPr="0096658B">
        <w:rPr>
          <w:rFonts w:ascii="Times New Roman" w:hAnsi="Times New Roman" w:cs="Times New Roman"/>
          <w:color w:val="000000" w:themeColor="text1"/>
          <w:sz w:val="28"/>
          <w:szCs w:val="28"/>
          <w:lang w:val="es-ES_tradnl"/>
        </w:rPr>
        <w:t xml:space="preserve"> la atención acerca del potencial pr</w:t>
      </w:r>
      <w:r w:rsidRPr="0096658B">
        <w:rPr>
          <w:rFonts w:ascii="Times New Roman" w:hAnsi="Times New Roman" w:cs="Times New Roman"/>
          <w:color w:val="000000" w:themeColor="text1"/>
          <w:sz w:val="28"/>
          <w:szCs w:val="28"/>
          <w:lang w:val="es-ES_tradnl"/>
        </w:rPr>
        <w:t>oblema de constitucionalidad que puede derivarse de la cuota de género en cargos directivos del Estado que sean impares, caso en el cual las mujeres terminarían con un número mayor de integrantes que los hombres. Con todo, considera que la ventaja que logr</w:t>
      </w:r>
      <w:r w:rsidRPr="0096658B">
        <w:rPr>
          <w:rFonts w:ascii="Times New Roman" w:hAnsi="Times New Roman" w:cs="Times New Roman"/>
          <w:color w:val="000000" w:themeColor="text1"/>
          <w:sz w:val="28"/>
          <w:szCs w:val="28"/>
          <w:lang w:val="es-ES_tradnl"/>
        </w:rPr>
        <w:t>an es marginal y, por lo mismo, no resulta desproporcionada. Sobre el mismo aspecto resalta que, a la luz de lo decidido por la Corte en la sentencia C-371 de 2000, las acciones afirmativas para las mujeres no contradicen el derecho a la igualdad de los ho</w:t>
      </w:r>
      <w:r w:rsidRPr="0096658B">
        <w:rPr>
          <w:rFonts w:ascii="Times New Roman" w:hAnsi="Times New Roman" w:cs="Times New Roman"/>
          <w:color w:val="000000" w:themeColor="text1"/>
          <w:sz w:val="28"/>
          <w:szCs w:val="28"/>
          <w:lang w:val="es-ES_tradnl"/>
        </w:rPr>
        <w:t xml:space="preserve">mbres, la prohibición de discriminación contra las mujeres, la naturaleza de los cargos de libre nombramiento y remoción, o la eficacia y eficiencia de la administración. </w:t>
      </w:r>
    </w:p>
    <w:p w:rsidR="004E55A4"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p>
    <w:p w:rsidR="00AA3A99"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 xml:space="preserve">Estas consideraciones son, en términos generales, compartidas por el Ministerio de </w:t>
      </w:r>
      <w:r w:rsidRPr="0096658B">
        <w:rPr>
          <w:rFonts w:ascii="Times New Roman" w:hAnsi="Times New Roman" w:cs="Times New Roman"/>
          <w:color w:val="000000" w:themeColor="text1"/>
          <w:sz w:val="28"/>
          <w:szCs w:val="28"/>
          <w:lang w:val="es-ES_tradnl"/>
        </w:rPr>
        <w:t>Relaciones Exteriores. Esta cartera resalt</w:t>
      </w:r>
      <w:r w:rsidRPr="0096658B">
        <w:rPr>
          <w:rFonts w:ascii="Times New Roman" w:hAnsi="Times New Roman" w:cs="Times New Roman"/>
          <w:color w:val="000000" w:themeColor="text1"/>
          <w:sz w:val="28"/>
          <w:szCs w:val="28"/>
          <w:lang w:val="es-ES_tradnl"/>
        </w:rPr>
        <w:t>ó</w:t>
      </w:r>
      <w:r w:rsidRPr="0096658B">
        <w:rPr>
          <w:rFonts w:ascii="Times New Roman" w:hAnsi="Times New Roman" w:cs="Times New Roman"/>
          <w:color w:val="000000" w:themeColor="text1"/>
          <w:sz w:val="28"/>
          <w:szCs w:val="28"/>
          <w:lang w:val="es-ES_tradnl"/>
        </w:rPr>
        <w:t>, en relación concreta con el artículo 1º, que las medidas administrativas allí previstas resultan necesarias para garantizar la participación paritaria de las mujeres en las diferentes ramas y órganos del poder p</w:t>
      </w:r>
      <w:r w:rsidRPr="0096658B">
        <w:rPr>
          <w:rFonts w:ascii="Times New Roman" w:hAnsi="Times New Roman" w:cs="Times New Roman"/>
          <w:color w:val="000000" w:themeColor="text1"/>
          <w:sz w:val="28"/>
          <w:szCs w:val="28"/>
          <w:lang w:val="es-ES_tradnl"/>
        </w:rPr>
        <w:t>úblico. Frente el artículo 2º del PLE, destac</w:t>
      </w:r>
      <w:r w:rsidRPr="0096658B">
        <w:rPr>
          <w:rFonts w:ascii="Times New Roman" w:hAnsi="Times New Roman" w:cs="Times New Roman"/>
          <w:color w:val="000000" w:themeColor="text1"/>
          <w:sz w:val="28"/>
          <w:szCs w:val="28"/>
          <w:lang w:val="es-ES_tradnl"/>
        </w:rPr>
        <w:t>ó</w:t>
      </w:r>
      <w:r w:rsidRPr="0096658B">
        <w:rPr>
          <w:rFonts w:ascii="Times New Roman" w:hAnsi="Times New Roman" w:cs="Times New Roman"/>
          <w:color w:val="000000" w:themeColor="text1"/>
          <w:sz w:val="28"/>
          <w:szCs w:val="28"/>
          <w:lang w:val="es-ES_tradnl"/>
        </w:rPr>
        <w:t xml:space="preserve"> que la inclusión del término “paritario” es también constitucional en la medida en que incide favorablemente en otorgar efectividad al derecho a la igualdad a favor de las mujeres y en el marco de las comitiva</w:t>
      </w:r>
      <w:r w:rsidRPr="0096658B">
        <w:rPr>
          <w:rFonts w:ascii="Times New Roman" w:hAnsi="Times New Roman" w:cs="Times New Roman"/>
          <w:color w:val="000000" w:themeColor="text1"/>
          <w:sz w:val="28"/>
          <w:szCs w:val="28"/>
          <w:lang w:val="es-ES_tradnl"/>
        </w:rPr>
        <w:t>s oficiales. Igual conclusión se predica del artículo 3º, pues la reforma tendiente a garantizar el 50% de participación de las mujeres en la</w:t>
      </w:r>
      <w:r w:rsidRPr="0096658B">
        <w:rPr>
          <w:rFonts w:ascii="Times New Roman" w:hAnsi="Times New Roman" w:cs="Times New Roman"/>
          <w:color w:val="000000" w:themeColor="text1"/>
          <w:sz w:val="28"/>
          <w:szCs w:val="28"/>
          <w:lang w:val="es-ES_tradnl"/>
        </w:rPr>
        <w:t>s</w:t>
      </w:r>
      <w:r w:rsidRPr="0096658B">
        <w:rPr>
          <w:rFonts w:ascii="Times New Roman" w:hAnsi="Times New Roman" w:cs="Times New Roman"/>
          <w:color w:val="000000" w:themeColor="text1"/>
          <w:sz w:val="28"/>
          <w:szCs w:val="28"/>
          <w:lang w:val="es-ES_tradnl"/>
        </w:rPr>
        <w:t xml:space="preserve"> listas que elijan cinco o más curules cumple con el mismo propósito, esta vez en el campo de la representación po</w:t>
      </w:r>
      <w:r w:rsidRPr="0096658B">
        <w:rPr>
          <w:rFonts w:ascii="Times New Roman" w:hAnsi="Times New Roman" w:cs="Times New Roman"/>
          <w:color w:val="000000" w:themeColor="text1"/>
          <w:sz w:val="28"/>
          <w:szCs w:val="28"/>
          <w:lang w:val="es-ES_tradnl"/>
        </w:rPr>
        <w:t>lítica.</w:t>
      </w:r>
    </w:p>
    <w:p w:rsidR="00AA3A99"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p>
    <w:p w:rsidR="00195F0D"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 xml:space="preserve">En referencia concreta al artículo 1º, el Ministerio de Justicia </w:t>
      </w:r>
      <w:r w:rsidRPr="0096658B">
        <w:rPr>
          <w:rFonts w:ascii="Times New Roman" w:hAnsi="Times New Roman" w:cs="Times New Roman"/>
          <w:color w:val="000000" w:themeColor="text1"/>
          <w:sz w:val="28"/>
          <w:szCs w:val="28"/>
          <w:lang w:val="es-ES_tradnl"/>
        </w:rPr>
        <w:t xml:space="preserve">puso </w:t>
      </w:r>
      <w:r w:rsidRPr="0096658B">
        <w:rPr>
          <w:rFonts w:ascii="Times New Roman" w:hAnsi="Times New Roman" w:cs="Times New Roman"/>
          <w:color w:val="000000" w:themeColor="text1"/>
          <w:sz w:val="28"/>
          <w:szCs w:val="28"/>
          <w:lang w:val="es-ES_tradnl"/>
        </w:rPr>
        <w:t xml:space="preserve">de presente que la sentencia C-371 de 2000 declaró la exequibilidad condicionada de una norma similar y en cuanto a la estipulación de niveles mínimos de participación en </w:t>
      </w:r>
      <w:r w:rsidRPr="0096658B">
        <w:rPr>
          <w:rFonts w:ascii="Times New Roman" w:hAnsi="Times New Roman" w:cs="Times New Roman"/>
          <w:color w:val="000000" w:themeColor="text1"/>
          <w:sz w:val="28"/>
          <w:szCs w:val="28"/>
          <w:lang w:val="es-ES_tradnl"/>
        </w:rPr>
        <w:t>los ni</w:t>
      </w:r>
      <w:r w:rsidRPr="0096658B">
        <w:rPr>
          <w:rFonts w:ascii="Times New Roman" w:hAnsi="Times New Roman" w:cs="Times New Roman"/>
          <w:color w:val="000000" w:themeColor="text1"/>
          <w:sz w:val="28"/>
          <w:szCs w:val="28"/>
          <w:lang w:val="es-ES_tradnl"/>
        </w:rPr>
        <w:t>veles decisorios del Estado, en el sentido de que la norma deberá aplicarse de manera paulatina y en la medida en que surjan las respectivas vacantes. Del mismo modo, en el caso de que la decisión sobre qui</w:t>
      </w:r>
      <w:r w:rsidRPr="0096658B">
        <w:rPr>
          <w:rFonts w:ascii="Times New Roman" w:hAnsi="Times New Roman" w:cs="Times New Roman"/>
          <w:color w:val="000000" w:themeColor="text1"/>
          <w:sz w:val="28"/>
          <w:szCs w:val="28"/>
          <w:lang w:val="es-ES_tradnl"/>
        </w:rPr>
        <w:t>é</w:t>
      </w:r>
      <w:r w:rsidRPr="0096658B">
        <w:rPr>
          <w:rFonts w:ascii="Times New Roman" w:hAnsi="Times New Roman" w:cs="Times New Roman"/>
          <w:color w:val="000000" w:themeColor="text1"/>
          <w:sz w:val="28"/>
          <w:szCs w:val="28"/>
          <w:lang w:val="es-ES_tradnl"/>
        </w:rPr>
        <w:t xml:space="preserve">n ocupará los cargos dependa de varias personas o entidades, se procurará que las mujeres tengan una adecuada representación conforme a la regla de selección allí prevista, sin que este sea un imperativo ineludible. </w:t>
      </w:r>
      <w:r w:rsidRPr="0096658B">
        <w:rPr>
          <w:rFonts w:ascii="Times New Roman" w:hAnsi="Times New Roman" w:cs="Times New Roman"/>
          <w:color w:val="000000" w:themeColor="text1"/>
          <w:sz w:val="28"/>
          <w:szCs w:val="28"/>
          <w:lang w:val="es-ES_tradnl"/>
        </w:rPr>
        <w:t>Idéntica advertencia fue expresada por l</w:t>
      </w:r>
      <w:r w:rsidRPr="0096658B">
        <w:rPr>
          <w:rFonts w:ascii="Times New Roman" w:hAnsi="Times New Roman" w:cs="Times New Roman"/>
          <w:color w:val="000000" w:themeColor="text1"/>
          <w:sz w:val="28"/>
          <w:szCs w:val="28"/>
          <w:lang w:val="es-ES_tradnl"/>
        </w:rPr>
        <w:t xml:space="preserve">a Defensoría del Pueblo. </w:t>
      </w:r>
    </w:p>
    <w:p w:rsidR="00195F0D"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p>
    <w:p w:rsidR="004E55A4"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La Universidad Pontificia Bolivariana consider</w:t>
      </w:r>
      <w:r w:rsidRPr="0096658B">
        <w:rPr>
          <w:rFonts w:ascii="Times New Roman" w:hAnsi="Times New Roman" w:cs="Times New Roman"/>
          <w:color w:val="000000" w:themeColor="text1"/>
          <w:sz w:val="28"/>
          <w:szCs w:val="28"/>
          <w:lang w:val="es-ES_tradnl"/>
        </w:rPr>
        <w:t>ó</w:t>
      </w:r>
      <w:r w:rsidRPr="0096658B">
        <w:rPr>
          <w:rFonts w:ascii="Times New Roman" w:hAnsi="Times New Roman" w:cs="Times New Roman"/>
          <w:color w:val="000000" w:themeColor="text1"/>
          <w:sz w:val="28"/>
          <w:szCs w:val="28"/>
          <w:lang w:val="es-ES_tradnl"/>
        </w:rPr>
        <w:t xml:space="preserve"> que la mención que el artículo 1º hace sobre la competencia del </w:t>
      </w:r>
      <w:r w:rsidRPr="0096658B">
        <w:rPr>
          <w:rFonts w:ascii="Times New Roman" w:hAnsi="Times New Roman" w:cs="Times New Roman"/>
          <w:color w:val="000000" w:themeColor="text1"/>
          <w:sz w:val="28"/>
          <w:szCs w:val="28"/>
          <w:lang w:val="es-ES_tradnl"/>
        </w:rPr>
        <w:t>p</w:t>
      </w:r>
      <w:r w:rsidRPr="0096658B">
        <w:rPr>
          <w:rFonts w:ascii="Times New Roman" w:hAnsi="Times New Roman" w:cs="Times New Roman"/>
          <w:color w:val="000000" w:themeColor="text1"/>
          <w:sz w:val="28"/>
          <w:szCs w:val="28"/>
          <w:lang w:val="es-ES_tradnl"/>
        </w:rPr>
        <w:t xml:space="preserve">residente para ejercer la potestad reglamentaria sobre esa disposición es exequible en la medida en que se trata de </w:t>
      </w:r>
      <w:r w:rsidRPr="0096658B">
        <w:rPr>
          <w:rFonts w:ascii="Times New Roman" w:hAnsi="Times New Roman" w:cs="Times New Roman"/>
          <w:color w:val="000000" w:themeColor="text1"/>
          <w:sz w:val="28"/>
          <w:szCs w:val="28"/>
          <w:lang w:val="es-ES_tradnl"/>
        </w:rPr>
        <w:t xml:space="preserve">una potestad permanente que le adscribe la Constitución. El Ministerio de Justicia concuerda en que esa previsión no tiene </w:t>
      </w:r>
      <w:r w:rsidRPr="0096658B">
        <w:rPr>
          <w:rFonts w:ascii="Times New Roman" w:hAnsi="Times New Roman" w:cs="Times New Roman"/>
          <w:color w:val="000000" w:themeColor="text1"/>
          <w:sz w:val="28"/>
          <w:szCs w:val="28"/>
          <w:lang w:val="es-ES_tradnl"/>
        </w:rPr>
        <w:t xml:space="preserve">reproche de constitucionalidad. No obstante, advierte que mientras esa reglamentación tiene lugar, la disposición tendría aplicación </w:t>
      </w:r>
      <w:r w:rsidRPr="0096658B">
        <w:rPr>
          <w:rFonts w:ascii="Times New Roman" w:hAnsi="Times New Roman" w:cs="Times New Roman"/>
          <w:color w:val="000000" w:themeColor="text1"/>
          <w:sz w:val="28"/>
          <w:szCs w:val="28"/>
          <w:lang w:val="es-ES_tradnl"/>
        </w:rPr>
        <w:t xml:space="preserve">inmediata y bajo el cumplimiento de las cautelas identificadas sobre ese asunto por la sentencia C-371 de 2000. Estas previsiones refirieron a que la definición de los cargos decisorios debe hacerse por cada entidad y de conformidad con la nomenclatura de </w:t>
      </w:r>
      <w:r w:rsidRPr="0096658B">
        <w:rPr>
          <w:rFonts w:ascii="Times New Roman" w:hAnsi="Times New Roman" w:cs="Times New Roman"/>
          <w:color w:val="000000" w:themeColor="text1"/>
          <w:sz w:val="28"/>
          <w:szCs w:val="28"/>
          <w:lang w:val="es-ES_tradnl"/>
        </w:rPr>
        <w:t xml:space="preserve">los empleos, los manuales y funciones y requisitos y las plantas de personal. </w:t>
      </w:r>
    </w:p>
    <w:p w:rsidR="00CB5112"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p>
    <w:p w:rsidR="00CB5112"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Asimismo y desde una perspectiva global, el Ministerio de Justicia consider</w:t>
      </w:r>
      <w:r w:rsidRPr="0096658B">
        <w:rPr>
          <w:rFonts w:ascii="Times New Roman" w:hAnsi="Times New Roman" w:cs="Times New Roman"/>
          <w:color w:val="000000" w:themeColor="text1"/>
          <w:sz w:val="28"/>
          <w:szCs w:val="28"/>
          <w:lang w:val="es-ES_tradnl"/>
        </w:rPr>
        <w:t>ó</w:t>
      </w:r>
      <w:r w:rsidRPr="0096658B">
        <w:rPr>
          <w:rFonts w:ascii="Times New Roman" w:hAnsi="Times New Roman" w:cs="Times New Roman"/>
          <w:color w:val="000000" w:themeColor="text1"/>
          <w:sz w:val="28"/>
          <w:szCs w:val="28"/>
          <w:lang w:val="es-ES_tradnl"/>
        </w:rPr>
        <w:t xml:space="preserve"> que el PLE no solo otorga eficacia al principio de igualdad, sino también secunda el carácter plura</w:t>
      </w:r>
      <w:r w:rsidRPr="0096658B">
        <w:rPr>
          <w:rFonts w:ascii="Times New Roman" w:hAnsi="Times New Roman" w:cs="Times New Roman"/>
          <w:color w:val="000000" w:themeColor="text1"/>
          <w:sz w:val="28"/>
          <w:szCs w:val="28"/>
          <w:lang w:val="es-ES_tradnl"/>
        </w:rPr>
        <w:t>lista del Estado al integrar a las mujeres, bajo condiciones de paridad, a los cargos y responsabilidades del Estado. En ese mismo sentido, la iniciativa garantiza los mandatos de los artículos 40 y 43 de la Constitución, referidos a la promoción de la par</w:t>
      </w:r>
      <w:r w:rsidRPr="0096658B">
        <w:rPr>
          <w:rFonts w:ascii="Times New Roman" w:hAnsi="Times New Roman" w:cs="Times New Roman"/>
          <w:color w:val="000000" w:themeColor="text1"/>
          <w:sz w:val="28"/>
          <w:szCs w:val="28"/>
          <w:lang w:val="es-ES_tradnl"/>
        </w:rPr>
        <w:t>ticipación efectiva de las mujeres</w:t>
      </w:r>
      <w:r w:rsidRPr="0096658B">
        <w:rPr>
          <w:rFonts w:ascii="Times New Roman" w:hAnsi="Times New Roman" w:cs="Times New Roman"/>
          <w:color w:val="000000" w:themeColor="text1"/>
          <w:sz w:val="28"/>
          <w:szCs w:val="28"/>
          <w:lang w:val="es-ES_tradnl"/>
        </w:rPr>
        <w:t>, así como</w:t>
      </w:r>
      <w:r w:rsidRPr="0096658B">
        <w:rPr>
          <w:rFonts w:ascii="Times New Roman" w:hAnsi="Times New Roman" w:cs="Times New Roman"/>
          <w:color w:val="000000" w:themeColor="text1"/>
          <w:sz w:val="28"/>
          <w:szCs w:val="28"/>
          <w:lang w:val="es-ES_tradnl"/>
        </w:rPr>
        <w:t xml:space="preserve"> la igualdad de derechos y oportunidades entre hombres y mujeres. Estos contenidos constitucionales se perfeccionan bajo un modelo de paridad en la participación de la gestión pública, la cual también refleja la </w:t>
      </w:r>
      <w:r w:rsidRPr="0096658B">
        <w:rPr>
          <w:rFonts w:ascii="Times New Roman" w:hAnsi="Times New Roman" w:cs="Times New Roman"/>
          <w:color w:val="000000" w:themeColor="text1"/>
          <w:sz w:val="28"/>
          <w:szCs w:val="28"/>
          <w:lang w:val="es-ES_tradnl"/>
        </w:rPr>
        <w:t>composición demográfica del país.</w:t>
      </w:r>
      <w:r w:rsidRPr="0096658B">
        <w:rPr>
          <w:rFonts w:ascii="Times New Roman" w:hAnsi="Times New Roman" w:cs="Times New Roman"/>
          <w:color w:val="000000" w:themeColor="text1"/>
          <w:sz w:val="28"/>
          <w:szCs w:val="28"/>
          <w:lang w:val="es-ES_tradnl"/>
        </w:rPr>
        <w:t xml:space="preserve"> Estas consideraciones, a su turno, son también compartidas por la Universidad Pontificia Bolivarian</w:t>
      </w:r>
      <w:r w:rsidRPr="0096658B">
        <w:rPr>
          <w:rFonts w:ascii="Times New Roman" w:hAnsi="Times New Roman" w:cs="Times New Roman"/>
          <w:color w:val="000000" w:themeColor="text1"/>
          <w:sz w:val="28"/>
          <w:szCs w:val="28"/>
          <w:lang w:val="es-ES_tradnl"/>
        </w:rPr>
        <w:t xml:space="preserve">a, quien </w:t>
      </w:r>
      <w:r w:rsidRPr="0096658B">
        <w:rPr>
          <w:rFonts w:ascii="Times New Roman" w:hAnsi="Times New Roman" w:cs="Times New Roman"/>
          <w:color w:val="000000" w:themeColor="text1"/>
          <w:sz w:val="28"/>
          <w:szCs w:val="28"/>
          <w:lang w:val="es-ES_tradnl"/>
        </w:rPr>
        <w:t xml:space="preserve">expuso </w:t>
      </w:r>
      <w:r w:rsidRPr="0096658B">
        <w:rPr>
          <w:rFonts w:ascii="Times New Roman" w:hAnsi="Times New Roman" w:cs="Times New Roman"/>
          <w:color w:val="000000" w:themeColor="text1"/>
          <w:sz w:val="28"/>
          <w:szCs w:val="28"/>
          <w:lang w:val="es-ES_tradnl"/>
        </w:rPr>
        <w:t xml:space="preserve">que la medida tiene un carácter remedial, compensador, emancipatorio y corrector, que desarrolla mandatos constitucionales y del derecho internacional. </w:t>
      </w:r>
    </w:p>
    <w:p w:rsidR="00C452D1"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p>
    <w:p w:rsidR="00F22C3E"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 xml:space="preserve">El </w:t>
      </w:r>
      <w:r w:rsidRPr="0096658B">
        <w:rPr>
          <w:rFonts w:ascii="Times New Roman" w:hAnsi="Times New Roman" w:cs="Times New Roman"/>
          <w:color w:val="000000" w:themeColor="text1"/>
          <w:sz w:val="28"/>
          <w:szCs w:val="28"/>
          <w:lang w:val="es-ES_tradnl"/>
        </w:rPr>
        <w:t>Ministerio de Justicia</w:t>
      </w:r>
      <w:r w:rsidRPr="0096658B">
        <w:rPr>
          <w:rFonts w:ascii="Times New Roman" w:hAnsi="Times New Roman" w:cs="Times New Roman"/>
          <w:color w:val="000000" w:themeColor="text1"/>
          <w:sz w:val="28"/>
          <w:szCs w:val="28"/>
          <w:lang w:val="es-ES_tradnl"/>
        </w:rPr>
        <w:t xml:space="preserve"> llam</w:t>
      </w:r>
      <w:r w:rsidRPr="0096658B">
        <w:rPr>
          <w:rFonts w:ascii="Times New Roman" w:hAnsi="Times New Roman" w:cs="Times New Roman"/>
          <w:color w:val="000000" w:themeColor="text1"/>
          <w:sz w:val="28"/>
          <w:szCs w:val="28"/>
          <w:lang w:val="es-ES_tradnl"/>
        </w:rPr>
        <w:t xml:space="preserve">ó </w:t>
      </w:r>
      <w:r w:rsidRPr="0096658B">
        <w:rPr>
          <w:rFonts w:ascii="Times New Roman" w:hAnsi="Times New Roman" w:cs="Times New Roman"/>
          <w:color w:val="000000" w:themeColor="text1"/>
          <w:sz w:val="28"/>
          <w:szCs w:val="28"/>
          <w:lang w:val="es-ES_tradnl"/>
        </w:rPr>
        <w:t>la atención, fundado en la exposición de motivos, en que si bien con e</w:t>
      </w:r>
      <w:r w:rsidRPr="0096658B">
        <w:rPr>
          <w:rFonts w:ascii="Times New Roman" w:hAnsi="Times New Roman" w:cs="Times New Roman"/>
          <w:color w:val="000000" w:themeColor="text1"/>
          <w:sz w:val="28"/>
          <w:szCs w:val="28"/>
          <w:lang w:val="es-ES_tradnl"/>
        </w:rPr>
        <w:t>l porcentaje mínimo de participación anterior del 30% se lograron avances significativos, aún persiste la brecha de participación en contra de las mujeres</w:t>
      </w:r>
      <w:r w:rsidRPr="0096658B">
        <w:rPr>
          <w:rFonts w:ascii="Times New Roman" w:hAnsi="Times New Roman" w:cs="Times New Roman"/>
          <w:color w:val="000000" w:themeColor="text1"/>
          <w:sz w:val="28"/>
          <w:szCs w:val="28"/>
          <w:lang w:val="es-ES_tradnl"/>
        </w:rPr>
        <w:t>. A su juicio, esto</w:t>
      </w:r>
      <w:r w:rsidRPr="0096658B">
        <w:rPr>
          <w:rFonts w:ascii="Times New Roman" w:hAnsi="Times New Roman" w:cs="Times New Roman"/>
          <w:color w:val="000000" w:themeColor="text1"/>
          <w:sz w:val="28"/>
          <w:szCs w:val="28"/>
          <w:lang w:val="es-ES_tradnl"/>
        </w:rPr>
        <w:t xml:space="preserve"> justifica avanzar hacia un modelo paritario que, a su turno, reconozca las capacid</w:t>
      </w:r>
      <w:r w:rsidRPr="0096658B">
        <w:rPr>
          <w:rFonts w:ascii="Times New Roman" w:hAnsi="Times New Roman" w:cs="Times New Roman"/>
          <w:color w:val="000000" w:themeColor="text1"/>
          <w:sz w:val="28"/>
          <w:szCs w:val="28"/>
          <w:lang w:val="es-ES_tradnl"/>
        </w:rPr>
        <w:t>ades de la</w:t>
      </w:r>
      <w:r w:rsidRPr="0096658B">
        <w:rPr>
          <w:rFonts w:ascii="Times New Roman" w:hAnsi="Times New Roman" w:cs="Times New Roman"/>
          <w:color w:val="000000" w:themeColor="text1"/>
          <w:sz w:val="28"/>
          <w:szCs w:val="28"/>
          <w:lang w:val="es-ES_tradnl"/>
        </w:rPr>
        <w:t>s</w:t>
      </w:r>
      <w:r w:rsidRPr="0096658B">
        <w:rPr>
          <w:rFonts w:ascii="Times New Roman" w:hAnsi="Times New Roman" w:cs="Times New Roman"/>
          <w:color w:val="000000" w:themeColor="text1"/>
          <w:sz w:val="28"/>
          <w:szCs w:val="28"/>
          <w:lang w:val="es-ES_tradnl"/>
        </w:rPr>
        <w:t xml:space="preserve"> mujeres y bajo un enfoque de género en el diseño y ejecución de las políticas públicas. Este modelo paritario, además del impacto práctico y material que genera en la administración del Estado, también tiene uno de carácter simbólico </w:t>
      </w:r>
      <w:r w:rsidRPr="0096658B">
        <w:rPr>
          <w:rFonts w:ascii="Times New Roman" w:hAnsi="Times New Roman" w:cs="Times New Roman"/>
          <w:color w:val="000000" w:themeColor="text1"/>
          <w:sz w:val="28"/>
          <w:szCs w:val="28"/>
          <w:lang w:val="es-ES_tradnl"/>
        </w:rPr>
        <w:t>representa</w:t>
      </w:r>
      <w:r w:rsidRPr="0096658B">
        <w:rPr>
          <w:rFonts w:ascii="Times New Roman" w:hAnsi="Times New Roman" w:cs="Times New Roman"/>
          <w:color w:val="000000" w:themeColor="text1"/>
          <w:sz w:val="28"/>
          <w:szCs w:val="28"/>
          <w:lang w:val="es-ES_tradnl"/>
        </w:rPr>
        <w:t xml:space="preserve">do en la incidencia cultural sobre la persistencia de la discriminación y la necesidad de asegurar la participación amplia de las mujeres. </w:t>
      </w:r>
      <w:r w:rsidRPr="0096658B">
        <w:rPr>
          <w:rFonts w:ascii="Times New Roman" w:hAnsi="Times New Roman" w:cs="Times New Roman"/>
          <w:color w:val="000000" w:themeColor="text1"/>
          <w:sz w:val="28"/>
          <w:szCs w:val="28"/>
          <w:lang w:val="es-ES_tradnl"/>
        </w:rPr>
        <w:t xml:space="preserve"> </w:t>
      </w:r>
    </w:p>
    <w:p w:rsidR="00F22C3E"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p>
    <w:p w:rsidR="00257A95"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 xml:space="preserve">La misma posición </w:t>
      </w:r>
      <w:r w:rsidRPr="0096658B">
        <w:rPr>
          <w:rFonts w:ascii="Times New Roman" w:hAnsi="Times New Roman" w:cs="Times New Roman"/>
          <w:color w:val="000000" w:themeColor="text1"/>
          <w:sz w:val="28"/>
          <w:szCs w:val="28"/>
          <w:lang w:val="es-ES_tradnl"/>
        </w:rPr>
        <w:t xml:space="preserve">fue </w:t>
      </w:r>
      <w:r w:rsidRPr="0096658B">
        <w:rPr>
          <w:rFonts w:ascii="Times New Roman" w:hAnsi="Times New Roman" w:cs="Times New Roman"/>
          <w:color w:val="000000" w:themeColor="text1"/>
          <w:sz w:val="28"/>
          <w:szCs w:val="28"/>
          <w:lang w:val="es-ES_tradnl"/>
        </w:rPr>
        <w:t>expresada por la Comisión Colombiana de Juristas</w:t>
      </w:r>
      <w:r w:rsidRPr="0096658B">
        <w:rPr>
          <w:rFonts w:ascii="Times New Roman" w:hAnsi="Times New Roman" w:cs="Times New Roman"/>
          <w:color w:val="000000" w:themeColor="text1"/>
          <w:sz w:val="28"/>
          <w:szCs w:val="28"/>
          <w:lang w:val="es-ES_tradnl"/>
        </w:rPr>
        <w:t>. A</w:t>
      </w:r>
      <w:r w:rsidRPr="0096658B">
        <w:rPr>
          <w:rFonts w:ascii="Times New Roman" w:hAnsi="Times New Roman" w:cs="Times New Roman"/>
          <w:color w:val="000000" w:themeColor="text1"/>
          <w:sz w:val="28"/>
          <w:szCs w:val="28"/>
          <w:lang w:val="es-ES_tradnl"/>
        </w:rPr>
        <w:t xml:space="preserve"> partir de investigaciones sobre la mater</w:t>
      </w:r>
      <w:r w:rsidRPr="0096658B">
        <w:rPr>
          <w:rFonts w:ascii="Times New Roman" w:hAnsi="Times New Roman" w:cs="Times New Roman"/>
          <w:color w:val="000000" w:themeColor="text1"/>
          <w:sz w:val="28"/>
          <w:szCs w:val="28"/>
          <w:lang w:val="es-ES_tradnl"/>
        </w:rPr>
        <w:t>ia</w:t>
      </w:r>
      <w:r w:rsidRPr="0096658B">
        <w:rPr>
          <w:rFonts w:ascii="Times New Roman" w:hAnsi="Times New Roman" w:cs="Times New Roman"/>
          <w:color w:val="000000" w:themeColor="text1"/>
          <w:sz w:val="28"/>
          <w:szCs w:val="28"/>
          <w:lang w:val="es-ES_tradnl"/>
        </w:rPr>
        <w:t>, explicó</w:t>
      </w:r>
      <w:r w:rsidRPr="0096658B">
        <w:rPr>
          <w:rFonts w:ascii="Times New Roman" w:hAnsi="Times New Roman" w:cs="Times New Roman"/>
          <w:color w:val="000000" w:themeColor="text1"/>
          <w:sz w:val="28"/>
          <w:szCs w:val="28"/>
          <w:lang w:val="es-ES_tradnl"/>
        </w:rPr>
        <w:t xml:space="preserve"> que, aunque existen avances derivados de la implementación de la legislación existen</w:t>
      </w:r>
      <w:r w:rsidRPr="0096658B">
        <w:rPr>
          <w:rFonts w:ascii="Times New Roman" w:hAnsi="Times New Roman" w:cs="Times New Roman"/>
          <w:color w:val="000000" w:themeColor="text1"/>
          <w:sz w:val="28"/>
          <w:szCs w:val="28"/>
          <w:lang w:val="es-ES_tradnl"/>
        </w:rPr>
        <w:t>te</w:t>
      </w:r>
      <w:r w:rsidRPr="0096658B">
        <w:rPr>
          <w:rFonts w:ascii="Times New Roman" w:hAnsi="Times New Roman" w:cs="Times New Roman"/>
          <w:color w:val="000000" w:themeColor="text1"/>
          <w:sz w:val="28"/>
          <w:szCs w:val="28"/>
          <w:lang w:val="es-ES_tradnl"/>
        </w:rPr>
        <w:t xml:space="preserve"> sobre cuotas</w:t>
      </w:r>
      <w:r w:rsidRPr="0096658B">
        <w:rPr>
          <w:rFonts w:ascii="Times New Roman" w:hAnsi="Times New Roman" w:cs="Times New Roman"/>
          <w:color w:val="000000" w:themeColor="text1"/>
          <w:sz w:val="28"/>
          <w:szCs w:val="28"/>
          <w:lang w:val="es-ES_tradnl"/>
        </w:rPr>
        <w:t>,</w:t>
      </w:r>
      <w:r w:rsidRPr="0096658B">
        <w:rPr>
          <w:rFonts w:ascii="Times New Roman" w:hAnsi="Times New Roman" w:cs="Times New Roman"/>
          <w:color w:val="000000" w:themeColor="text1"/>
          <w:sz w:val="28"/>
          <w:szCs w:val="28"/>
          <w:lang w:val="es-ES_tradnl"/>
        </w:rPr>
        <w:t xml:space="preserve"> “ciertos patrones culturales patriarcales han perpetuado la distribución desigual del poder político entre hombres y mujeres. Las leyes de cuotas como mecanismo para aumentar la presencia de mujeres no son suficientes para garantizar el cambio de las estr</w:t>
      </w:r>
      <w:r w:rsidRPr="0096658B">
        <w:rPr>
          <w:rFonts w:ascii="Times New Roman" w:hAnsi="Times New Roman" w:cs="Times New Roman"/>
          <w:color w:val="000000" w:themeColor="text1"/>
          <w:sz w:val="28"/>
          <w:szCs w:val="28"/>
          <w:lang w:val="es-ES_tradnl"/>
        </w:rPr>
        <w:t xml:space="preserve">ucturas políticas tradicionalmente masculinas ni la representación real y efectiva de las mujeres. Además, su aplicación en las instancias públicas y privadas </w:t>
      </w:r>
      <w:r w:rsidRPr="0096658B">
        <w:rPr>
          <w:rFonts w:ascii="Times New Roman" w:hAnsi="Times New Roman" w:cs="Times New Roman"/>
          <w:color w:val="000000" w:themeColor="text1"/>
          <w:sz w:val="28"/>
          <w:szCs w:val="28"/>
          <w:lang w:val="es-ES_tradnl"/>
        </w:rPr>
        <w:t>es un límite mínimo y no uno máximo, pues son remedios transitorios que no son suficientes para s</w:t>
      </w:r>
      <w:r w:rsidRPr="0096658B">
        <w:rPr>
          <w:rFonts w:ascii="Times New Roman" w:hAnsi="Times New Roman" w:cs="Times New Roman"/>
          <w:color w:val="000000" w:themeColor="text1"/>
          <w:sz w:val="28"/>
          <w:szCs w:val="28"/>
          <w:lang w:val="es-ES_tradnl"/>
        </w:rPr>
        <w:t>uperar la brecha de género existente”</w:t>
      </w:r>
      <w:r w:rsidRPr="0096658B">
        <w:rPr>
          <w:rStyle w:val="Refdenotaalpie"/>
          <w:rFonts w:ascii="Times New Roman" w:hAnsi="Times New Roman"/>
          <w:color w:val="000000" w:themeColor="text1"/>
          <w:sz w:val="28"/>
          <w:szCs w:val="28"/>
          <w:lang w:val="es-ES_tradnl"/>
        </w:rPr>
        <w:footnoteReference w:id="8"/>
      </w:r>
      <w:r w:rsidRPr="0096658B">
        <w:rPr>
          <w:rFonts w:ascii="Times New Roman" w:hAnsi="Times New Roman" w:cs="Times New Roman"/>
          <w:color w:val="000000" w:themeColor="text1"/>
          <w:sz w:val="28"/>
          <w:szCs w:val="28"/>
          <w:lang w:val="es-ES_tradnl"/>
        </w:rPr>
        <w:t>.</w:t>
      </w:r>
    </w:p>
    <w:p w:rsidR="0098503E"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p>
    <w:p w:rsidR="00257A95"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 xml:space="preserve">Sobre este mismo aspecto, la Universidad Pontificia Bolivariana </w:t>
      </w:r>
      <w:r w:rsidRPr="0096658B">
        <w:rPr>
          <w:rFonts w:ascii="Times New Roman" w:hAnsi="Times New Roman" w:cs="Times New Roman"/>
          <w:color w:val="000000" w:themeColor="text1"/>
          <w:sz w:val="28"/>
          <w:szCs w:val="28"/>
          <w:lang w:val="es-ES_tradnl"/>
        </w:rPr>
        <w:t>señal</w:t>
      </w:r>
      <w:r w:rsidRPr="0096658B">
        <w:rPr>
          <w:rFonts w:ascii="Times New Roman" w:hAnsi="Times New Roman" w:cs="Times New Roman"/>
          <w:color w:val="000000" w:themeColor="text1"/>
          <w:sz w:val="28"/>
          <w:szCs w:val="28"/>
          <w:lang w:val="es-ES_tradnl"/>
        </w:rPr>
        <w:t>ó</w:t>
      </w:r>
      <w:r w:rsidRPr="0096658B">
        <w:rPr>
          <w:rFonts w:ascii="Times New Roman" w:hAnsi="Times New Roman" w:cs="Times New Roman"/>
          <w:color w:val="000000" w:themeColor="text1"/>
          <w:sz w:val="28"/>
          <w:szCs w:val="28"/>
          <w:lang w:val="es-ES_tradnl"/>
        </w:rPr>
        <w:t xml:space="preserve"> que la jurisprudencia constitucional, en particular lo expresado por la Corte en la sentencia C-490 de 2011</w:t>
      </w:r>
      <w:r w:rsidRPr="0096658B">
        <w:rPr>
          <w:rFonts w:ascii="Times New Roman" w:hAnsi="Times New Roman" w:cs="Times New Roman"/>
          <w:color w:val="000000" w:themeColor="text1"/>
          <w:sz w:val="28"/>
          <w:szCs w:val="28"/>
          <w:lang w:val="es-ES_tradnl"/>
        </w:rPr>
        <w:t>, ha considerado que la determinación</w:t>
      </w:r>
      <w:r w:rsidRPr="0096658B">
        <w:rPr>
          <w:rFonts w:ascii="Times New Roman" w:hAnsi="Times New Roman" w:cs="Times New Roman"/>
          <w:color w:val="000000" w:themeColor="text1"/>
          <w:sz w:val="28"/>
          <w:szCs w:val="28"/>
          <w:lang w:val="es-ES_tradnl"/>
        </w:rPr>
        <w:t xml:space="preserve"> de porcentajes mínimos de participación de las mujeres en las listas para corporaciones públicas no limita</w:t>
      </w:r>
      <w:r w:rsidRPr="0096658B">
        <w:rPr>
          <w:rFonts w:ascii="Times New Roman" w:hAnsi="Times New Roman" w:cs="Times New Roman"/>
          <w:color w:val="000000" w:themeColor="text1"/>
          <w:sz w:val="28"/>
          <w:szCs w:val="28"/>
          <w:lang w:val="es-ES_tradnl"/>
        </w:rPr>
        <w:t>, de manera desproporcionada,</w:t>
      </w:r>
      <w:r w:rsidRPr="0096658B">
        <w:rPr>
          <w:rFonts w:ascii="Times New Roman" w:hAnsi="Times New Roman" w:cs="Times New Roman"/>
          <w:color w:val="000000" w:themeColor="text1"/>
          <w:sz w:val="28"/>
          <w:szCs w:val="28"/>
          <w:lang w:val="es-ES_tradnl"/>
        </w:rPr>
        <w:t xml:space="preserve"> las competencias de los partidos y movimientos políticos. Esto debido a</w:t>
      </w:r>
      <w:r w:rsidRPr="0096658B">
        <w:rPr>
          <w:rFonts w:ascii="Times New Roman" w:hAnsi="Times New Roman" w:cs="Times New Roman"/>
          <w:color w:val="000000" w:themeColor="text1"/>
          <w:sz w:val="28"/>
          <w:szCs w:val="28"/>
          <w:lang w:val="es-ES_tradnl"/>
        </w:rPr>
        <w:t xml:space="preserve"> que</w:t>
      </w:r>
      <w:r w:rsidRPr="0096658B">
        <w:rPr>
          <w:rFonts w:ascii="Times New Roman" w:hAnsi="Times New Roman" w:cs="Times New Roman"/>
          <w:color w:val="000000" w:themeColor="text1"/>
          <w:sz w:val="28"/>
          <w:szCs w:val="28"/>
          <w:lang w:val="es-ES_tradnl"/>
        </w:rPr>
        <w:t xml:space="preserve"> dichas agrupaciones conservan su plena competencia para </w:t>
      </w:r>
      <w:r w:rsidRPr="0096658B">
        <w:rPr>
          <w:rFonts w:ascii="Times New Roman" w:hAnsi="Times New Roman" w:cs="Times New Roman"/>
          <w:color w:val="000000" w:themeColor="text1"/>
          <w:sz w:val="28"/>
          <w:szCs w:val="28"/>
          <w:lang w:val="es-ES_tradnl"/>
        </w:rPr>
        <w:t xml:space="preserve">definir, mediante procedimientos democráticos, sus candidatos para las corporaciones públicas y bajo un criterio de participación paritaria entre hombres y mujeres. </w:t>
      </w:r>
    </w:p>
    <w:p w:rsidR="00C111CC"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p>
    <w:p w:rsidR="00275DD5" w:rsidRPr="0096658B" w:rsidRDefault="0096658B" w:rsidP="0098503E">
      <w:pPr>
        <w:pStyle w:val="Style1"/>
        <w:widowControl/>
        <w:ind w:right="5"/>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 xml:space="preserve">Tanto la Universidad Libre como </w:t>
      </w:r>
      <w:r w:rsidRPr="0096658B">
        <w:rPr>
          <w:rFonts w:ascii="Times New Roman" w:hAnsi="Times New Roman" w:cs="Times New Roman"/>
          <w:color w:val="000000" w:themeColor="text1"/>
          <w:sz w:val="28"/>
          <w:szCs w:val="28"/>
          <w:lang w:val="es-ES_tradnl"/>
        </w:rPr>
        <w:t>la Comisión Colombiana de Juristas formula</w:t>
      </w:r>
      <w:r w:rsidRPr="0096658B">
        <w:rPr>
          <w:rFonts w:ascii="Times New Roman" w:hAnsi="Times New Roman" w:cs="Times New Roman"/>
          <w:color w:val="000000" w:themeColor="text1"/>
          <w:sz w:val="28"/>
          <w:szCs w:val="28"/>
          <w:lang w:val="es-ES_tradnl"/>
        </w:rPr>
        <w:t>ron</w:t>
      </w:r>
      <w:r w:rsidRPr="0096658B">
        <w:rPr>
          <w:rFonts w:ascii="Times New Roman" w:hAnsi="Times New Roman" w:cs="Times New Roman"/>
          <w:color w:val="000000" w:themeColor="text1"/>
          <w:sz w:val="28"/>
          <w:szCs w:val="28"/>
          <w:lang w:val="es-ES_tradnl"/>
        </w:rPr>
        <w:t xml:space="preserve"> ante la Corte extensa</w:t>
      </w:r>
      <w:r w:rsidRPr="0096658B">
        <w:rPr>
          <w:rFonts w:ascii="Times New Roman" w:hAnsi="Times New Roman" w:cs="Times New Roman"/>
          <w:color w:val="000000" w:themeColor="text1"/>
          <w:sz w:val="28"/>
          <w:szCs w:val="28"/>
          <w:lang w:val="es-ES_tradnl"/>
        </w:rPr>
        <w:t>s</w:t>
      </w:r>
      <w:r w:rsidRPr="0096658B">
        <w:rPr>
          <w:rFonts w:ascii="Times New Roman" w:hAnsi="Times New Roman" w:cs="Times New Roman"/>
          <w:color w:val="000000" w:themeColor="text1"/>
          <w:sz w:val="28"/>
          <w:szCs w:val="28"/>
          <w:lang w:val="es-ES_tradnl"/>
        </w:rPr>
        <w:t xml:space="preserve"> consideraciones históricas y doctrinales que explican los fundamentos sobre la discriminación que han sufrido las mujeres en diversos ámbitos, entre ellos el de participación política y e</w:t>
      </w:r>
      <w:r w:rsidRPr="0096658B">
        <w:rPr>
          <w:rFonts w:ascii="Times New Roman" w:hAnsi="Times New Roman" w:cs="Times New Roman"/>
          <w:color w:val="000000" w:themeColor="text1"/>
          <w:sz w:val="28"/>
          <w:szCs w:val="28"/>
          <w:lang w:val="es-ES_tradnl"/>
        </w:rPr>
        <w:t>n la gestión pública.</w:t>
      </w:r>
      <w:r w:rsidRPr="0096658B">
        <w:rPr>
          <w:rFonts w:ascii="Times New Roman" w:hAnsi="Times New Roman" w:cs="Times New Roman"/>
          <w:color w:val="000000" w:themeColor="text1"/>
          <w:sz w:val="28"/>
          <w:szCs w:val="28"/>
          <w:lang w:val="es-ES_tradnl"/>
        </w:rPr>
        <w:t xml:space="preserve"> Ambos intervinientes </w:t>
      </w:r>
      <w:r w:rsidRPr="0096658B">
        <w:rPr>
          <w:rFonts w:ascii="Times New Roman" w:hAnsi="Times New Roman" w:cs="Times New Roman"/>
          <w:color w:val="000000" w:themeColor="text1"/>
          <w:sz w:val="28"/>
          <w:szCs w:val="28"/>
          <w:lang w:val="es-ES_tradnl"/>
        </w:rPr>
        <w:t xml:space="preserve">insistieron </w:t>
      </w:r>
      <w:r w:rsidRPr="0096658B">
        <w:rPr>
          <w:rFonts w:ascii="Times New Roman" w:hAnsi="Times New Roman" w:cs="Times New Roman"/>
          <w:color w:val="000000" w:themeColor="text1"/>
          <w:sz w:val="28"/>
          <w:szCs w:val="28"/>
          <w:lang w:val="es-ES_tradnl"/>
        </w:rPr>
        <w:t>en que, si bien existen algunos avances, los niveles de participación de la</w:t>
      </w:r>
      <w:r w:rsidRPr="0096658B">
        <w:rPr>
          <w:rFonts w:ascii="Times New Roman" w:hAnsi="Times New Roman" w:cs="Times New Roman"/>
          <w:color w:val="000000" w:themeColor="text1"/>
          <w:sz w:val="28"/>
          <w:szCs w:val="28"/>
          <w:lang w:val="es-ES_tradnl"/>
        </w:rPr>
        <w:t>s</w:t>
      </w:r>
      <w:r w:rsidRPr="0096658B">
        <w:rPr>
          <w:rFonts w:ascii="Times New Roman" w:hAnsi="Times New Roman" w:cs="Times New Roman"/>
          <w:color w:val="000000" w:themeColor="text1"/>
          <w:sz w:val="28"/>
          <w:szCs w:val="28"/>
          <w:lang w:val="es-ES_tradnl"/>
        </w:rPr>
        <w:t xml:space="preserve"> mujer</w:t>
      </w:r>
      <w:r w:rsidRPr="0096658B">
        <w:rPr>
          <w:rFonts w:ascii="Times New Roman" w:hAnsi="Times New Roman" w:cs="Times New Roman"/>
          <w:color w:val="000000" w:themeColor="text1"/>
          <w:sz w:val="28"/>
          <w:szCs w:val="28"/>
          <w:lang w:val="es-ES_tradnl"/>
        </w:rPr>
        <w:t>es</w:t>
      </w:r>
      <w:r w:rsidRPr="0096658B">
        <w:rPr>
          <w:rFonts w:ascii="Times New Roman" w:hAnsi="Times New Roman" w:cs="Times New Roman"/>
          <w:color w:val="000000" w:themeColor="text1"/>
          <w:sz w:val="28"/>
          <w:szCs w:val="28"/>
          <w:lang w:val="es-ES_tradnl"/>
        </w:rPr>
        <w:t xml:space="preserve"> siguen siendo limitados e, incluso, marginales en determinados cargos.</w:t>
      </w:r>
      <w:r w:rsidRPr="0096658B">
        <w:rPr>
          <w:rFonts w:ascii="Times New Roman" w:hAnsi="Times New Roman" w:cs="Times New Roman"/>
          <w:color w:val="000000" w:themeColor="text1"/>
          <w:sz w:val="28"/>
          <w:szCs w:val="28"/>
          <w:lang w:val="es-ES_tradnl"/>
        </w:rPr>
        <w:t xml:space="preserve"> </w:t>
      </w:r>
      <w:r w:rsidRPr="0096658B">
        <w:rPr>
          <w:rFonts w:ascii="Times New Roman" w:hAnsi="Times New Roman" w:cs="Times New Roman"/>
          <w:color w:val="000000" w:themeColor="text1"/>
          <w:sz w:val="28"/>
          <w:szCs w:val="28"/>
          <w:lang w:val="es-ES_tradnl"/>
        </w:rPr>
        <w:t>Igualmente, sost</w:t>
      </w:r>
      <w:r w:rsidRPr="0096658B">
        <w:rPr>
          <w:rFonts w:ascii="Times New Roman" w:hAnsi="Times New Roman" w:cs="Times New Roman"/>
          <w:color w:val="000000" w:themeColor="text1"/>
          <w:sz w:val="28"/>
          <w:szCs w:val="28"/>
          <w:lang w:val="es-ES_tradnl"/>
        </w:rPr>
        <w:t>uvieron</w:t>
      </w:r>
      <w:r w:rsidRPr="0096658B">
        <w:rPr>
          <w:rFonts w:ascii="Times New Roman" w:hAnsi="Times New Roman" w:cs="Times New Roman"/>
          <w:color w:val="000000" w:themeColor="text1"/>
          <w:sz w:val="28"/>
          <w:szCs w:val="28"/>
          <w:lang w:val="es-ES_tradnl"/>
        </w:rPr>
        <w:t xml:space="preserve"> que</w:t>
      </w:r>
      <w:r w:rsidRPr="0096658B">
        <w:rPr>
          <w:rFonts w:ascii="Times New Roman" w:hAnsi="Times New Roman" w:cs="Times New Roman"/>
          <w:color w:val="000000" w:themeColor="text1"/>
          <w:sz w:val="28"/>
          <w:szCs w:val="28"/>
          <w:lang w:val="es-ES_tradnl"/>
        </w:rPr>
        <w:t>,</w:t>
      </w:r>
      <w:r w:rsidRPr="0096658B">
        <w:rPr>
          <w:rFonts w:ascii="Times New Roman" w:hAnsi="Times New Roman" w:cs="Times New Roman"/>
          <w:color w:val="000000" w:themeColor="text1"/>
          <w:sz w:val="28"/>
          <w:szCs w:val="28"/>
          <w:lang w:val="es-ES_tradnl"/>
        </w:rPr>
        <w:t xml:space="preserve"> aunque las medid</w:t>
      </w:r>
      <w:r w:rsidRPr="0096658B">
        <w:rPr>
          <w:rFonts w:ascii="Times New Roman" w:hAnsi="Times New Roman" w:cs="Times New Roman"/>
          <w:color w:val="000000" w:themeColor="text1"/>
          <w:sz w:val="28"/>
          <w:szCs w:val="28"/>
          <w:lang w:val="es-ES_tradnl"/>
        </w:rPr>
        <w:t>as contenidas en el PLE no son suficientes para superar los diferentes escenarios de discriminación en contra de las mujeres, en todo caso resultan centrales para transformar sus condiciones de injusticia económica y reconocimiento. Ello a través de una pa</w:t>
      </w:r>
      <w:r w:rsidRPr="0096658B">
        <w:rPr>
          <w:rFonts w:ascii="Times New Roman" w:hAnsi="Times New Roman" w:cs="Times New Roman"/>
          <w:color w:val="000000" w:themeColor="text1"/>
          <w:sz w:val="28"/>
          <w:szCs w:val="28"/>
          <w:lang w:val="es-ES_tradnl"/>
        </w:rPr>
        <w:t xml:space="preserve">rticipación suficiente en el espacio político, que a su vez redunda en el fortalecimiento del sistema democrático. </w:t>
      </w:r>
    </w:p>
    <w:p w:rsidR="00275DD5" w:rsidRPr="0096658B" w:rsidRDefault="0096658B" w:rsidP="0098503E">
      <w:pPr>
        <w:pStyle w:val="Style1"/>
        <w:widowControl/>
        <w:ind w:right="5"/>
        <w:jc w:val="both"/>
        <w:rPr>
          <w:rFonts w:ascii="Times New Roman" w:hAnsi="Times New Roman" w:cs="Times New Roman"/>
          <w:color w:val="000000" w:themeColor="text1"/>
          <w:sz w:val="28"/>
          <w:szCs w:val="28"/>
          <w:lang w:val="es-ES_tradnl"/>
        </w:rPr>
      </w:pPr>
    </w:p>
    <w:p w:rsidR="0098503E" w:rsidRPr="0096658B" w:rsidRDefault="0096658B" w:rsidP="0098503E">
      <w:pPr>
        <w:pStyle w:val="Style1"/>
        <w:widowControl/>
        <w:ind w:right="5"/>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Al respecto, la senadora Angélica Lozano Correa, quien fue una de las autoras del PLE, p</w:t>
      </w:r>
      <w:r w:rsidRPr="0096658B">
        <w:rPr>
          <w:rFonts w:ascii="Times New Roman" w:hAnsi="Times New Roman" w:cs="Times New Roman"/>
          <w:color w:val="000000" w:themeColor="text1"/>
          <w:sz w:val="28"/>
          <w:szCs w:val="28"/>
          <w:lang w:val="es-ES_tradnl"/>
        </w:rPr>
        <w:t>uso</w:t>
      </w:r>
      <w:r w:rsidRPr="0096658B">
        <w:rPr>
          <w:rFonts w:ascii="Times New Roman" w:hAnsi="Times New Roman" w:cs="Times New Roman"/>
          <w:color w:val="000000" w:themeColor="text1"/>
          <w:sz w:val="28"/>
          <w:szCs w:val="28"/>
          <w:lang w:val="es-ES_tradnl"/>
        </w:rPr>
        <w:t xml:space="preserve"> de presente que, de acuerdo con los datos suministrados por el Departamento Administrativo de la Función Pública, la participación de las mujeres en los cargos de máximo nivel decisorio</w:t>
      </w:r>
      <w:r w:rsidRPr="0096658B">
        <w:rPr>
          <w:rFonts w:ascii="Times New Roman" w:hAnsi="Times New Roman" w:cs="Times New Roman"/>
          <w:color w:val="000000" w:themeColor="text1"/>
          <w:sz w:val="28"/>
          <w:szCs w:val="28"/>
          <w:lang w:val="es-ES_tradnl"/>
        </w:rPr>
        <w:t xml:space="preserve"> (</w:t>
      </w:r>
      <w:r w:rsidRPr="0096658B">
        <w:rPr>
          <w:rFonts w:ascii="Times New Roman" w:hAnsi="Times New Roman" w:cs="Times New Roman"/>
          <w:color w:val="000000" w:themeColor="text1"/>
          <w:sz w:val="28"/>
          <w:szCs w:val="28"/>
          <w:lang w:val="es-ES_tradnl"/>
        </w:rPr>
        <w:t>CMND</w:t>
      </w:r>
      <w:r w:rsidRPr="0096658B">
        <w:rPr>
          <w:rFonts w:ascii="Times New Roman" w:hAnsi="Times New Roman" w:cs="Times New Roman"/>
          <w:color w:val="000000" w:themeColor="text1"/>
          <w:sz w:val="28"/>
          <w:szCs w:val="28"/>
          <w:lang w:val="es-ES_tradnl"/>
        </w:rPr>
        <w:t>)</w:t>
      </w:r>
      <w:r w:rsidRPr="0096658B">
        <w:rPr>
          <w:rFonts w:ascii="Times New Roman" w:hAnsi="Times New Roman" w:cs="Times New Roman"/>
          <w:color w:val="000000" w:themeColor="text1"/>
          <w:sz w:val="28"/>
          <w:szCs w:val="28"/>
          <w:lang w:val="es-ES_tradnl"/>
        </w:rPr>
        <w:t xml:space="preserve"> dentro de la Rama Ejecutiva</w:t>
      </w:r>
      <w:r w:rsidRPr="0096658B">
        <w:rPr>
          <w:rFonts w:ascii="Times New Roman" w:hAnsi="Times New Roman" w:cs="Times New Roman"/>
          <w:color w:val="000000" w:themeColor="text1"/>
          <w:sz w:val="28"/>
          <w:szCs w:val="28"/>
          <w:lang w:val="es-ES_tradnl"/>
        </w:rPr>
        <w:t>, dependiendo del nivel de la admin</w:t>
      </w:r>
      <w:r w:rsidRPr="0096658B">
        <w:rPr>
          <w:rFonts w:ascii="Times New Roman" w:hAnsi="Times New Roman" w:cs="Times New Roman"/>
          <w:color w:val="000000" w:themeColor="text1"/>
          <w:sz w:val="28"/>
          <w:szCs w:val="28"/>
          <w:lang w:val="es-ES_tradnl"/>
        </w:rPr>
        <w:t xml:space="preserve">istración, </w:t>
      </w:r>
      <w:r w:rsidRPr="0096658B">
        <w:rPr>
          <w:rFonts w:ascii="Times New Roman" w:hAnsi="Times New Roman" w:cs="Times New Roman"/>
          <w:color w:val="000000" w:themeColor="text1"/>
          <w:sz w:val="28"/>
          <w:szCs w:val="28"/>
          <w:lang w:val="es-ES_tradnl"/>
        </w:rPr>
        <w:t xml:space="preserve">oscila </w:t>
      </w:r>
      <w:r w:rsidRPr="0096658B">
        <w:rPr>
          <w:rFonts w:ascii="Times New Roman" w:hAnsi="Times New Roman" w:cs="Times New Roman"/>
          <w:color w:val="000000" w:themeColor="text1"/>
          <w:sz w:val="28"/>
          <w:szCs w:val="28"/>
          <w:lang w:val="es-ES_tradnl"/>
        </w:rPr>
        <w:t>entre el 40% y el 48%</w:t>
      </w:r>
      <w:r w:rsidRPr="0096658B">
        <w:rPr>
          <w:rFonts w:ascii="Times New Roman" w:hAnsi="Times New Roman" w:cs="Times New Roman"/>
          <w:color w:val="000000" w:themeColor="text1"/>
          <w:sz w:val="28"/>
          <w:szCs w:val="28"/>
          <w:lang w:val="es-ES_tradnl"/>
        </w:rPr>
        <w:t xml:space="preserve">. La participación cae para el caso de la Rama Legislativa, donde equivale al 30% en el caso de los </w:t>
      </w:r>
      <w:r w:rsidRPr="0096658B">
        <w:rPr>
          <w:rFonts w:ascii="Times New Roman" w:hAnsi="Times New Roman" w:cs="Times New Roman"/>
          <w:color w:val="000000" w:themeColor="text1"/>
          <w:sz w:val="28"/>
          <w:szCs w:val="28"/>
          <w:lang w:val="es-ES_tradnl"/>
        </w:rPr>
        <w:t>CMND</w:t>
      </w:r>
      <w:r w:rsidRPr="0096658B">
        <w:rPr>
          <w:rFonts w:ascii="Times New Roman" w:hAnsi="Times New Roman" w:cs="Times New Roman"/>
          <w:color w:val="000000" w:themeColor="text1"/>
          <w:sz w:val="28"/>
          <w:szCs w:val="28"/>
          <w:lang w:val="es-ES_tradnl"/>
        </w:rPr>
        <w:t>, lográndose el 50% en los demás cargos de nivel decisorio. Finalmente, en la Rama Judicial la participación está</w:t>
      </w:r>
      <w:r w:rsidRPr="0096658B">
        <w:rPr>
          <w:rFonts w:ascii="Times New Roman" w:hAnsi="Times New Roman" w:cs="Times New Roman"/>
          <w:color w:val="000000" w:themeColor="text1"/>
          <w:sz w:val="28"/>
          <w:szCs w:val="28"/>
          <w:lang w:val="es-ES_tradnl"/>
        </w:rPr>
        <w:t xml:space="preserve"> en el 48% en los </w:t>
      </w:r>
      <w:r w:rsidRPr="0096658B">
        <w:rPr>
          <w:rFonts w:ascii="Times New Roman" w:hAnsi="Times New Roman" w:cs="Times New Roman"/>
          <w:color w:val="000000" w:themeColor="text1"/>
          <w:sz w:val="28"/>
          <w:szCs w:val="28"/>
          <w:lang w:val="es-ES_tradnl"/>
        </w:rPr>
        <w:t>CMND</w:t>
      </w:r>
      <w:r w:rsidRPr="0096658B">
        <w:rPr>
          <w:rFonts w:ascii="Times New Roman" w:hAnsi="Times New Roman" w:cs="Times New Roman"/>
          <w:color w:val="000000" w:themeColor="text1"/>
          <w:sz w:val="28"/>
          <w:szCs w:val="28"/>
          <w:lang w:val="es-ES_tradnl"/>
        </w:rPr>
        <w:t xml:space="preserve"> y del 44% en los </w:t>
      </w:r>
      <w:r w:rsidRPr="0096658B">
        <w:rPr>
          <w:rFonts w:ascii="Times New Roman" w:hAnsi="Times New Roman" w:cs="Times New Roman"/>
          <w:color w:val="000000" w:themeColor="text1"/>
          <w:sz w:val="28"/>
          <w:szCs w:val="28"/>
          <w:lang w:val="es-ES_tradnl"/>
        </w:rPr>
        <w:t xml:space="preserve">cargos de otros </w:t>
      </w:r>
      <w:r w:rsidRPr="0096658B">
        <w:rPr>
          <w:rFonts w:ascii="Times New Roman" w:hAnsi="Times New Roman" w:cs="Times New Roman"/>
          <w:color w:val="000000" w:themeColor="text1"/>
          <w:sz w:val="28"/>
          <w:szCs w:val="28"/>
          <w:lang w:val="es-ES_tradnl"/>
        </w:rPr>
        <w:t>nivel</w:t>
      </w:r>
      <w:r w:rsidRPr="0096658B">
        <w:rPr>
          <w:rFonts w:ascii="Times New Roman" w:hAnsi="Times New Roman" w:cs="Times New Roman"/>
          <w:color w:val="000000" w:themeColor="text1"/>
          <w:sz w:val="28"/>
          <w:szCs w:val="28"/>
          <w:lang w:val="es-ES_tradnl"/>
        </w:rPr>
        <w:t>es</w:t>
      </w:r>
      <w:r w:rsidRPr="0096658B">
        <w:rPr>
          <w:rFonts w:ascii="Times New Roman" w:hAnsi="Times New Roman" w:cs="Times New Roman"/>
          <w:color w:val="000000" w:themeColor="text1"/>
          <w:sz w:val="28"/>
          <w:szCs w:val="28"/>
          <w:lang w:val="es-ES_tradnl"/>
        </w:rPr>
        <w:t xml:space="preserve"> decisorio</w:t>
      </w:r>
      <w:r w:rsidRPr="0096658B">
        <w:rPr>
          <w:rFonts w:ascii="Times New Roman" w:hAnsi="Times New Roman" w:cs="Times New Roman"/>
          <w:color w:val="000000" w:themeColor="text1"/>
          <w:sz w:val="28"/>
          <w:szCs w:val="28"/>
          <w:lang w:val="es-ES_tradnl"/>
        </w:rPr>
        <w:t>s (</w:t>
      </w:r>
      <w:r w:rsidRPr="0096658B">
        <w:rPr>
          <w:rFonts w:ascii="Times New Roman" w:hAnsi="Times New Roman" w:cs="Times New Roman"/>
          <w:color w:val="000000" w:themeColor="text1"/>
          <w:sz w:val="28"/>
          <w:szCs w:val="28"/>
          <w:lang w:val="es-ES_tradnl"/>
        </w:rPr>
        <w:t>CND</w:t>
      </w:r>
      <w:r w:rsidRPr="0096658B">
        <w:rPr>
          <w:rFonts w:ascii="Times New Roman" w:hAnsi="Times New Roman" w:cs="Times New Roman"/>
          <w:color w:val="000000" w:themeColor="text1"/>
          <w:sz w:val="28"/>
          <w:szCs w:val="28"/>
          <w:lang w:val="es-ES_tradnl"/>
        </w:rPr>
        <w:t>)</w:t>
      </w:r>
      <w:r w:rsidRPr="0096658B">
        <w:rPr>
          <w:rFonts w:ascii="Times New Roman" w:hAnsi="Times New Roman" w:cs="Times New Roman"/>
          <w:color w:val="000000" w:themeColor="text1"/>
          <w:sz w:val="28"/>
          <w:szCs w:val="28"/>
          <w:lang w:val="es-ES_tradnl"/>
        </w:rPr>
        <w:t xml:space="preserve">. </w:t>
      </w:r>
      <w:r w:rsidRPr="0096658B">
        <w:rPr>
          <w:rFonts w:ascii="Times New Roman" w:hAnsi="Times New Roman" w:cs="Times New Roman"/>
          <w:color w:val="000000" w:themeColor="text1"/>
          <w:sz w:val="28"/>
          <w:szCs w:val="28"/>
          <w:lang w:val="es-ES_tradnl"/>
        </w:rPr>
        <w:t>No obstante, para el caso de los congresistas elegidos, la senadora Lozano indica que la participación de las mujeres es apenas del 29% lo que se replica tratándose de las ma</w:t>
      </w:r>
      <w:r w:rsidRPr="0096658B">
        <w:rPr>
          <w:rFonts w:ascii="Times New Roman" w:hAnsi="Times New Roman" w:cs="Times New Roman"/>
          <w:color w:val="000000" w:themeColor="text1"/>
          <w:sz w:val="28"/>
          <w:szCs w:val="28"/>
          <w:lang w:val="es-ES_tradnl"/>
        </w:rPr>
        <w:t xml:space="preserve">gistradas de las altas cortes, con una participación del 30,43%. </w:t>
      </w:r>
      <w:r w:rsidRPr="0096658B">
        <w:rPr>
          <w:rFonts w:ascii="Times New Roman" w:hAnsi="Times New Roman" w:cs="Times New Roman"/>
          <w:color w:val="000000" w:themeColor="text1"/>
          <w:sz w:val="28"/>
          <w:szCs w:val="28"/>
          <w:lang w:val="es-ES_tradnl"/>
        </w:rPr>
        <w:t>Estos déficits también son evidentes tratándose de las autoridades territoriales, que a 2019 contaban con s</w:t>
      </w:r>
      <w:r w:rsidRPr="0096658B">
        <w:rPr>
          <w:rFonts w:ascii="Times New Roman" w:hAnsi="Times New Roman" w:cs="Times New Roman"/>
          <w:color w:val="000000" w:themeColor="text1"/>
          <w:sz w:val="28"/>
          <w:szCs w:val="28"/>
          <w:lang w:val="es-ES_tradnl"/>
        </w:rPr>
        <w:t>ó</w:t>
      </w:r>
      <w:r w:rsidRPr="0096658B">
        <w:rPr>
          <w:rFonts w:ascii="Times New Roman" w:hAnsi="Times New Roman" w:cs="Times New Roman"/>
          <w:color w:val="000000" w:themeColor="text1"/>
          <w:sz w:val="28"/>
          <w:szCs w:val="28"/>
          <w:lang w:val="es-ES_tradnl"/>
        </w:rPr>
        <w:t xml:space="preserve">lo 12% de diputadas, 17,5% de concejalas y 17.9% de alcaldesas. Por ende, las </w:t>
      </w:r>
      <w:r w:rsidRPr="0096658B">
        <w:rPr>
          <w:rFonts w:ascii="Times New Roman" w:hAnsi="Times New Roman" w:cs="Times New Roman"/>
          <w:color w:val="000000" w:themeColor="text1"/>
          <w:sz w:val="28"/>
          <w:szCs w:val="28"/>
          <w:lang w:val="es-ES_tradnl"/>
        </w:rPr>
        <w:t>medidas contenidas en el PLE son necesarias para superar las manifiestas inequidades en contra de las mujeres y, a su turno, para hacer efectivos los artículos 2º, 13, 40 y 43 de la Constitución</w:t>
      </w:r>
      <w:r w:rsidRPr="0096658B">
        <w:rPr>
          <w:rFonts w:ascii="Times New Roman" w:hAnsi="Times New Roman" w:cs="Times New Roman"/>
          <w:color w:val="000000" w:themeColor="text1"/>
          <w:sz w:val="28"/>
          <w:szCs w:val="28"/>
          <w:lang w:val="es-ES_tradnl"/>
        </w:rPr>
        <w:t xml:space="preserve">, así como </w:t>
      </w:r>
      <w:r w:rsidRPr="0096658B">
        <w:rPr>
          <w:rFonts w:ascii="Times New Roman" w:hAnsi="Times New Roman" w:cs="Times New Roman"/>
          <w:color w:val="000000" w:themeColor="text1"/>
          <w:sz w:val="28"/>
          <w:szCs w:val="28"/>
          <w:lang w:val="es-ES_tradnl"/>
        </w:rPr>
        <w:t xml:space="preserve">distintas </w:t>
      </w:r>
      <w:r w:rsidRPr="0096658B">
        <w:rPr>
          <w:rFonts w:ascii="Times New Roman" w:hAnsi="Times New Roman" w:cs="Times New Roman"/>
          <w:color w:val="000000" w:themeColor="text1"/>
          <w:sz w:val="28"/>
          <w:szCs w:val="28"/>
          <w:lang w:val="es-ES_tradnl"/>
        </w:rPr>
        <w:t>disposiciones del derecho internacional d</w:t>
      </w:r>
      <w:r w:rsidRPr="0096658B">
        <w:rPr>
          <w:rFonts w:ascii="Times New Roman" w:hAnsi="Times New Roman" w:cs="Times New Roman"/>
          <w:color w:val="000000" w:themeColor="text1"/>
          <w:sz w:val="28"/>
          <w:szCs w:val="28"/>
          <w:lang w:val="es-ES_tradnl"/>
        </w:rPr>
        <w:t xml:space="preserve">e los derechos humanos. </w:t>
      </w:r>
    </w:p>
    <w:p w:rsidR="00726FBA" w:rsidRPr="0096658B" w:rsidRDefault="0096658B" w:rsidP="0098503E">
      <w:pPr>
        <w:pStyle w:val="Style1"/>
        <w:widowControl/>
        <w:ind w:right="5"/>
        <w:jc w:val="both"/>
        <w:rPr>
          <w:rFonts w:ascii="Times New Roman" w:hAnsi="Times New Roman" w:cs="Times New Roman"/>
          <w:color w:val="000000" w:themeColor="text1"/>
          <w:sz w:val="28"/>
          <w:szCs w:val="28"/>
          <w:lang w:val="es-ES_tradnl"/>
        </w:rPr>
      </w:pPr>
    </w:p>
    <w:p w:rsidR="00726FBA" w:rsidRPr="0096658B" w:rsidRDefault="0096658B" w:rsidP="0098503E">
      <w:pPr>
        <w:pStyle w:val="Style1"/>
        <w:widowControl/>
        <w:ind w:right="5"/>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La C</w:t>
      </w:r>
      <w:r w:rsidRPr="0096658B">
        <w:rPr>
          <w:rFonts w:ascii="Times New Roman" w:hAnsi="Times New Roman" w:cs="Times New Roman"/>
          <w:color w:val="000000" w:themeColor="text1"/>
          <w:sz w:val="28"/>
          <w:szCs w:val="28"/>
          <w:lang w:val="es-ES_tradnl"/>
        </w:rPr>
        <w:t xml:space="preserve">omisión </w:t>
      </w:r>
      <w:r w:rsidRPr="0096658B">
        <w:rPr>
          <w:rFonts w:ascii="Times New Roman" w:hAnsi="Times New Roman" w:cs="Times New Roman"/>
          <w:color w:val="000000" w:themeColor="text1"/>
          <w:sz w:val="28"/>
          <w:szCs w:val="28"/>
          <w:lang w:val="es-ES_tradnl"/>
        </w:rPr>
        <w:t>N</w:t>
      </w:r>
      <w:r w:rsidRPr="0096658B">
        <w:rPr>
          <w:rFonts w:ascii="Times New Roman" w:hAnsi="Times New Roman" w:cs="Times New Roman"/>
          <w:color w:val="000000" w:themeColor="text1"/>
          <w:sz w:val="28"/>
          <w:szCs w:val="28"/>
          <w:lang w:val="es-ES_tradnl"/>
        </w:rPr>
        <w:t xml:space="preserve">acional del </w:t>
      </w:r>
      <w:r w:rsidRPr="0096658B">
        <w:rPr>
          <w:rFonts w:ascii="Times New Roman" w:hAnsi="Times New Roman" w:cs="Times New Roman"/>
          <w:color w:val="000000" w:themeColor="text1"/>
          <w:sz w:val="28"/>
          <w:szCs w:val="28"/>
          <w:lang w:val="es-ES_tradnl"/>
        </w:rPr>
        <w:t>S</w:t>
      </w:r>
      <w:r w:rsidRPr="0096658B">
        <w:rPr>
          <w:rFonts w:ascii="Times New Roman" w:hAnsi="Times New Roman" w:cs="Times New Roman"/>
          <w:color w:val="000000" w:themeColor="text1"/>
          <w:sz w:val="28"/>
          <w:szCs w:val="28"/>
          <w:lang w:val="es-ES_tradnl"/>
        </w:rPr>
        <w:t xml:space="preserve">ervicio </w:t>
      </w:r>
      <w:r w:rsidRPr="0096658B">
        <w:rPr>
          <w:rFonts w:ascii="Times New Roman" w:hAnsi="Times New Roman" w:cs="Times New Roman"/>
          <w:color w:val="000000" w:themeColor="text1"/>
          <w:sz w:val="28"/>
          <w:szCs w:val="28"/>
          <w:lang w:val="es-ES_tradnl"/>
        </w:rPr>
        <w:t>C</w:t>
      </w:r>
      <w:r w:rsidRPr="0096658B">
        <w:rPr>
          <w:rFonts w:ascii="Times New Roman" w:hAnsi="Times New Roman" w:cs="Times New Roman"/>
          <w:color w:val="000000" w:themeColor="text1"/>
          <w:sz w:val="28"/>
          <w:szCs w:val="28"/>
          <w:lang w:val="es-ES_tradnl"/>
        </w:rPr>
        <w:t>ivil (CNSC)</w:t>
      </w:r>
      <w:r w:rsidRPr="0096658B">
        <w:rPr>
          <w:rFonts w:ascii="Times New Roman" w:hAnsi="Times New Roman" w:cs="Times New Roman"/>
          <w:color w:val="000000" w:themeColor="text1"/>
          <w:sz w:val="28"/>
          <w:szCs w:val="28"/>
          <w:lang w:val="es-ES_tradnl"/>
        </w:rPr>
        <w:t xml:space="preserve"> </w:t>
      </w:r>
      <w:r w:rsidRPr="0096658B">
        <w:rPr>
          <w:rFonts w:ascii="Times New Roman" w:hAnsi="Times New Roman" w:cs="Times New Roman"/>
          <w:color w:val="000000" w:themeColor="text1"/>
          <w:sz w:val="28"/>
          <w:szCs w:val="28"/>
          <w:lang w:val="es-ES_tradnl"/>
        </w:rPr>
        <w:t xml:space="preserve">explicó que </w:t>
      </w:r>
      <w:r w:rsidRPr="0096658B">
        <w:rPr>
          <w:rFonts w:ascii="Times New Roman" w:hAnsi="Times New Roman" w:cs="Times New Roman"/>
          <w:color w:val="000000" w:themeColor="text1"/>
          <w:sz w:val="28"/>
          <w:szCs w:val="28"/>
          <w:lang w:val="es-ES_tradnl"/>
        </w:rPr>
        <w:t xml:space="preserve">no </w:t>
      </w:r>
      <w:r w:rsidRPr="0096658B">
        <w:rPr>
          <w:rFonts w:ascii="Times New Roman" w:hAnsi="Times New Roman" w:cs="Times New Roman"/>
          <w:color w:val="000000" w:themeColor="text1"/>
          <w:sz w:val="28"/>
          <w:szCs w:val="28"/>
          <w:lang w:val="es-ES_tradnl"/>
        </w:rPr>
        <w:t xml:space="preserve">tiene competencia sobre el proceso para la provisión de los cargos a los </w:t>
      </w:r>
      <w:r w:rsidRPr="0096658B">
        <w:rPr>
          <w:rFonts w:ascii="Times New Roman" w:hAnsi="Times New Roman" w:cs="Times New Roman"/>
          <w:color w:val="000000" w:themeColor="text1"/>
          <w:sz w:val="28"/>
          <w:szCs w:val="28"/>
          <w:lang w:val="es-ES_tradnl"/>
        </w:rPr>
        <w:t xml:space="preserve">que </w:t>
      </w:r>
      <w:r w:rsidRPr="0096658B">
        <w:rPr>
          <w:rFonts w:ascii="Times New Roman" w:hAnsi="Times New Roman" w:cs="Times New Roman"/>
          <w:color w:val="000000" w:themeColor="text1"/>
          <w:sz w:val="28"/>
          <w:szCs w:val="28"/>
          <w:lang w:val="es-ES_tradnl"/>
        </w:rPr>
        <w:t xml:space="preserve">refiere el PLE y </w:t>
      </w:r>
      <w:r w:rsidRPr="0096658B">
        <w:rPr>
          <w:rFonts w:ascii="Times New Roman" w:hAnsi="Times New Roman" w:cs="Times New Roman"/>
          <w:color w:val="000000" w:themeColor="text1"/>
          <w:sz w:val="28"/>
          <w:szCs w:val="28"/>
          <w:lang w:val="es-ES_tradnl"/>
        </w:rPr>
        <w:t xml:space="preserve">que no </w:t>
      </w:r>
      <w:r w:rsidRPr="0096658B">
        <w:rPr>
          <w:rFonts w:ascii="Times New Roman" w:hAnsi="Times New Roman" w:cs="Times New Roman"/>
          <w:color w:val="000000" w:themeColor="text1"/>
          <w:sz w:val="28"/>
          <w:szCs w:val="28"/>
          <w:lang w:val="es-ES_tradnl"/>
        </w:rPr>
        <w:t xml:space="preserve">existe una disposición sobre cuotas en el caso de los cargos a los </w:t>
      </w:r>
      <w:r w:rsidRPr="0096658B">
        <w:rPr>
          <w:rFonts w:ascii="Times New Roman" w:hAnsi="Times New Roman" w:cs="Times New Roman"/>
          <w:color w:val="000000" w:themeColor="text1"/>
          <w:sz w:val="28"/>
          <w:szCs w:val="28"/>
          <w:lang w:val="es-ES_tradnl"/>
        </w:rPr>
        <w:t>que se accede mediante carrera administrativa</w:t>
      </w:r>
      <w:r w:rsidRPr="0096658B">
        <w:rPr>
          <w:rFonts w:ascii="Times New Roman" w:hAnsi="Times New Roman" w:cs="Times New Roman"/>
          <w:color w:val="000000" w:themeColor="text1"/>
          <w:sz w:val="28"/>
          <w:szCs w:val="28"/>
          <w:lang w:val="es-ES_tradnl"/>
        </w:rPr>
        <w:t xml:space="preserve">. Sin embargo, </w:t>
      </w:r>
      <w:r w:rsidRPr="0096658B">
        <w:rPr>
          <w:rFonts w:ascii="Times New Roman" w:hAnsi="Times New Roman" w:cs="Times New Roman"/>
          <w:color w:val="000000" w:themeColor="text1"/>
          <w:sz w:val="28"/>
          <w:szCs w:val="28"/>
          <w:lang w:val="es-ES_tradnl"/>
        </w:rPr>
        <w:t>señaló</w:t>
      </w:r>
      <w:r w:rsidRPr="0096658B">
        <w:rPr>
          <w:rFonts w:ascii="Times New Roman" w:hAnsi="Times New Roman" w:cs="Times New Roman"/>
          <w:color w:val="000000" w:themeColor="text1"/>
          <w:sz w:val="28"/>
          <w:szCs w:val="28"/>
          <w:lang w:val="es-ES_tradnl"/>
        </w:rPr>
        <w:t xml:space="preserve"> que </w:t>
      </w:r>
      <w:r w:rsidRPr="0096658B">
        <w:rPr>
          <w:rFonts w:ascii="Times New Roman" w:hAnsi="Times New Roman" w:cs="Times New Roman"/>
          <w:color w:val="000000" w:themeColor="text1"/>
          <w:sz w:val="28"/>
          <w:szCs w:val="28"/>
          <w:lang w:val="es-ES_tradnl"/>
        </w:rPr>
        <w:t>sí se evidencia una participación paritaria entre hombres y mujeres</w:t>
      </w:r>
      <w:r w:rsidRPr="0096658B">
        <w:rPr>
          <w:rFonts w:ascii="Times New Roman" w:hAnsi="Times New Roman" w:cs="Times New Roman"/>
          <w:color w:val="000000" w:themeColor="text1"/>
          <w:sz w:val="28"/>
          <w:szCs w:val="28"/>
          <w:lang w:val="es-ES_tradnl"/>
        </w:rPr>
        <w:t xml:space="preserve"> en el ámbito de los sistemas de carrera.</w:t>
      </w:r>
      <w:r w:rsidRPr="0096658B">
        <w:rPr>
          <w:rFonts w:ascii="Times New Roman" w:hAnsi="Times New Roman" w:cs="Times New Roman"/>
          <w:color w:val="000000" w:themeColor="text1"/>
          <w:sz w:val="28"/>
          <w:szCs w:val="28"/>
          <w:lang w:val="es-ES_tradnl"/>
        </w:rPr>
        <w:t xml:space="preserve"> Así, el 58.1% de la totalidad de la población inscrita en el Sistema para la Igualdad, el Mérito y la Oportunidad – SIMO son mujeres, así como </w:t>
      </w:r>
      <w:r w:rsidRPr="0096658B">
        <w:rPr>
          <w:rFonts w:ascii="Times New Roman" w:hAnsi="Times New Roman" w:cs="Times New Roman"/>
          <w:color w:val="000000" w:themeColor="text1"/>
          <w:sz w:val="28"/>
          <w:szCs w:val="28"/>
          <w:lang w:val="es-ES_tradnl"/>
        </w:rPr>
        <w:t xml:space="preserve">el 56.7% de los integrantes de las listas de elegibles. </w:t>
      </w:r>
    </w:p>
    <w:p w:rsidR="0098503E" w:rsidRPr="0096658B" w:rsidRDefault="0096658B" w:rsidP="0098503E">
      <w:pPr>
        <w:pStyle w:val="Style1"/>
        <w:widowControl/>
        <w:ind w:right="5"/>
        <w:jc w:val="both"/>
        <w:rPr>
          <w:rFonts w:ascii="Times New Roman" w:hAnsi="Times New Roman" w:cs="Times New Roman"/>
          <w:color w:val="000000" w:themeColor="text1"/>
          <w:sz w:val="28"/>
          <w:szCs w:val="28"/>
          <w:lang w:val="es-ES_tradnl"/>
        </w:rPr>
      </w:pPr>
    </w:p>
    <w:p w:rsidR="00C111CC"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 xml:space="preserve">La Universidad Libre </w:t>
      </w:r>
      <w:r w:rsidRPr="0096658B">
        <w:rPr>
          <w:rFonts w:ascii="Times New Roman" w:hAnsi="Times New Roman" w:cs="Times New Roman"/>
          <w:color w:val="000000" w:themeColor="text1"/>
          <w:sz w:val="28"/>
          <w:szCs w:val="28"/>
          <w:lang w:val="es-ES_tradnl"/>
        </w:rPr>
        <w:t>indic</w:t>
      </w:r>
      <w:r w:rsidRPr="0096658B">
        <w:rPr>
          <w:rFonts w:ascii="Times New Roman" w:hAnsi="Times New Roman" w:cs="Times New Roman"/>
          <w:color w:val="000000" w:themeColor="text1"/>
          <w:sz w:val="28"/>
          <w:szCs w:val="28"/>
          <w:lang w:val="es-ES_tradnl"/>
        </w:rPr>
        <w:t>ó</w:t>
      </w:r>
      <w:r w:rsidRPr="0096658B">
        <w:rPr>
          <w:rFonts w:ascii="Times New Roman" w:hAnsi="Times New Roman" w:cs="Times New Roman"/>
          <w:color w:val="000000" w:themeColor="text1"/>
          <w:sz w:val="28"/>
          <w:szCs w:val="28"/>
          <w:lang w:val="es-ES_tradnl"/>
        </w:rPr>
        <w:t xml:space="preserve"> que, de acuerdo con invest</w:t>
      </w:r>
      <w:r w:rsidRPr="0096658B">
        <w:rPr>
          <w:rFonts w:ascii="Times New Roman" w:hAnsi="Times New Roman" w:cs="Times New Roman"/>
          <w:color w:val="000000" w:themeColor="text1"/>
          <w:sz w:val="28"/>
          <w:szCs w:val="28"/>
          <w:lang w:val="es-ES_tradnl"/>
        </w:rPr>
        <w:t>igaciones sobre la materia, las cuotas fijadas por la Ley 581 de 2000 no fueron un instrumento efectivo para consolidar una mayor participación, entre otras razones por la dificultad para definir tanto la noción de “máximo nivel decisorio” como para interp</w:t>
      </w:r>
      <w:r w:rsidRPr="0096658B">
        <w:rPr>
          <w:rFonts w:ascii="Times New Roman" w:hAnsi="Times New Roman" w:cs="Times New Roman"/>
          <w:color w:val="000000" w:themeColor="text1"/>
          <w:sz w:val="28"/>
          <w:szCs w:val="28"/>
          <w:lang w:val="es-ES_tradnl"/>
        </w:rPr>
        <w:t>retar la aplicación del porcentaje mínimo de 30% en casos concretos.</w:t>
      </w:r>
      <w:r w:rsidRPr="0096658B">
        <w:rPr>
          <w:rFonts w:ascii="Times New Roman" w:hAnsi="Times New Roman" w:cs="Times New Roman"/>
          <w:color w:val="000000" w:themeColor="text1"/>
          <w:sz w:val="28"/>
          <w:szCs w:val="28"/>
          <w:lang w:val="es-ES_tradnl"/>
        </w:rPr>
        <w:t xml:space="preserve"> A estos problemas se suma la escasa inscripción de candidatas a cargos uninominales y la ausencia de información suficiente sobre la participación en los cargos decisorios de la Rama Ejec</w:t>
      </w:r>
      <w:r w:rsidRPr="0096658B">
        <w:rPr>
          <w:rFonts w:ascii="Times New Roman" w:hAnsi="Times New Roman" w:cs="Times New Roman"/>
          <w:color w:val="000000" w:themeColor="text1"/>
          <w:sz w:val="28"/>
          <w:szCs w:val="28"/>
          <w:lang w:val="es-ES_tradnl"/>
        </w:rPr>
        <w:t>utiva.</w:t>
      </w:r>
      <w:r w:rsidRPr="0096658B">
        <w:rPr>
          <w:rFonts w:ascii="Times New Roman" w:hAnsi="Times New Roman" w:cs="Times New Roman"/>
          <w:color w:val="000000" w:themeColor="text1"/>
          <w:sz w:val="28"/>
          <w:szCs w:val="28"/>
          <w:lang w:val="es-ES_tradnl"/>
        </w:rPr>
        <w:t xml:space="preserve"> Estas dificultades demuestran la necesidad </w:t>
      </w:r>
      <w:r w:rsidRPr="0096658B">
        <w:rPr>
          <w:rFonts w:ascii="Times New Roman" w:hAnsi="Times New Roman" w:cs="Times New Roman"/>
          <w:color w:val="000000" w:themeColor="text1"/>
          <w:sz w:val="28"/>
          <w:szCs w:val="28"/>
          <w:lang w:val="es-ES_tradnl"/>
        </w:rPr>
        <w:t xml:space="preserve">de </w:t>
      </w:r>
      <w:r w:rsidRPr="0096658B">
        <w:rPr>
          <w:rFonts w:ascii="Times New Roman" w:hAnsi="Times New Roman" w:cs="Times New Roman"/>
          <w:color w:val="000000" w:themeColor="text1"/>
          <w:sz w:val="28"/>
          <w:szCs w:val="28"/>
          <w:lang w:val="es-ES_tradnl"/>
        </w:rPr>
        <w:t>que el Estado ejecute dos tareas concretas: la remoción de barreras jurídicas que limiten o restringen la participación de las mujeres en los diferentes escenarios y la promoción de medidas que garantice</w:t>
      </w:r>
      <w:r w:rsidRPr="0096658B">
        <w:rPr>
          <w:rFonts w:ascii="Times New Roman" w:hAnsi="Times New Roman" w:cs="Times New Roman"/>
          <w:color w:val="000000" w:themeColor="text1"/>
          <w:sz w:val="28"/>
          <w:szCs w:val="28"/>
          <w:lang w:val="es-ES_tradnl"/>
        </w:rPr>
        <w:t xml:space="preserve">n la igualdad material, entre ellas las acciones afirmativas reguladas en el PLE objeto de examen. </w:t>
      </w:r>
    </w:p>
    <w:p w:rsidR="00F86F50"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p>
    <w:p w:rsidR="00F86F50"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La interviniente también consider</w:t>
      </w:r>
      <w:r w:rsidRPr="0096658B">
        <w:rPr>
          <w:rFonts w:ascii="Times New Roman" w:hAnsi="Times New Roman" w:cs="Times New Roman"/>
          <w:color w:val="000000" w:themeColor="text1"/>
          <w:sz w:val="28"/>
          <w:szCs w:val="28"/>
          <w:lang w:val="es-ES_tradnl"/>
        </w:rPr>
        <w:t>ó</w:t>
      </w:r>
      <w:r w:rsidRPr="0096658B">
        <w:rPr>
          <w:rFonts w:ascii="Times New Roman" w:hAnsi="Times New Roman" w:cs="Times New Roman"/>
          <w:color w:val="000000" w:themeColor="text1"/>
          <w:sz w:val="28"/>
          <w:szCs w:val="28"/>
          <w:lang w:val="es-ES_tradnl"/>
        </w:rPr>
        <w:t xml:space="preserve"> que las medidas de cuotas vigentes pueden generar un “efecto meseta”. Así, estima “importante que se tenga en cuenta el </w:t>
      </w:r>
      <w:r w:rsidRPr="0096658B">
        <w:rPr>
          <w:rFonts w:ascii="Times New Roman" w:hAnsi="Times New Roman" w:cs="Times New Roman"/>
          <w:color w:val="000000" w:themeColor="text1"/>
          <w:sz w:val="28"/>
          <w:szCs w:val="28"/>
          <w:lang w:val="es-ES_tradnl"/>
        </w:rPr>
        <w:t xml:space="preserve">estado actual de la situación de la mujer y las reglas de derecho </w:t>
      </w:r>
      <w:r w:rsidRPr="0096658B">
        <w:rPr>
          <w:rFonts w:ascii="Times New Roman" w:hAnsi="Times New Roman" w:cs="Times New Roman"/>
          <w:color w:val="000000" w:themeColor="text1"/>
          <w:sz w:val="28"/>
          <w:szCs w:val="28"/>
          <w:lang w:val="es-ES_tradnl"/>
        </w:rPr>
        <w:t>dadas en la sentencia C-371 de 2000. Con esas reglas es importante analizar la procedencia de la cuota de género del 30% y si aún se encuentra vigente confrontándola con las metas del proyec</w:t>
      </w:r>
      <w:r w:rsidRPr="0096658B">
        <w:rPr>
          <w:rFonts w:ascii="Times New Roman" w:hAnsi="Times New Roman" w:cs="Times New Roman"/>
          <w:color w:val="000000" w:themeColor="text1"/>
          <w:sz w:val="28"/>
          <w:szCs w:val="28"/>
          <w:lang w:val="es-ES_tradnl"/>
        </w:rPr>
        <w:t>to de ley estatutaria. Esto porque si bien la aplicación de medidas como la contenida en la Ley Estatutaria 581 de 2000 o en la Ley 1475 de 2011 produjeron un aumento en la participación de las mujeres en estos espacios, los datos también permiten corrobor</w:t>
      </w:r>
      <w:r w:rsidRPr="0096658B">
        <w:rPr>
          <w:rFonts w:ascii="Times New Roman" w:hAnsi="Times New Roman" w:cs="Times New Roman"/>
          <w:color w:val="000000" w:themeColor="text1"/>
          <w:sz w:val="28"/>
          <w:szCs w:val="28"/>
          <w:lang w:val="es-ES_tradnl"/>
        </w:rPr>
        <w:t>ar que se ha configurado un estancamiento en la tendencia”</w:t>
      </w:r>
      <w:r w:rsidRPr="0096658B">
        <w:rPr>
          <w:rStyle w:val="Refdenotaalpie"/>
          <w:rFonts w:ascii="Times New Roman" w:hAnsi="Times New Roman"/>
          <w:color w:val="000000" w:themeColor="text1"/>
          <w:sz w:val="28"/>
          <w:szCs w:val="28"/>
          <w:lang w:val="es-ES_tradnl"/>
        </w:rPr>
        <w:footnoteReference w:id="9"/>
      </w:r>
      <w:r w:rsidRPr="0096658B">
        <w:rPr>
          <w:rFonts w:ascii="Times New Roman" w:hAnsi="Times New Roman" w:cs="Times New Roman"/>
          <w:color w:val="000000" w:themeColor="text1"/>
          <w:sz w:val="28"/>
          <w:szCs w:val="28"/>
          <w:lang w:val="es-ES_tradnl"/>
        </w:rPr>
        <w:t xml:space="preserve">. </w:t>
      </w:r>
    </w:p>
    <w:p w:rsidR="00C50903"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p>
    <w:p w:rsidR="00C50903"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Desde este punto de vista, la Universidad Libre advirt</w:t>
      </w:r>
      <w:r w:rsidRPr="0096658B">
        <w:rPr>
          <w:rFonts w:ascii="Times New Roman" w:hAnsi="Times New Roman" w:cs="Times New Roman"/>
          <w:color w:val="000000" w:themeColor="text1"/>
          <w:sz w:val="28"/>
          <w:szCs w:val="28"/>
          <w:lang w:val="es-ES_tradnl"/>
        </w:rPr>
        <w:t>ió</w:t>
      </w:r>
      <w:r w:rsidRPr="0096658B">
        <w:rPr>
          <w:rFonts w:ascii="Times New Roman" w:hAnsi="Times New Roman" w:cs="Times New Roman"/>
          <w:color w:val="000000" w:themeColor="text1"/>
          <w:sz w:val="28"/>
          <w:szCs w:val="28"/>
          <w:lang w:val="es-ES_tradnl"/>
        </w:rPr>
        <w:t xml:space="preserve"> que las medidas contenidas en el PLE son proporcionadas. Cumplen un fin legítimo, consistente en la promoción de la participación equitativa de las mujeres, finalidad que tiene un importante respaldo en distintas normas integrantes del bloque de constituc</w:t>
      </w:r>
      <w:r w:rsidRPr="0096658B">
        <w:rPr>
          <w:rFonts w:ascii="Times New Roman" w:hAnsi="Times New Roman" w:cs="Times New Roman"/>
          <w:color w:val="000000" w:themeColor="text1"/>
          <w:sz w:val="28"/>
          <w:szCs w:val="28"/>
          <w:lang w:val="es-ES_tradnl"/>
        </w:rPr>
        <w:t>ionalidad. Además, son idóneas para cumplir con ese objetivo, como lo demuestran los aumentos en la participación de la</w:t>
      </w:r>
      <w:r w:rsidRPr="0096658B">
        <w:rPr>
          <w:rFonts w:ascii="Times New Roman" w:hAnsi="Times New Roman" w:cs="Times New Roman"/>
          <w:color w:val="000000" w:themeColor="text1"/>
          <w:sz w:val="28"/>
          <w:szCs w:val="28"/>
          <w:lang w:val="es-ES_tradnl"/>
        </w:rPr>
        <w:t>s mujeres</w:t>
      </w:r>
      <w:r w:rsidRPr="0096658B">
        <w:rPr>
          <w:rFonts w:ascii="Times New Roman" w:hAnsi="Times New Roman" w:cs="Times New Roman"/>
          <w:color w:val="000000" w:themeColor="text1"/>
          <w:sz w:val="28"/>
          <w:szCs w:val="28"/>
          <w:lang w:val="es-ES_tradnl"/>
        </w:rPr>
        <w:t xml:space="preserve"> que se derivaron</w:t>
      </w:r>
      <w:r w:rsidRPr="0096658B">
        <w:rPr>
          <w:rFonts w:ascii="Times New Roman" w:hAnsi="Times New Roman" w:cs="Times New Roman"/>
          <w:color w:val="000000" w:themeColor="text1"/>
          <w:sz w:val="28"/>
          <w:szCs w:val="28"/>
          <w:lang w:val="es-ES_tradnl"/>
        </w:rPr>
        <w:t xml:space="preserve"> de</w:t>
      </w:r>
      <w:r w:rsidRPr="0096658B">
        <w:rPr>
          <w:rFonts w:ascii="Times New Roman" w:hAnsi="Times New Roman" w:cs="Times New Roman"/>
          <w:color w:val="000000" w:themeColor="text1"/>
          <w:sz w:val="28"/>
          <w:szCs w:val="28"/>
          <w:lang w:val="es-ES_tradnl"/>
        </w:rPr>
        <w:t xml:space="preserve"> disposiciones preexistentes sobre cuotas a su favor. También</w:t>
      </w:r>
      <w:r w:rsidRPr="0096658B">
        <w:rPr>
          <w:rFonts w:ascii="Times New Roman" w:hAnsi="Times New Roman" w:cs="Times New Roman"/>
          <w:color w:val="000000" w:themeColor="text1"/>
          <w:sz w:val="28"/>
          <w:szCs w:val="28"/>
          <w:lang w:val="es-ES_tradnl"/>
        </w:rPr>
        <w:t>,</w:t>
      </w:r>
      <w:r w:rsidRPr="0096658B">
        <w:rPr>
          <w:rFonts w:ascii="Times New Roman" w:hAnsi="Times New Roman" w:cs="Times New Roman"/>
          <w:color w:val="000000" w:themeColor="text1"/>
          <w:sz w:val="28"/>
          <w:szCs w:val="28"/>
          <w:lang w:val="es-ES_tradnl"/>
        </w:rPr>
        <w:t xml:space="preserve"> son medidas necesarias en cuanto</w:t>
      </w:r>
      <w:r w:rsidRPr="0096658B">
        <w:rPr>
          <w:rFonts w:ascii="Times New Roman" w:hAnsi="Times New Roman" w:cs="Times New Roman"/>
          <w:color w:val="000000" w:themeColor="text1"/>
          <w:sz w:val="28"/>
          <w:szCs w:val="28"/>
          <w:lang w:val="es-ES_tradnl"/>
        </w:rPr>
        <w:t xml:space="preserve"> a que</w:t>
      </w:r>
      <w:r w:rsidRPr="0096658B">
        <w:rPr>
          <w:rFonts w:ascii="Times New Roman" w:hAnsi="Times New Roman" w:cs="Times New Roman"/>
          <w:i/>
          <w:iCs/>
          <w:color w:val="000000" w:themeColor="text1"/>
          <w:sz w:val="28"/>
          <w:szCs w:val="28"/>
          <w:lang w:val="es-ES_tradnl"/>
        </w:rPr>
        <w:t xml:space="preserve"> </w:t>
      </w:r>
      <w:r w:rsidRPr="0096658B">
        <w:rPr>
          <w:rFonts w:ascii="Times New Roman" w:hAnsi="Times New Roman" w:cs="Times New Roman"/>
          <w:i/>
          <w:iCs/>
          <w:color w:val="000000" w:themeColor="text1"/>
          <w:sz w:val="28"/>
          <w:szCs w:val="28"/>
          <w:lang w:val="es-ES_tradnl"/>
        </w:rPr>
        <w:t xml:space="preserve">(i) </w:t>
      </w:r>
      <w:r w:rsidRPr="0096658B">
        <w:rPr>
          <w:rFonts w:ascii="Times New Roman" w:hAnsi="Times New Roman" w:cs="Times New Roman"/>
          <w:color w:val="000000" w:themeColor="text1"/>
          <w:sz w:val="28"/>
          <w:szCs w:val="28"/>
          <w:lang w:val="es-ES_tradnl"/>
        </w:rPr>
        <w:t>pe</w:t>
      </w:r>
      <w:r w:rsidRPr="0096658B">
        <w:rPr>
          <w:rFonts w:ascii="Times New Roman" w:hAnsi="Times New Roman" w:cs="Times New Roman"/>
          <w:color w:val="000000" w:themeColor="text1"/>
          <w:sz w:val="28"/>
          <w:szCs w:val="28"/>
          <w:lang w:val="es-ES_tradnl"/>
        </w:rPr>
        <w:t xml:space="preserve">rsisten las barreras para una participación de carácter paritario y </w:t>
      </w:r>
      <w:r w:rsidRPr="0096658B">
        <w:rPr>
          <w:rFonts w:ascii="Times New Roman" w:hAnsi="Times New Roman" w:cs="Times New Roman"/>
          <w:i/>
          <w:iCs/>
          <w:color w:val="000000" w:themeColor="text1"/>
          <w:sz w:val="28"/>
          <w:szCs w:val="28"/>
          <w:lang w:val="es-ES_tradnl"/>
        </w:rPr>
        <w:t xml:space="preserve">(ii) </w:t>
      </w:r>
      <w:r w:rsidRPr="0096658B">
        <w:rPr>
          <w:rFonts w:ascii="Times New Roman" w:hAnsi="Times New Roman" w:cs="Times New Roman"/>
          <w:color w:val="000000" w:themeColor="text1"/>
          <w:sz w:val="28"/>
          <w:szCs w:val="28"/>
          <w:lang w:val="es-ES_tradnl"/>
        </w:rPr>
        <w:t>logre</w:t>
      </w:r>
      <w:r w:rsidRPr="0096658B">
        <w:rPr>
          <w:rFonts w:ascii="Times New Roman" w:hAnsi="Times New Roman" w:cs="Times New Roman"/>
          <w:color w:val="000000" w:themeColor="text1"/>
          <w:sz w:val="28"/>
          <w:szCs w:val="28"/>
          <w:lang w:val="es-ES_tradnl"/>
        </w:rPr>
        <w:t>n</w:t>
      </w:r>
      <w:r w:rsidRPr="0096658B">
        <w:rPr>
          <w:rFonts w:ascii="Times New Roman" w:hAnsi="Times New Roman" w:cs="Times New Roman"/>
          <w:color w:val="000000" w:themeColor="text1"/>
          <w:sz w:val="28"/>
          <w:szCs w:val="28"/>
          <w:lang w:val="es-ES_tradnl"/>
        </w:rPr>
        <w:t xml:space="preserve"> la igualdad efectiva entre hombres y mujeres en los ámbitos político y de la administración del Estado. De allí que se </w:t>
      </w:r>
      <w:r w:rsidRPr="0096658B">
        <w:rPr>
          <w:rFonts w:ascii="Times New Roman" w:hAnsi="Times New Roman" w:cs="Times New Roman"/>
          <w:color w:val="000000" w:themeColor="text1"/>
          <w:sz w:val="28"/>
          <w:szCs w:val="28"/>
          <w:lang w:val="es-ES_tradnl"/>
        </w:rPr>
        <w:t>re</w:t>
      </w:r>
      <w:r w:rsidRPr="0096658B">
        <w:rPr>
          <w:rFonts w:ascii="Times New Roman" w:hAnsi="Times New Roman" w:cs="Times New Roman"/>
          <w:color w:val="000000" w:themeColor="text1"/>
          <w:sz w:val="28"/>
          <w:szCs w:val="28"/>
          <w:lang w:val="es-ES_tradnl"/>
        </w:rPr>
        <w:t xml:space="preserve">quiere contar con la acción afirmativa que contienen </w:t>
      </w:r>
      <w:r w:rsidRPr="0096658B">
        <w:rPr>
          <w:rFonts w:ascii="Times New Roman" w:hAnsi="Times New Roman" w:cs="Times New Roman"/>
          <w:color w:val="000000" w:themeColor="text1"/>
          <w:sz w:val="28"/>
          <w:szCs w:val="28"/>
          <w:lang w:val="es-ES_tradnl"/>
        </w:rPr>
        <w:t>las previsiones del PLE. Sobre este último asunto, la interviniente insist</w:t>
      </w:r>
      <w:r w:rsidRPr="0096658B">
        <w:rPr>
          <w:rFonts w:ascii="Times New Roman" w:hAnsi="Times New Roman" w:cs="Times New Roman"/>
          <w:color w:val="000000" w:themeColor="text1"/>
          <w:sz w:val="28"/>
          <w:szCs w:val="28"/>
          <w:lang w:val="es-ES_tradnl"/>
        </w:rPr>
        <w:t>ió</w:t>
      </w:r>
      <w:r w:rsidRPr="0096658B">
        <w:rPr>
          <w:rFonts w:ascii="Times New Roman" w:hAnsi="Times New Roman" w:cs="Times New Roman"/>
          <w:color w:val="000000" w:themeColor="text1"/>
          <w:sz w:val="28"/>
          <w:szCs w:val="28"/>
          <w:lang w:val="es-ES_tradnl"/>
        </w:rPr>
        <w:t xml:space="preserve"> en que las disposiciones del Proyecto de Ley deben interpretarse de forma amplia, en especial en lo que respecta a la definición de los cargos de nivel decisorio y de la forma com</w:t>
      </w:r>
      <w:r w:rsidRPr="0096658B">
        <w:rPr>
          <w:rFonts w:ascii="Times New Roman" w:hAnsi="Times New Roman" w:cs="Times New Roman"/>
          <w:color w:val="000000" w:themeColor="text1"/>
          <w:sz w:val="28"/>
          <w:szCs w:val="28"/>
          <w:lang w:val="es-ES_tradnl"/>
        </w:rPr>
        <w:t>o fue expuesto en la sentencia C-371 de 2000</w:t>
      </w:r>
      <w:r w:rsidRPr="0096658B">
        <w:rPr>
          <w:rFonts w:ascii="Times New Roman" w:hAnsi="Times New Roman" w:cs="Times New Roman"/>
          <w:color w:val="000000" w:themeColor="text1"/>
          <w:sz w:val="28"/>
          <w:szCs w:val="28"/>
          <w:lang w:val="es-ES_tradnl"/>
        </w:rPr>
        <w:t xml:space="preserve"> y condicionándose la norma en ese sentido</w:t>
      </w:r>
      <w:r w:rsidRPr="0096658B">
        <w:rPr>
          <w:rFonts w:ascii="Times New Roman" w:hAnsi="Times New Roman" w:cs="Times New Roman"/>
          <w:color w:val="000000" w:themeColor="text1"/>
          <w:sz w:val="28"/>
          <w:szCs w:val="28"/>
          <w:lang w:val="es-ES_tradnl"/>
        </w:rPr>
        <w:t xml:space="preserve">. Ello con el fin de evitar que una interpretación restrictiva configure una barrera para la participación equitativa de las mujeres. </w:t>
      </w:r>
    </w:p>
    <w:p w:rsidR="00C50903"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p>
    <w:p w:rsidR="00C50903" w:rsidRPr="0096658B" w:rsidRDefault="0096658B" w:rsidP="00854918">
      <w:pPr>
        <w:pStyle w:val="Style1"/>
        <w:widowControl/>
        <w:ind w:right="5"/>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En lo que respecta a las modificac</w:t>
      </w:r>
      <w:r w:rsidRPr="0096658B">
        <w:rPr>
          <w:rFonts w:ascii="Times New Roman" w:hAnsi="Times New Roman" w:cs="Times New Roman"/>
          <w:color w:val="000000" w:themeColor="text1"/>
          <w:sz w:val="28"/>
          <w:szCs w:val="28"/>
          <w:lang w:val="es-ES_tradnl"/>
        </w:rPr>
        <w:t>iones en materia electoral que prevé el PLE, la interviniente sost</w:t>
      </w:r>
      <w:r w:rsidRPr="0096658B">
        <w:rPr>
          <w:rFonts w:ascii="Times New Roman" w:hAnsi="Times New Roman" w:cs="Times New Roman"/>
          <w:color w:val="000000" w:themeColor="text1"/>
          <w:sz w:val="28"/>
          <w:szCs w:val="28"/>
          <w:lang w:val="es-ES_tradnl"/>
        </w:rPr>
        <w:t>uvo</w:t>
      </w:r>
      <w:r w:rsidRPr="0096658B">
        <w:rPr>
          <w:rFonts w:ascii="Times New Roman" w:hAnsi="Times New Roman" w:cs="Times New Roman"/>
          <w:color w:val="000000" w:themeColor="text1"/>
          <w:sz w:val="28"/>
          <w:szCs w:val="28"/>
          <w:lang w:val="es-ES_tradnl"/>
        </w:rPr>
        <w:t xml:space="preserve"> que se trata de una reforma necesaria, en tanto </w:t>
      </w:r>
      <w:r w:rsidRPr="0096658B">
        <w:rPr>
          <w:rFonts w:ascii="Times New Roman" w:hAnsi="Times New Roman" w:cs="Times New Roman"/>
          <w:color w:val="000000" w:themeColor="text1"/>
          <w:sz w:val="28"/>
          <w:szCs w:val="28"/>
          <w:lang w:val="es-ES_tradnl"/>
        </w:rPr>
        <w:t xml:space="preserve">que </w:t>
      </w:r>
      <w:r w:rsidRPr="0096658B">
        <w:rPr>
          <w:rFonts w:ascii="Times New Roman" w:hAnsi="Times New Roman" w:cs="Times New Roman"/>
          <w:color w:val="000000" w:themeColor="text1"/>
          <w:sz w:val="28"/>
          <w:szCs w:val="28"/>
          <w:lang w:val="es-ES_tradnl"/>
        </w:rPr>
        <w:t>corrige una deficiencia existente en la versión original del artículo 28 de la Ley 1475 de 2011 y respecto de aquellas corporaciones q</w:t>
      </w:r>
      <w:r w:rsidRPr="0096658B">
        <w:rPr>
          <w:rFonts w:ascii="Times New Roman" w:hAnsi="Times New Roman" w:cs="Times New Roman"/>
          <w:color w:val="000000" w:themeColor="text1"/>
          <w:sz w:val="28"/>
          <w:szCs w:val="28"/>
          <w:lang w:val="es-ES_tradnl"/>
        </w:rPr>
        <w:t xml:space="preserve">ue, al tener menos de cinco curules, no les era aplicable cuota alguna de participación de las mujeres. Así, la legislación sobre la conformación de las listas para las corporaciones públicas logra uniformidad y equilibrio en términos de equidad, igualdad </w:t>
      </w:r>
      <w:r w:rsidRPr="0096658B">
        <w:rPr>
          <w:rFonts w:ascii="Times New Roman" w:hAnsi="Times New Roman" w:cs="Times New Roman"/>
          <w:color w:val="000000" w:themeColor="text1"/>
          <w:sz w:val="28"/>
          <w:szCs w:val="28"/>
          <w:lang w:val="es-ES_tradnl"/>
        </w:rPr>
        <w:t xml:space="preserve">de género, participación y pluralismo. </w:t>
      </w:r>
    </w:p>
    <w:p w:rsidR="00174D8D" w:rsidRPr="0096658B" w:rsidRDefault="0096658B" w:rsidP="00811F4A">
      <w:pPr>
        <w:pStyle w:val="Style1"/>
        <w:widowControl/>
        <w:ind w:right="5"/>
        <w:jc w:val="left"/>
        <w:rPr>
          <w:rFonts w:ascii="Times New Roman" w:hAnsi="Times New Roman" w:cs="Times New Roman"/>
          <w:b/>
          <w:color w:val="000000" w:themeColor="text1"/>
          <w:sz w:val="28"/>
          <w:szCs w:val="28"/>
          <w:lang w:val="es-ES_tradnl"/>
        </w:rPr>
      </w:pPr>
    </w:p>
    <w:p w:rsidR="00811F4A" w:rsidRPr="0096658B" w:rsidRDefault="0096658B" w:rsidP="00811F4A">
      <w:pPr>
        <w:pStyle w:val="Style1"/>
        <w:widowControl/>
        <w:ind w:right="5"/>
        <w:jc w:val="left"/>
        <w:rPr>
          <w:rStyle w:val="FontStyle12"/>
          <w:rFonts w:eastAsia="SimSun"/>
          <w:b w:val="0"/>
          <w:color w:val="000000" w:themeColor="text1"/>
          <w:sz w:val="28"/>
          <w:szCs w:val="28"/>
          <w:lang w:val="es-ES_tradnl" w:eastAsia="es-ES_tradnl"/>
        </w:rPr>
      </w:pPr>
      <w:r w:rsidRPr="0096658B">
        <w:rPr>
          <w:rFonts w:ascii="Times New Roman" w:hAnsi="Times New Roman" w:cs="Times New Roman"/>
          <w:b/>
          <w:color w:val="000000" w:themeColor="text1"/>
          <w:sz w:val="28"/>
          <w:szCs w:val="28"/>
          <w:lang w:val="es-ES_tradnl"/>
        </w:rPr>
        <w:t>V. CONCEPTO DE</w:t>
      </w:r>
      <w:r w:rsidRPr="0096658B">
        <w:rPr>
          <w:rFonts w:ascii="Times New Roman" w:hAnsi="Times New Roman" w:cs="Times New Roman"/>
          <w:b/>
          <w:color w:val="000000" w:themeColor="text1"/>
          <w:sz w:val="28"/>
          <w:szCs w:val="28"/>
          <w:lang w:val="es-ES_tradnl"/>
        </w:rPr>
        <w:t xml:space="preserve"> </w:t>
      </w:r>
      <w:r w:rsidRPr="0096658B">
        <w:rPr>
          <w:rFonts w:ascii="Times New Roman" w:hAnsi="Times New Roman" w:cs="Times New Roman"/>
          <w:b/>
          <w:color w:val="000000" w:themeColor="text1"/>
          <w:sz w:val="28"/>
          <w:szCs w:val="28"/>
          <w:lang w:val="es-ES_tradnl"/>
        </w:rPr>
        <w:t>L</w:t>
      </w:r>
      <w:r w:rsidRPr="0096658B">
        <w:rPr>
          <w:rFonts w:ascii="Times New Roman" w:hAnsi="Times New Roman" w:cs="Times New Roman"/>
          <w:b/>
          <w:color w:val="000000" w:themeColor="text1"/>
          <w:sz w:val="28"/>
          <w:szCs w:val="28"/>
          <w:lang w:val="es-ES_tradnl"/>
        </w:rPr>
        <w:t>A</w:t>
      </w:r>
      <w:r w:rsidRPr="0096658B">
        <w:rPr>
          <w:rFonts w:ascii="Times New Roman" w:hAnsi="Times New Roman" w:cs="Times New Roman"/>
          <w:b/>
          <w:color w:val="000000" w:themeColor="text1"/>
          <w:sz w:val="28"/>
          <w:szCs w:val="28"/>
          <w:lang w:val="es-ES_tradnl"/>
        </w:rPr>
        <w:t xml:space="preserve"> PROCURAD</w:t>
      </w:r>
      <w:r w:rsidRPr="0096658B">
        <w:rPr>
          <w:rFonts w:ascii="Times New Roman" w:hAnsi="Times New Roman" w:cs="Times New Roman"/>
          <w:b/>
          <w:color w:val="000000" w:themeColor="text1"/>
          <w:sz w:val="28"/>
          <w:szCs w:val="28"/>
          <w:lang w:val="es-ES_tradnl"/>
        </w:rPr>
        <w:t>U</w:t>
      </w:r>
      <w:r w:rsidRPr="0096658B">
        <w:rPr>
          <w:rFonts w:ascii="Times New Roman" w:hAnsi="Times New Roman" w:cs="Times New Roman"/>
          <w:b/>
          <w:color w:val="000000" w:themeColor="text1"/>
          <w:sz w:val="28"/>
          <w:szCs w:val="28"/>
          <w:lang w:val="es-ES_tradnl"/>
        </w:rPr>
        <w:t>R</w:t>
      </w:r>
      <w:r w:rsidRPr="0096658B">
        <w:rPr>
          <w:rFonts w:ascii="Times New Roman" w:hAnsi="Times New Roman" w:cs="Times New Roman"/>
          <w:b/>
          <w:color w:val="000000" w:themeColor="text1"/>
          <w:sz w:val="28"/>
          <w:szCs w:val="28"/>
          <w:lang w:val="es-ES_tradnl"/>
        </w:rPr>
        <w:t>ÍA</w:t>
      </w:r>
      <w:r w:rsidRPr="0096658B">
        <w:rPr>
          <w:rFonts w:ascii="Times New Roman" w:hAnsi="Times New Roman" w:cs="Times New Roman"/>
          <w:b/>
          <w:color w:val="000000" w:themeColor="text1"/>
          <w:sz w:val="28"/>
          <w:szCs w:val="28"/>
          <w:lang w:val="es-ES_tradnl"/>
        </w:rPr>
        <w:t xml:space="preserve"> GENERAL DE LA NACIÓN</w:t>
      </w:r>
    </w:p>
    <w:p w:rsidR="007234C8" w:rsidRPr="0096658B" w:rsidRDefault="0096658B" w:rsidP="007234C8">
      <w:pPr>
        <w:pStyle w:val="Style1"/>
        <w:widowControl/>
        <w:ind w:right="5"/>
        <w:jc w:val="both"/>
        <w:rPr>
          <w:rStyle w:val="FontStyle12"/>
          <w:rFonts w:eastAsia="SimSun"/>
          <w:b w:val="0"/>
          <w:color w:val="000000" w:themeColor="text1"/>
          <w:sz w:val="28"/>
          <w:szCs w:val="28"/>
          <w:lang w:val="es-ES_tradnl" w:eastAsia="es-ES_tradnl"/>
        </w:rPr>
      </w:pPr>
    </w:p>
    <w:p w:rsidR="00B6475A" w:rsidRPr="0096658B" w:rsidRDefault="0096658B" w:rsidP="007234C8">
      <w:pPr>
        <w:pStyle w:val="Style1"/>
        <w:widowControl/>
        <w:ind w:right="5"/>
        <w:jc w:val="both"/>
        <w:rPr>
          <w:rStyle w:val="FontStyle12"/>
          <w:rFonts w:eastAsia="SimSun"/>
          <w:b w:val="0"/>
          <w:color w:val="000000" w:themeColor="text1"/>
          <w:sz w:val="28"/>
          <w:szCs w:val="28"/>
          <w:lang w:val="es-ES_tradnl" w:eastAsia="es-ES_tradnl"/>
        </w:rPr>
      </w:pPr>
      <w:r w:rsidRPr="0096658B">
        <w:rPr>
          <w:rStyle w:val="FontStyle12"/>
          <w:rFonts w:eastAsia="SimSun"/>
          <w:b w:val="0"/>
          <w:color w:val="000000" w:themeColor="text1"/>
          <w:sz w:val="28"/>
          <w:szCs w:val="28"/>
          <w:lang w:val="es-ES_tradnl" w:eastAsia="es-ES_tradnl"/>
        </w:rPr>
        <w:t>La Procuradora General de la Nación, mediante concepto número 7298 de 21 de noviembre de 2023, solicit</w:t>
      </w:r>
      <w:r w:rsidRPr="0096658B">
        <w:rPr>
          <w:rStyle w:val="FontStyle12"/>
          <w:rFonts w:eastAsia="SimSun"/>
          <w:b w:val="0"/>
          <w:color w:val="000000" w:themeColor="text1"/>
          <w:sz w:val="28"/>
          <w:szCs w:val="28"/>
          <w:lang w:val="es-ES_tradnl" w:eastAsia="es-ES_tradnl"/>
        </w:rPr>
        <w:t>ó</w:t>
      </w:r>
      <w:r w:rsidRPr="0096658B">
        <w:rPr>
          <w:rStyle w:val="FontStyle12"/>
          <w:rFonts w:eastAsia="SimSun"/>
          <w:b w:val="0"/>
          <w:color w:val="000000" w:themeColor="text1"/>
          <w:sz w:val="28"/>
          <w:szCs w:val="28"/>
          <w:lang w:val="es-ES_tradnl" w:eastAsia="es-ES_tradnl"/>
        </w:rPr>
        <w:t xml:space="preserve"> a la Corte que decla</w:t>
      </w:r>
      <w:r w:rsidRPr="0096658B">
        <w:rPr>
          <w:rStyle w:val="FontStyle12"/>
          <w:rFonts w:eastAsia="SimSun"/>
          <w:b w:val="0"/>
          <w:color w:val="000000" w:themeColor="text1"/>
          <w:sz w:val="28"/>
          <w:szCs w:val="28"/>
          <w:lang w:val="es-ES_tradnl" w:eastAsia="es-ES_tradnl"/>
        </w:rPr>
        <w:t xml:space="preserve">re la constitucionalidad </w:t>
      </w:r>
      <w:r w:rsidRPr="0096658B">
        <w:rPr>
          <w:rStyle w:val="FontStyle12"/>
          <w:rFonts w:eastAsia="SimSun"/>
          <w:b w:val="0"/>
          <w:color w:val="000000" w:themeColor="text1"/>
          <w:sz w:val="28"/>
          <w:szCs w:val="28"/>
          <w:lang w:val="es-ES_tradnl" w:eastAsia="es-ES_tradnl"/>
        </w:rPr>
        <w:t xml:space="preserve">del proyecto de ley estatutaria de la referencia. </w:t>
      </w:r>
    </w:p>
    <w:p w:rsidR="00B6475A" w:rsidRPr="0096658B" w:rsidRDefault="0096658B" w:rsidP="007234C8">
      <w:pPr>
        <w:pStyle w:val="Style1"/>
        <w:widowControl/>
        <w:ind w:right="5"/>
        <w:jc w:val="both"/>
        <w:rPr>
          <w:rStyle w:val="FontStyle12"/>
          <w:rFonts w:eastAsia="SimSun"/>
          <w:b w:val="0"/>
          <w:color w:val="000000" w:themeColor="text1"/>
          <w:sz w:val="28"/>
          <w:szCs w:val="28"/>
          <w:lang w:val="es-ES_tradnl" w:eastAsia="es-ES_tradnl"/>
        </w:rPr>
      </w:pPr>
    </w:p>
    <w:p w:rsidR="00B6475A" w:rsidRPr="0096658B" w:rsidRDefault="0096658B" w:rsidP="007234C8">
      <w:pPr>
        <w:pStyle w:val="Style1"/>
        <w:widowControl/>
        <w:ind w:right="5"/>
        <w:jc w:val="both"/>
        <w:rPr>
          <w:rStyle w:val="FontStyle12"/>
          <w:rFonts w:eastAsia="SimSun"/>
          <w:b w:val="0"/>
          <w:color w:val="000000" w:themeColor="text1"/>
          <w:sz w:val="28"/>
          <w:szCs w:val="28"/>
          <w:lang w:val="es-ES_tradnl" w:eastAsia="es-ES_tradnl"/>
        </w:rPr>
      </w:pPr>
      <w:r w:rsidRPr="0096658B">
        <w:rPr>
          <w:rStyle w:val="FontStyle12"/>
          <w:rFonts w:eastAsia="SimSun"/>
          <w:b w:val="0"/>
          <w:color w:val="000000" w:themeColor="text1"/>
          <w:sz w:val="28"/>
          <w:szCs w:val="28"/>
          <w:lang w:val="es-ES_tradnl" w:eastAsia="es-ES_tradnl"/>
        </w:rPr>
        <w:t xml:space="preserve">En lo que refiere a asuntos competenciales, la Procuraduría </w:t>
      </w:r>
      <w:r w:rsidRPr="0096658B">
        <w:rPr>
          <w:rStyle w:val="FontStyle12"/>
          <w:rFonts w:eastAsia="SimSun"/>
          <w:b w:val="0"/>
          <w:color w:val="000000" w:themeColor="text1"/>
          <w:sz w:val="28"/>
          <w:szCs w:val="28"/>
          <w:lang w:val="es-ES_tradnl" w:eastAsia="es-ES_tradnl"/>
        </w:rPr>
        <w:t xml:space="preserve">sostuvo </w:t>
      </w:r>
      <w:r w:rsidRPr="0096658B">
        <w:rPr>
          <w:rStyle w:val="FontStyle12"/>
          <w:rFonts w:eastAsia="SimSun"/>
          <w:b w:val="0"/>
          <w:color w:val="000000" w:themeColor="text1"/>
          <w:sz w:val="28"/>
          <w:szCs w:val="28"/>
          <w:lang w:val="es-ES_tradnl" w:eastAsia="es-ES_tradnl"/>
        </w:rPr>
        <w:t xml:space="preserve">que el </w:t>
      </w:r>
      <w:r w:rsidRPr="0096658B">
        <w:rPr>
          <w:rStyle w:val="FontStyle12"/>
          <w:rFonts w:eastAsia="SimSun"/>
          <w:b w:val="0"/>
          <w:color w:val="000000" w:themeColor="text1"/>
          <w:sz w:val="28"/>
          <w:szCs w:val="28"/>
          <w:lang w:val="es-ES_tradnl" w:eastAsia="es-ES_tradnl"/>
        </w:rPr>
        <w:t>legislador</w:t>
      </w:r>
      <w:r w:rsidRPr="0096658B">
        <w:rPr>
          <w:rStyle w:val="FontStyle12"/>
          <w:rFonts w:eastAsia="SimSun"/>
          <w:b w:val="0"/>
          <w:color w:val="000000" w:themeColor="text1"/>
          <w:sz w:val="28"/>
          <w:szCs w:val="28"/>
          <w:lang w:val="es-ES_tradnl" w:eastAsia="es-ES_tradnl"/>
        </w:rPr>
        <w:t xml:space="preserve"> actuó acertadamente al someter las disposiciones analizadas al trámite propio de las leyes estatutarias. Esto</w:t>
      </w:r>
      <w:r w:rsidRPr="0096658B">
        <w:rPr>
          <w:rStyle w:val="FontStyle12"/>
          <w:rFonts w:eastAsia="SimSun"/>
          <w:b w:val="0"/>
          <w:color w:val="000000" w:themeColor="text1"/>
          <w:sz w:val="28"/>
          <w:szCs w:val="28"/>
          <w:lang w:val="es-ES_tradnl" w:eastAsia="es-ES_tradnl"/>
        </w:rPr>
        <w:t>,</w:t>
      </w:r>
      <w:r w:rsidRPr="0096658B">
        <w:rPr>
          <w:rStyle w:val="FontStyle12"/>
          <w:rFonts w:eastAsia="SimSun"/>
          <w:b w:val="0"/>
          <w:color w:val="000000" w:themeColor="text1"/>
          <w:sz w:val="28"/>
          <w:szCs w:val="28"/>
          <w:lang w:val="es-ES_tradnl" w:eastAsia="es-ES_tradnl"/>
        </w:rPr>
        <w:t xml:space="preserve"> </w:t>
      </w:r>
      <w:r w:rsidRPr="0096658B">
        <w:rPr>
          <w:rStyle w:val="FontStyle12"/>
          <w:rFonts w:eastAsia="SimSun"/>
          <w:b w:val="0"/>
          <w:color w:val="000000" w:themeColor="text1"/>
          <w:sz w:val="28"/>
          <w:szCs w:val="28"/>
          <w:lang w:val="es-ES_tradnl" w:eastAsia="es-ES_tradnl"/>
        </w:rPr>
        <w:t xml:space="preserve">debido </w:t>
      </w:r>
      <w:r w:rsidRPr="0096658B">
        <w:rPr>
          <w:rStyle w:val="FontStyle12"/>
          <w:rFonts w:eastAsia="SimSun"/>
          <w:b w:val="0"/>
          <w:color w:val="000000" w:themeColor="text1"/>
          <w:sz w:val="28"/>
          <w:szCs w:val="28"/>
          <w:lang w:val="es-ES_tradnl" w:eastAsia="es-ES_tradnl"/>
        </w:rPr>
        <w:t>a</w:t>
      </w:r>
      <w:r w:rsidRPr="0096658B">
        <w:rPr>
          <w:rStyle w:val="FontStyle12"/>
          <w:rFonts w:eastAsia="SimSun"/>
          <w:b w:val="0"/>
          <w:color w:val="000000" w:themeColor="text1"/>
          <w:sz w:val="28"/>
          <w:szCs w:val="28"/>
          <w:lang w:val="es-ES_tradnl" w:eastAsia="es-ES_tradnl"/>
        </w:rPr>
        <w:t xml:space="preserve"> que se trata de reformas a disposiciones de esa misma jerarquía normativa </w:t>
      </w:r>
      <w:r w:rsidRPr="0096658B">
        <w:rPr>
          <w:rStyle w:val="FontStyle12"/>
          <w:rFonts w:eastAsia="SimSun"/>
          <w:b w:val="0"/>
          <w:color w:val="000000" w:themeColor="text1"/>
          <w:sz w:val="28"/>
          <w:szCs w:val="28"/>
          <w:lang w:val="es-ES_tradnl" w:eastAsia="es-ES_tradnl"/>
        </w:rPr>
        <w:t xml:space="preserve">y </w:t>
      </w:r>
      <w:r w:rsidRPr="0096658B">
        <w:rPr>
          <w:rStyle w:val="FontStyle12"/>
          <w:rFonts w:eastAsia="SimSun"/>
          <w:b w:val="0"/>
          <w:color w:val="000000" w:themeColor="text1"/>
          <w:sz w:val="28"/>
          <w:szCs w:val="28"/>
          <w:lang w:val="es-ES_tradnl" w:eastAsia="es-ES_tradnl"/>
        </w:rPr>
        <w:t>regula el derecho fundamental a la igualdad en el acceso a los cargos públicos para las mujeres</w:t>
      </w:r>
      <w:r w:rsidRPr="0096658B">
        <w:rPr>
          <w:rStyle w:val="FontStyle12"/>
          <w:rFonts w:eastAsia="SimSun"/>
          <w:b w:val="0"/>
          <w:color w:val="000000" w:themeColor="text1"/>
          <w:sz w:val="28"/>
          <w:szCs w:val="28"/>
          <w:lang w:val="es-ES_tradnl" w:eastAsia="es-ES_tradnl"/>
        </w:rPr>
        <w:t>, así como</w:t>
      </w:r>
      <w:r w:rsidRPr="0096658B">
        <w:rPr>
          <w:rStyle w:val="FontStyle12"/>
          <w:rFonts w:eastAsia="SimSun"/>
          <w:b w:val="0"/>
          <w:color w:val="000000" w:themeColor="text1"/>
          <w:sz w:val="28"/>
          <w:szCs w:val="28"/>
          <w:lang w:val="es-ES_tradnl" w:eastAsia="es-ES_tradnl"/>
        </w:rPr>
        <w:t xml:space="preserve"> la inclusión de estas en la inscripción de candidaturas a corporaciones </w:t>
      </w:r>
      <w:r w:rsidRPr="0096658B">
        <w:rPr>
          <w:rStyle w:val="FontStyle12"/>
          <w:rFonts w:eastAsia="SimSun"/>
          <w:b w:val="0"/>
          <w:color w:val="000000" w:themeColor="text1"/>
          <w:sz w:val="28"/>
          <w:szCs w:val="28"/>
          <w:lang w:val="es-ES_tradnl" w:eastAsia="es-ES_tradnl"/>
        </w:rPr>
        <w:t xml:space="preserve">públicas de elección popular. </w:t>
      </w:r>
    </w:p>
    <w:p w:rsidR="00B6475A" w:rsidRPr="0096658B" w:rsidRDefault="0096658B" w:rsidP="007234C8">
      <w:pPr>
        <w:pStyle w:val="Style1"/>
        <w:widowControl/>
        <w:ind w:right="5"/>
        <w:jc w:val="both"/>
        <w:rPr>
          <w:rStyle w:val="FontStyle12"/>
          <w:rFonts w:eastAsia="SimSun"/>
          <w:b w:val="0"/>
          <w:color w:val="000000" w:themeColor="text1"/>
          <w:sz w:val="28"/>
          <w:szCs w:val="28"/>
          <w:lang w:val="es-ES_tradnl" w:eastAsia="es-ES_tradnl"/>
        </w:rPr>
      </w:pPr>
    </w:p>
    <w:p w:rsidR="00B6475A" w:rsidRPr="0096658B" w:rsidRDefault="0096658B" w:rsidP="007234C8">
      <w:pPr>
        <w:pStyle w:val="Style1"/>
        <w:widowControl/>
        <w:ind w:right="5"/>
        <w:jc w:val="both"/>
        <w:rPr>
          <w:rStyle w:val="FontStyle12"/>
          <w:rFonts w:eastAsia="SimSun"/>
          <w:b w:val="0"/>
          <w:color w:val="000000" w:themeColor="text1"/>
          <w:sz w:val="28"/>
          <w:szCs w:val="28"/>
          <w:lang w:val="es-ES_tradnl" w:eastAsia="es-ES_tradnl"/>
        </w:rPr>
      </w:pPr>
      <w:r w:rsidRPr="0096658B">
        <w:rPr>
          <w:rStyle w:val="FontStyle12"/>
          <w:rFonts w:eastAsia="SimSun"/>
          <w:b w:val="0"/>
          <w:color w:val="000000" w:themeColor="text1"/>
          <w:sz w:val="28"/>
          <w:szCs w:val="28"/>
          <w:lang w:val="es-ES_tradnl" w:eastAsia="es-ES_tradnl"/>
        </w:rPr>
        <w:t>Respecto del trámite legislativo, consider</w:t>
      </w:r>
      <w:r w:rsidRPr="0096658B">
        <w:rPr>
          <w:rStyle w:val="FontStyle12"/>
          <w:rFonts w:eastAsia="SimSun"/>
          <w:b w:val="0"/>
          <w:color w:val="000000" w:themeColor="text1"/>
          <w:sz w:val="28"/>
          <w:szCs w:val="28"/>
          <w:lang w:val="es-ES_tradnl" w:eastAsia="es-ES_tradnl"/>
        </w:rPr>
        <w:t>ó</w:t>
      </w:r>
      <w:r w:rsidRPr="0096658B">
        <w:rPr>
          <w:rStyle w:val="FontStyle12"/>
          <w:rFonts w:eastAsia="SimSun"/>
          <w:b w:val="0"/>
          <w:color w:val="000000" w:themeColor="text1"/>
          <w:sz w:val="28"/>
          <w:szCs w:val="28"/>
          <w:lang w:val="es-ES_tradnl" w:eastAsia="es-ES_tradnl"/>
        </w:rPr>
        <w:t xml:space="preserve"> que este se cumplió a cabalidad al acreditarse los requisitos generales </w:t>
      </w:r>
      <w:r w:rsidRPr="0096658B">
        <w:rPr>
          <w:rStyle w:val="FontStyle12"/>
          <w:rFonts w:eastAsia="SimSun"/>
          <w:b w:val="0"/>
          <w:color w:val="000000" w:themeColor="text1"/>
          <w:sz w:val="28"/>
          <w:szCs w:val="28"/>
          <w:lang w:val="es-ES_tradnl" w:eastAsia="es-ES_tradnl"/>
        </w:rPr>
        <w:t xml:space="preserve">y </w:t>
      </w:r>
      <w:r w:rsidRPr="0096658B">
        <w:rPr>
          <w:rStyle w:val="FontStyle12"/>
          <w:rFonts w:eastAsia="SimSun"/>
          <w:b w:val="0"/>
          <w:color w:val="000000" w:themeColor="text1"/>
          <w:sz w:val="28"/>
          <w:szCs w:val="28"/>
          <w:lang w:val="es-ES_tradnl" w:eastAsia="es-ES_tradnl"/>
        </w:rPr>
        <w:t xml:space="preserve">específicos de los proyectos de ley estatutaria. </w:t>
      </w:r>
      <w:r w:rsidRPr="0096658B">
        <w:rPr>
          <w:rStyle w:val="FontStyle12"/>
          <w:rFonts w:eastAsia="SimSun"/>
          <w:b w:val="0"/>
          <w:color w:val="000000" w:themeColor="text1"/>
          <w:sz w:val="28"/>
          <w:szCs w:val="28"/>
          <w:lang w:val="es-ES_tradnl" w:eastAsia="es-ES_tradnl"/>
        </w:rPr>
        <w:t>Para sustentar esta conclusión exp</w:t>
      </w:r>
      <w:r w:rsidRPr="0096658B">
        <w:rPr>
          <w:rStyle w:val="FontStyle12"/>
          <w:rFonts w:eastAsia="SimSun"/>
          <w:b w:val="0"/>
          <w:color w:val="000000" w:themeColor="text1"/>
          <w:sz w:val="28"/>
          <w:szCs w:val="28"/>
          <w:lang w:val="es-ES_tradnl" w:eastAsia="es-ES_tradnl"/>
        </w:rPr>
        <w:t>uso</w:t>
      </w:r>
      <w:r w:rsidRPr="0096658B">
        <w:rPr>
          <w:rStyle w:val="FontStyle12"/>
          <w:rFonts w:eastAsia="SimSun"/>
          <w:b w:val="0"/>
          <w:color w:val="000000" w:themeColor="text1"/>
          <w:sz w:val="28"/>
          <w:szCs w:val="28"/>
          <w:lang w:val="es-ES_tradnl" w:eastAsia="es-ES_tradnl"/>
        </w:rPr>
        <w:t xml:space="preserve"> los aspectos particulares sobre la publicación, discusión y votación del PLE en cada etapa del proceso legislativo y concluy</w:t>
      </w:r>
      <w:r w:rsidRPr="0096658B">
        <w:rPr>
          <w:rStyle w:val="FontStyle12"/>
          <w:rFonts w:eastAsia="SimSun"/>
          <w:b w:val="0"/>
          <w:color w:val="000000" w:themeColor="text1"/>
          <w:sz w:val="28"/>
          <w:szCs w:val="28"/>
          <w:lang w:val="es-ES_tradnl" w:eastAsia="es-ES_tradnl"/>
        </w:rPr>
        <w:t>ó</w:t>
      </w:r>
      <w:r w:rsidRPr="0096658B">
        <w:rPr>
          <w:rStyle w:val="FontStyle12"/>
          <w:rFonts w:eastAsia="SimSun"/>
          <w:b w:val="0"/>
          <w:color w:val="000000" w:themeColor="text1"/>
          <w:sz w:val="28"/>
          <w:szCs w:val="28"/>
          <w:lang w:val="es-ES_tradnl" w:eastAsia="es-ES_tradnl"/>
        </w:rPr>
        <w:t xml:space="preserve"> su compatibilidad con las normas superiores. Asimismo, p</w:t>
      </w:r>
      <w:r w:rsidRPr="0096658B">
        <w:rPr>
          <w:rStyle w:val="FontStyle12"/>
          <w:rFonts w:eastAsia="SimSun"/>
          <w:b w:val="0"/>
          <w:color w:val="000000" w:themeColor="text1"/>
          <w:sz w:val="28"/>
          <w:szCs w:val="28"/>
          <w:lang w:val="es-ES_tradnl" w:eastAsia="es-ES_tradnl"/>
        </w:rPr>
        <w:t>uso</w:t>
      </w:r>
      <w:r w:rsidRPr="0096658B">
        <w:rPr>
          <w:rStyle w:val="FontStyle12"/>
          <w:rFonts w:eastAsia="SimSun"/>
          <w:b w:val="0"/>
          <w:color w:val="000000" w:themeColor="text1"/>
          <w:sz w:val="28"/>
          <w:szCs w:val="28"/>
          <w:lang w:val="es-ES_tradnl" w:eastAsia="es-ES_tradnl"/>
        </w:rPr>
        <w:t xml:space="preserve"> de presente que, en la medida en que la iniciativa no ordena gasto pú</w:t>
      </w:r>
      <w:r w:rsidRPr="0096658B">
        <w:rPr>
          <w:rStyle w:val="FontStyle12"/>
          <w:rFonts w:eastAsia="SimSun"/>
          <w:b w:val="0"/>
          <w:color w:val="000000" w:themeColor="text1"/>
          <w:sz w:val="28"/>
          <w:szCs w:val="28"/>
          <w:lang w:val="es-ES_tradnl" w:eastAsia="es-ES_tradnl"/>
        </w:rPr>
        <w:t>blico, no resul</w:t>
      </w:r>
      <w:r w:rsidRPr="0096658B">
        <w:rPr>
          <w:rStyle w:val="FontStyle12"/>
          <w:rFonts w:eastAsia="SimSun"/>
          <w:b w:val="0"/>
          <w:color w:val="000000" w:themeColor="text1"/>
          <w:sz w:val="28"/>
          <w:szCs w:val="28"/>
          <w:lang w:val="es-ES_tradnl" w:eastAsia="es-ES_tradnl"/>
        </w:rPr>
        <w:t>taba exigible el requisito del concepto de impacto fiscal. Además, el costo de las nóminas estatales no se ve afectado en función del género de los servidores públicos. Igualmente, los instrumentos contenidos en el PLE no tiene</w:t>
      </w:r>
      <w:r w:rsidRPr="0096658B">
        <w:rPr>
          <w:rStyle w:val="FontStyle12"/>
          <w:rFonts w:eastAsia="SimSun"/>
          <w:b w:val="0"/>
          <w:color w:val="000000" w:themeColor="text1"/>
          <w:sz w:val="28"/>
          <w:szCs w:val="28"/>
          <w:lang w:val="es-ES_tradnl" w:eastAsia="es-ES_tradnl"/>
        </w:rPr>
        <w:t>n</w:t>
      </w:r>
      <w:r w:rsidRPr="0096658B">
        <w:rPr>
          <w:rStyle w:val="FontStyle12"/>
          <w:rFonts w:eastAsia="SimSun"/>
          <w:b w:val="0"/>
          <w:color w:val="000000" w:themeColor="text1"/>
          <w:sz w:val="28"/>
          <w:szCs w:val="28"/>
          <w:lang w:val="es-ES_tradnl" w:eastAsia="es-ES_tradnl"/>
        </w:rPr>
        <w:t xml:space="preserve"> la virtualid</w:t>
      </w:r>
      <w:r w:rsidRPr="0096658B">
        <w:rPr>
          <w:rStyle w:val="FontStyle12"/>
          <w:rFonts w:eastAsia="SimSun"/>
          <w:b w:val="0"/>
          <w:color w:val="000000" w:themeColor="text1"/>
          <w:sz w:val="28"/>
          <w:szCs w:val="28"/>
          <w:lang w:val="es-ES_tradnl" w:eastAsia="es-ES_tradnl"/>
        </w:rPr>
        <w:t xml:space="preserve">ad de afectar directa y específicamente </w:t>
      </w:r>
      <w:r w:rsidRPr="0096658B">
        <w:rPr>
          <w:rStyle w:val="FontStyle12"/>
          <w:rFonts w:eastAsia="SimSun"/>
          <w:b w:val="0"/>
          <w:color w:val="000000" w:themeColor="text1"/>
          <w:sz w:val="28"/>
          <w:szCs w:val="28"/>
          <w:lang w:val="es-ES_tradnl" w:eastAsia="es-ES_tradnl"/>
        </w:rPr>
        <w:t xml:space="preserve">la identidad de los grupos étnicos, de modo que tampoco es exigible el proceso de consulta previa. </w:t>
      </w:r>
    </w:p>
    <w:p w:rsidR="00E0347F" w:rsidRPr="0096658B" w:rsidRDefault="0096658B" w:rsidP="007234C8">
      <w:pPr>
        <w:pStyle w:val="Style1"/>
        <w:widowControl/>
        <w:ind w:right="5"/>
        <w:jc w:val="both"/>
        <w:rPr>
          <w:rStyle w:val="FontStyle12"/>
          <w:rFonts w:eastAsia="SimSun"/>
          <w:b w:val="0"/>
          <w:color w:val="000000" w:themeColor="text1"/>
          <w:sz w:val="28"/>
          <w:szCs w:val="28"/>
          <w:lang w:val="es-ES_tradnl" w:eastAsia="es-ES_tradnl"/>
        </w:rPr>
      </w:pPr>
    </w:p>
    <w:p w:rsidR="00FD6176" w:rsidRPr="0096658B" w:rsidRDefault="0096658B" w:rsidP="007234C8">
      <w:pPr>
        <w:pStyle w:val="Style1"/>
        <w:widowControl/>
        <w:ind w:right="5"/>
        <w:jc w:val="both"/>
        <w:rPr>
          <w:rStyle w:val="FontStyle12"/>
          <w:rFonts w:eastAsia="SimSun"/>
          <w:b w:val="0"/>
          <w:color w:val="000000" w:themeColor="text1"/>
          <w:sz w:val="28"/>
          <w:szCs w:val="28"/>
          <w:lang w:val="es-ES_tradnl" w:eastAsia="es-ES_tradnl"/>
        </w:rPr>
      </w:pPr>
      <w:r w:rsidRPr="0096658B">
        <w:rPr>
          <w:rStyle w:val="FontStyle12"/>
          <w:rFonts w:eastAsia="SimSun"/>
          <w:b w:val="0"/>
          <w:color w:val="000000" w:themeColor="text1"/>
          <w:sz w:val="28"/>
          <w:szCs w:val="28"/>
          <w:lang w:val="es-ES_tradnl" w:eastAsia="es-ES_tradnl"/>
        </w:rPr>
        <w:t>En lo relativo al análisis material, la Vista Fiscal advierte que, a partir de las reglas fijadas por las sentencia</w:t>
      </w:r>
      <w:r w:rsidRPr="0096658B">
        <w:rPr>
          <w:rStyle w:val="FontStyle12"/>
          <w:rFonts w:eastAsia="SimSun"/>
          <w:b w:val="0"/>
          <w:color w:val="000000" w:themeColor="text1"/>
          <w:sz w:val="28"/>
          <w:szCs w:val="28"/>
          <w:lang w:val="es-ES_tradnl" w:eastAsia="es-ES_tradnl"/>
        </w:rPr>
        <w:t>s</w:t>
      </w:r>
      <w:r w:rsidRPr="0096658B">
        <w:rPr>
          <w:rStyle w:val="FontStyle12"/>
          <w:rFonts w:eastAsia="SimSun"/>
          <w:b w:val="0"/>
          <w:color w:val="000000" w:themeColor="text1"/>
          <w:sz w:val="28"/>
          <w:szCs w:val="28"/>
          <w:lang w:val="es-ES_tradnl" w:eastAsia="es-ES_tradnl"/>
        </w:rPr>
        <w:t xml:space="preserve"> C-371 de 2000 y C-490 de 2011, las disposiciones del PLE, en cuanto acciones afirmativas para la paridad en la participación política de las mujeres, resultan proporcionadas. Esto</w:t>
      </w:r>
      <w:r w:rsidRPr="0096658B">
        <w:rPr>
          <w:rStyle w:val="FontStyle12"/>
          <w:rFonts w:eastAsia="SimSun"/>
          <w:b w:val="0"/>
          <w:color w:val="000000" w:themeColor="text1"/>
          <w:sz w:val="28"/>
          <w:szCs w:val="28"/>
          <w:lang w:val="es-ES_tradnl" w:eastAsia="es-ES_tradnl"/>
        </w:rPr>
        <w:t>,</w:t>
      </w:r>
      <w:r w:rsidRPr="0096658B">
        <w:rPr>
          <w:rStyle w:val="FontStyle12"/>
          <w:rFonts w:eastAsia="SimSun"/>
          <w:b w:val="0"/>
          <w:color w:val="000000" w:themeColor="text1"/>
          <w:sz w:val="28"/>
          <w:szCs w:val="28"/>
          <w:lang w:val="es-ES_tradnl" w:eastAsia="es-ES_tradnl"/>
        </w:rPr>
        <w:t xml:space="preserve"> porque cumplen con un fin constitucionalmente legítimo, consistente en ot</w:t>
      </w:r>
      <w:r w:rsidRPr="0096658B">
        <w:rPr>
          <w:rStyle w:val="FontStyle12"/>
          <w:rFonts w:eastAsia="SimSun"/>
          <w:b w:val="0"/>
          <w:color w:val="000000" w:themeColor="text1"/>
          <w:sz w:val="28"/>
          <w:szCs w:val="28"/>
          <w:lang w:val="es-ES_tradnl" w:eastAsia="es-ES_tradnl"/>
        </w:rPr>
        <w:t>orgar eficacia a los artículos 13, 40 y 53 de la Constitución que prescriben la igualdad entre hombres y mujeres en el trabajo y en el acceso a los cargos del Estado. Además, son medidas necesarias, puesto que en Colombia persiste la discriminación históri</w:t>
      </w:r>
      <w:r w:rsidRPr="0096658B">
        <w:rPr>
          <w:rStyle w:val="FontStyle12"/>
          <w:rFonts w:eastAsia="SimSun"/>
          <w:b w:val="0"/>
          <w:color w:val="000000" w:themeColor="text1"/>
          <w:sz w:val="28"/>
          <w:szCs w:val="28"/>
          <w:lang w:val="es-ES_tradnl" w:eastAsia="es-ES_tradnl"/>
        </w:rPr>
        <w:t xml:space="preserve">ca en contra de las mujeres y en lo que respecta a su participación en la esfera pública, </w:t>
      </w:r>
      <w:r w:rsidRPr="0096658B">
        <w:rPr>
          <w:rStyle w:val="FontStyle12"/>
          <w:rFonts w:eastAsia="SimSun"/>
          <w:b w:val="0"/>
          <w:color w:val="000000" w:themeColor="text1"/>
          <w:sz w:val="28"/>
          <w:szCs w:val="28"/>
          <w:lang w:val="es-ES_tradnl" w:eastAsia="es-ES_tradnl"/>
        </w:rPr>
        <w:t>que</w:t>
      </w:r>
      <w:r w:rsidRPr="0096658B">
        <w:rPr>
          <w:rStyle w:val="FontStyle12"/>
          <w:rFonts w:eastAsia="SimSun"/>
          <w:b w:val="0"/>
          <w:color w:val="000000" w:themeColor="text1"/>
          <w:sz w:val="28"/>
          <w:szCs w:val="28"/>
          <w:lang w:val="es-ES_tradnl" w:eastAsia="es-ES_tradnl"/>
        </w:rPr>
        <w:t xml:space="preserve"> “no ha podido reducirse en tiempos plausibles </w:t>
      </w:r>
      <w:r w:rsidRPr="0096658B">
        <w:rPr>
          <w:rStyle w:val="FontStyle12"/>
          <w:rFonts w:eastAsia="SimSun"/>
          <w:b w:val="0"/>
          <w:color w:val="000000" w:themeColor="text1"/>
          <w:sz w:val="28"/>
          <w:szCs w:val="28"/>
          <w:lang w:val="es-ES_tradnl" w:eastAsia="es-ES_tradnl"/>
        </w:rPr>
        <w:t xml:space="preserve">a pesar de las medidas adoptadas”. Finalmente, no incurren en una desproporción en sentido estricto, </w:t>
      </w:r>
      <w:r w:rsidRPr="0096658B">
        <w:rPr>
          <w:rStyle w:val="FontStyle12"/>
          <w:rFonts w:eastAsia="SimSun"/>
          <w:b w:val="0"/>
          <w:color w:val="000000" w:themeColor="text1"/>
          <w:sz w:val="28"/>
          <w:szCs w:val="28"/>
          <w:lang w:val="es-ES_tradnl" w:eastAsia="es-ES_tradnl"/>
        </w:rPr>
        <w:t>puesto que</w:t>
      </w:r>
      <w:r w:rsidRPr="0096658B">
        <w:rPr>
          <w:rStyle w:val="FontStyle12"/>
          <w:rFonts w:eastAsia="SimSun"/>
          <w:b w:val="0"/>
          <w:color w:val="000000" w:themeColor="text1"/>
          <w:sz w:val="28"/>
          <w:szCs w:val="28"/>
          <w:lang w:val="es-ES_tradnl" w:eastAsia="es-ES_tradnl"/>
        </w:rPr>
        <w:t xml:space="preserve"> la p</w:t>
      </w:r>
      <w:r w:rsidRPr="0096658B">
        <w:rPr>
          <w:rStyle w:val="FontStyle12"/>
          <w:rFonts w:eastAsia="SimSun"/>
          <w:b w:val="0"/>
          <w:color w:val="000000" w:themeColor="text1"/>
          <w:sz w:val="28"/>
          <w:szCs w:val="28"/>
          <w:lang w:val="es-ES_tradnl" w:eastAsia="es-ES_tradnl"/>
        </w:rPr>
        <w:t xml:space="preserve">articipación paritaria no afecta el derecho a la igualdad de los hombres, “en tanto en ningún momento se restringe su participación en la administración pública en un porcentaje menor a su representación en la sociedad (50%)”. </w:t>
      </w:r>
    </w:p>
    <w:p w:rsidR="00E0347F" w:rsidRPr="0096658B" w:rsidRDefault="0096658B" w:rsidP="007234C8">
      <w:pPr>
        <w:pStyle w:val="Style1"/>
        <w:widowControl/>
        <w:ind w:right="5"/>
        <w:jc w:val="both"/>
        <w:rPr>
          <w:rStyle w:val="FontStyle12"/>
          <w:rFonts w:eastAsia="SimSun"/>
          <w:b w:val="0"/>
          <w:color w:val="000000" w:themeColor="text1"/>
          <w:sz w:val="28"/>
          <w:szCs w:val="28"/>
          <w:lang w:val="es-ES_tradnl" w:eastAsia="es-ES_tradnl"/>
        </w:rPr>
      </w:pPr>
    </w:p>
    <w:p w:rsidR="00811F4A" w:rsidRPr="0096658B" w:rsidRDefault="0096658B" w:rsidP="004D19AD">
      <w:pPr>
        <w:pStyle w:val="Style1"/>
        <w:widowControl/>
        <w:ind w:right="5"/>
        <w:jc w:val="left"/>
        <w:rPr>
          <w:rStyle w:val="FontStyle12"/>
          <w:rFonts w:eastAsia="SimSun"/>
          <w:color w:val="000000" w:themeColor="text1"/>
          <w:sz w:val="28"/>
          <w:szCs w:val="28"/>
          <w:lang w:val="es-ES_tradnl" w:eastAsia="es-ES_tradnl"/>
        </w:rPr>
      </w:pPr>
      <w:r w:rsidRPr="0096658B">
        <w:rPr>
          <w:rStyle w:val="FontStyle12"/>
          <w:rFonts w:eastAsia="SimSun"/>
          <w:color w:val="000000" w:themeColor="text1"/>
          <w:sz w:val="28"/>
          <w:szCs w:val="28"/>
          <w:lang w:val="es-ES_tradnl" w:eastAsia="es-ES_tradnl"/>
        </w:rPr>
        <w:t xml:space="preserve">VI. </w:t>
      </w:r>
      <w:r w:rsidRPr="0096658B">
        <w:rPr>
          <w:rStyle w:val="FontStyle12"/>
          <w:rFonts w:eastAsia="SimSun"/>
          <w:color w:val="000000" w:themeColor="text1"/>
          <w:sz w:val="28"/>
          <w:szCs w:val="28"/>
          <w:lang w:val="es-ES_tradnl" w:eastAsia="es-ES_tradnl"/>
        </w:rPr>
        <w:t>CONSIDERACIONES</w:t>
      </w:r>
    </w:p>
    <w:p w:rsidR="00811F4A" w:rsidRPr="0096658B" w:rsidRDefault="0096658B" w:rsidP="00811F4A">
      <w:pPr>
        <w:pStyle w:val="Style3"/>
        <w:spacing w:line="240" w:lineRule="auto"/>
        <w:rPr>
          <w:rFonts w:ascii="Times New Roman" w:hAnsi="Times New Roman" w:cs="Times New Roman"/>
          <w:b/>
          <w:bCs/>
          <w:color w:val="000000" w:themeColor="text1"/>
          <w:sz w:val="28"/>
          <w:szCs w:val="28"/>
          <w:lang w:val="es-ES_tradnl"/>
        </w:rPr>
      </w:pPr>
    </w:p>
    <w:p w:rsidR="00811F4A" w:rsidRPr="0096658B" w:rsidRDefault="0096658B" w:rsidP="00811F4A">
      <w:pPr>
        <w:pStyle w:val="Style3"/>
        <w:spacing w:line="240" w:lineRule="auto"/>
        <w:rPr>
          <w:rFonts w:ascii="Times New Roman" w:hAnsi="Times New Roman" w:cs="Times New Roman"/>
          <w:color w:val="000000" w:themeColor="text1"/>
          <w:sz w:val="28"/>
          <w:szCs w:val="28"/>
          <w:lang w:val="es-ES_tradnl"/>
        </w:rPr>
      </w:pPr>
      <w:r w:rsidRPr="0096658B">
        <w:rPr>
          <w:rFonts w:ascii="Times New Roman" w:hAnsi="Times New Roman" w:cs="Times New Roman"/>
          <w:b/>
          <w:bCs/>
          <w:color w:val="000000" w:themeColor="text1"/>
          <w:sz w:val="28"/>
          <w:szCs w:val="28"/>
          <w:lang w:val="es-ES_tradnl"/>
        </w:rPr>
        <w:t>Competencia</w:t>
      </w:r>
    </w:p>
    <w:p w:rsidR="00811F4A" w:rsidRPr="0096658B" w:rsidRDefault="0096658B" w:rsidP="00811F4A">
      <w:pPr>
        <w:pStyle w:val="Style3"/>
        <w:spacing w:line="240" w:lineRule="auto"/>
        <w:rPr>
          <w:rFonts w:ascii="Times New Roman" w:hAnsi="Times New Roman" w:cs="Times New Roman"/>
          <w:color w:val="000000" w:themeColor="text1"/>
          <w:sz w:val="28"/>
          <w:szCs w:val="28"/>
          <w:lang w:val="es-ES_tradnl"/>
        </w:rPr>
      </w:pPr>
    </w:p>
    <w:p w:rsidR="00811F4A" w:rsidRPr="0096658B" w:rsidRDefault="0096658B" w:rsidP="00337A19">
      <w:pPr>
        <w:widowControl w:val="0"/>
        <w:numPr>
          <w:ilvl w:val="0"/>
          <w:numId w:val="5"/>
        </w:numPr>
        <w:shd w:val="clear" w:color="auto" w:fill="FFFFFF"/>
        <w:autoSpaceDE w:val="0"/>
        <w:autoSpaceDN w:val="0"/>
        <w:adjustRightInd w:val="0"/>
        <w:ind w:left="0" w:firstLine="0"/>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szCs w:val="28"/>
          <w:lang w:val="es-ES_tradnl"/>
        </w:rPr>
        <w:t xml:space="preserve">De conformidad </w:t>
      </w:r>
      <w:r w:rsidRPr="0096658B">
        <w:rPr>
          <w:rFonts w:ascii="Times New Roman" w:hAnsi="Times New Roman" w:cs="Times New Roman"/>
          <w:color w:val="000000" w:themeColor="text1"/>
          <w:sz w:val="28"/>
          <w:szCs w:val="28"/>
        </w:rPr>
        <w:t xml:space="preserve">con lo previsto </w:t>
      </w:r>
      <w:r w:rsidRPr="0096658B">
        <w:rPr>
          <w:rFonts w:ascii="Times New Roman" w:hAnsi="Times New Roman" w:cs="Times New Roman"/>
          <w:color w:val="000000" w:themeColor="text1"/>
          <w:sz w:val="28"/>
          <w:szCs w:val="28"/>
        </w:rPr>
        <w:t>por</w:t>
      </w:r>
      <w:r w:rsidRPr="0096658B">
        <w:rPr>
          <w:rFonts w:ascii="Times New Roman" w:hAnsi="Times New Roman" w:cs="Times New Roman"/>
          <w:color w:val="000000" w:themeColor="text1"/>
          <w:sz w:val="28"/>
          <w:szCs w:val="28"/>
        </w:rPr>
        <w:t xml:space="preserve"> los artículos 153 y 241</w:t>
      </w:r>
      <w:r w:rsidRPr="0096658B">
        <w:rPr>
          <w:rFonts w:ascii="Times New Roman" w:hAnsi="Times New Roman" w:cs="Times New Roman"/>
          <w:color w:val="000000" w:themeColor="text1"/>
          <w:sz w:val="28"/>
          <w:szCs w:val="28"/>
        </w:rPr>
        <w:t>.8</w:t>
      </w:r>
      <w:r w:rsidRPr="0096658B">
        <w:rPr>
          <w:rFonts w:ascii="Times New Roman" w:hAnsi="Times New Roman" w:cs="Times New Roman"/>
          <w:color w:val="000000" w:themeColor="text1"/>
          <w:sz w:val="28"/>
          <w:szCs w:val="28"/>
        </w:rPr>
        <w:t xml:space="preserve"> de la Constitución Política, corresponde a esta Corte el examen de constitucionalidad de los proyectos de ley estatutaria, tanto por su contenido material como por vicios de procedimiento en su formación. En consecuencia, este Tribunal es competente para </w:t>
      </w:r>
      <w:r w:rsidRPr="0096658B">
        <w:rPr>
          <w:rFonts w:ascii="Times New Roman" w:hAnsi="Times New Roman" w:cs="Times New Roman"/>
          <w:color w:val="000000" w:themeColor="text1"/>
          <w:sz w:val="28"/>
          <w:szCs w:val="28"/>
        </w:rPr>
        <w:t>decidir sobre el proyecto de ley de la referencia.</w:t>
      </w:r>
    </w:p>
    <w:p w:rsidR="00C62299" w:rsidRPr="0096658B" w:rsidRDefault="0096658B" w:rsidP="00C62299">
      <w:pPr>
        <w:widowControl w:val="0"/>
        <w:shd w:val="clear" w:color="auto" w:fill="FFFFFF"/>
        <w:tabs>
          <w:tab w:val="left" w:pos="284"/>
        </w:tabs>
        <w:autoSpaceDE w:val="0"/>
        <w:autoSpaceDN w:val="0"/>
        <w:adjustRightInd w:val="0"/>
        <w:jc w:val="both"/>
        <w:rPr>
          <w:rFonts w:ascii="Times New Roman" w:hAnsi="Times New Roman" w:cs="Times New Roman"/>
          <w:color w:val="000000" w:themeColor="text1"/>
          <w:sz w:val="28"/>
        </w:rPr>
      </w:pPr>
    </w:p>
    <w:p w:rsidR="00C62299" w:rsidRPr="0096658B" w:rsidRDefault="0096658B" w:rsidP="00C62299">
      <w:pPr>
        <w:widowControl w:val="0"/>
        <w:shd w:val="clear" w:color="auto" w:fill="FFFFFF"/>
        <w:tabs>
          <w:tab w:val="left" w:pos="284"/>
        </w:tabs>
        <w:autoSpaceDE w:val="0"/>
        <w:autoSpaceDN w:val="0"/>
        <w:adjustRightInd w:val="0"/>
        <w:jc w:val="both"/>
        <w:rPr>
          <w:rFonts w:ascii="Times New Roman" w:hAnsi="Times New Roman" w:cs="Times New Roman"/>
          <w:b/>
          <w:color w:val="000000" w:themeColor="text1"/>
          <w:sz w:val="28"/>
          <w:szCs w:val="28"/>
        </w:rPr>
      </w:pPr>
      <w:r w:rsidRPr="0096658B">
        <w:rPr>
          <w:rFonts w:ascii="Times New Roman" w:hAnsi="Times New Roman" w:cs="Times New Roman"/>
          <w:b/>
          <w:color w:val="000000" w:themeColor="text1"/>
          <w:sz w:val="28"/>
          <w:szCs w:val="28"/>
        </w:rPr>
        <w:t xml:space="preserve">Metodología de la decisión </w:t>
      </w:r>
    </w:p>
    <w:p w:rsidR="00C62299" w:rsidRPr="0096658B" w:rsidRDefault="0096658B" w:rsidP="00C62299">
      <w:pPr>
        <w:widowControl w:val="0"/>
        <w:shd w:val="clear" w:color="auto" w:fill="FFFFFF"/>
        <w:tabs>
          <w:tab w:val="left" w:pos="284"/>
        </w:tabs>
        <w:autoSpaceDE w:val="0"/>
        <w:autoSpaceDN w:val="0"/>
        <w:adjustRightInd w:val="0"/>
        <w:jc w:val="both"/>
        <w:rPr>
          <w:rFonts w:ascii="Times New Roman" w:hAnsi="Times New Roman" w:cs="Times New Roman"/>
          <w:color w:val="000000" w:themeColor="text1"/>
          <w:sz w:val="28"/>
          <w:szCs w:val="28"/>
        </w:rPr>
      </w:pPr>
    </w:p>
    <w:p w:rsidR="00C62299" w:rsidRPr="0096658B" w:rsidRDefault="0096658B" w:rsidP="00337A19">
      <w:pPr>
        <w:widowControl w:val="0"/>
        <w:numPr>
          <w:ilvl w:val="0"/>
          <w:numId w:val="5"/>
        </w:numPr>
        <w:shd w:val="clear" w:color="auto" w:fill="FFFFFF"/>
        <w:autoSpaceDE w:val="0"/>
        <w:autoSpaceDN w:val="0"/>
        <w:adjustRightInd w:val="0"/>
        <w:ind w:left="0" w:firstLine="0"/>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szCs w:val="28"/>
        </w:rPr>
        <w:t xml:space="preserve">Como se colige de los antecedentes de esta decisión, el PLE </w:t>
      </w:r>
      <w:r w:rsidRPr="0096658B">
        <w:rPr>
          <w:rFonts w:ascii="Times New Roman" w:hAnsi="Times New Roman" w:cs="Times New Roman"/>
          <w:color w:val="000000" w:themeColor="text1"/>
          <w:sz w:val="28"/>
          <w:szCs w:val="28"/>
        </w:rPr>
        <w:t>hace</w:t>
      </w:r>
      <w:r w:rsidRPr="0096658B">
        <w:rPr>
          <w:rFonts w:ascii="Times New Roman" w:hAnsi="Times New Roman" w:cs="Times New Roman"/>
          <w:color w:val="000000" w:themeColor="text1"/>
          <w:sz w:val="28"/>
          <w:szCs w:val="28"/>
        </w:rPr>
        <w:t xml:space="preserve"> modificaciones puntuales a disposiciones, también específicas, de otras leyes estatutarias. Ante esta circunst</w:t>
      </w:r>
      <w:r w:rsidRPr="0096658B">
        <w:rPr>
          <w:rFonts w:ascii="Times New Roman" w:hAnsi="Times New Roman" w:cs="Times New Roman"/>
          <w:color w:val="000000" w:themeColor="text1"/>
          <w:sz w:val="28"/>
          <w:szCs w:val="28"/>
        </w:rPr>
        <w:t xml:space="preserve">ancia, la Sala adoptará la siguiente metodología de la decisión. En primer lugar, identificará estas modificaciones con el fin de evidenciar el objeto del control de constitucionalidad que se adelanta en esta oportunidad y, de esta manera, distinguirlo de </w:t>
      </w:r>
      <w:r w:rsidRPr="0096658B">
        <w:rPr>
          <w:rFonts w:ascii="Times New Roman" w:hAnsi="Times New Roman" w:cs="Times New Roman"/>
          <w:color w:val="000000" w:themeColor="text1"/>
          <w:sz w:val="28"/>
          <w:szCs w:val="28"/>
        </w:rPr>
        <w:t xml:space="preserve">otras disposiciones frente a las cuales la Corte ya se ha pronunciado con efectos de cosa juzgada. </w:t>
      </w:r>
      <w:r w:rsidRPr="0096658B">
        <w:rPr>
          <w:rFonts w:ascii="Times New Roman" w:hAnsi="Times New Roman" w:cs="Times New Roman"/>
          <w:color w:val="000000" w:themeColor="text1"/>
          <w:sz w:val="28"/>
          <w:szCs w:val="28"/>
        </w:rPr>
        <w:t>En segundo lugar</w:t>
      </w:r>
      <w:r w:rsidRPr="0096658B">
        <w:rPr>
          <w:rFonts w:ascii="Times New Roman" w:hAnsi="Times New Roman" w:cs="Times New Roman"/>
          <w:color w:val="000000" w:themeColor="text1"/>
          <w:sz w:val="28"/>
          <w:szCs w:val="28"/>
        </w:rPr>
        <w:t>, adelantará el estudio sobre la constitucionalidad del procedimiento legislativo, para lo cual reiterará las reglas sobre los requisitos de</w:t>
      </w:r>
      <w:r w:rsidRPr="0096658B">
        <w:rPr>
          <w:rFonts w:ascii="Times New Roman" w:hAnsi="Times New Roman" w:cs="Times New Roman"/>
          <w:color w:val="000000" w:themeColor="text1"/>
          <w:sz w:val="28"/>
          <w:szCs w:val="28"/>
        </w:rPr>
        <w:t>l</w:t>
      </w:r>
      <w:r w:rsidRPr="0096658B">
        <w:rPr>
          <w:rFonts w:ascii="Times New Roman" w:hAnsi="Times New Roman" w:cs="Times New Roman"/>
          <w:color w:val="000000" w:themeColor="text1"/>
          <w:sz w:val="28"/>
          <w:szCs w:val="28"/>
        </w:rPr>
        <w:t xml:space="preserve"> mismo</w:t>
      </w:r>
      <w:r w:rsidRPr="0096658B">
        <w:rPr>
          <w:rFonts w:ascii="Times New Roman" w:hAnsi="Times New Roman" w:cs="Times New Roman"/>
          <w:color w:val="000000" w:themeColor="text1"/>
          <w:sz w:val="28"/>
          <w:szCs w:val="28"/>
        </w:rPr>
        <w:t xml:space="preserve"> y explicará su cumplimiento en el caso del PLE. En tercer lugar, realizará algunas consideraciones generales sobre el derecho de las mujeres a la participación política y en los niveles decisorios del Estado</w:t>
      </w:r>
      <w:r w:rsidRPr="0096658B">
        <w:rPr>
          <w:rFonts w:ascii="Times New Roman" w:hAnsi="Times New Roman" w:cs="Times New Roman"/>
          <w:color w:val="000000" w:themeColor="text1"/>
          <w:sz w:val="28"/>
          <w:szCs w:val="28"/>
        </w:rPr>
        <w:t>, así como</w:t>
      </w:r>
      <w:r w:rsidRPr="0096658B">
        <w:rPr>
          <w:rFonts w:ascii="Times New Roman" w:hAnsi="Times New Roman" w:cs="Times New Roman"/>
          <w:color w:val="000000" w:themeColor="text1"/>
          <w:sz w:val="28"/>
          <w:szCs w:val="28"/>
        </w:rPr>
        <w:t xml:space="preserve"> la pertinencia de las medidas l</w:t>
      </w:r>
      <w:r w:rsidRPr="0096658B">
        <w:rPr>
          <w:rFonts w:ascii="Times New Roman" w:hAnsi="Times New Roman" w:cs="Times New Roman"/>
          <w:color w:val="000000" w:themeColor="text1"/>
          <w:sz w:val="28"/>
          <w:szCs w:val="28"/>
        </w:rPr>
        <w:t>egislativas dirigidas hacia la representación paritaria, al igual que sus límites y retos</w:t>
      </w:r>
      <w:r w:rsidRPr="0096658B">
        <w:rPr>
          <w:rFonts w:ascii="Times New Roman" w:hAnsi="Times New Roman" w:cs="Times New Roman"/>
          <w:color w:val="000000" w:themeColor="text1"/>
          <w:sz w:val="28"/>
          <w:szCs w:val="28"/>
        </w:rPr>
        <w:t xml:space="preserve">. Finalmente, en cuarto lugar y a partir de las conclusiones que se deriven del análisis, estudiará la constitucionalidad del articulado. </w:t>
      </w:r>
    </w:p>
    <w:p w:rsidR="00AD1C94" w:rsidRPr="0096658B" w:rsidRDefault="0096658B" w:rsidP="00AD1C94">
      <w:pPr>
        <w:widowControl w:val="0"/>
        <w:shd w:val="clear" w:color="auto" w:fill="FFFFFF"/>
        <w:tabs>
          <w:tab w:val="left" w:pos="284"/>
        </w:tabs>
        <w:autoSpaceDE w:val="0"/>
        <w:autoSpaceDN w:val="0"/>
        <w:adjustRightInd w:val="0"/>
        <w:jc w:val="both"/>
        <w:rPr>
          <w:rFonts w:ascii="Times New Roman" w:hAnsi="Times New Roman" w:cs="Times New Roman"/>
          <w:color w:val="000000" w:themeColor="text1"/>
          <w:sz w:val="28"/>
        </w:rPr>
      </w:pPr>
    </w:p>
    <w:p w:rsidR="00AD1C94" w:rsidRPr="0096658B" w:rsidRDefault="0096658B" w:rsidP="00AD1C94">
      <w:pPr>
        <w:widowControl w:val="0"/>
        <w:shd w:val="clear" w:color="auto" w:fill="FFFFFF"/>
        <w:tabs>
          <w:tab w:val="left" w:pos="284"/>
        </w:tabs>
        <w:autoSpaceDE w:val="0"/>
        <w:autoSpaceDN w:val="0"/>
        <w:adjustRightInd w:val="0"/>
        <w:jc w:val="both"/>
        <w:rPr>
          <w:rFonts w:ascii="Times New Roman" w:hAnsi="Times New Roman" w:cs="Times New Roman"/>
          <w:b/>
          <w:color w:val="000000" w:themeColor="text1"/>
          <w:sz w:val="28"/>
          <w:szCs w:val="28"/>
        </w:rPr>
      </w:pPr>
      <w:r w:rsidRPr="0096658B">
        <w:rPr>
          <w:rFonts w:ascii="Times New Roman" w:hAnsi="Times New Roman" w:cs="Times New Roman"/>
          <w:b/>
          <w:color w:val="000000" w:themeColor="text1"/>
          <w:sz w:val="28"/>
          <w:szCs w:val="28"/>
        </w:rPr>
        <w:t xml:space="preserve">Delimitación del objeto de </w:t>
      </w:r>
      <w:r w:rsidRPr="0096658B">
        <w:rPr>
          <w:rFonts w:ascii="Times New Roman" w:hAnsi="Times New Roman" w:cs="Times New Roman"/>
          <w:b/>
          <w:color w:val="000000" w:themeColor="text1"/>
          <w:sz w:val="28"/>
          <w:szCs w:val="28"/>
        </w:rPr>
        <w:t>control de constitucionalidad</w:t>
      </w:r>
    </w:p>
    <w:p w:rsidR="00BE0B5E" w:rsidRPr="0096658B" w:rsidRDefault="0096658B" w:rsidP="00AD1C94">
      <w:pPr>
        <w:widowControl w:val="0"/>
        <w:shd w:val="clear" w:color="auto" w:fill="FFFFFF"/>
        <w:tabs>
          <w:tab w:val="left" w:pos="284"/>
        </w:tabs>
        <w:autoSpaceDE w:val="0"/>
        <w:autoSpaceDN w:val="0"/>
        <w:adjustRightInd w:val="0"/>
        <w:jc w:val="both"/>
        <w:rPr>
          <w:rFonts w:ascii="Times New Roman" w:hAnsi="Times New Roman" w:cs="Times New Roman"/>
          <w:b/>
          <w:color w:val="000000" w:themeColor="text1"/>
          <w:sz w:val="28"/>
          <w:szCs w:val="28"/>
        </w:rPr>
      </w:pPr>
    </w:p>
    <w:p w:rsidR="00AD1C94" w:rsidRPr="0096658B" w:rsidRDefault="0096658B" w:rsidP="00337A19">
      <w:pPr>
        <w:widowControl w:val="0"/>
        <w:numPr>
          <w:ilvl w:val="0"/>
          <w:numId w:val="5"/>
        </w:numPr>
        <w:shd w:val="clear" w:color="auto" w:fill="FFFFFF"/>
        <w:autoSpaceDE w:val="0"/>
        <w:autoSpaceDN w:val="0"/>
        <w:adjustRightInd w:val="0"/>
        <w:ind w:left="0" w:firstLine="0"/>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szCs w:val="28"/>
        </w:rPr>
        <w:t xml:space="preserve">El PLE modifica y adiciona los artículos 4° y 13 de la Ley </w:t>
      </w:r>
      <w:r w:rsidRPr="0096658B">
        <w:rPr>
          <w:rFonts w:ascii="Times New Roman" w:hAnsi="Times New Roman" w:cs="Times New Roman"/>
          <w:color w:val="000000" w:themeColor="text1"/>
          <w:sz w:val="28"/>
          <w:szCs w:val="28"/>
        </w:rPr>
        <w:t xml:space="preserve">Estatutaria </w:t>
      </w:r>
      <w:r w:rsidRPr="0096658B">
        <w:rPr>
          <w:rFonts w:ascii="Times New Roman" w:hAnsi="Times New Roman" w:cs="Times New Roman"/>
          <w:color w:val="000000" w:themeColor="text1"/>
          <w:sz w:val="28"/>
          <w:szCs w:val="28"/>
        </w:rPr>
        <w:t>581 de 2000</w:t>
      </w:r>
      <w:r w:rsidRPr="0096658B">
        <w:rPr>
          <w:rStyle w:val="Refdenotaalpie"/>
          <w:rFonts w:ascii="Times New Roman" w:hAnsi="Times New Roman"/>
          <w:color w:val="000000" w:themeColor="text1"/>
          <w:sz w:val="28"/>
          <w:szCs w:val="28"/>
        </w:rPr>
        <w:footnoteReference w:id="10"/>
      </w:r>
      <w:r w:rsidRPr="0096658B">
        <w:rPr>
          <w:rFonts w:ascii="Times New Roman" w:hAnsi="Times New Roman" w:cs="Times New Roman"/>
          <w:color w:val="000000" w:themeColor="text1"/>
          <w:sz w:val="28"/>
          <w:szCs w:val="28"/>
        </w:rPr>
        <w:t>, así como</w:t>
      </w:r>
      <w:r w:rsidRPr="0096658B">
        <w:rPr>
          <w:rFonts w:ascii="Times New Roman" w:hAnsi="Times New Roman" w:cs="Times New Roman"/>
          <w:color w:val="000000" w:themeColor="text1"/>
          <w:sz w:val="28"/>
          <w:szCs w:val="28"/>
        </w:rPr>
        <w:t xml:space="preserve"> el artículo 28 de la Ley Estatutaria 1475 de 2011</w:t>
      </w:r>
      <w:r w:rsidRPr="0096658B">
        <w:rPr>
          <w:rStyle w:val="Refdenotaalpie"/>
          <w:rFonts w:ascii="Times New Roman" w:hAnsi="Times New Roman"/>
          <w:color w:val="000000" w:themeColor="text1"/>
          <w:sz w:val="28"/>
          <w:szCs w:val="28"/>
        </w:rPr>
        <w:footnoteReference w:id="11"/>
      </w:r>
      <w:r w:rsidRPr="0096658B">
        <w:rPr>
          <w:rFonts w:ascii="Times New Roman" w:hAnsi="Times New Roman" w:cs="Times New Roman"/>
          <w:color w:val="000000" w:themeColor="text1"/>
          <w:sz w:val="28"/>
          <w:szCs w:val="28"/>
        </w:rPr>
        <w:t>. Estas reformas se encuentran subrayadas en el siguiente cuadro:</w:t>
      </w:r>
    </w:p>
    <w:p w:rsidR="009571C9" w:rsidRPr="0096658B" w:rsidRDefault="0096658B" w:rsidP="009571C9">
      <w:pPr>
        <w:widowControl w:val="0"/>
        <w:shd w:val="clear" w:color="auto" w:fill="FFFFFF"/>
        <w:tabs>
          <w:tab w:val="left" w:pos="284"/>
        </w:tabs>
        <w:autoSpaceDE w:val="0"/>
        <w:autoSpaceDN w:val="0"/>
        <w:adjustRightInd w:val="0"/>
        <w:jc w:val="both"/>
        <w:rPr>
          <w:rFonts w:ascii="Times New Roman" w:hAnsi="Times New Roman" w:cs="Times New Roman"/>
          <w:color w:val="000000" w:themeColor="text1"/>
          <w:sz w:val="28"/>
        </w:rPr>
      </w:pPr>
    </w:p>
    <w:tbl>
      <w:tblPr>
        <w:tblStyle w:val="Tablaconcuadrcula"/>
        <w:tblW w:w="0" w:type="auto"/>
        <w:tblLook w:val="04A0" w:firstRow="1" w:lastRow="0" w:firstColumn="1" w:lastColumn="0" w:noHBand="0" w:noVBand="1"/>
      </w:tblPr>
      <w:tblGrid>
        <w:gridCol w:w="4248"/>
        <w:gridCol w:w="4536"/>
      </w:tblGrid>
      <w:tr w:rsidR="009F6B08" w:rsidRPr="0096658B" w:rsidTr="00337A19">
        <w:tc>
          <w:tcPr>
            <w:tcW w:w="4248" w:type="dxa"/>
            <w:shd w:val="clear" w:color="auto" w:fill="BFBFBF" w:themeFill="background1" w:themeFillShade="BF"/>
          </w:tcPr>
          <w:p w:rsidR="00164A3B" w:rsidRPr="0096658B" w:rsidRDefault="0096658B" w:rsidP="00337A19">
            <w:pPr>
              <w:jc w:val="center"/>
              <w:rPr>
                <w:rFonts w:ascii="Times New Roman" w:hAnsi="Times New Roman" w:cs="Times New Roman"/>
                <w:b/>
                <w:bCs/>
                <w:color w:val="000000" w:themeColor="text1"/>
                <w:sz w:val="28"/>
              </w:rPr>
            </w:pPr>
            <w:r w:rsidRPr="0096658B">
              <w:rPr>
                <w:rFonts w:ascii="Times New Roman" w:hAnsi="Times New Roman" w:cs="Times New Roman"/>
                <w:b/>
                <w:bCs/>
                <w:color w:val="000000" w:themeColor="text1"/>
                <w:sz w:val="28"/>
              </w:rPr>
              <w:t xml:space="preserve">Texto </w:t>
            </w:r>
            <w:r w:rsidRPr="0096658B">
              <w:rPr>
                <w:rFonts w:ascii="Times New Roman" w:hAnsi="Times New Roman" w:cs="Times New Roman"/>
                <w:b/>
                <w:bCs/>
                <w:color w:val="000000" w:themeColor="text1"/>
                <w:sz w:val="28"/>
              </w:rPr>
              <w:t>reformado</w:t>
            </w:r>
          </w:p>
        </w:tc>
        <w:tc>
          <w:tcPr>
            <w:tcW w:w="4536" w:type="dxa"/>
            <w:shd w:val="clear" w:color="auto" w:fill="BFBFBF" w:themeFill="background1" w:themeFillShade="BF"/>
          </w:tcPr>
          <w:p w:rsidR="00164A3B" w:rsidRPr="0096658B" w:rsidRDefault="0096658B" w:rsidP="00337A19">
            <w:pPr>
              <w:jc w:val="center"/>
              <w:rPr>
                <w:rFonts w:ascii="Times New Roman" w:hAnsi="Times New Roman" w:cs="Times New Roman"/>
                <w:b/>
                <w:bCs/>
                <w:color w:val="000000" w:themeColor="text1"/>
                <w:sz w:val="28"/>
              </w:rPr>
            </w:pPr>
            <w:r w:rsidRPr="0096658B">
              <w:rPr>
                <w:rFonts w:ascii="Times New Roman" w:hAnsi="Times New Roman" w:cs="Times New Roman"/>
                <w:b/>
                <w:bCs/>
                <w:color w:val="000000" w:themeColor="text1"/>
                <w:sz w:val="28"/>
              </w:rPr>
              <w:t>Texto contenido en el PLE</w:t>
            </w:r>
          </w:p>
        </w:tc>
      </w:tr>
      <w:tr w:rsidR="009F6B08" w:rsidRPr="0096658B" w:rsidTr="00337A19">
        <w:tc>
          <w:tcPr>
            <w:tcW w:w="4248" w:type="dxa"/>
          </w:tcPr>
          <w:p w:rsidR="00164A3B" w:rsidRPr="0096658B" w:rsidRDefault="0096658B" w:rsidP="000B514A">
            <w:pPr>
              <w:jc w:val="both"/>
              <w:rPr>
                <w:rFonts w:ascii="Times New Roman" w:hAnsi="Times New Roman" w:cs="Times New Roman"/>
                <w:b/>
                <w:bCs/>
                <w:color w:val="000000" w:themeColor="text1"/>
                <w:sz w:val="28"/>
              </w:rPr>
            </w:pPr>
            <w:r w:rsidRPr="0096658B">
              <w:rPr>
                <w:rFonts w:ascii="Times New Roman" w:hAnsi="Times New Roman" w:cs="Times New Roman"/>
                <w:b/>
                <w:bCs/>
                <w:color w:val="000000" w:themeColor="text1"/>
                <w:sz w:val="28"/>
              </w:rPr>
              <w:t>Ley 581 de 2000</w:t>
            </w:r>
          </w:p>
          <w:p w:rsidR="00164A3B" w:rsidRPr="0096658B" w:rsidRDefault="0096658B" w:rsidP="000B514A">
            <w:pPr>
              <w:jc w:val="both"/>
              <w:rPr>
                <w:rFonts w:ascii="Times New Roman" w:hAnsi="Times New Roman" w:cs="Times New Roman"/>
                <w:b/>
                <w:bCs/>
                <w:color w:val="000000" w:themeColor="text1"/>
                <w:sz w:val="28"/>
              </w:rPr>
            </w:pPr>
          </w:p>
          <w:p w:rsidR="00164A3B" w:rsidRPr="0096658B" w:rsidRDefault="0096658B" w:rsidP="000B514A">
            <w:pPr>
              <w:jc w:val="both"/>
              <w:rPr>
                <w:rFonts w:ascii="Times New Roman" w:hAnsi="Times New Roman" w:cs="Times New Roman"/>
                <w:b/>
                <w:bCs/>
                <w:color w:val="000000" w:themeColor="text1"/>
                <w:sz w:val="28"/>
              </w:rPr>
            </w:pPr>
          </w:p>
          <w:p w:rsidR="00164A3B" w:rsidRPr="0096658B" w:rsidRDefault="0096658B" w:rsidP="000B514A">
            <w:pPr>
              <w:jc w:val="both"/>
              <w:rPr>
                <w:rFonts w:ascii="Times New Roman" w:hAnsi="Times New Roman" w:cs="Times New Roman"/>
                <w:color w:val="000000" w:themeColor="text1"/>
                <w:sz w:val="28"/>
              </w:rPr>
            </w:pPr>
            <w:r w:rsidRPr="0096658B">
              <w:rPr>
                <w:rFonts w:ascii="Times New Roman" w:hAnsi="Times New Roman" w:cs="Times New Roman"/>
                <w:b/>
                <w:bCs/>
                <w:color w:val="000000" w:themeColor="text1"/>
                <w:sz w:val="28"/>
              </w:rPr>
              <w:t>Artículo 4°. Participación efectiva de la mujer</w:t>
            </w:r>
            <w:r w:rsidRPr="0096658B">
              <w:rPr>
                <w:rFonts w:ascii="Times New Roman" w:hAnsi="Times New Roman" w:cs="Times New Roman"/>
                <w:color w:val="000000" w:themeColor="text1"/>
                <w:sz w:val="28"/>
              </w:rPr>
              <w:t>. La participación adecuada de la mujer en los niveles del poder público definidos en los artículos 2° y 3° de la presente ley, se hará efectiva aplicando</w:t>
            </w:r>
            <w:r w:rsidRPr="0096658B">
              <w:rPr>
                <w:rFonts w:ascii="Times New Roman" w:hAnsi="Times New Roman" w:cs="Times New Roman"/>
                <w:color w:val="000000" w:themeColor="text1"/>
                <w:sz w:val="28"/>
              </w:rPr>
              <w:t xml:space="preserve"> por parte de las autoridades nominadoras las siguientes reglas:</w:t>
            </w:r>
          </w:p>
          <w:p w:rsidR="00164A3B" w:rsidRPr="0096658B" w:rsidRDefault="0096658B" w:rsidP="000B514A">
            <w:pPr>
              <w:jc w:val="both"/>
              <w:rPr>
                <w:rFonts w:ascii="Times New Roman" w:hAnsi="Times New Roman" w:cs="Times New Roman"/>
                <w:color w:val="000000" w:themeColor="text1"/>
                <w:sz w:val="28"/>
              </w:rPr>
            </w:pPr>
          </w:p>
          <w:p w:rsidR="00164A3B" w:rsidRPr="0096658B" w:rsidRDefault="0096658B" w:rsidP="000B514A">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a) Mínimo el treinta por ciento (30%) de los cargos de máximo nivel decisorio, de que trata el artículo 2°, serán desempeñados por mujeres;</w:t>
            </w:r>
          </w:p>
          <w:p w:rsidR="00164A3B" w:rsidRPr="0096658B" w:rsidRDefault="0096658B" w:rsidP="000B514A">
            <w:pPr>
              <w:jc w:val="both"/>
              <w:rPr>
                <w:rFonts w:ascii="Times New Roman" w:hAnsi="Times New Roman" w:cs="Times New Roman"/>
                <w:color w:val="000000" w:themeColor="text1"/>
                <w:sz w:val="28"/>
              </w:rPr>
            </w:pPr>
          </w:p>
          <w:p w:rsidR="00164A3B" w:rsidRPr="0096658B" w:rsidRDefault="0096658B" w:rsidP="000B514A">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b) Mínimo el treinta por ciento (30%) de los carg</w:t>
            </w:r>
            <w:r w:rsidRPr="0096658B">
              <w:rPr>
                <w:rFonts w:ascii="Times New Roman" w:hAnsi="Times New Roman" w:cs="Times New Roman"/>
                <w:color w:val="000000" w:themeColor="text1"/>
                <w:sz w:val="28"/>
              </w:rPr>
              <w:t>os de otros niveles decisorios, de que trata el artículo 3°, serán desempeñados por mujeres.</w:t>
            </w:r>
          </w:p>
          <w:p w:rsidR="00164A3B" w:rsidRPr="0096658B" w:rsidRDefault="0096658B" w:rsidP="000B514A">
            <w:pPr>
              <w:jc w:val="both"/>
              <w:rPr>
                <w:rFonts w:ascii="Times New Roman" w:hAnsi="Times New Roman" w:cs="Times New Roman"/>
                <w:color w:val="000000" w:themeColor="text1"/>
                <w:sz w:val="28"/>
              </w:rPr>
            </w:pPr>
          </w:p>
          <w:p w:rsidR="00164A3B" w:rsidRPr="0096658B" w:rsidRDefault="0096658B" w:rsidP="000B514A">
            <w:pPr>
              <w:jc w:val="both"/>
              <w:rPr>
                <w:rFonts w:ascii="Times New Roman" w:hAnsi="Times New Roman" w:cs="Times New Roman"/>
                <w:color w:val="000000" w:themeColor="text1"/>
                <w:sz w:val="28"/>
              </w:rPr>
            </w:pPr>
            <w:r w:rsidRPr="0096658B">
              <w:rPr>
                <w:rFonts w:ascii="Times New Roman" w:hAnsi="Times New Roman" w:cs="Times New Roman"/>
                <w:b/>
                <w:bCs/>
                <w:color w:val="000000" w:themeColor="text1"/>
                <w:sz w:val="28"/>
              </w:rPr>
              <w:t>Parágrafo.</w:t>
            </w:r>
            <w:r w:rsidRPr="0096658B">
              <w:rPr>
                <w:rFonts w:ascii="Times New Roman" w:hAnsi="Times New Roman" w:cs="Times New Roman"/>
                <w:color w:val="000000" w:themeColor="text1"/>
                <w:sz w:val="28"/>
              </w:rPr>
              <w:t xml:space="preserve"> El incumplimiento de lo ordenado en este artículo constituye causal de mala conducta, que será sancionada con suspensión hasta de treinta (30) días en </w:t>
            </w:r>
            <w:r w:rsidRPr="0096658B">
              <w:rPr>
                <w:rFonts w:ascii="Times New Roman" w:hAnsi="Times New Roman" w:cs="Times New Roman"/>
                <w:color w:val="000000" w:themeColor="text1"/>
                <w:sz w:val="28"/>
              </w:rPr>
              <w:t>el ejercicio del cargo, y con la destitución del mismo en caso de persistir</w:t>
            </w:r>
            <w:r w:rsidRPr="0096658B">
              <w:rPr>
                <w:rFonts w:ascii="Times New Roman" w:hAnsi="Times New Roman" w:cs="Times New Roman"/>
                <w:color w:val="000000" w:themeColor="text1"/>
                <w:sz w:val="28"/>
              </w:rPr>
              <w:t xml:space="preserve"> </w:t>
            </w:r>
            <w:r w:rsidRPr="0096658B">
              <w:rPr>
                <w:rFonts w:ascii="Times New Roman" w:hAnsi="Times New Roman" w:cs="Times New Roman"/>
                <w:color w:val="000000" w:themeColor="text1"/>
                <w:sz w:val="28"/>
              </w:rPr>
              <w:t>en la conducta, de conformidad con el régimen disciplinario vigente.</w:t>
            </w:r>
          </w:p>
          <w:p w:rsidR="00164A3B" w:rsidRPr="0096658B" w:rsidRDefault="0096658B" w:rsidP="000B514A">
            <w:pPr>
              <w:jc w:val="both"/>
              <w:rPr>
                <w:rFonts w:ascii="Times New Roman" w:hAnsi="Times New Roman" w:cs="Times New Roman"/>
                <w:color w:val="000000" w:themeColor="text1"/>
                <w:sz w:val="28"/>
              </w:rPr>
            </w:pPr>
          </w:p>
        </w:tc>
        <w:tc>
          <w:tcPr>
            <w:tcW w:w="4536" w:type="dxa"/>
          </w:tcPr>
          <w:p w:rsidR="00164A3B" w:rsidRPr="0096658B" w:rsidRDefault="0096658B" w:rsidP="000B514A">
            <w:pPr>
              <w:pStyle w:val="Style1"/>
              <w:ind w:right="5"/>
              <w:jc w:val="both"/>
              <w:rPr>
                <w:rStyle w:val="FontStyle12"/>
                <w:rFonts w:eastAsia="SimSun"/>
                <w:b w:val="0"/>
                <w:bCs w:val="0"/>
                <w:color w:val="000000" w:themeColor="text1"/>
                <w:sz w:val="28"/>
                <w:szCs w:val="24"/>
                <w:lang w:val="es-CO" w:eastAsia="es-ES_tradnl"/>
              </w:rPr>
            </w:pPr>
            <w:r w:rsidRPr="0096658B">
              <w:rPr>
                <w:rStyle w:val="FontStyle12"/>
                <w:rFonts w:eastAsia="SimSun"/>
                <w:color w:val="000000" w:themeColor="text1"/>
                <w:sz w:val="28"/>
                <w:szCs w:val="24"/>
                <w:lang w:val="es-CO" w:eastAsia="es-ES_tradnl"/>
              </w:rPr>
              <w:t>Artículo 1°.</w:t>
            </w:r>
            <w:r w:rsidRPr="0096658B">
              <w:rPr>
                <w:rStyle w:val="FontStyle12"/>
                <w:rFonts w:eastAsia="SimSun"/>
                <w:b w:val="0"/>
                <w:bCs w:val="0"/>
                <w:color w:val="000000" w:themeColor="text1"/>
                <w:sz w:val="28"/>
                <w:szCs w:val="24"/>
                <w:lang w:val="es-CO" w:eastAsia="es-ES_tradnl"/>
              </w:rPr>
              <w:t xml:space="preserve"> Modifíquese el </w:t>
            </w:r>
            <w:r w:rsidRPr="0096658B">
              <w:rPr>
                <w:rStyle w:val="FontStyle12"/>
                <w:rFonts w:eastAsia="SimSun"/>
                <w:b w:val="0"/>
                <w:bCs w:val="0"/>
                <w:color w:val="000000" w:themeColor="text1"/>
                <w:sz w:val="28"/>
                <w:szCs w:val="24"/>
                <w:lang w:val="es-CO" w:eastAsia="es-ES_tradnl"/>
              </w:rPr>
              <w:t>artículo</w:t>
            </w:r>
            <w:r w:rsidRPr="0096658B">
              <w:rPr>
                <w:rStyle w:val="FontStyle12"/>
                <w:rFonts w:eastAsia="SimSun"/>
                <w:b w:val="0"/>
                <w:bCs w:val="0"/>
                <w:color w:val="000000" w:themeColor="text1"/>
                <w:sz w:val="28"/>
                <w:szCs w:val="24"/>
                <w:lang w:val="es-CO" w:eastAsia="es-ES_tradnl"/>
              </w:rPr>
              <w:t xml:space="preserve"> 4° de la Ley 581 de 2000, el cual quedará </w:t>
            </w:r>
            <w:r w:rsidRPr="0096658B">
              <w:rPr>
                <w:rStyle w:val="FontStyle12"/>
                <w:rFonts w:eastAsia="SimSun"/>
                <w:b w:val="0"/>
                <w:bCs w:val="0"/>
                <w:color w:val="000000" w:themeColor="text1"/>
                <w:sz w:val="28"/>
                <w:szCs w:val="24"/>
                <w:lang w:val="es-CO" w:eastAsia="es-ES_tradnl"/>
              </w:rPr>
              <w:t>así</w:t>
            </w:r>
            <w:r w:rsidRPr="0096658B">
              <w:rPr>
                <w:rStyle w:val="FontStyle12"/>
                <w:rFonts w:eastAsia="SimSun"/>
                <w:b w:val="0"/>
                <w:bCs w:val="0"/>
                <w:color w:val="000000" w:themeColor="text1"/>
                <w:sz w:val="28"/>
                <w:szCs w:val="24"/>
                <w:lang w:val="es-CO" w:eastAsia="es-ES_tradnl"/>
              </w:rPr>
              <w:t>́:</w:t>
            </w:r>
          </w:p>
          <w:p w:rsidR="00164A3B" w:rsidRPr="0096658B" w:rsidRDefault="0096658B" w:rsidP="000B514A">
            <w:pPr>
              <w:pStyle w:val="Style1"/>
              <w:ind w:right="5"/>
              <w:jc w:val="both"/>
              <w:rPr>
                <w:rStyle w:val="FontStyle12"/>
                <w:rFonts w:eastAsia="SimSun"/>
                <w:b w:val="0"/>
                <w:bCs w:val="0"/>
                <w:color w:val="000000" w:themeColor="text1"/>
                <w:sz w:val="28"/>
                <w:szCs w:val="24"/>
                <w:lang w:val="es-CO" w:eastAsia="es-ES_tradnl"/>
              </w:rPr>
            </w:pPr>
          </w:p>
          <w:p w:rsidR="00164A3B" w:rsidRPr="0096658B" w:rsidRDefault="0096658B" w:rsidP="000B514A">
            <w:pPr>
              <w:pStyle w:val="Style1"/>
              <w:ind w:right="5"/>
              <w:jc w:val="both"/>
              <w:rPr>
                <w:rStyle w:val="FontStyle12"/>
                <w:rFonts w:eastAsia="SimSun"/>
                <w:b w:val="0"/>
                <w:bCs w:val="0"/>
                <w:color w:val="000000" w:themeColor="text1"/>
                <w:sz w:val="28"/>
                <w:szCs w:val="24"/>
                <w:lang w:val="es-CO" w:eastAsia="es-ES_tradnl"/>
              </w:rPr>
            </w:pPr>
            <w:r w:rsidRPr="0096658B">
              <w:rPr>
                <w:rStyle w:val="FontStyle12"/>
                <w:rFonts w:eastAsia="SimSun"/>
                <w:color w:val="000000" w:themeColor="text1"/>
                <w:sz w:val="28"/>
                <w:szCs w:val="24"/>
                <w:lang w:val="es-CO" w:eastAsia="es-ES_tradnl"/>
              </w:rPr>
              <w:t>Artículo 4. Participaci</w:t>
            </w:r>
            <w:r w:rsidRPr="0096658B">
              <w:rPr>
                <w:rStyle w:val="FontStyle12"/>
                <w:rFonts w:eastAsia="SimSun"/>
                <w:color w:val="000000" w:themeColor="text1"/>
                <w:sz w:val="28"/>
                <w:szCs w:val="24"/>
                <w:lang w:val="es-CO" w:eastAsia="es-ES_tradnl"/>
              </w:rPr>
              <w:t>ón efectiva de las mujeres</w:t>
            </w:r>
            <w:r w:rsidRPr="0096658B">
              <w:rPr>
                <w:rStyle w:val="FontStyle12"/>
                <w:rFonts w:eastAsia="SimSun"/>
                <w:b w:val="0"/>
                <w:bCs w:val="0"/>
                <w:color w:val="000000" w:themeColor="text1"/>
                <w:sz w:val="28"/>
                <w:szCs w:val="24"/>
                <w:lang w:val="es-CO" w:eastAsia="es-ES_tradnl"/>
              </w:rPr>
              <w:t>. La participación adecuada de las mujeres en los niveles del poder público definidos en los artículos 2º y 3º de la presente ley, se hará́ efectiva aplicando por parte de las autoridades nominadoras las siguientes reglas:</w:t>
            </w:r>
          </w:p>
          <w:p w:rsidR="00164A3B" w:rsidRPr="0096658B" w:rsidRDefault="0096658B" w:rsidP="000B514A">
            <w:pPr>
              <w:pStyle w:val="Style1"/>
              <w:ind w:right="5"/>
              <w:jc w:val="both"/>
              <w:rPr>
                <w:rStyle w:val="FontStyle12"/>
                <w:rFonts w:eastAsia="SimSun"/>
                <w:b w:val="0"/>
                <w:bCs w:val="0"/>
                <w:color w:val="000000" w:themeColor="text1"/>
                <w:sz w:val="28"/>
                <w:szCs w:val="24"/>
                <w:lang w:val="es-CO" w:eastAsia="es-ES_tradnl"/>
              </w:rPr>
            </w:pPr>
          </w:p>
          <w:p w:rsidR="00164A3B" w:rsidRPr="0096658B" w:rsidRDefault="0096658B" w:rsidP="000B514A">
            <w:pPr>
              <w:pStyle w:val="Style1"/>
              <w:ind w:right="5"/>
              <w:jc w:val="both"/>
              <w:rPr>
                <w:rStyle w:val="FontStyle12"/>
                <w:rFonts w:eastAsia="SimSun"/>
                <w:b w:val="0"/>
                <w:bCs w:val="0"/>
                <w:color w:val="000000" w:themeColor="text1"/>
                <w:sz w:val="28"/>
                <w:szCs w:val="24"/>
                <w:lang w:val="es-CO" w:eastAsia="es-ES_tradnl"/>
              </w:rPr>
            </w:pPr>
            <w:r w:rsidRPr="0096658B">
              <w:rPr>
                <w:rStyle w:val="FontStyle12"/>
                <w:rFonts w:eastAsia="SimSun"/>
                <w:b w:val="0"/>
                <w:bCs w:val="0"/>
                <w:color w:val="000000" w:themeColor="text1"/>
                <w:sz w:val="28"/>
                <w:szCs w:val="24"/>
                <w:lang w:val="es-CO" w:eastAsia="es-ES_tradnl"/>
              </w:rPr>
              <w:t xml:space="preserve">a) Mínimo </w:t>
            </w:r>
            <w:r w:rsidRPr="0096658B">
              <w:rPr>
                <w:rStyle w:val="FontStyle12"/>
                <w:rFonts w:eastAsia="SimSun"/>
                <w:b w:val="0"/>
                <w:bCs w:val="0"/>
                <w:color w:val="000000" w:themeColor="text1"/>
                <w:sz w:val="28"/>
                <w:szCs w:val="24"/>
                <w:u w:val="single"/>
                <w:lang w:val="es-CO" w:eastAsia="es-ES_tradnl"/>
              </w:rPr>
              <w:t>el cincuenta por ciento (50%)</w:t>
            </w:r>
            <w:r w:rsidRPr="0096658B">
              <w:rPr>
                <w:rStyle w:val="FontStyle12"/>
                <w:rFonts w:eastAsia="SimSun"/>
                <w:b w:val="0"/>
                <w:bCs w:val="0"/>
                <w:color w:val="000000" w:themeColor="text1"/>
                <w:sz w:val="28"/>
                <w:szCs w:val="24"/>
                <w:lang w:val="es-CO" w:eastAsia="es-ES_tradnl"/>
              </w:rPr>
              <w:t xml:space="preserve"> de los cargos de máximo nivel decisorio, de que trata el artículo 2º, serán desempeñados por mujeres;</w:t>
            </w:r>
          </w:p>
          <w:p w:rsidR="00164A3B" w:rsidRPr="0096658B" w:rsidRDefault="0096658B" w:rsidP="000B514A">
            <w:pPr>
              <w:pStyle w:val="Style1"/>
              <w:ind w:right="5"/>
              <w:jc w:val="both"/>
              <w:rPr>
                <w:rStyle w:val="FontStyle12"/>
                <w:rFonts w:eastAsia="SimSun"/>
                <w:b w:val="0"/>
                <w:bCs w:val="0"/>
                <w:color w:val="000000" w:themeColor="text1"/>
                <w:sz w:val="28"/>
                <w:szCs w:val="24"/>
                <w:lang w:val="es-CO" w:eastAsia="es-ES_tradnl"/>
              </w:rPr>
            </w:pPr>
          </w:p>
          <w:p w:rsidR="00164A3B" w:rsidRPr="0096658B" w:rsidRDefault="0096658B" w:rsidP="000B514A">
            <w:pPr>
              <w:pStyle w:val="Style1"/>
              <w:ind w:right="5"/>
              <w:jc w:val="both"/>
              <w:rPr>
                <w:rStyle w:val="FontStyle12"/>
                <w:rFonts w:eastAsia="SimSun"/>
                <w:b w:val="0"/>
                <w:bCs w:val="0"/>
                <w:color w:val="000000" w:themeColor="text1"/>
                <w:sz w:val="28"/>
                <w:szCs w:val="24"/>
                <w:lang w:val="es-CO" w:eastAsia="es-ES_tradnl"/>
              </w:rPr>
            </w:pPr>
            <w:r w:rsidRPr="0096658B">
              <w:rPr>
                <w:rStyle w:val="FontStyle12"/>
                <w:rFonts w:eastAsia="SimSun"/>
                <w:b w:val="0"/>
                <w:bCs w:val="0"/>
                <w:color w:val="000000" w:themeColor="text1"/>
                <w:sz w:val="28"/>
                <w:szCs w:val="24"/>
                <w:lang w:val="es-CO" w:eastAsia="es-ES_tradnl"/>
              </w:rPr>
              <w:t xml:space="preserve">b) Mínimo </w:t>
            </w:r>
            <w:r w:rsidRPr="0096658B">
              <w:rPr>
                <w:rStyle w:val="FontStyle12"/>
                <w:rFonts w:eastAsia="SimSun"/>
                <w:b w:val="0"/>
                <w:bCs w:val="0"/>
                <w:color w:val="000000" w:themeColor="text1"/>
                <w:sz w:val="28"/>
                <w:szCs w:val="24"/>
                <w:u w:val="single"/>
                <w:lang w:val="es-CO" w:eastAsia="es-ES_tradnl"/>
              </w:rPr>
              <w:t>el cincuenta por ciento (50%)</w:t>
            </w:r>
            <w:r w:rsidRPr="0096658B">
              <w:rPr>
                <w:rStyle w:val="FontStyle12"/>
                <w:rFonts w:eastAsia="SimSun"/>
                <w:b w:val="0"/>
                <w:bCs w:val="0"/>
                <w:color w:val="000000" w:themeColor="text1"/>
                <w:sz w:val="28"/>
                <w:szCs w:val="24"/>
                <w:lang w:val="es-CO" w:eastAsia="es-ES_tradnl"/>
              </w:rPr>
              <w:t xml:space="preserve"> de los cargos de otros niveles decisorios, de que trata el artículo 3º, s</w:t>
            </w:r>
            <w:r w:rsidRPr="0096658B">
              <w:rPr>
                <w:rStyle w:val="FontStyle12"/>
                <w:rFonts w:eastAsia="SimSun"/>
                <w:b w:val="0"/>
                <w:bCs w:val="0"/>
                <w:color w:val="000000" w:themeColor="text1"/>
                <w:sz w:val="28"/>
                <w:szCs w:val="24"/>
                <w:lang w:val="es-CO" w:eastAsia="es-ES_tradnl"/>
              </w:rPr>
              <w:t>erán desempeñados por mujeres.</w:t>
            </w:r>
          </w:p>
          <w:p w:rsidR="00164A3B" w:rsidRPr="0096658B" w:rsidRDefault="0096658B" w:rsidP="000B514A">
            <w:pPr>
              <w:pStyle w:val="Style1"/>
              <w:ind w:right="5"/>
              <w:jc w:val="both"/>
              <w:rPr>
                <w:rStyle w:val="FontStyle12"/>
                <w:rFonts w:eastAsia="SimSun"/>
                <w:b w:val="0"/>
                <w:bCs w:val="0"/>
                <w:color w:val="000000" w:themeColor="text1"/>
                <w:sz w:val="28"/>
                <w:szCs w:val="24"/>
                <w:lang w:val="es-CO" w:eastAsia="es-ES_tradnl"/>
              </w:rPr>
            </w:pPr>
          </w:p>
          <w:p w:rsidR="00164A3B" w:rsidRPr="0096658B" w:rsidRDefault="0096658B" w:rsidP="000B514A">
            <w:pPr>
              <w:pStyle w:val="Style1"/>
              <w:ind w:right="5"/>
              <w:jc w:val="both"/>
              <w:rPr>
                <w:rStyle w:val="FontStyle12"/>
                <w:rFonts w:eastAsia="SimSun"/>
                <w:b w:val="0"/>
                <w:bCs w:val="0"/>
                <w:color w:val="000000" w:themeColor="text1"/>
                <w:sz w:val="28"/>
                <w:szCs w:val="24"/>
                <w:lang w:val="es-CO" w:eastAsia="es-ES_tradnl"/>
              </w:rPr>
            </w:pPr>
            <w:r w:rsidRPr="0096658B">
              <w:rPr>
                <w:rStyle w:val="FontStyle12"/>
                <w:rFonts w:eastAsia="SimSun"/>
                <w:color w:val="000000" w:themeColor="text1"/>
                <w:sz w:val="28"/>
                <w:szCs w:val="24"/>
                <w:lang w:val="es-CO" w:eastAsia="es-ES_tradnl"/>
              </w:rPr>
              <w:t>Parágrafo.</w:t>
            </w:r>
            <w:r w:rsidRPr="0096658B">
              <w:rPr>
                <w:rStyle w:val="FontStyle12"/>
                <w:rFonts w:eastAsia="SimSun"/>
                <w:b w:val="0"/>
                <w:bCs w:val="0"/>
                <w:color w:val="000000" w:themeColor="text1"/>
                <w:sz w:val="28"/>
                <w:szCs w:val="24"/>
                <w:lang w:val="es-CO" w:eastAsia="es-ES_tradnl"/>
              </w:rPr>
              <w:t xml:space="preserve"> El incumplimiento de lo ordenado en este artículo constituye causal de mala conducta, que será sancionada con suspensión hasta de treinta (30) días en el ejercicio del cargo, y con la destitución del mismo en caso</w:t>
            </w:r>
            <w:r w:rsidRPr="0096658B">
              <w:rPr>
                <w:rStyle w:val="FontStyle12"/>
                <w:rFonts w:eastAsia="SimSun"/>
                <w:b w:val="0"/>
                <w:bCs w:val="0"/>
                <w:color w:val="000000" w:themeColor="text1"/>
                <w:sz w:val="28"/>
                <w:szCs w:val="24"/>
                <w:lang w:val="es-CO" w:eastAsia="es-ES_tradnl"/>
              </w:rPr>
              <w:t xml:space="preserve"> de persistir en la conducta, de conformidad con el régimen disciplinario vigente.</w:t>
            </w:r>
          </w:p>
          <w:p w:rsidR="00164A3B" w:rsidRPr="0096658B" w:rsidRDefault="0096658B" w:rsidP="000B514A">
            <w:pPr>
              <w:pStyle w:val="Style1"/>
              <w:ind w:right="5"/>
              <w:jc w:val="both"/>
              <w:rPr>
                <w:rStyle w:val="FontStyle12"/>
                <w:rFonts w:eastAsia="SimSun"/>
                <w:b w:val="0"/>
                <w:bCs w:val="0"/>
                <w:color w:val="000000" w:themeColor="text1"/>
                <w:sz w:val="28"/>
                <w:szCs w:val="24"/>
                <w:lang w:val="es-CO" w:eastAsia="es-ES_tradnl"/>
              </w:rPr>
            </w:pPr>
          </w:p>
          <w:p w:rsidR="00164A3B" w:rsidRPr="0096658B" w:rsidRDefault="0096658B" w:rsidP="000B514A">
            <w:pPr>
              <w:pStyle w:val="Style1"/>
              <w:ind w:right="5"/>
              <w:jc w:val="both"/>
              <w:rPr>
                <w:rStyle w:val="FontStyle12"/>
                <w:rFonts w:eastAsia="SimSun"/>
                <w:b w:val="0"/>
                <w:bCs w:val="0"/>
                <w:color w:val="000000" w:themeColor="text1"/>
                <w:sz w:val="28"/>
                <w:szCs w:val="24"/>
                <w:u w:val="single"/>
                <w:lang w:val="es-CO" w:eastAsia="es-ES_tradnl"/>
              </w:rPr>
            </w:pPr>
            <w:r w:rsidRPr="0096658B">
              <w:rPr>
                <w:rStyle w:val="FontStyle12"/>
                <w:rFonts w:eastAsia="SimSun"/>
                <w:b w:val="0"/>
                <w:bCs w:val="0"/>
                <w:color w:val="000000" w:themeColor="text1"/>
                <w:sz w:val="28"/>
                <w:szCs w:val="24"/>
                <w:u w:val="single"/>
                <w:lang w:val="es-CO" w:eastAsia="es-ES_tradnl"/>
              </w:rPr>
              <w:t>Parágrafo 2. El Gobierno Nacional en el plazo de seis meses, contados a partir de la entrada en vigencia de la presente Ley, reglamentará los cargos a los cuales les aplic</w:t>
            </w:r>
            <w:r w:rsidRPr="0096658B">
              <w:rPr>
                <w:rStyle w:val="FontStyle12"/>
                <w:rFonts w:eastAsia="SimSun"/>
                <w:b w:val="0"/>
                <w:bCs w:val="0"/>
                <w:color w:val="000000" w:themeColor="text1"/>
                <w:sz w:val="28"/>
                <w:szCs w:val="24"/>
                <w:u w:val="single"/>
                <w:lang w:val="es-CO" w:eastAsia="es-ES_tradnl"/>
              </w:rPr>
              <w:t>ará la presente Ley.</w:t>
            </w:r>
          </w:p>
          <w:p w:rsidR="00164A3B" w:rsidRPr="0096658B" w:rsidRDefault="0096658B" w:rsidP="000B514A">
            <w:pPr>
              <w:jc w:val="both"/>
              <w:rPr>
                <w:rFonts w:ascii="Times New Roman" w:hAnsi="Times New Roman" w:cs="Times New Roman"/>
                <w:color w:val="000000" w:themeColor="text1"/>
                <w:sz w:val="28"/>
              </w:rPr>
            </w:pPr>
          </w:p>
        </w:tc>
      </w:tr>
      <w:tr w:rsidR="009F6B08" w:rsidRPr="0096658B" w:rsidTr="00337A19">
        <w:tc>
          <w:tcPr>
            <w:tcW w:w="4248" w:type="dxa"/>
          </w:tcPr>
          <w:p w:rsidR="00164A3B" w:rsidRPr="0096658B" w:rsidRDefault="0096658B" w:rsidP="000B514A">
            <w:pPr>
              <w:jc w:val="both"/>
              <w:rPr>
                <w:rFonts w:ascii="Times New Roman" w:hAnsi="Times New Roman" w:cs="Times New Roman"/>
                <w:b/>
                <w:bCs/>
                <w:color w:val="000000" w:themeColor="text1"/>
                <w:sz w:val="28"/>
              </w:rPr>
            </w:pPr>
            <w:r w:rsidRPr="0096658B">
              <w:rPr>
                <w:rFonts w:ascii="Times New Roman" w:hAnsi="Times New Roman" w:cs="Times New Roman"/>
                <w:b/>
                <w:bCs/>
                <w:color w:val="000000" w:themeColor="text1"/>
                <w:sz w:val="28"/>
              </w:rPr>
              <w:t>Ley 581 de 2000</w:t>
            </w:r>
          </w:p>
          <w:p w:rsidR="00164A3B" w:rsidRPr="0096658B" w:rsidRDefault="0096658B" w:rsidP="000B514A">
            <w:pPr>
              <w:jc w:val="both"/>
              <w:rPr>
                <w:rFonts w:ascii="Times New Roman" w:hAnsi="Times New Roman" w:cs="Times New Roman"/>
                <w:color w:val="000000" w:themeColor="text1"/>
                <w:sz w:val="28"/>
              </w:rPr>
            </w:pPr>
            <w:r w:rsidRPr="0096658B">
              <w:rPr>
                <w:rFonts w:ascii="Times New Roman" w:hAnsi="Times New Roman" w:cs="Times New Roman"/>
                <w:b/>
                <w:bCs/>
                <w:color w:val="000000" w:themeColor="text1"/>
                <w:sz w:val="28"/>
              </w:rPr>
              <w:t>Artículo 13. Representación en el exterior.</w:t>
            </w:r>
            <w:r w:rsidRPr="0096658B">
              <w:rPr>
                <w:rFonts w:ascii="Times New Roman" w:hAnsi="Times New Roman" w:cs="Times New Roman"/>
                <w:color w:val="000000" w:themeColor="text1"/>
                <w:sz w:val="28"/>
              </w:rPr>
              <w:t xml:space="preserve"> El Gobierno y el Congreso de la República, deberán incluir mujeres en las delegaciones de colombianos que en comisiones oficiales atiendan conferencias diplomáticas, reunio</w:t>
            </w:r>
            <w:r w:rsidRPr="0096658B">
              <w:rPr>
                <w:rFonts w:ascii="Times New Roman" w:hAnsi="Times New Roman" w:cs="Times New Roman"/>
                <w:color w:val="000000" w:themeColor="text1"/>
                <w:sz w:val="28"/>
              </w:rPr>
              <w:t>nes, foros internacionales, comités de expertos y eventos de naturaleza similar.</w:t>
            </w:r>
          </w:p>
          <w:p w:rsidR="00164A3B" w:rsidRPr="0096658B" w:rsidRDefault="0096658B" w:rsidP="000B514A">
            <w:pPr>
              <w:jc w:val="both"/>
              <w:rPr>
                <w:rFonts w:ascii="Times New Roman" w:hAnsi="Times New Roman" w:cs="Times New Roman"/>
                <w:color w:val="000000" w:themeColor="text1"/>
                <w:sz w:val="28"/>
              </w:rPr>
            </w:pPr>
          </w:p>
          <w:p w:rsidR="00164A3B" w:rsidRPr="0096658B" w:rsidRDefault="0096658B" w:rsidP="000B514A">
            <w:pPr>
              <w:jc w:val="both"/>
              <w:rPr>
                <w:rFonts w:ascii="Times New Roman" w:hAnsi="Times New Roman" w:cs="Times New Roman"/>
                <w:color w:val="000000" w:themeColor="text1"/>
                <w:sz w:val="28"/>
              </w:rPr>
            </w:pPr>
          </w:p>
          <w:p w:rsidR="00164A3B" w:rsidRPr="0096658B" w:rsidRDefault="0096658B" w:rsidP="000B514A">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 xml:space="preserve">Así mismo, asegurarán la participación de mujeres en los cursos y seminarios de capacitación que se ofrezcan en el exterior a los servidores públicos colombianos en las </w:t>
            </w:r>
            <w:r w:rsidRPr="0096658B">
              <w:rPr>
                <w:rFonts w:ascii="Times New Roman" w:hAnsi="Times New Roman" w:cs="Times New Roman"/>
                <w:color w:val="000000" w:themeColor="text1"/>
                <w:sz w:val="28"/>
              </w:rPr>
              <w:t>diferentes áreas.</w:t>
            </w:r>
          </w:p>
          <w:p w:rsidR="00164A3B" w:rsidRPr="0096658B" w:rsidRDefault="0096658B" w:rsidP="000B514A">
            <w:pPr>
              <w:jc w:val="both"/>
              <w:rPr>
                <w:rFonts w:ascii="Times New Roman" w:hAnsi="Times New Roman" w:cs="Times New Roman"/>
                <w:color w:val="000000" w:themeColor="text1"/>
                <w:sz w:val="28"/>
              </w:rPr>
            </w:pPr>
          </w:p>
          <w:p w:rsidR="00164A3B" w:rsidRPr="0096658B" w:rsidRDefault="0096658B" w:rsidP="000B514A">
            <w:pPr>
              <w:jc w:val="both"/>
              <w:rPr>
                <w:rFonts w:ascii="Times New Roman" w:hAnsi="Times New Roman" w:cs="Times New Roman"/>
                <w:color w:val="000000" w:themeColor="text1"/>
                <w:sz w:val="28"/>
              </w:rPr>
            </w:pPr>
            <w:r w:rsidRPr="0096658B">
              <w:rPr>
                <w:rFonts w:ascii="Times New Roman" w:hAnsi="Times New Roman" w:cs="Times New Roman"/>
                <w:b/>
                <w:bCs/>
                <w:color w:val="000000" w:themeColor="text1"/>
                <w:sz w:val="28"/>
              </w:rPr>
              <w:t>Parágrafo.</w:t>
            </w:r>
            <w:r w:rsidRPr="0096658B">
              <w:rPr>
                <w:rFonts w:ascii="Times New Roman" w:hAnsi="Times New Roman" w:cs="Times New Roman"/>
                <w:color w:val="000000" w:themeColor="text1"/>
                <w:sz w:val="28"/>
              </w:rPr>
              <w:t xml:space="preserve"> El incumplimiento de esta disposición será causal de mala conducta.</w:t>
            </w:r>
          </w:p>
        </w:tc>
        <w:tc>
          <w:tcPr>
            <w:tcW w:w="4536" w:type="dxa"/>
          </w:tcPr>
          <w:p w:rsidR="00164A3B" w:rsidRPr="0096658B" w:rsidRDefault="0096658B" w:rsidP="000B514A">
            <w:pPr>
              <w:jc w:val="both"/>
              <w:rPr>
                <w:rFonts w:ascii="Times New Roman" w:hAnsi="Times New Roman" w:cs="Times New Roman"/>
                <w:color w:val="000000" w:themeColor="text1"/>
                <w:sz w:val="28"/>
              </w:rPr>
            </w:pPr>
          </w:p>
          <w:p w:rsidR="00164A3B" w:rsidRPr="0096658B" w:rsidRDefault="0096658B" w:rsidP="000B514A">
            <w:pPr>
              <w:jc w:val="both"/>
              <w:rPr>
                <w:rFonts w:ascii="Times New Roman" w:hAnsi="Times New Roman" w:cs="Times New Roman"/>
                <w:color w:val="000000" w:themeColor="text1"/>
                <w:sz w:val="28"/>
              </w:rPr>
            </w:pPr>
            <w:r w:rsidRPr="0096658B">
              <w:rPr>
                <w:rFonts w:ascii="Times New Roman" w:hAnsi="Times New Roman" w:cs="Times New Roman"/>
                <w:b/>
                <w:bCs/>
                <w:color w:val="000000" w:themeColor="text1"/>
                <w:sz w:val="28"/>
              </w:rPr>
              <w:t>Artículo 13. Representación en el exterior.</w:t>
            </w:r>
            <w:r w:rsidRPr="0096658B">
              <w:rPr>
                <w:rFonts w:ascii="Times New Roman" w:hAnsi="Times New Roman" w:cs="Times New Roman"/>
                <w:color w:val="000000" w:themeColor="text1"/>
                <w:sz w:val="28"/>
              </w:rPr>
              <w:t xml:space="preserve"> El Gobierno y el Congreso de la República, deberán incluir mujeres </w:t>
            </w:r>
            <w:r w:rsidRPr="0096658B">
              <w:rPr>
                <w:rFonts w:ascii="Times New Roman" w:hAnsi="Times New Roman" w:cs="Times New Roman"/>
                <w:color w:val="000000" w:themeColor="text1"/>
                <w:sz w:val="28"/>
                <w:u w:val="single"/>
              </w:rPr>
              <w:t>de forma paritaria</w:t>
            </w:r>
            <w:r w:rsidRPr="0096658B">
              <w:rPr>
                <w:rFonts w:ascii="Times New Roman" w:hAnsi="Times New Roman" w:cs="Times New Roman"/>
                <w:color w:val="000000" w:themeColor="text1"/>
                <w:sz w:val="28"/>
              </w:rPr>
              <w:t xml:space="preserve"> en las delegaciones de colo</w:t>
            </w:r>
            <w:r w:rsidRPr="0096658B">
              <w:rPr>
                <w:rFonts w:ascii="Times New Roman" w:hAnsi="Times New Roman" w:cs="Times New Roman"/>
                <w:color w:val="000000" w:themeColor="text1"/>
                <w:sz w:val="28"/>
              </w:rPr>
              <w:t>mbianos que en comisiones oficiales atiendan conferencias diplomáticas, reuniones, foros internacionales, comités de expertos y eventos de naturaleza similar.</w:t>
            </w:r>
          </w:p>
          <w:p w:rsidR="00164A3B" w:rsidRPr="0096658B" w:rsidRDefault="0096658B" w:rsidP="000B514A">
            <w:pPr>
              <w:jc w:val="both"/>
              <w:rPr>
                <w:rFonts w:ascii="Times New Roman" w:hAnsi="Times New Roman" w:cs="Times New Roman"/>
                <w:color w:val="000000" w:themeColor="text1"/>
                <w:sz w:val="28"/>
              </w:rPr>
            </w:pPr>
          </w:p>
          <w:p w:rsidR="00164A3B" w:rsidRPr="0096658B" w:rsidRDefault="0096658B" w:rsidP="000B514A">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 xml:space="preserve">Así mismo, asegurará la participación de mujeres en los cursos y seminarios de capacitación que </w:t>
            </w:r>
            <w:r w:rsidRPr="0096658B">
              <w:rPr>
                <w:rFonts w:ascii="Times New Roman" w:hAnsi="Times New Roman" w:cs="Times New Roman"/>
                <w:color w:val="000000" w:themeColor="text1"/>
                <w:sz w:val="28"/>
              </w:rPr>
              <w:t>se ofrezcan en el exterior a los servidores públicos colombianos en las diferentes áreas.</w:t>
            </w:r>
          </w:p>
          <w:p w:rsidR="00164A3B" w:rsidRPr="0096658B" w:rsidRDefault="0096658B" w:rsidP="000B514A">
            <w:pPr>
              <w:jc w:val="both"/>
              <w:rPr>
                <w:rFonts w:ascii="Times New Roman" w:hAnsi="Times New Roman" w:cs="Times New Roman"/>
                <w:color w:val="000000" w:themeColor="text1"/>
                <w:sz w:val="28"/>
              </w:rPr>
            </w:pPr>
          </w:p>
          <w:p w:rsidR="00164A3B" w:rsidRPr="0096658B" w:rsidRDefault="0096658B" w:rsidP="000B514A">
            <w:pPr>
              <w:jc w:val="both"/>
              <w:rPr>
                <w:rFonts w:ascii="Times New Roman" w:hAnsi="Times New Roman" w:cs="Times New Roman"/>
                <w:color w:val="000000" w:themeColor="text1"/>
                <w:sz w:val="28"/>
              </w:rPr>
            </w:pPr>
            <w:r w:rsidRPr="0096658B">
              <w:rPr>
                <w:rFonts w:ascii="Times New Roman" w:hAnsi="Times New Roman" w:cs="Times New Roman"/>
                <w:b/>
                <w:bCs/>
                <w:color w:val="000000" w:themeColor="text1"/>
                <w:sz w:val="28"/>
              </w:rPr>
              <w:t>Parágrafo.</w:t>
            </w:r>
            <w:r w:rsidRPr="0096658B">
              <w:rPr>
                <w:rFonts w:ascii="Times New Roman" w:hAnsi="Times New Roman" w:cs="Times New Roman"/>
                <w:color w:val="000000" w:themeColor="text1"/>
                <w:sz w:val="28"/>
              </w:rPr>
              <w:t xml:space="preserve"> El incumplimiento de esta disposición será causal de mala conducta.</w:t>
            </w:r>
          </w:p>
          <w:p w:rsidR="00164A3B" w:rsidRPr="0096658B" w:rsidRDefault="0096658B" w:rsidP="000B514A">
            <w:pPr>
              <w:jc w:val="both"/>
              <w:rPr>
                <w:rFonts w:ascii="Times New Roman" w:hAnsi="Times New Roman" w:cs="Times New Roman"/>
                <w:color w:val="000000" w:themeColor="text1"/>
                <w:sz w:val="28"/>
              </w:rPr>
            </w:pPr>
          </w:p>
        </w:tc>
      </w:tr>
      <w:tr w:rsidR="0035358B" w:rsidRPr="0096658B" w:rsidTr="00337A19">
        <w:tc>
          <w:tcPr>
            <w:tcW w:w="4248" w:type="dxa"/>
          </w:tcPr>
          <w:p w:rsidR="00164A3B" w:rsidRPr="0096658B" w:rsidRDefault="0096658B" w:rsidP="000B514A">
            <w:pPr>
              <w:jc w:val="both"/>
              <w:rPr>
                <w:rFonts w:ascii="Times New Roman" w:hAnsi="Times New Roman" w:cs="Times New Roman"/>
                <w:b/>
                <w:bCs/>
                <w:color w:val="000000" w:themeColor="text1"/>
                <w:sz w:val="28"/>
              </w:rPr>
            </w:pPr>
            <w:r w:rsidRPr="0096658B">
              <w:rPr>
                <w:rFonts w:ascii="Times New Roman" w:hAnsi="Times New Roman" w:cs="Times New Roman"/>
                <w:b/>
                <w:bCs/>
                <w:color w:val="000000" w:themeColor="text1"/>
                <w:sz w:val="28"/>
              </w:rPr>
              <w:t>Ley 1475 de 2011</w:t>
            </w:r>
          </w:p>
          <w:p w:rsidR="00164A3B" w:rsidRPr="0096658B" w:rsidRDefault="0096658B" w:rsidP="000B514A">
            <w:pPr>
              <w:jc w:val="both"/>
              <w:rPr>
                <w:rFonts w:ascii="Times New Roman" w:hAnsi="Times New Roman" w:cs="Times New Roman"/>
                <w:b/>
                <w:bCs/>
                <w:color w:val="000000" w:themeColor="text1"/>
                <w:sz w:val="28"/>
              </w:rPr>
            </w:pPr>
          </w:p>
          <w:p w:rsidR="00164A3B" w:rsidRPr="0096658B" w:rsidRDefault="0096658B" w:rsidP="000B514A">
            <w:pPr>
              <w:jc w:val="both"/>
              <w:rPr>
                <w:rFonts w:ascii="Times New Roman" w:hAnsi="Times New Roman" w:cs="Times New Roman"/>
                <w:b/>
                <w:bCs/>
                <w:color w:val="000000" w:themeColor="text1"/>
                <w:sz w:val="28"/>
              </w:rPr>
            </w:pPr>
          </w:p>
          <w:p w:rsidR="00164A3B" w:rsidRPr="0096658B" w:rsidRDefault="0096658B" w:rsidP="000B514A">
            <w:pPr>
              <w:jc w:val="both"/>
              <w:rPr>
                <w:rFonts w:ascii="Times New Roman" w:hAnsi="Times New Roman" w:cs="Times New Roman"/>
                <w:color w:val="000000" w:themeColor="text1"/>
                <w:sz w:val="28"/>
              </w:rPr>
            </w:pPr>
            <w:r w:rsidRPr="0096658B">
              <w:rPr>
                <w:rFonts w:ascii="Times New Roman" w:hAnsi="Times New Roman" w:cs="Times New Roman"/>
                <w:b/>
                <w:bCs/>
                <w:color w:val="000000" w:themeColor="text1"/>
                <w:sz w:val="28"/>
              </w:rPr>
              <w:t>Artículo 28. Inscripción de candidatos</w:t>
            </w:r>
            <w:r w:rsidRPr="0096658B">
              <w:rPr>
                <w:rFonts w:ascii="Times New Roman" w:hAnsi="Times New Roman" w:cs="Times New Roman"/>
                <w:color w:val="000000" w:themeColor="text1"/>
                <w:sz w:val="28"/>
              </w:rPr>
              <w:t>. Los partidos y movimiento</w:t>
            </w:r>
            <w:r w:rsidRPr="0096658B">
              <w:rPr>
                <w:rFonts w:ascii="Times New Roman" w:hAnsi="Times New Roman" w:cs="Times New Roman"/>
                <w:color w:val="000000" w:themeColor="text1"/>
                <w:sz w:val="28"/>
              </w:rPr>
              <w:t>s políticos con personería jurídica podrán inscribir candidatos a cargos y corporaciones de elección popular previa verificación del cumplimiento de las calidades y requisitos de sus candidatos, así como de que no se encuentran incursos en causales de inha</w:t>
            </w:r>
            <w:r w:rsidRPr="0096658B">
              <w:rPr>
                <w:rFonts w:ascii="Times New Roman" w:hAnsi="Times New Roman" w:cs="Times New Roman"/>
                <w:color w:val="000000" w:themeColor="text1"/>
                <w:sz w:val="28"/>
              </w:rPr>
              <w:t>bilidad o incompatibilidad. Dichos candidatos deberán ser escogidos mediante procedimientos democráticos, de conformidad con sus estatutos. Las listas donde se elijan 5 o más curules para corporaciones de elección popular o las que se sometan a consulta -e</w:t>
            </w:r>
            <w:r w:rsidRPr="0096658B">
              <w:rPr>
                <w:rFonts w:ascii="Times New Roman" w:hAnsi="Times New Roman" w:cs="Times New Roman"/>
                <w:color w:val="000000" w:themeColor="text1"/>
                <w:sz w:val="28"/>
              </w:rPr>
              <w:t>xceptuando su resultado- deberán conformarse por mínimo un 30% de uno de los géneros.</w:t>
            </w:r>
          </w:p>
          <w:p w:rsidR="00164A3B" w:rsidRPr="0096658B" w:rsidRDefault="0096658B" w:rsidP="000B514A">
            <w:pPr>
              <w:jc w:val="both"/>
              <w:rPr>
                <w:rFonts w:ascii="Times New Roman" w:hAnsi="Times New Roman" w:cs="Times New Roman"/>
                <w:color w:val="000000" w:themeColor="text1"/>
                <w:sz w:val="28"/>
              </w:rPr>
            </w:pPr>
          </w:p>
          <w:p w:rsidR="00164A3B" w:rsidRPr="0096658B" w:rsidRDefault="0096658B" w:rsidP="000B514A">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 xml:space="preserve">Los Partidos y Movimientos Políticos con Personería Jurídica podrán inscribir candidatos y listas para toda clase de cargos y corporaciones de elección popular, excepto </w:t>
            </w:r>
            <w:r w:rsidRPr="0096658B">
              <w:rPr>
                <w:rFonts w:ascii="Times New Roman" w:hAnsi="Times New Roman" w:cs="Times New Roman"/>
                <w:color w:val="000000" w:themeColor="text1"/>
                <w:sz w:val="28"/>
              </w:rPr>
              <w:t>para la elección de congresistas por las circunscripciones especiales de minorías étnicas.</w:t>
            </w:r>
          </w:p>
          <w:p w:rsidR="00164A3B" w:rsidRPr="0096658B" w:rsidRDefault="0096658B" w:rsidP="000B514A">
            <w:pPr>
              <w:jc w:val="both"/>
              <w:rPr>
                <w:rFonts w:ascii="Times New Roman" w:hAnsi="Times New Roman" w:cs="Times New Roman"/>
                <w:color w:val="000000" w:themeColor="text1"/>
                <w:sz w:val="28"/>
              </w:rPr>
            </w:pPr>
          </w:p>
          <w:p w:rsidR="00164A3B" w:rsidRPr="0096658B" w:rsidRDefault="0096658B" w:rsidP="000B514A">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Los candidatos de los grupos significativos de ciudadanos serán inscritos por un comité integrado por tres (3) ciudadanos, el cual deberá registrarse ante la corres</w:t>
            </w:r>
            <w:r w:rsidRPr="0096658B">
              <w:rPr>
                <w:rFonts w:ascii="Times New Roman" w:hAnsi="Times New Roman" w:cs="Times New Roman"/>
                <w:color w:val="000000" w:themeColor="text1"/>
                <w:sz w:val="28"/>
              </w:rPr>
              <w:t>pondiente autoridad electoral cuando menos un (1) mes antes de la fecha de cierre de la respectiva inscripción y, en todo caso, antes del inicio de la recolección de firmas de apoyo a la candidatura o lista. Los nombres de los integrantes del Comité, así c</w:t>
            </w:r>
            <w:r w:rsidRPr="0096658B">
              <w:rPr>
                <w:rFonts w:ascii="Times New Roman" w:hAnsi="Times New Roman" w:cs="Times New Roman"/>
                <w:color w:val="000000" w:themeColor="text1"/>
                <w:sz w:val="28"/>
              </w:rPr>
              <w:t>omo la de los candidatos que postulen, deberán figurar en el formulario de recolección de las firmas de apoyo.</w:t>
            </w:r>
          </w:p>
          <w:p w:rsidR="00164A3B" w:rsidRPr="0096658B" w:rsidRDefault="0096658B" w:rsidP="000B514A">
            <w:pPr>
              <w:jc w:val="both"/>
              <w:rPr>
                <w:rFonts w:ascii="Times New Roman" w:hAnsi="Times New Roman" w:cs="Times New Roman"/>
                <w:color w:val="000000" w:themeColor="text1"/>
                <w:sz w:val="28"/>
              </w:rPr>
            </w:pPr>
          </w:p>
          <w:p w:rsidR="00164A3B" w:rsidRPr="0096658B" w:rsidRDefault="0096658B" w:rsidP="000B514A">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Los partidos y movimientos políticos con personería jurídica que decidan promover el voto en blanco y los comités independientes que se organice</w:t>
            </w:r>
            <w:r w:rsidRPr="0096658B">
              <w:rPr>
                <w:rFonts w:ascii="Times New Roman" w:hAnsi="Times New Roman" w:cs="Times New Roman"/>
                <w:color w:val="000000" w:themeColor="text1"/>
                <w:sz w:val="28"/>
              </w:rPr>
              <w:t>n para el efecto, deberán inscribirse ante la autoridad electoral competente para recibir la inscripción de candidatos, de listas o de la correspondiente iniciativa en los mecanismos de participación ciudadana. A dichos promotores se les reconocerán, en lo</w:t>
            </w:r>
            <w:r w:rsidRPr="0096658B">
              <w:rPr>
                <w:rFonts w:ascii="Times New Roman" w:hAnsi="Times New Roman" w:cs="Times New Roman"/>
                <w:color w:val="000000" w:themeColor="text1"/>
                <w:sz w:val="28"/>
              </w:rPr>
              <w:t xml:space="preserve"> que fuere pertinente, los derechos y garantías que la ley establece para las demás campañas electorales, incluida la reposición de gastos de campaña, hasta el monto que previamente haya fijado el Consejo Nacional Electoral.</w:t>
            </w:r>
          </w:p>
        </w:tc>
        <w:tc>
          <w:tcPr>
            <w:tcW w:w="4536" w:type="dxa"/>
          </w:tcPr>
          <w:p w:rsidR="00164A3B" w:rsidRPr="0096658B" w:rsidRDefault="0096658B" w:rsidP="000B514A">
            <w:pPr>
              <w:jc w:val="both"/>
              <w:rPr>
                <w:rFonts w:ascii="Times New Roman" w:hAnsi="Times New Roman" w:cs="Times New Roman"/>
                <w:color w:val="000000" w:themeColor="text1"/>
                <w:sz w:val="28"/>
              </w:rPr>
            </w:pPr>
            <w:r w:rsidRPr="0096658B">
              <w:rPr>
                <w:rFonts w:ascii="Times New Roman" w:hAnsi="Times New Roman" w:cs="Times New Roman"/>
                <w:b/>
                <w:bCs/>
                <w:color w:val="000000" w:themeColor="text1"/>
                <w:sz w:val="28"/>
              </w:rPr>
              <w:t>Artículo 3º.</w:t>
            </w:r>
            <w:r w:rsidRPr="0096658B">
              <w:rPr>
                <w:rFonts w:ascii="Times New Roman" w:hAnsi="Times New Roman" w:cs="Times New Roman"/>
                <w:color w:val="000000" w:themeColor="text1"/>
                <w:sz w:val="28"/>
              </w:rPr>
              <w:t xml:space="preserve"> Modifíquese el art</w:t>
            </w:r>
            <w:r w:rsidRPr="0096658B">
              <w:rPr>
                <w:rFonts w:ascii="Times New Roman" w:hAnsi="Times New Roman" w:cs="Times New Roman"/>
                <w:color w:val="000000" w:themeColor="text1"/>
                <w:sz w:val="28"/>
              </w:rPr>
              <w:t>ículo 28º de la Ley 1475 de 2011, el cual quedará así:</w:t>
            </w:r>
          </w:p>
          <w:p w:rsidR="00164A3B" w:rsidRPr="0096658B" w:rsidRDefault="0096658B" w:rsidP="000B514A">
            <w:pPr>
              <w:jc w:val="both"/>
              <w:rPr>
                <w:rFonts w:ascii="Times New Roman" w:hAnsi="Times New Roman" w:cs="Times New Roman"/>
                <w:color w:val="000000" w:themeColor="text1"/>
                <w:sz w:val="28"/>
              </w:rPr>
            </w:pPr>
          </w:p>
          <w:p w:rsidR="00164A3B" w:rsidRPr="0096658B" w:rsidRDefault="0096658B" w:rsidP="000B514A">
            <w:pPr>
              <w:jc w:val="both"/>
              <w:rPr>
                <w:rFonts w:ascii="Times New Roman" w:hAnsi="Times New Roman" w:cs="Times New Roman"/>
                <w:color w:val="000000" w:themeColor="text1"/>
                <w:sz w:val="28"/>
              </w:rPr>
            </w:pPr>
            <w:r w:rsidRPr="0096658B">
              <w:rPr>
                <w:rFonts w:ascii="Times New Roman" w:hAnsi="Times New Roman" w:cs="Times New Roman"/>
                <w:b/>
                <w:bCs/>
                <w:color w:val="000000" w:themeColor="text1"/>
                <w:sz w:val="28"/>
              </w:rPr>
              <w:t>Artículo 28. Inscripción de candidatos</w:t>
            </w:r>
            <w:r w:rsidRPr="0096658B">
              <w:rPr>
                <w:rFonts w:ascii="Times New Roman" w:hAnsi="Times New Roman" w:cs="Times New Roman"/>
                <w:color w:val="000000" w:themeColor="text1"/>
                <w:sz w:val="28"/>
              </w:rPr>
              <w:t>. Los partidos y movimientos políticos con personería jurídica podrán inscribir candidatos a cargos y corporaciones de elección popular previa verificación del cu</w:t>
            </w:r>
            <w:r w:rsidRPr="0096658B">
              <w:rPr>
                <w:rFonts w:ascii="Times New Roman" w:hAnsi="Times New Roman" w:cs="Times New Roman"/>
                <w:color w:val="000000" w:themeColor="text1"/>
                <w:sz w:val="28"/>
              </w:rPr>
              <w:t>mplimiento de las calidades y requisitos de sus candidatos, así como de que no se encuentran incursos en causales de inhabilidad o incompatibilidad. Dichos candidatos deberán ser escogidos mediante procedimientos democráticos, de conformidad con sus estatu</w:t>
            </w:r>
            <w:r w:rsidRPr="0096658B">
              <w:rPr>
                <w:rFonts w:ascii="Times New Roman" w:hAnsi="Times New Roman" w:cs="Times New Roman"/>
                <w:color w:val="000000" w:themeColor="text1"/>
                <w:sz w:val="28"/>
              </w:rPr>
              <w:t>tos. Las listas donde se elijan 5 o más curules para corporaciones de elección popular o las que se sometan a consulta -exceptuando su resultado- deberán conformarse por mínimo un 30% de uno de los géneros.</w:t>
            </w:r>
          </w:p>
          <w:p w:rsidR="00164A3B" w:rsidRPr="0096658B" w:rsidRDefault="0096658B" w:rsidP="000B514A">
            <w:pPr>
              <w:jc w:val="both"/>
              <w:rPr>
                <w:rFonts w:ascii="Times New Roman" w:hAnsi="Times New Roman" w:cs="Times New Roman"/>
                <w:color w:val="000000" w:themeColor="text1"/>
                <w:sz w:val="28"/>
              </w:rPr>
            </w:pPr>
          </w:p>
          <w:p w:rsidR="00164A3B" w:rsidRPr="0096658B" w:rsidRDefault="0096658B" w:rsidP="000B514A">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Los Partidos y Movimientos Políticos con Persone</w:t>
            </w:r>
            <w:r w:rsidRPr="0096658B">
              <w:rPr>
                <w:rFonts w:ascii="Times New Roman" w:hAnsi="Times New Roman" w:cs="Times New Roman"/>
                <w:color w:val="000000" w:themeColor="text1"/>
                <w:sz w:val="28"/>
              </w:rPr>
              <w:t>ría Jurídica podrán inscribir candidatos y listas para toda clase de cargos y corporaciones de elección popular, excepto para la elección de congresistas por las circunscripciones especiales de minorías étnicas.</w:t>
            </w:r>
          </w:p>
          <w:p w:rsidR="00164A3B" w:rsidRPr="0096658B" w:rsidRDefault="0096658B" w:rsidP="000B514A">
            <w:pPr>
              <w:jc w:val="both"/>
              <w:rPr>
                <w:rFonts w:ascii="Times New Roman" w:hAnsi="Times New Roman" w:cs="Times New Roman"/>
                <w:color w:val="000000" w:themeColor="text1"/>
                <w:sz w:val="28"/>
              </w:rPr>
            </w:pPr>
          </w:p>
          <w:p w:rsidR="00164A3B" w:rsidRPr="0096658B" w:rsidRDefault="0096658B" w:rsidP="000B514A">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Los candidatos de los grupos significativos</w:t>
            </w:r>
            <w:r w:rsidRPr="0096658B">
              <w:rPr>
                <w:rFonts w:ascii="Times New Roman" w:hAnsi="Times New Roman" w:cs="Times New Roman"/>
                <w:color w:val="000000" w:themeColor="text1"/>
                <w:sz w:val="28"/>
              </w:rPr>
              <w:t xml:space="preserve"> de ciudadanos serán inscritos por un comité integrado por tres (3) ciudadanos, el cual deberá registrarse ante la correspondiente autoridad electoral cuando menos un (1) mes antes de la fecha de cierre de la respectiva inscripción y, en todo caso, antes d</w:t>
            </w:r>
            <w:r w:rsidRPr="0096658B">
              <w:rPr>
                <w:rFonts w:ascii="Times New Roman" w:hAnsi="Times New Roman" w:cs="Times New Roman"/>
                <w:color w:val="000000" w:themeColor="text1"/>
                <w:sz w:val="28"/>
              </w:rPr>
              <w:t>el inicio de la recolección de firmas de apoyo a la candidatura o lista. Los nombres de los integrantes del Comité, así como la de los candidatos que postulen, deberán figurar en el formulario de recolección de las firmas de apoyo.</w:t>
            </w:r>
          </w:p>
          <w:p w:rsidR="00164A3B" w:rsidRPr="0096658B" w:rsidRDefault="0096658B" w:rsidP="000B514A">
            <w:pPr>
              <w:jc w:val="both"/>
              <w:rPr>
                <w:rFonts w:ascii="Times New Roman" w:hAnsi="Times New Roman" w:cs="Times New Roman"/>
                <w:color w:val="000000" w:themeColor="text1"/>
                <w:sz w:val="28"/>
              </w:rPr>
            </w:pPr>
          </w:p>
          <w:p w:rsidR="00164A3B" w:rsidRPr="0096658B" w:rsidRDefault="0096658B" w:rsidP="000B514A">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 xml:space="preserve">Los partidos y </w:t>
            </w:r>
            <w:r w:rsidRPr="0096658B">
              <w:rPr>
                <w:rFonts w:ascii="Times New Roman" w:hAnsi="Times New Roman" w:cs="Times New Roman"/>
                <w:color w:val="000000" w:themeColor="text1"/>
                <w:sz w:val="28"/>
              </w:rPr>
              <w:t>movimientos políticos con personería jurídica que decidan promover el voto en blanco y los comités independientes que se organicen para el efecto, deberán inscribirse ante la autoridad electoral competente para recibir la inscripción de candidatos, de list</w:t>
            </w:r>
            <w:r w:rsidRPr="0096658B">
              <w:rPr>
                <w:rFonts w:ascii="Times New Roman" w:hAnsi="Times New Roman" w:cs="Times New Roman"/>
                <w:color w:val="000000" w:themeColor="text1"/>
                <w:sz w:val="28"/>
              </w:rPr>
              <w:t>as o de la correspondiente iniciativa en los mecanismos de participación ciudadana. A dichos promotores se les reconocerán en lo que fuere pertinente, los derechos y garantías que la ley establece para las demás campañas electorales, incluida la reposición</w:t>
            </w:r>
            <w:r w:rsidRPr="0096658B">
              <w:rPr>
                <w:rFonts w:ascii="Times New Roman" w:hAnsi="Times New Roman" w:cs="Times New Roman"/>
                <w:color w:val="000000" w:themeColor="text1"/>
                <w:sz w:val="28"/>
              </w:rPr>
              <w:t xml:space="preserve"> de gastos de campaña, hasta el monto que previamente haya fijado el Consejo Nacional Electoral.</w:t>
            </w:r>
          </w:p>
          <w:p w:rsidR="00164A3B" w:rsidRPr="0096658B" w:rsidRDefault="0096658B" w:rsidP="000B514A">
            <w:pPr>
              <w:jc w:val="both"/>
              <w:rPr>
                <w:rFonts w:ascii="Times New Roman" w:hAnsi="Times New Roman" w:cs="Times New Roman"/>
                <w:color w:val="000000" w:themeColor="text1"/>
                <w:sz w:val="28"/>
              </w:rPr>
            </w:pPr>
          </w:p>
          <w:p w:rsidR="00164A3B" w:rsidRPr="0096658B" w:rsidRDefault="0096658B" w:rsidP="000B514A">
            <w:pPr>
              <w:jc w:val="both"/>
              <w:rPr>
                <w:rFonts w:ascii="Times New Roman" w:hAnsi="Times New Roman" w:cs="Times New Roman"/>
                <w:color w:val="000000" w:themeColor="text1"/>
                <w:sz w:val="28"/>
                <w:u w:val="single"/>
              </w:rPr>
            </w:pPr>
            <w:r w:rsidRPr="0096658B">
              <w:rPr>
                <w:rFonts w:ascii="Times New Roman" w:hAnsi="Times New Roman" w:cs="Times New Roman"/>
                <w:color w:val="000000" w:themeColor="text1"/>
                <w:sz w:val="28"/>
                <w:u w:val="single"/>
              </w:rPr>
              <w:t>Parágrafo. A partir del año 2026, en las listas donde se elijan menos de cinco (5) curules para corporaciones de elección popular o las que se sometan a consu</w:t>
            </w:r>
            <w:r w:rsidRPr="0096658B">
              <w:rPr>
                <w:rFonts w:ascii="Times New Roman" w:hAnsi="Times New Roman" w:cs="Times New Roman"/>
                <w:color w:val="000000" w:themeColor="text1"/>
                <w:sz w:val="28"/>
                <w:u w:val="single"/>
              </w:rPr>
              <w:t>lta -exceptuando su resultado - deberán integrar al menos (1) mujer.</w:t>
            </w:r>
          </w:p>
          <w:p w:rsidR="00164A3B" w:rsidRPr="0096658B" w:rsidRDefault="0096658B" w:rsidP="000B514A">
            <w:pPr>
              <w:jc w:val="both"/>
              <w:rPr>
                <w:rFonts w:ascii="Times New Roman" w:hAnsi="Times New Roman" w:cs="Times New Roman"/>
                <w:color w:val="000000" w:themeColor="text1"/>
                <w:sz w:val="28"/>
              </w:rPr>
            </w:pPr>
          </w:p>
        </w:tc>
      </w:tr>
    </w:tbl>
    <w:p w:rsidR="009571C9" w:rsidRPr="0096658B" w:rsidRDefault="0096658B" w:rsidP="009571C9">
      <w:pPr>
        <w:widowControl w:val="0"/>
        <w:shd w:val="clear" w:color="auto" w:fill="FFFFFF"/>
        <w:tabs>
          <w:tab w:val="left" w:pos="284"/>
        </w:tabs>
        <w:autoSpaceDE w:val="0"/>
        <w:autoSpaceDN w:val="0"/>
        <w:adjustRightInd w:val="0"/>
        <w:jc w:val="both"/>
        <w:rPr>
          <w:rFonts w:ascii="Times New Roman" w:hAnsi="Times New Roman" w:cs="Times New Roman"/>
          <w:color w:val="000000" w:themeColor="text1"/>
          <w:sz w:val="28"/>
        </w:rPr>
      </w:pPr>
    </w:p>
    <w:p w:rsidR="009571C9" w:rsidRPr="0096658B" w:rsidRDefault="0096658B" w:rsidP="00337A19">
      <w:pPr>
        <w:pStyle w:val="Prrafodelista"/>
        <w:widowControl w:val="0"/>
        <w:numPr>
          <w:ilvl w:val="0"/>
          <w:numId w:val="5"/>
        </w:numPr>
        <w:shd w:val="clear" w:color="auto" w:fill="FFFFFF"/>
        <w:autoSpaceDE w:val="0"/>
        <w:autoSpaceDN w:val="0"/>
        <w:adjustRightInd w:val="0"/>
        <w:ind w:left="0" w:firstLine="0"/>
        <w:jc w:val="both"/>
        <w:rPr>
          <w:rFonts w:ascii="Times New Roman" w:hAnsi="Times New Roman" w:cs="Times New Roman"/>
          <w:color w:val="000000" w:themeColor="text1"/>
          <w:szCs w:val="22"/>
          <w:lang w:val="es-CO" w:eastAsia="es-CO"/>
        </w:rPr>
      </w:pPr>
      <w:r w:rsidRPr="0096658B">
        <w:rPr>
          <w:rFonts w:ascii="Times New Roman" w:hAnsi="Times New Roman" w:cs="Times New Roman"/>
          <w:color w:val="000000" w:themeColor="text1"/>
          <w:lang w:val="es-CO" w:eastAsia="es-CO"/>
        </w:rPr>
        <w:t>A partir de esta comparación, la Corte evidencia que el objeto del control de constitucionalidad en el presente proceso consiste en los siguientes asuntos:</w:t>
      </w:r>
    </w:p>
    <w:p w:rsidR="00164A3B" w:rsidRPr="0096658B" w:rsidRDefault="0096658B" w:rsidP="00164A3B">
      <w:pPr>
        <w:widowControl w:val="0"/>
        <w:shd w:val="clear" w:color="auto" w:fill="FFFFFF"/>
        <w:tabs>
          <w:tab w:val="left" w:pos="284"/>
        </w:tabs>
        <w:autoSpaceDE w:val="0"/>
        <w:autoSpaceDN w:val="0"/>
        <w:adjustRightInd w:val="0"/>
        <w:jc w:val="both"/>
        <w:rPr>
          <w:rFonts w:ascii="Times New Roman" w:hAnsi="Times New Roman" w:cs="Times New Roman"/>
          <w:color w:val="000000" w:themeColor="text1"/>
          <w:sz w:val="28"/>
        </w:rPr>
      </w:pPr>
    </w:p>
    <w:p w:rsidR="00164A3B" w:rsidRPr="0096658B" w:rsidRDefault="0096658B" w:rsidP="00164A3B">
      <w:pPr>
        <w:pStyle w:val="Prrafodelista"/>
        <w:widowControl w:val="0"/>
        <w:numPr>
          <w:ilvl w:val="1"/>
          <w:numId w:val="5"/>
        </w:numPr>
        <w:shd w:val="clear" w:color="auto" w:fill="FFFFFF"/>
        <w:tabs>
          <w:tab w:val="left" w:pos="284"/>
        </w:tabs>
        <w:autoSpaceDE w:val="0"/>
        <w:autoSpaceDN w:val="0"/>
        <w:adjustRightInd w:val="0"/>
        <w:jc w:val="both"/>
        <w:rPr>
          <w:rFonts w:ascii="Times New Roman" w:hAnsi="Times New Roman" w:cs="Times New Roman"/>
          <w:color w:val="000000" w:themeColor="text1"/>
          <w:lang w:val="es-CO" w:eastAsia="es-CO"/>
        </w:rPr>
      </w:pPr>
      <w:r w:rsidRPr="0096658B">
        <w:rPr>
          <w:rFonts w:ascii="Times New Roman" w:hAnsi="Times New Roman" w:cs="Times New Roman"/>
          <w:color w:val="000000" w:themeColor="text1"/>
          <w:lang w:val="es-CO" w:eastAsia="es-CO"/>
        </w:rPr>
        <w:t xml:space="preserve">El aumento de la participación de las mujeres en los </w:t>
      </w:r>
      <w:r w:rsidRPr="0096658B">
        <w:rPr>
          <w:rFonts w:ascii="Times New Roman" w:hAnsi="Times New Roman" w:cs="Times New Roman"/>
          <w:color w:val="000000" w:themeColor="text1"/>
          <w:lang w:val="es-CO" w:eastAsia="es-CO"/>
        </w:rPr>
        <w:t>CMND</w:t>
      </w:r>
      <w:r w:rsidRPr="0096658B">
        <w:rPr>
          <w:rFonts w:ascii="Times New Roman" w:hAnsi="Times New Roman" w:cs="Times New Roman"/>
          <w:color w:val="000000" w:themeColor="text1"/>
          <w:lang w:val="es-CO" w:eastAsia="es-CO"/>
        </w:rPr>
        <w:t xml:space="preserve"> del poder público de que trata</w:t>
      </w:r>
      <w:r w:rsidRPr="0096658B">
        <w:rPr>
          <w:rFonts w:ascii="Times New Roman" w:hAnsi="Times New Roman" w:cs="Times New Roman"/>
          <w:color w:val="000000" w:themeColor="text1"/>
          <w:lang w:val="es-CO" w:eastAsia="es-CO"/>
        </w:rPr>
        <w:t xml:space="preserve"> el</w:t>
      </w:r>
      <w:r w:rsidRPr="0096658B">
        <w:rPr>
          <w:rFonts w:ascii="Times New Roman" w:hAnsi="Times New Roman" w:cs="Times New Roman"/>
          <w:color w:val="000000" w:themeColor="text1"/>
          <w:lang w:val="es-CO" w:eastAsia="es-CO"/>
        </w:rPr>
        <w:t xml:space="preserve"> artículo</w:t>
      </w:r>
      <w:r w:rsidRPr="0096658B">
        <w:rPr>
          <w:rFonts w:ascii="Times New Roman" w:hAnsi="Times New Roman" w:cs="Times New Roman"/>
          <w:color w:val="000000" w:themeColor="text1"/>
          <w:lang w:val="es-CO" w:eastAsia="es-CO"/>
        </w:rPr>
        <w:t xml:space="preserve"> </w:t>
      </w:r>
      <w:r w:rsidRPr="0096658B">
        <w:rPr>
          <w:rFonts w:ascii="Times New Roman" w:hAnsi="Times New Roman" w:cs="Times New Roman"/>
          <w:color w:val="000000" w:themeColor="text1"/>
          <w:lang w:val="es-CO" w:eastAsia="es-CO"/>
        </w:rPr>
        <w:t>de la Ley 581 de 2000, de mínimo el 30% a mínimo el 50%.</w:t>
      </w:r>
      <w:r w:rsidRPr="0096658B">
        <w:rPr>
          <w:rFonts w:ascii="Times New Roman" w:hAnsi="Times New Roman" w:cs="Times New Roman"/>
          <w:color w:val="000000" w:themeColor="text1"/>
          <w:lang w:val="es-CO" w:eastAsia="es-CO"/>
        </w:rPr>
        <w:t xml:space="preserve"> (Artículo 1° del PLE).</w:t>
      </w:r>
    </w:p>
    <w:p w:rsidR="00C11FF9" w:rsidRPr="0096658B" w:rsidRDefault="0096658B" w:rsidP="00C11FF9">
      <w:pPr>
        <w:pStyle w:val="Prrafodelista"/>
        <w:widowControl w:val="0"/>
        <w:shd w:val="clear" w:color="auto" w:fill="FFFFFF"/>
        <w:tabs>
          <w:tab w:val="left" w:pos="284"/>
        </w:tabs>
        <w:autoSpaceDE w:val="0"/>
        <w:autoSpaceDN w:val="0"/>
        <w:adjustRightInd w:val="0"/>
        <w:ind w:left="1080"/>
        <w:jc w:val="both"/>
        <w:rPr>
          <w:rFonts w:ascii="Times New Roman" w:hAnsi="Times New Roman" w:cs="Times New Roman"/>
          <w:color w:val="000000" w:themeColor="text1"/>
          <w:lang w:val="es-CO" w:eastAsia="es-CO"/>
        </w:rPr>
      </w:pPr>
    </w:p>
    <w:p w:rsidR="00C11FF9" w:rsidRPr="0096658B" w:rsidRDefault="0096658B" w:rsidP="00164A3B">
      <w:pPr>
        <w:pStyle w:val="Prrafodelista"/>
        <w:widowControl w:val="0"/>
        <w:numPr>
          <w:ilvl w:val="1"/>
          <w:numId w:val="5"/>
        </w:numPr>
        <w:shd w:val="clear" w:color="auto" w:fill="FFFFFF"/>
        <w:tabs>
          <w:tab w:val="left" w:pos="284"/>
        </w:tabs>
        <w:autoSpaceDE w:val="0"/>
        <w:autoSpaceDN w:val="0"/>
        <w:adjustRightInd w:val="0"/>
        <w:jc w:val="both"/>
        <w:rPr>
          <w:rFonts w:ascii="Times New Roman" w:hAnsi="Times New Roman" w:cs="Times New Roman"/>
          <w:color w:val="000000" w:themeColor="text1"/>
          <w:lang w:val="es-CO" w:eastAsia="es-CO"/>
        </w:rPr>
      </w:pPr>
      <w:r w:rsidRPr="0096658B">
        <w:rPr>
          <w:rFonts w:ascii="Times New Roman" w:hAnsi="Times New Roman" w:cs="Times New Roman"/>
          <w:color w:val="000000" w:themeColor="text1"/>
          <w:lang w:val="es-CO" w:eastAsia="es-CO"/>
        </w:rPr>
        <w:t xml:space="preserve">El mismo aumento respecto de los </w:t>
      </w:r>
      <w:r w:rsidRPr="0096658B">
        <w:rPr>
          <w:rFonts w:ascii="Times New Roman" w:hAnsi="Times New Roman" w:cs="Times New Roman"/>
          <w:color w:val="000000" w:themeColor="text1"/>
          <w:lang w:val="es-CO" w:eastAsia="es-CO"/>
        </w:rPr>
        <w:t>CND</w:t>
      </w:r>
      <w:r w:rsidRPr="0096658B">
        <w:rPr>
          <w:rFonts w:ascii="Times New Roman" w:hAnsi="Times New Roman" w:cs="Times New Roman"/>
          <w:color w:val="000000" w:themeColor="text1"/>
          <w:lang w:val="es-CO" w:eastAsia="es-CO"/>
        </w:rPr>
        <w:t xml:space="preserve"> previstos en el artículo 3° de la Ley</w:t>
      </w:r>
      <w:r w:rsidRPr="0096658B">
        <w:rPr>
          <w:rFonts w:ascii="Times New Roman" w:hAnsi="Times New Roman" w:cs="Times New Roman"/>
          <w:color w:val="000000" w:themeColor="text1"/>
          <w:lang w:val="es-CO" w:eastAsia="es-CO"/>
        </w:rPr>
        <w:t xml:space="preserve"> 581 de 2000.</w:t>
      </w:r>
      <w:r w:rsidRPr="0096658B">
        <w:rPr>
          <w:rFonts w:ascii="Times New Roman" w:hAnsi="Times New Roman" w:cs="Times New Roman"/>
          <w:color w:val="000000" w:themeColor="text1"/>
          <w:lang w:val="es-CO" w:eastAsia="es-CO"/>
        </w:rPr>
        <w:t xml:space="preserve"> (Artículo 1° del PLE).</w:t>
      </w:r>
    </w:p>
    <w:p w:rsidR="00277750" w:rsidRPr="0096658B" w:rsidRDefault="0096658B" w:rsidP="00277750">
      <w:pPr>
        <w:pStyle w:val="Prrafodelista"/>
        <w:rPr>
          <w:rFonts w:ascii="Times New Roman" w:hAnsi="Times New Roman" w:cs="Times New Roman"/>
          <w:color w:val="000000" w:themeColor="text1"/>
          <w:lang w:val="es-CO" w:eastAsia="es-CO"/>
        </w:rPr>
      </w:pPr>
    </w:p>
    <w:p w:rsidR="00277750" w:rsidRPr="0096658B" w:rsidRDefault="0096658B" w:rsidP="00164A3B">
      <w:pPr>
        <w:pStyle w:val="Prrafodelista"/>
        <w:widowControl w:val="0"/>
        <w:numPr>
          <w:ilvl w:val="1"/>
          <w:numId w:val="5"/>
        </w:numPr>
        <w:shd w:val="clear" w:color="auto" w:fill="FFFFFF"/>
        <w:tabs>
          <w:tab w:val="left" w:pos="284"/>
        </w:tabs>
        <w:autoSpaceDE w:val="0"/>
        <w:autoSpaceDN w:val="0"/>
        <w:adjustRightInd w:val="0"/>
        <w:jc w:val="both"/>
        <w:rPr>
          <w:rFonts w:ascii="Times New Roman" w:hAnsi="Times New Roman" w:cs="Times New Roman"/>
          <w:color w:val="000000" w:themeColor="text1"/>
          <w:lang w:val="es-CO" w:eastAsia="es-CO"/>
        </w:rPr>
      </w:pPr>
      <w:r w:rsidRPr="0096658B">
        <w:rPr>
          <w:rFonts w:ascii="Times New Roman" w:hAnsi="Times New Roman" w:cs="Times New Roman"/>
          <w:color w:val="000000" w:themeColor="text1"/>
          <w:lang w:val="es-CO" w:eastAsia="es-CO"/>
        </w:rPr>
        <w:t>La previsión que fija el plazo de seis meses para el ejercicio de la potestad reglamentaria del Gobierno respecto de los cargos a los que se aplican los aumentos anteriormente indicados</w:t>
      </w:r>
      <w:r w:rsidRPr="0096658B">
        <w:rPr>
          <w:rFonts w:ascii="Times New Roman" w:hAnsi="Times New Roman" w:cs="Times New Roman"/>
          <w:color w:val="000000" w:themeColor="text1"/>
          <w:lang w:val="es-CO" w:eastAsia="es-CO"/>
        </w:rPr>
        <w:t>.</w:t>
      </w:r>
      <w:r w:rsidRPr="0096658B">
        <w:rPr>
          <w:rFonts w:ascii="Times New Roman" w:hAnsi="Times New Roman" w:cs="Times New Roman"/>
          <w:color w:val="000000" w:themeColor="text1"/>
          <w:lang w:val="es-CO" w:eastAsia="es-CO"/>
        </w:rPr>
        <w:t xml:space="preserve"> (Artículo 1° del PLE).</w:t>
      </w:r>
    </w:p>
    <w:p w:rsidR="00C11FF9" w:rsidRPr="0096658B" w:rsidRDefault="0096658B" w:rsidP="00C11FF9">
      <w:pPr>
        <w:pStyle w:val="Prrafodelista"/>
        <w:rPr>
          <w:rFonts w:ascii="Times New Roman" w:hAnsi="Times New Roman" w:cs="Times New Roman"/>
          <w:color w:val="000000" w:themeColor="text1"/>
          <w:lang w:val="es-CO" w:eastAsia="es-CO"/>
        </w:rPr>
      </w:pPr>
    </w:p>
    <w:p w:rsidR="00C11FF9" w:rsidRPr="0096658B" w:rsidRDefault="0096658B" w:rsidP="00164A3B">
      <w:pPr>
        <w:pStyle w:val="Prrafodelista"/>
        <w:widowControl w:val="0"/>
        <w:numPr>
          <w:ilvl w:val="1"/>
          <w:numId w:val="5"/>
        </w:numPr>
        <w:shd w:val="clear" w:color="auto" w:fill="FFFFFF"/>
        <w:tabs>
          <w:tab w:val="left" w:pos="284"/>
        </w:tabs>
        <w:autoSpaceDE w:val="0"/>
        <w:autoSpaceDN w:val="0"/>
        <w:adjustRightInd w:val="0"/>
        <w:jc w:val="both"/>
        <w:rPr>
          <w:rFonts w:ascii="Times New Roman" w:hAnsi="Times New Roman" w:cs="Times New Roman"/>
          <w:color w:val="000000" w:themeColor="text1"/>
          <w:lang w:val="es-CO" w:eastAsia="es-CO"/>
        </w:rPr>
      </w:pPr>
      <w:r w:rsidRPr="0096658B">
        <w:rPr>
          <w:rFonts w:ascii="Times New Roman" w:hAnsi="Times New Roman" w:cs="Times New Roman"/>
          <w:color w:val="000000" w:themeColor="text1"/>
          <w:lang w:val="es-CO" w:eastAsia="es-CO"/>
        </w:rPr>
        <w:t>La exig</w:t>
      </w:r>
      <w:r w:rsidRPr="0096658B">
        <w:rPr>
          <w:rFonts w:ascii="Times New Roman" w:hAnsi="Times New Roman" w:cs="Times New Roman"/>
          <w:color w:val="000000" w:themeColor="text1"/>
          <w:lang w:val="es-CO" w:eastAsia="es-CO"/>
        </w:rPr>
        <w:t xml:space="preserve">encia de representación paritaria de las mujeres en las modalidades de representación en el exterior que regula el artículo 13 de la Ley 581 de 2000. (Artículo </w:t>
      </w:r>
      <w:r w:rsidRPr="0096658B">
        <w:rPr>
          <w:rFonts w:ascii="Times New Roman" w:hAnsi="Times New Roman" w:cs="Times New Roman"/>
          <w:color w:val="000000" w:themeColor="text1"/>
          <w:lang w:val="es-CO" w:eastAsia="es-CO"/>
        </w:rPr>
        <w:t xml:space="preserve">2° del PLE). </w:t>
      </w:r>
    </w:p>
    <w:p w:rsidR="00277750" w:rsidRPr="0096658B" w:rsidRDefault="0096658B" w:rsidP="00277750">
      <w:pPr>
        <w:pStyle w:val="Prrafodelista"/>
        <w:rPr>
          <w:rFonts w:ascii="Times New Roman" w:hAnsi="Times New Roman" w:cs="Times New Roman"/>
          <w:color w:val="000000" w:themeColor="text1"/>
          <w:lang w:val="es-CO" w:eastAsia="es-CO"/>
        </w:rPr>
      </w:pPr>
    </w:p>
    <w:p w:rsidR="00277750" w:rsidRPr="0096658B" w:rsidRDefault="0096658B" w:rsidP="00164A3B">
      <w:pPr>
        <w:pStyle w:val="Prrafodelista"/>
        <w:widowControl w:val="0"/>
        <w:numPr>
          <w:ilvl w:val="1"/>
          <w:numId w:val="5"/>
        </w:numPr>
        <w:shd w:val="clear" w:color="auto" w:fill="FFFFFF"/>
        <w:tabs>
          <w:tab w:val="left" w:pos="284"/>
        </w:tabs>
        <w:autoSpaceDE w:val="0"/>
        <w:autoSpaceDN w:val="0"/>
        <w:adjustRightInd w:val="0"/>
        <w:jc w:val="both"/>
        <w:rPr>
          <w:rFonts w:ascii="Times New Roman" w:hAnsi="Times New Roman" w:cs="Times New Roman"/>
          <w:color w:val="000000" w:themeColor="text1"/>
          <w:lang w:val="es-CO" w:eastAsia="es-CO"/>
        </w:rPr>
      </w:pPr>
      <w:r w:rsidRPr="0096658B">
        <w:rPr>
          <w:rFonts w:ascii="Times New Roman" w:hAnsi="Times New Roman" w:cs="Times New Roman"/>
          <w:color w:val="000000" w:themeColor="text1"/>
          <w:lang w:val="es-CO" w:eastAsia="es-CO"/>
        </w:rPr>
        <w:t>La previsión de que, a partir de 2026, las listas reguladas por el artículo 28 de</w:t>
      </w:r>
      <w:r w:rsidRPr="0096658B">
        <w:rPr>
          <w:rFonts w:ascii="Times New Roman" w:hAnsi="Times New Roman" w:cs="Times New Roman"/>
          <w:color w:val="000000" w:themeColor="text1"/>
          <w:lang w:val="es-CO" w:eastAsia="es-CO"/>
        </w:rPr>
        <w:t xml:space="preserve"> la Ley 1475 de 2011 y en donde se elijan menos de cinco curules para corporaciones de elección popular o las que se sometan a consulta, deberán contar con al menos una mujer. (Artículo 3° del PLE).</w:t>
      </w:r>
    </w:p>
    <w:p w:rsidR="006300F6" w:rsidRPr="0096658B" w:rsidRDefault="0096658B" w:rsidP="006300F6">
      <w:pPr>
        <w:pStyle w:val="Prrafodelista"/>
        <w:rPr>
          <w:rFonts w:ascii="Times New Roman" w:hAnsi="Times New Roman" w:cs="Times New Roman"/>
          <w:color w:val="000000" w:themeColor="text1"/>
          <w:lang w:val="es-CO" w:eastAsia="es-CO"/>
        </w:rPr>
      </w:pPr>
    </w:p>
    <w:p w:rsidR="006300F6" w:rsidRPr="0096658B" w:rsidRDefault="0096658B" w:rsidP="00164A3B">
      <w:pPr>
        <w:pStyle w:val="Prrafodelista"/>
        <w:widowControl w:val="0"/>
        <w:numPr>
          <w:ilvl w:val="1"/>
          <w:numId w:val="5"/>
        </w:numPr>
        <w:shd w:val="clear" w:color="auto" w:fill="FFFFFF"/>
        <w:tabs>
          <w:tab w:val="left" w:pos="284"/>
        </w:tabs>
        <w:autoSpaceDE w:val="0"/>
        <w:autoSpaceDN w:val="0"/>
        <w:adjustRightInd w:val="0"/>
        <w:jc w:val="both"/>
        <w:rPr>
          <w:rFonts w:ascii="Times New Roman" w:hAnsi="Times New Roman" w:cs="Times New Roman"/>
          <w:color w:val="000000" w:themeColor="text1"/>
          <w:lang w:val="es-CO" w:eastAsia="es-CO"/>
        </w:rPr>
      </w:pPr>
      <w:r w:rsidRPr="0096658B">
        <w:rPr>
          <w:rFonts w:ascii="Times New Roman" w:hAnsi="Times New Roman" w:cs="Times New Roman"/>
          <w:color w:val="000000" w:themeColor="text1"/>
          <w:lang w:val="es-CO" w:eastAsia="es-CO"/>
        </w:rPr>
        <w:t xml:space="preserve">La regla sobre vigencia de la </w:t>
      </w:r>
      <w:r w:rsidRPr="0096658B">
        <w:rPr>
          <w:rFonts w:ascii="Times New Roman" w:hAnsi="Times New Roman" w:cs="Times New Roman"/>
          <w:color w:val="000000" w:themeColor="text1"/>
          <w:lang w:val="es-CO" w:eastAsia="es-CO"/>
        </w:rPr>
        <w:t>ley estatutaria</w:t>
      </w:r>
      <w:r w:rsidRPr="0096658B">
        <w:rPr>
          <w:rFonts w:ascii="Times New Roman" w:hAnsi="Times New Roman" w:cs="Times New Roman"/>
          <w:color w:val="000000" w:themeColor="text1"/>
          <w:lang w:val="es-CO" w:eastAsia="es-CO"/>
        </w:rPr>
        <w:t>.</w:t>
      </w:r>
      <w:r w:rsidRPr="0096658B">
        <w:rPr>
          <w:rFonts w:ascii="Times New Roman" w:hAnsi="Times New Roman" w:cs="Times New Roman"/>
          <w:color w:val="000000" w:themeColor="text1"/>
          <w:lang w:val="es-CO" w:eastAsia="es-CO"/>
        </w:rPr>
        <w:t xml:space="preserve"> (Artículo</w:t>
      </w:r>
      <w:r w:rsidRPr="0096658B">
        <w:rPr>
          <w:rFonts w:ascii="Times New Roman" w:hAnsi="Times New Roman" w:cs="Times New Roman"/>
          <w:color w:val="000000" w:themeColor="text1"/>
          <w:lang w:val="es-CO" w:eastAsia="es-CO"/>
        </w:rPr>
        <w:t xml:space="preserve"> 4° del PLE). </w:t>
      </w:r>
    </w:p>
    <w:p w:rsidR="00667179" w:rsidRPr="0096658B" w:rsidRDefault="0096658B" w:rsidP="00667179">
      <w:pPr>
        <w:pStyle w:val="Prrafodelista"/>
        <w:rPr>
          <w:rFonts w:ascii="Times New Roman" w:hAnsi="Times New Roman" w:cs="Times New Roman"/>
          <w:color w:val="000000" w:themeColor="text1"/>
          <w:lang w:val="es-CO" w:eastAsia="es-CO"/>
        </w:rPr>
      </w:pPr>
    </w:p>
    <w:p w:rsidR="00C62299" w:rsidRPr="0096658B" w:rsidRDefault="0096658B" w:rsidP="00337A19">
      <w:pPr>
        <w:pStyle w:val="Prrafodelista"/>
        <w:widowControl w:val="0"/>
        <w:numPr>
          <w:ilvl w:val="0"/>
          <w:numId w:val="5"/>
        </w:numPr>
        <w:shd w:val="clear" w:color="auto" w:fill="FFFFFF"/>
        <w:autoSpaceDE w:val="0"/>
        <w:autoSpaceDN w:val="0"/>
        <w:adjustRightInd w:val="0"/>
        <w:ind w:left="0" w:firstLine="0"/>
        <w:jc w:val="both"/>
        <w:rPr>
          <w:rFonts w:ascii="Times New Roman" w:hAnsi="Times New Roman" w:cs="Times New Roman"/>
          <w:color w:val="000000" w:themeColor="text1"/>
          <w:lang w:val="es-CO" w:eastAsia="es-CO"/>
        </w:rPr>
      </w:pPr>
      <w:r w:rsidRPr="0096658B">
        <w:rPr>
          <w:rFonts w:ascii="Times New Roman" w:hAnsi="Times New Roman" w:cs="Times New Roman"/>
          <w:color w:val="000000" w:themeColor="text1"/>
          <w:lang w:val="es-CO" w:eastAsia="es-CO"/>
        </w:rPr>
        <w:t>La Corte, en ese sentido, circunscribirá el control de constitucional</w:t>
      </w:r>
      <w:r w:rsidRPr="0096658B">
        <w:rPr>
          <w:rFonts w:ascii="Times New Roman" w:hAnsi="Times New Roman" w:cs="Times New Roman"/>
          <w:color w:val="000000" w:themeColor="text1"/>
          <w:lang w:val="es-CO" w:eastAsia="es-CO"/>
        </w:rPr>
        <w:t>idad</w:t>
      </w:r>
      <w:r w:rsidRPr="0096658B">
        <w:rPr>
          <w:rFonts w:ascii="Times New Roman" w:hAnsi="Times New Roman" w:cs="Times New Roman"/>
          <w:color w:val="000000" w:themeColor="text1"/>
          <w:lang w:val="es-CO" w:eastAsia="es-CO"/>
        </w:rPr>
        <w:t xml:space="preserve"> a estas disposiciones, sin </w:t>
      </w:r>
      <w:r w:rsidRPr="0096658B">
        <w:rPr>
          <w:rFonts w:ascii="Times New Roman" w:hAnsi="Times New Roman" w:cs="Times New Roman"/>
          <w:color w:val="000000" w:themeColor="text1"/>
          <w:lang w:val="es-CO" w:eastAsia="es-CO"/>
        </w:rPr>
        <w:t xml:space="preserve">perjuicio </w:t>
      </w:r>
      <w:r w:rsidRPr="0096658B">
        <w:rPr>
          <w:rFonts w:ascii="Times New Roman" w:hAnsi="Times New Roman" w:cs="Times New Roman"/>
          <w:color w:val="000000" w:themeColor="text1"/>
          <w:lang w:val="es-CO" w:eastAsia="es-CO"/>
        </w:rPr>
        <w:t xml:space="preserve">de </w:t>
      </w:r>
      <w:r w:rsidRPr="0096658B">
        <w:rPr>
          <w:rFonts w:ascii="Times New Roman" w:hAnsi="Times New Roman" w:cs="Times New Roman"/>
          <w:color w:val="000000" w:themeColor="text1"/>
          <w:lang w:val="es-CO" w:eastAsia="es-CO"/>
        </w:rPr>
        <w:t>que en su control material haga referencia al contexto normativo en que se encuentran insertas y a las consideraciones plantea</w:t>
      </w:r>
      <w:r w:rsidRPr="0096658B">
        <w:rPr>
          <w:rFonts w:ascii="Times New Roman" w:hAnsi="Times New Roman" w:cs="Times New Roman"/>
          <w:color w:val="000000" w:themeColor="text1"/>
          <w:lang w:val="es-CO" w:eastAsia="es-CO"/>
        </w:rPr>
        <w:t>das por este Tribunal cuando ejerció el escrutinio judicial propio de las leyes estatutarias a la que esa</w:t>
      </w:r>
      <w:r w:rsidRPr="0096658B">
        <w:rPr>
          <w:rFonts w:ascii="Times New Roman" w:hAnsi="Times New Roman" w:cs="Times New Roman"/>
          <w:color w:val="000000" w:themeColor="text1"/>
          <w:lang w:val="es-CO" w:eastAsia="es-CO"/>
        </w:rPr>
        <w:t>s</w:t>
      </w:r>
      <w:r w:rsidRPr="0096658B">
        <w:rPr>
          <w:rFonts w:ascii="Times New Roman" w:hAnsi="Times New Roman" w:cs="Times New Roman"/>
          <w:color w:val="000000" w:themeColor="text1"/>
          <w:lang w:val="es-CO" w:eastAsia="es-CO"/>
        </w:rPr>
        <w:t xml:space="preserve"> disposiciones pertenecen. </w:t>
      </w:r>
    </w:p>
    <w:p w:rsidR="00AD4BDB" w:rsidRPr="0096658B" w:rsidRDefault="0096658B" w:rsidP="00537424">
      <w:pPr>
        <w:pStyle w:val="Prrafodelista"/>
        <w:widowControl w:val="0"/>
        <w:shd w:val="clear" w:color="auto" w:fill="FFFFFF"/>
        <w:tabs>
          <w:tab w:val="left" w:pos="0"/>
        </w:tabs>
        <w:autoSpaceDE w:val="0"/>
        <w:autoSpaceDN w:val="0"/>
        <w:adjustRightInd w:val="0"/>
        <w:ind w:left="0"/>
        <w:jc w:val="both"/>
        <w:rPr>
          <w:rFonts w:ascii="Times New Roman" w:hAnsi="Times New Roman" w:cs="Times New Roman"/>
          <w:b/>
          <w:bCs/>
          <w:color w:val="000000" w:themeColor="text1"/>
          <w:lang w:val="es-CO" w:eastAsia="es-CO"/>
        </w:rPr>
      </w:pPr>
    </w:p>
    <w:p w:rsidR="00537424" w:rsidRPr="0096658B" w:rsidRDefault="0096658B" w:rsidP="00537424">
      <w:pPr>
        <w:pStyle w:val="Prrafodelista"/>
        <w:widowControl w:val="0"/>
        <w:shd w:val="clear" w:color="auto" w:fill="FFFFFF"/>
        <w:tabs>
          <w:tab w:val="left" w:pos="0"/>
        </w:tabs>
        <w:autoSpaceDE w:val="0"/>
        <w:autoSpaceDN w:val="0"/>
        <w:adjustRightInd w:val="0"/>
        <w:ind w:left="0"/>
        <w:jc w:val="both"/>
        <w:rPr>
          <w:rFonts w:ascii="Times New Roman" w:hAnsi="Times New Roman" w:cs="Times New Roman"/>
          <w:b/>
          <w:bCs/>
          <w:color w:val="000000" w:themeColor="text1"/>
          <w:lang w:val="es-CO" w:eastAsia="es-CO"/>
        </w:rPr>
      </w:pPr>
      <w:r w:rsidRPr="0096658B">
        <w:rPr>
          <w:rFonts w:ascii="Times New Roman" w:hAnsi="Times New Roman" w:cs="Times New Roman"/>
          <w:b/>
          <w:bCs/>
          <w:color w:val="000000" w:themeColor="text1"/>
          <w:lang w:val="es-CO" w:eastAsia="es-CO"/>
        </w:rPr>
        <w:t>Análisis del procedimiento legislativo</w:t>
      </w:r>
    </w:p>
    <w:p w:rsidR="00537424" w:rsidRPr="0096658B" w:rsidRDefault="0096658B" w:rsidP="00537424">
      <w:pPr>
        <w:pStyle w:val="Prrafodelista"/>
        <w:widowControl w:val="0"/>
        <w:shd w:val="clear" w:color="auto" w:fill="FFFFFF"/>
        <w:tabs>
          <w:tab w:val="left" w:pos="0"/>
        </w:tabs>
        <w:autoSpaceDE w:val="0"/>
        <w:autoSpaceDN w:val="0"/>
        <w:adjustRightInd w:val="0"/>
        <w:ind w:left="0"/>
        <w:jc w:val="both"/>
        <w:rPr>
          <w:rFonts w:ascii="Times New Roman" w:hAnsi="Times New Roman" w:cs="Times New Roman"/>
          <w:b/>
          <w:bCs/>
          <w:color w:val="000000" w:themeColor="text1"/>
          <w:lang w:val="es-CO" w:eastAsia="es-CO"/>
        </w:rPr>
      </w:pPr>
    </w:p>
    <w:p w:rsidR="00FA49E5" w:rsidRPr="0096658B" w:rsidRDefault="0096658B" w:rsidP="00FA49E5">
      <w:pPr>
        <w:pStyle w:val="Prrafodelista"/>
        <w:widowControl w:val="0"/>
        <w:numPr>
          <w:ilvl w:val="0"/>
          <w:numId w:val="5"/>
        </w:numPr>
        <w:shd w:val="clear" w:color="auto" w:fill="FFFFFF"/>
        <w:autoSpaceDE w:val="0"/>
        <w:autoSpaceDN w:val="0"/>
        <w:adjustRightInd w:val="0"/>
        <w:ind w:left="0" w:firstLine="0"/>
        <w:jc w:val="both"/>
        <w:rPr>
          <w:rFonts w:ascii="Times New Roman" w:hAnsi="Times New Roman" w:cs="Times New Roman"/>
          <w:color w:val="000000" w:themeColor="text1"/>
          <w:szCs w:val="22"/>
          <w:lang w:val="es-CO" w:eastAsia="es-CO"/>
        </w:rPr>
      </w:pPr>
      <w:r w:rsidRPr="0096658B">
        <w:rPr>
          <w:rFonts w:ascii="Times New Roman" w:hAnsi="Times New Roman" w:cs="Times New Roman"/>
          <w:color w:val="000000" w:themeColor="text1"/>
          <w:lang w:val="es-CO" w:eastAsia="es-CO"/>
        </w:rPr>
        <w:t xml:space="preserve">La condición previa para adelantar el análisis sobre el trámite surtido por el </w:t>
      </w:r>
      <w:r w:rsidRPr="0096658B">
        <w:rPr>
          <w:rFonts w:ascii="Times New Roman" w:hAnsi="Times New Roman" w:cs="Times New Roman"/>
          <w:color w:val="000000" w:themeColor="text1"/>
          <w:lang w:val="es-CO" w:eastAsia="es-CO"/>
        </w:rPr>
        <w:t>PLE es la verificación sobre la competencia del Congreso para el efecto. Esto, bajo el entendido de que el rigor propio del trámite de las leyes estatutarias es excepcional y se predica exclusivamente de aquellas previsiones en las que la Constitución haya</w:t>
      </w:r>
      <w:r w:rsidRPr="0096658B">
        <w:rPr>
          <w:rFonts w:ascii="Times New Roman" w:hAnsi="Times New Roman" w:cs="Times New Roman"/>
          <w:color w:val="000000" w:themeColor="text1"/>
          <w:lang w:val="es-CO" w:eastAsia="es-CO"/>
        </w:rPr>
        <w:t xml:space="preserve"> dispuesto, de manera expresa, esa exigencia</w:t>
      </w:r>
      <w:r w:rsidRPr="0096658B">
        <w:rPr>
          <w:rStyle w:val="Refdenotaalpie"/>
          <w:rFonts w:ascii="Times New Roman" w:hAnsi="Times New Roman"/>
          <w:color w:val="000000" w:themeColor="text1"/>
          <w:lang w:val="es-CO" w:eastAsia="es-CO"/>
        </w:rPr>
        <w:footnoteReference w:id="12"/>
      </w:r>
      <w:r w:rsidRPr="0096658B">
        <w:rPr>
          <w:rFonts w:ascii="Times New Roman" w:hAnsi="Times New Roman" w:cs="Times New Roman"/>
          <w:color w:val="000000" w:themeColor="text1"/>
          <w:lang w:val="es-CO" w:eastAsia="es-CO"/>
        </w:rPr>
        <w:t>. Esto implica que la reserva de ley estatutaria deba interpretarse de manera restrictiva y con el fin de evitar, tanto el vaciamiento de la competencia del legislador ordinario, como la imposición de limitacion</w:t>
      </w:r>
      <w:r w:rsidRPr="0096658B">
        <w:rPr>
          <w:rFonts w:ascii="Times New Roman" w:hAnsi="Times New Roman" w:cs="Times New Roman"/>
          <w:color w:val="000000" w:themeColor="text1"/>
          <w:lang w:val="es-CO" w:eastAsia="es-CO"/>
        </w:rPr>
        <w:t>es injustificadas a la deliberación democrática de los diversos asuntos insertos en el amplio margen de configuración legislativa</w:t>
      </w:r>
      <w:r w:rsidRPr="0096658B">
        <w:rPr>
          <w:rStyle w:val="Refdenotaalpie"/>
          <w:rFonts w:ascii="Times New Roman" w:hAnsi="Times New Roman"/>
          <w:color w:val="000000" w:themeColor="text1"/>
          <w:lang w:val="es-CO" w:eastAsia="es-CO"/>
        </w:rPr>
        <w:footnoteReference w:id="13"/>
      </w:r>
      <w:r w:rsidRPr="0096658B">
        <w:rPr>
          <w:rFonts w:ascii="Times New Roman" w:hAnsi="Times New Roman" w:cs="Times New Roman"/>
          <w:color w:val="000000" w:themeColor="text1"/>
          <w:lang w:val="es-CO" w:eastAsia="es-CO"/>
        </w:rPr>
        <w:t>.</w:t>
      </w:r>
    </w:p>
    <w:p w:rsidR="00FA49E5" w:rsidRPr="0096658B" w:rsidRDefault="0096658B" w:rsidP="00FA49E5">
      <w:pPr>
        <w:pStyle w:val="Prrafodelista"/>
        <w:widowControl w:val="0"/>
        <w:shd w:val="clear" w:color="auto" w:fill="FFFFFF"/>
        <w:autoSpaceDE w:val="0"/>
        <w:autoSpaceDN w:val="0"/>
        <w:adjustRightInd w:val="0"/>
        <w:ind w:left="0"/>
        <w:rPr>
          <w:rFonts w:ascii="Times New Roman" w:hAnsi="Times New Roman" w:cs="Times New Roman"/>
          <w:color w:val="000000" w:themeColor="text1"/>
          <w:szCs w:val="22"/>
          <w:lang w:val="es-CO" w:eastAsia="es-CO"/>
        </w:rPr>
      </w:pPr>
    </w:p>
    <w:p w:rsidR="00FA49E5" w:rsidRPr="0096658B" w:rsidRDefault="0096658B" w:rsidP="00FA49E5">
      <w:pPr>
        <w:pStyle w:val="Prrafodelista"/>
        <w:widowControl w:val="0"/>
        <w:numPr>
          <w:ilvl w:val="0"/>
          <w:numId w:val="5"/>
        </w:numPr>
        <w:shd w:val="clear" w:color="auto" w:fill="FFFFFF"/>
        <w:autoSpaceDE w:val="0"/>
        <w:autoSpaceDN w:val="0"/>
        <w:adjustRightInd w:val="0"/>
        <w:ind w:left="0" w:firstLine="0"/>
        <w:jc w:val="both"/>
        <w:rPr>
          <w:rFonts w:ascii="Times New Roman" w:hAnsi="Times New Roman" w:cs="Times New Roman"/>
          <w:color w:val="000000" w:themeColor="text1"/>
          <w:szCs w:val="22"/>
          <w:lang w:val="es-CO" w:eastAsia="es-CO"/>
        </w:rPr>
      </w:pPr>
      <w:r w:rsidRPr="0096658B">
        <w:rPr>
          <w:rFonts w:ascii="Times New Roman" w:hAnsi="Times New Roman" w:cs="Times New Roman"/>
          <w:color w:val="000000" w:themeColor="text1"/>
          <w:lang w:val="es-CO" w:eastAsia="es-CO"/>
        </w:rPr>
        <w:t>En este contexto, la jurisprudencia constitucional</w:t>
      </w:r>
      <w:r w:rsidRPr="0096658B">
        <w:rPr>
          <w:rStyle w:val="Refdenotaalpie"/>
          <w:rFonts w:ascii="Times New Roman" w:hAnsi="Times New Roman"/>
          <w:color w:val="000000" w:themeColor="text1"/>
          <w:lang w:val="es-CO" w:eastAsia="es-CO"/>
        </w:rPr>
        <w:footnoteReference w:id="14"/>
      </w:r>
      <w:r w:rsidRPr="0096658B">
        <w:rPr>
          <w:rFonts w:ascii="Times New Roman" w:hAnsi="Times New Roman" w:cs="Times New Roman"/>
          <w:color w:val="000000" w:themeColor="text1"/>
          <w:lang w:val="es-CO" w:eastAsia="es-CO"/>
        </w:rPr>
        <w:t xml:space="preserve"> ha establecido algunos criterios para identificar si una norma debe som</w:t>
      </w:r>
      <w:r w:rsidRPr="0096658B">
        <w:rPr>
          <w:rFonts w:ascii="Times New Roman" w:hAnsi="Times New Roman" w:cs="Times New Roman"/>
          <w:color w:val="000000" w:themeColor="text1"/>
          <w:lang w:val="es-CO" w:eastAsia="es-CO"/>
        </w:rPr>
        <w:t xml:space="preserve">eterse al trámite excepcional de las leyes estatutarias. A saber: </w:t>
      </w:r>
      <w:r w:rsidRPr="0096658B">
        <w:rPr>
          <w:rFonts w:ascii="Times New Roman" w:hAnsi="Times New Roman" w:cs="Times New Roman"/>
          <w:i/>
          <w:iCs/>
          <w:color w:val="000000" w:themeColor="text1"/>
          <w:lang w:val="es-CO" w:eastAsia="es-CO"/>
        </w:rPr>
        <w:t>(i)</w:t>
      </w:r>
      <w:r w:rsidRPr="0096658B">
        <w:rPr>
          <w:rFonts w:ascii="Times New Roman" w:hAnsi="Times New Roman" w:cs="Times New Roman"/>
          <w:color w:val="000000" w:themeColor="text1"/>
          <w:lang w:val="es-CO" w:eastAsia="es-CO"/>
        </w:rPr>
        <w:t xml:space="preserve"> </w:t>
      </w:r>
      <w:r w:rsidRPr="0096658B">
        <w:rPr>
          <w:rFonts w:ascii="Times New Roman" w:hAnsi="Times New Roman" w:cs="Times New Roman"/>
        </w:rPr>
        <w:t xml:space="preserve">que efectivamente regule derechos y deberes de carácter fundamental; </w:t>
      </w:r>
      <w:r w:rsidRPr="0096658B">
        <w:rPr>
          <w:rFonts w:ascii="Times New Roman" w:hAnsi="Times New Roman" w:cs="Times New Roman"/>
          <w:i/>
          <w:iCs/>
        </w:rPr>
        <w:t xml:space="preserve">(ii) </w:t>
      </w:r>
      <w:r w:rsidRPr="0096658B">
        <w:rPr>
          <w:rFonts w:ascii="Times New Roman" w:hAnsi="Times New Roman" w:cs="Times New Roman"/>
        </w:rPr>
        <w:t>que el objeto directo de la regulación sea el desarrollo del régimen de derechos fundamentales o un derecho fund</w:t>
      </w:r>
      <w:r w:rsidRPr="0096658B">
        <w:rPr>
          <w:rFonts w:ascii="Times New Roman" w:hAnsi="Times New Roman" w:cs="Times New Roman"/>
        </w:rPr>
        <w:t>amental en sí mismo</w:t>
      </w:r>
      <w:r w:rsidRPr="0096658B">
        <w:rPr>
          <w:rStyle w:val="Refdenotaalpie"/>
          <w:rFonts w:ascii="Times New Roman" w:hAnsi="Times New Roman"/>
        </w:rPr>
        <w:footnoteReference w:id="15"/>
      </w:r>
      <w:r w:rsidRPr="0096658B">
        <w:rPr>
          <w:rFonts w:ascii="Times New Roman" w:hAnsi="Times New Roman" w:cs="Times New Roman"/>
        </w:rPr>
        <w:t xml:space="preserve">; </w:t>
      </w:r>
      <w:r w:rsidRPr="0096658B">
        <w:rPr>
          <w:rFonts w:ascii="Times New Roman" w:hAnsi="Times New Roman" w:cs="Times New Roman"/>
          <w:i/>
          <w:iCs/>
        </w:rPr>
        <w:t>(iii)</w:t>
      </w:r>
      <w:r w:rsidRPr="0096658B">
        <w:rPr>
          <w:rFonts w:ascii="Times New Roman" w:hAnsi="Times New Roman" w:cs="Times New Roman"/>
        </w:rPr>
        <w:t xml:space="preserve"> que la norma regule, de manera integral, estructural y completa, un derecho fundamental; o </w:t>
      </w:r>
      <w:r w:rsidRPr="0096658B">
        <w:rPr>
          <w:rFonts w:ascii="Times New Roman" w:hAnsi="Times New Roman" w:cs="Times New Roman"/>
          <w:i/>
          <w:iCs/>
        </w:rPr>
        <w:t>(iv)</w:t>
      </w:r>
      <w:r w:rsidRPr="0096658B">
        <w:rPr>
          <w:rFonts w:ascii="Times New Roman" w:hAnsi="Times New Roman" w:cs="Times New Roman"/>
        </w:rPr>
        <w:t xml:space="preserve"> que afecte el núcleo esencial y los principios básicos del derecho o deber, “es decir, que regule los aspectos inherentes al ejercic</w:t>
      </w:r>
      <w:r w:rsidRPr="0096658B">
        <w:rPr>
          <w:rFonts w:ascii="Times New Roman" w:hAnsi="Times New Roman" w:cs="Times New Roman"/>
        </w:rPr>
        <w:t>io del derecho”</w:t>
      </w:r>
      <w:r w:rsidRPr="0096658B">
        <w:rPr>
          <w:rStyle w:val="Refdenotaalpie"/>
          <w:rFonts w:ascii="Times New Roman" w:hAnsi="Times New Roman"/>
        </w:rPr>
        <w:footnoteReference w:id="16"/>
      </w:r>
      <w:r w:rsidRPr="0096658B">
        <w:rPr>
          <w:rFonts w:ascii="Times New Roman" w:hAnsi="Times New Roman" w:cs="Times New Roman"/>
        </w:rPr>
        <w:t xml:space="preserve">; y </w:t>
      </w:r>
      <w:r w:rsidRPr="0096658B">
        <w:rPr>
          <w:rFonts w:ascii="Times New Roman" w:hAnsi="Times New Roman" w:cs="Times New Roman"/>
          <w:i/>
          <w:iCs/>
        </w:rPr>
        <w:t>(v)</w:t>
      </w:r>
      <w:r w:rsidRPr="0096658B">
        <w:rPr>
          <w:rFonts w:ascii="Times New Roman" w:hAnsi="Times New Roman" w:cs="Times New Roman"/>
        </w:rPr>
        <w:t xml:space="preserve"> que se refiera a la afectación o el desarrollo de los elementos estructurales del derecho, esto es, que consagre límites, restricciones, excepciones y prohibiciones que afecten la estructura general del derecho, como elementos cerca</w:t>
      </w:r>
      <w:r w:rsidRPr="0096658B">
        <w:rPr>
          <w:rFonts w:ascii="Times New Roman" w:hAnsi="Times New Roman" w:cs="Times New Roman"/>
        </w:rPr>
        <w:t>nos a su núcleo esencial</w:t>
      </w:r>
      <w:r w:rsidRPr="0096658B">
        <w:rPr>
          <w:rFonts w:ascii="Times New Roman" w:hAnsi="Times New Roman" w:cs="Times New Roman"/>
          <w:vertAlign w:val="superscript"/>
        </w:rPr>
        <w:footnoteReference w:id="17"/>
      </w:r>
      <w:r w:rsidRPr="0096658B">
        <w:rPr>
          <w:rFonts w:ascii="Times New Roman" w:hAnsi="Times New Roman" w:cs="Times New Roman"/>
        </w:rPr>
        <w:t xml:space="preserve">. </w:t>
      </w:r>
    </w:p>
    <w:p w:rsidR="00FA49E5" w:rsidRPr="0096658B" w:rsidRDefault="0096658B" w:rsidP="00FA49E5">
      <w:pPr>
        <w:pStyle w:val="Prrafodelista"/>
        <w:rPr>
          <w:rFonts w:ascii="Times New Roman" w:hAnsi="Times New Roman" w:cs="Times New Roman"/>
          <w:color w:val="000000" w:themeColor="text1"/>
          <w:lang w:val="es-CO" w:eastAsia="es-CO"/>
        </w:rPr>
      </w:pPr>
    </w:p>
    <w:p w:rsidR="00FA49E5" w:rsidRPr="0096658B" w:rsidRDefault="0096658B" w:rsidP="00FA49E5">
      <w:pPr>
        <w:pStyle w:val="Prrafodelista"/>
        <w:widowControl w:val="0"/>
        <w:numPr>
          <w:ilvl w:val="0"/>
          <w:numId w:val="5"/>
        </w:numPr>
        <w:shd w:val="clear" w:color="auto" w:fill="FFFFFF"/>
        <w:autoSpaceDE w:val="0"/>
        <w:autoSpaceDN w:val="0"/>
        <w:adjustRightInd w:val="0"/>
        <w:ind w:left="0" w:firstLine="0"/>
        <w:jc w:val="both"/>
        <w:rPr>
          <w:rFonts w:ascii="Times New Roman" w:hAnsi="Times New Roman" w:cs="Times New Roman"/>
          <w:color w:val="000000" w:themeColor="text1"/>
          <w:szCs w:val="22"/>
          <w:lang w:val="es-CO" w:eastAsia="es-CO"/>
        </w:rPr>
      </w:pPr>
      <w:r w:rsidRPr="0096658B">
        <w:rPr>
          <w:rFonts w:ascii="Times New Roman" w:hAnsi="Times New Roman" w:cs="Times New Roman"/>
          <w:color w:val="000000" w:themeColor="text1"/>
          <w:lang w:val="es-CO" w:eastAsia="es-CO"/>
        </w:rPr>
        <w:t xml:space="preserve">En este punto, la Corte encuentra que la reforma contenida en la iniciativa legislativa </w:t>
      </w:r>
      <w:r w:rsidRPr="0096658B">
        <w:rPr>
          <w:rFonts w:ascii="Times New Roman" w:hAnsi="Times New Roman" w:cs="Times New Roman"/>
          <w:i/>
          <w:iCs/>
          <w:color w:val="000000" w:themeColor="text1"/>
          <w:lang w:val="es-CO" w:eastAsia="es-CO"/>
        </w:rPr>
        <w:t>sub examine</w:t>
      </w:r>
      <w:r w:rsidRPr="0096658B">
        <w:rPr>
          <w:rFonts w:ascii="Times New Roman" w:hAnsi="Times New Roman" w:cs="Times New Roman"/>
          <w:color w:val="000000" w:themeColor="text1"/>
          <w:lang w:val="es-CO" w:eastAsia="es-CO"/>
        </w:rPr>
        <w:t xml:space="preserve"> debió surtirse mediante el procedimiento propio de las leyes estatutarias. Esto, por cuando menos cuatro razones. Primero, el PLE regula derechos de carácter fundamental. Por una parte, el artículo 40 de la Constitución prevé el derecho de todo ciudadano </w:t>
      </w:r>
      <w:r w:rsidRPr="0096658B">
        <w:rPr>
          <w:rFonts w:ascii="Times New Roman" w:hAnsi="Times New Roman" w:cs="Times New Roman"/>
          <w:color w:val="000000" w:themeColor="text1"/>
          <w:lang w:val="es-CO" w:eastAsia="es-CO"/>
        </w:rPr>
        <w:t xml:space="preserve">a participar en la conformación, ejercicio y control del poder político. Es más, el inciso final </w:t>
      </w:r>
      <w:r w:rsidRPr="0096658B">
        <w:rPr>
          <w:rFonts w:ascii="Times New Roman" w:hAnsi="Times New Roman" w:cs="Times New Roman"/>
          <w:i/>
          <w:iCs/>
          <w:color w:val="000000" w:themeColor="text1"/>
          <w:lang w:val="es-CO" w:eastAsia="es-CO"/>
        </w:rPr>
        <w:t>ibidem</w:t>
      </w:r>
      <w:r w:rsidRPr="0096658B">
        <w:rPr>
          <w:rFonts w:ascii="Times New Roman" w:hAnsi="Times New Roman" w:cs="Times New Roman"/>
          <w:color w:val="000000" w:themeColor="text1"/>
          <w:lang w:val="es-CO" w:eastAsia="es-CO"/>
        </w:rPr>
        <w:t xml:space="preserve"> dispone que “[l]as autoridades garantizarán la adecuada y efectiva participación de la mujer en los niveles decisorios de la administración pública”. Po</w:t>
      </w:r>
      <w:r w:rsidRPr="0096658B">
        <w:rPr>
          <w:rFonts w:ascii="Times New Roman" w:hAnsi="Times New Roman" w:cs="Times New Roman"/>
          <w:color w:val="000000" w:themeColor="text1"/>
          <w:lang w:val="es-CO" w:eastAsia="es-CO"/>
        </w:rPr>
        <w:t>r otra parte, el artículo 13 constitucional establece que “[e]l Estado promoverá las condiciones para que la igualdad sea real y efectiva y adoptará medidas en favor de grupos discriminados o marginados”. Por lo anterior, la Corte concluye que el PLE efect</w:t>
      </w:r>
      <w:r w:rsidRPr="0096658B">
        <w:rPr>
          <w:rFonts w:ascii="Times New Roman" w:hAnsi="Times New Roman" w:cs="Times New Roman"/>
          <w:color w:val="000000" w:themeColor="text1"/>
          <w:lang w:val="es-CO" w:eastAsia="es-CO"/>
        </w:rPr>
        <w:t xml:space="preserve">ivamente regula la adecuada y efectiva participación de las mujeres en los niveles decisorios de la administración pública, que constituye una garantía </w:t>
      </w:r>
      <w:r w:rsidRPr="0096658B">
        <w:rPr>
          <w:rFonts w:ascii="Times New Roman" w:hAnsi="Times New Roman" w:cs="Times New Roman"/>
          <w:i/>
          <w:iCs/>
          <w:color w:val="000000" w:themeColor="text1"/>
          <w:lang w:val="es-CO" w:eastAsia="es-CO"/>
        </w:rPr>
        <w:t>iusfundamental</w:t>
      </w:r>
      <w:r w:rsidRPr="0096658B">
        <w:rPr>
          <w:rFonts w:ascii="Times New Roman" w:hAnsi="Times New Roman" w:cs="Times New Roman"/>
          <w:color w:val="000000" w:themeColor="text1"/>
          <w:lang w:val="es-CO" w:eastAsia="es-CO"/>
        </w:rPr>
        <w:t xml:space="preserve"> consagrada en la Constitución Política.</w:t>
      </w:r>
    </w:p>
    <w:p w:rsidR="00FA49E5" w:rsidRPr="0096658B" w:rsidRDefault="0096658B" w:rsidP="00FA49E5">
      <w:pPr>
        <w:pStyle w:val="Prrafodelista"/>
        <w:rPr>
          <w:rFonts w:ascii="Times New Roman" w:hAnsi="Times New Roman" w:cs="Times New Roman"/>
          <w:color w:val="000000" w:themeColor="text1"/>
          <w:lang w:val="es-CO" w:eastAsia="es-CO"/>
        </w:rPr>
      </w:pPr>
    </w:p>
    <w:p w:rsidR="00FA49E5" w:rsidRPr="0096658B" w:rsidRDefault="0096658B" w:rsidP="00FA49E5">
      <w:pPr>
        <w:pStyle w:val="Prrafodelista"/>
        <w:widowControl w:val="0"/>
        <w:numPr>
          <w:ilvl w:val="0"/>
          <w:numId w:val="5"/>
        </w:numPr>
        <w:shd w:val="clear" w:color="auto" w:fill="FFFFFF"/>
        <w:autoSpaceDE w:val="0"/>
        <w:autoSpaceDN w:val="0"/>
        <w:adjustRightInd w:val="0"/>
        <w:ind w:left="0" w:firstLine="0"/>
        <w:jc w:val="both"/>
        <w:rPr>
          <w:rFonts w:ascii="Times New Roman" w:hAnsi="Times New Roman" w:cs="Times New Roman"/>
          <w:color w:val="000000" w:themeColor="text1"/>
          <w:szCs w:val="22"/>
          <w:lang w:val="es-CO" w:eastAsia="es-CO"/>
        </w:rPr>
      </w:pPr>
      <w:r w:rsidRPr="0096658B">
        <w:rPr>
          <w:rFonts w:ascii="Times New Roman" w:hAnsi="Times New Roman" w:cs="Times New Roman"/>
          <w:color w:val="000000" w:themeColor="text1"/>
          <w:lang w:val="es-CO" w:eastAsia="es-CO"/>
        </w:rPr>
        <w:t>Segundo, el objeto directo de la regulación prev</w:t>
      </w:r>
      <w:r w:rsidRPr="0096658B">
        <w:rPr>
          <w:rFonts w:ascii="Times New Roman" w:hAnsi="Times New Roman" w:cs="Times New Roman"/>
          <w:color w:val="000000" w:themeColor="text1"/>
          <w:lang w:val="es-CO" w:eastAsia="es-CO"/>
        </w:rPr>
        <w:t>ista en el PLE es el desarrollo del régimen de derechos fundamentales. Al igual que la Ley 581 de 2000, esta iniciativa legislativa desarrolla el contenido y alcance del derecho a la igualdad y, más específicamente, la creación de “condiciones materiales q</w:t>
      </w:r>
      <w:r w:rsidRPr="0096658B">
        <w:rPr>
          <w:rFonts w:ascii="Times New Roman" w:hAnsi="Times New Roman" w:cs="Times New Roman"/>
          <w:color w:val="000000" w:themeColor="text1"/>
          <w:lang w:val="es-CO" w:eastAsia="es-CO"/>
        </w:rPr>
        <w:t xml:space="preserve">ue permitan hacerla real y efectiva, en beneficio de un grupo (las mujeres), tradicionalmente discriminado en materia de participación política. Además, el proyecto es un desarrollo del derecho a la participación ciudadana, aunque específicamente referido </w:t>
      </w:r>
      <w:r w:rsidRPr="0096658B">
        <w:rPr>
          <w:rFonts w:ascii="Times New Roman" w:hAnsi="Times New Roman" w:cs="Times New Roman"/>
          <w:color w:val="000000" w:themeColor="text1"/>
          <w:lang w:val="es-CO" w:eastAsia="es-CO"/>
        </w:rPr>
        <w:t>a la participación política de la población femenina”</w:t>
      </w:r>
      <w:r w:rsidRPr="0096658B">
        <w:rPr>
          <w:rStyle w:val="Refdenotaalpie"/>
          <w:rFonts w:ascii="Times New Roman" w:hAnsi="Times New Roman"/>
          <w:color w:val="000000" w:themeColor="text1"/>
          <w:lang w:val="es-CO" w:eastAsia="es-CO"/>
        </w:rPr>
        <w:footnoteReference w:id="18"/>
      </w:r>
      <w:r w:rsidRPr="0096658B">
        <w:rPr>
          <w:rFonts w:ascii="Times New Roman" w:hAnsi="Times New Roman" w:cs="Times New Roman"/>
          <w:color w:val="000000" w:themeColor="text1"/>
          <w:lang w:val="es-CO" w:eastAsia="es-CO"/>
        </w:rPr>
        <w:t>. Así, como la Corte Constitucional lo reconoció en la Sentencia C-371 de 2000, estas medidas se insertaban en el supuesto previsto en el literal a) del artículo 152 de la Constitución. Ahora bien, de c</w:t>
      </w:r>
      <w:r w:rsidRPr="0096658B">
        <w:rPr>
          <w:rFonts w:ascii="Times New Roman" w:hAnsi="Times New Roman" w:cs="Times New Roman"/>
          <w:color w:val="000000" w:themeColor="text1"/>
          <w:lang w:val="es-CO" w:eastAsia="es-CO"/>
        </w:rPr>
        <w:t>onformidad con el literal c) de la referida disposición constitucional, la Corte también encuentra que el contenido normativo del artículo 3 del PLE debió someterse al trámite estatutario. Esto, en la medida en que prevé disposiciones específicas relaciona</w:t>
      </w:r>
      <w:r w:rsidRPr="0096658B">
        <w:rPr>
          <w:rFonts w:ascii="Times New Roman" w:hAnsi="Times New Roman" w:cs="Times New Roman"/>
          <w:color w:val="000000" w:themeColor="text1"/>
          <w:lang w:val="es-CO" w:eastAsia="es-CO"/>
        </w:rPr>
        <w:t>das con la organización y régimen de los partidos y movimientos políticos.</w:t>
      </w:r>
    </w:p>
    <w:p w:rsidR="00FA49E5" w:rsidRPr="0096658B" w:rsidRDefault="0096658B" w:rsidP="00FA49E5">
      <w:pPr>
        <w:pStyle w:val="Prrafodelista"/>
        <w:widowControl w:val="0"/>
        <w:shd w:val="clear" w:color="auto" w:fill="FFFFFF"/>
        <w:autoSpaceDE w:val="0"/>
        <w:autoSpaceDN w:val="0"/>
        <w:adjustRightInd w:val="0"/>
        <w:ind w:left="0"/>
        <w:rPr>
          <w:rFonts w:ascii="Times New Roman" w:hAnsi="Times New Roman" w:cs="Times New Roman"/>
          <w:color w:val="000000" w:themeColor="text1"/>
          <w:szCs w:val="22"/>
          <w:lang w:val="es-CO" w:eastAsia="es-CO"/>
        </w:rPr>
      </w:pPr>
    </w:p>
    <w:p w:rsidR="00FA49E5" w:rsidRPr="0096658B" w:rsidRDefault="0096658B" w:rsidP="00FA49E5">
      <w:pPr>
        <w:pStyle w:val="Prrafodelista"/>
        <w:widowControl w:val="0"/>
        <w:numPr>
          <w:ilvl w:val="0"/>
          <w:numId w:val="5"/>
        </w:numPr>
        <w:shd w:val="clear" w:color="auto" w:fill="FFFFFF"/>
        <w:autoSpaceDE w:val="0"/>
        <w:autoSpaceDN w:val="0"/>
        <w:adjustRightInd w:val="0"/>
        <w:ind w:left="0" w:firstLine="0"/>
        <w:jc w:val="both"/>
        <w:rPr>
          <w:rFonts w:ascii="Times New Roman" w:hAnsi="Times New Roman" w:cs="Times New Roman"/>
          <w:color w:val="000000" w:themeColor="text1"/>
          <w:szCs w:val="22"/>
          <w:lang w:val="es-CO" w:eastAsia="es-CO"/>
        </w:rPr>
      </w:pPr>
      <w:r w:rsidRPr="0096658B">
        <w:rPr>
          <w:rFonts w:ascii="Times New Roman" w:hAnsi="Times New Roman" w:cs="Times New Roman"/>
          <w:color w:val="000000" w:themeColor="text1"/>
          <w:lang w:val="es-CO" w:eastAsia="es-CO"/>
        </w:rPr>
        <w:t>Tercero, el PLE</w:t>
      </w:r>
      <w:r w:rsidRPr="0096658B">
        <w:rPr>
          <w:rFonts w:ascii="Times New Roman" w:hAnsi="Times New Roman" w:cs="Times New Roman"/>
        </w:rPr>
        <w:t xml:space="preserve"> regula aspectos inherentes al ejercicio de un derecho fundamental. De un lado, la iniciativa legislativa establece las condiciones mínimas para la participación ade</w:t>
      </w:r>
      <w:r w:rsidRPr="0096658B">
        <w:rPr>
          <w:rFonts w:ascii="Times New Roman" w:hAnsi="Times New Roman" w:cs="Times New Roman"/>
        </w:rPr>
        <w:t>cuada y efectiva de las mujeres en los niveles decisorios del poder público. Asimismo, la Corte insiste, la regulación tiene incidencia directa en la conformación de listas de elegibles y en el funcionamiento de los partidos políticos. De otro lado, el PLE</w:t>
      </w:r>
      <w:r w:rsidRPr="0096658B">
        <w:rPr>
          <w:rFonts w:ascii="Times New Roman" w:hAnsi="Times New Roman" w:cs="Times New Roman"/>
        </w:rPr>
        <w:t xml:space="preserve"> prevé una restricción para el ejercicio de los referidos derechos. En efecto, impone un piso mínimo del 50% de participación de las mujeres en los niveles decisorios del poder público. Por lo tanto, la Corte constata que el PLE afecta el núcleo esencial y</w:t>
      </w:r>
      <w:r w:rsidRPr="0096658B">
        <w:rPr>
          <w:rFonts w:ascii="Times New Roman" w:hAnsi="Times New Roman" w:cs="Times New Roman"/>
        </w:rPr>
        <w:t xml:space="preserve"> los principios básicos de los derechos a la igualdad y a la participación de las mujeres en las ramas del poder público. </w:t>
      </w:r>
    </w:p>
    <w:p w:rsidR="00FA49E5" w:rsidRPr="0096658B" w:rsidRDefault="0096658B" w:rsidP="00FA49E5">
      <w:pPr>
        <w:pStyle w:val="Prrafodelista"/>
        <w:rPr>
          <w:rFonts w:ascii="Times New Roman" w:hAnsi="Times New Roman" w:cs="Times New Roman"/>
        </w:rPr>
      </w:pPr>
    </w:p>
    <w:p w:rsidR="00FA49E5" w:rsidRPr="0096658B" w:rsidRDefault="0096658B" w:rsidP="00FA49E5">
      <w:pPr>
        <w:pStyle w:val="Prrafodelista"/>
        <w:widowControl w:val="0"/>
        <w:numPr>
          <w:ilvl w:val="0"/>
          <w:numId w:val="5"/>
        </w:numPr>
        <w:shd w:val="clear" w:color="auto" w:fill="FFFFFF"/>
        <w:autoSpaceDE w:val="0"/>
        <w:autoSpaceDN w:val="0"/>
        <w:adjustRightInd w:val="0"/>
        <w:ind w:left="0" w:firstLine="0"/>
        <w:jc w:val="both"/>
        <w:rPr>
          <w:rFonts w:ascii="Times New Roman" w:hAnsi="Times New Roman" w:cs="Times New Roman"/>
          <w:color w:val="000000" w:themeColor="text1"/>
          <w:szCs w:val="22"/>
          <w:lang w:val="es-CO" w:eastAsia="es-CO"/>
        </w:rPr>
      </w:pPr>
      <w:r w:rsidRPr="0096658B">
        <w:rPr>
          <w:rFonts w:ascii="Times New Roman" w:hAnsi="Times New Roman" w:cs="Times New Roman"/>
        </w:rPr>
        <w:t>Cuarto, la iniciativa legislativa pretende modificar el contenido de una ley estatutaria. Al respecto, la jurisprudencia constitucio</w:t>
      </w:r>
      <w:r w:rsidRPr="0096658B">
        <w:rPr>
          <w:rFonts w:ascii="Times New Roman" w:hAnsi="Times New Roman" w:cs="Times New Roman"/>
        </w:rPr>
        <w:t>nal ha afirmado que, “cuando se trata de la modificación de una ley estatutaria se debe conservar el mismo trámite especial con el que fue aprobada dicha ley”</w:t>
      </w:r>
      <w:r w:rsidRPr="0096658B">
        <w:rPr>
          <w:rStyle w:val="Refdenotaalpie"/>
          <w:rFonts w:ascii="Times New Roman" w:hAnsi="Times New Roman"/>
        </w:rPr>
        <w:footnoteReference w:id="19"/>
      </w:r>
      <w:r w:rsidRPr="0096658B">
        <w:rPr>
          <w:rFonts w:ascii="Times New Roman" w:hAnsi="Times New Roman" w:cs="Times New Roman"/>
        </w:rPr>
        <w:t xml:space="preserve">. Esto, de conformidad con el artículo 153 constitucional, </w:t>
      </w:r>
      <w:r w:rsidRPr="0096658B">
        <w:rPr>
          <w:rFonts w:ascii="Times New Roman" w:hAnsi="Times New Roman" w:cs="Times New Roman"/>
        </w:rPr>
        <w:t>según el cual</w:t>
      </w:r>
      <w:r w:rsidRPr="0096658B">
        <w:rPr>
          <w:rFonts w:ascii="Times New Roman" w:hAnsi="Times New Roman" w:cs="Times New Roman"/>
        </w:rPr>
        <w:t xml:space="preserve"> “la aprobación, modifica</w:t>
      </w:r>
      <w:r w:rsidRPr="0096658B">
        <w:rPr>
          <w:rFonts w:ascii="Times New Roman" w:hAnsi="Times New Roman" w:cs="Times New Roman"/>
        </w:rPr>
        <w:t>ción o derogación de las leyes estatutarias exigirá la mayoría absoluta de los miembros del Congreso y deberá efectuarse dentro de una sola legislatura”</w:t>
      </w:r>
      <w:r w:rsidRPr="0096658B">
        <w:rPr>
          <w:rFonts w:ascii="Times New Roman" w:hAnsi="Times New Roman" w:cs="Times New Roman"/>
          <w:shd w:val="clear" w:color="auto" w:fill="FFFFFF"/>
        </w:rPr>
        <w:t>.</w:t>
      </w:r>
      <w:r w:rsidRPr="0096658B">
        <w:rPr>
          <w:rFonts w:ascii="Times New Roman" w:hAnsi="Times New Roman" w:cs="Times New Roman"/>
        </w:rPr>
        <w:t xml:space="preserve"> En el caso concreto, el PLE pretende modificar la Ley Estatutaria 581 de 2000. En este contexto, la </w:t>
      </w:r>
      <w:r w:rsidRPr="0096658B">
        <w:rPr>
          <w:rFonts w:ascii="Times New Roman" w:hAnsi="Times New Roman" w:cs="Times New Roman"/>
        </w:rPr>
        <w:t>Co</w:t>
      </w:r>
      <w:r w:rsidRPr="0096658B">
        <w:rPr>
          <w:rFonts w:ascii="Times New Roman" w:hAnsi="Times New Roman" w:cs="Times New Roman"/>
        </w:rPr>
        <w:t xml:space="preserve">rte </w:t>
      </w:r>
      <w:r w:rsidRPr="0096658B">
        <w:rPr>
          <w:rFonts w:ascii="Times New Roman" w:hAnsi="Times New Roman" w:cs="Times New Roman"/>
        </w:rPr>
        <w:t xml:space="preserve">concluye que </w:t>
      </w:r>
      <w:r w:rsidRPr="0096658B">
        <w:rPr>
          <w:rFonts w:ascii="Times New Roman" w:hAnsi="Times New Roman" w:cs="Times New Roman"/>
          <w:color w:val="000000" w:themeColor="text1"/>
          <w:lang w:val="es-CO" w:eastAsia="es-CO"/>
        </w:rPr>
        <w:t xml:space="preserve">la reforma contenida en la iniciativa legislativa </w:t>
      </w:r>
      <w:r w:rsidRPr="0096658B">
        <w:rPr>
          <w:rFonts w:ascii="Times New Roman" w:hAnsi="Times New Roman" w:cs="Times New Roman"/>
          <w:i/>
          <w:iCs/>
          <w:color w:val="000000" w:themeColor="text1"/>
          <w:lang w:val="es-CO" w:eastAsia="es-CO"/>
        </w:rPr>
        <w:t xml:space="preserve">sub judice </w:t>
      </w:r>
      <w:r w:rsidRPr="0096658B">
        <w:rPr>
          <w:rFonts w:ascii="Times New Roman" w:hAnsi="Times New Roman" w:cs="Times New Roman"/>
          <w:color w:val="000000" w:themeColor="text1"/>
          <w:lang w:val="es-CO" w:eastAsia="es-CO"/>
        </w:rPr>
        <w:t>debió surtirse mediante el procedimiento propio de las leyes estatutarias.</w:t>
      </w:r>
    </w:p>
    <w:p w:rsidR="00FA49E5" w:rsidRPr="0096658B" w:rsidRDefault="0096658B" w:rsidP="00FA49E5">
      <w:pPr>
        <w:rPr>
          <w:rFonts w:ascii="Times New Roman" w:hAnsi="Times New Roman" w:cs="Times New Roman"/>
          <w:color w:val="000000" w:themeColor="text1"/>
          <w:sz w:val="28"/>
        </w:rPr>
      </w:pPr>
    </w:p>
    <w:p w:rsidR="00FA49E5" w:rsidRPr="0096658B" w:rsidRDefault="0096658B" w:rsidP="00FA49E5">
      <w:pPr>
        <w:pStyle w:val="Prrafodelista"/>
        <w:widowControl w:val="0"/>
        <w:numPr>
          <w:ilvl w:val="0"/>
          <w:numId w:val="5"/>
        </w:numPr>
        <w:shd w:val="clear" w:color="auto" w:fill="FFFFFF"/>
        <w:autoSpaceDE w:val="0"/>
        <w:autoSpaceDN w:val="0"/>
        <w:adjustRightInd w:val="0"/>
        <w:ind w:left="0" w:firstLine="0"/>
        <w:jc w:val="both"/>
        <w:rPr>
          <w:rFonts w:ascii="Times New Roman" w:hAnsi="Times New Roman" w:cs="Times New Roman"/>
          <w:color w:val="000000" w:themeColor="text1"/>
          <w:szCs w:val="22"/>
          <w:lang w:val="es-CO" w:eastAsia="es-CO"/>
        </w:rPr>
      </w:pPr>
      <w:r w:rsidRPr="0096658B">
        <w:rPr>
          <w:rFonts w:ascii="Times New Roman" w:hAnsi="Times New Roman" w:cs="Times New Roman"/>
          <w:color w:val="000000" w:themeColor="text1"/>
          <w:lang w:val="es-CO" w:eastAsia="es-CO"/>
        </w:rPr>
        <w:t>Verificada la inclusión de las materias del PLE en la reserva de ley estatutaria, pasa la Corte a estu</w:t>
      </w:r>
      <w:r w:rsidRPr="0096658B">
        <w:rPr>
          <w:rFonts w:ascii="Times New Roman" w:hAnsi="Times New Roman" w:cs="Times New Roman"/>
          <w:color w:val="000000" w:themeColor="text1"/>
          <w:lang w:val="es-CO" w:eastAsia="es-CO"/>
        </w:rPr>
        <w:t>diar el cumplimiento de las reglas de procedimiento legislativo predicables de este tipo de normativa. Para ello, hará una breve mención sobre el contenido del requisito y determinará si se cumple en el asunto de la referencia.</w:t>
      </w:r>
    </w:p>
    <w:p w:rsidR="0063310F" w:rsidRPr="0096658B" w:rsidRDefault="0096658B" w:rsidP="0063310F">
      <w:pPr>
        <w:pStyle w:val="Prrafodelista"/>
        <w:rPr>
          <w:rFonts w:ascii="Times New Roman" w:hAnsi="Times New Roman" w:cs="Times New Roman"/>
          <w:color w:val="000000" w:themeColor="text1"/>
          <w:lang w:val="es-CO" w:eastAsia="es-CO"/>
        </w:rPr>
      </w:pPr>
    </w:p>
    <w:p w:rsidR="007145AB" w:rsidRPr="0096658B" w:rsidRDefault="0096658B" w:rsidP="00337A19">
      <w:pPr>
        <w:pStyle w:val="Prrafodelista"/>
        <w:widowControl w:val="0"/>
        <w:numPr>
          <w:ilvl w:val="0"/>
          <w:numId w:val="5"/>
        </w:numPr>
        <w:shd w:val="clear" w:color="auto" w:fill="FFFFFF"/>
        <w:tabs>
          <w:tab w:val="left" w:pos="0"/>
        </w:tabs>
        <w:autoSpaceDE w:val="0"/>
        <w:autoSpaceDN w:val="0"/>
        <w:adjustRightInd w:val="0"/>
        <w:ind w:left="0" w:firstLine="0"/>
        <w:jc w:val="both"/>
        <w:rPr>
          <w:rFonts w:ascii="Times New Roman" w:hAnsi="Times New Roman" w:cs="Times New Roman"/>
          <w:color w:val="000000" w:themeColor="text1"/>
          <w:lang w:val="es-CO" w:eastAsia="es-CO"/>
        </w:rPr>
      </w:pPr>
      <w:r w:rsidRPr="0096658B">
        <w:rPr>
          <w:rFonts w:ascii="Times New Roman" w:hAnsi="Times New Roman" w:cs="Times New Roman"/>
          <w:i/>
          <w:iCs/>
          <w:color w:val="000000" w:themeColor="text1"/>
          <w:lang w:val="es-CO" w:eastAsia="es-CO"/>
        </w:rPr>
        <w:t xml:space="preserve">Iniciativa legislativa y </w:t>
      </w:r>
      <w:r w:rsidRPr="0096658B">
        <w:rPr>
          <w:rFonts w:ascii="Times New Roman" w:hAnsi="Times New Roman" w:cs="Times New Roman"/>
          <w:i/>
          <w:iCs/>
          <w:color w:val="000000" w:themeColor="text1"/>
          <w:lang w:val="es-CO" w:eastAsia="es-CO"/>
        </w:rPr>
        <w:t>publicaci</w:t>
      </w:r>
      <w:r w:rsidRPr="0096658B">
        <w:rPr>
          <w:rFonts w:ascii="Times New Roman" w:hAnsi="Times New Roman" w:cs="Times New Roman"/>
          <w:i/>
          <w:iCs/>
          <w:color w:val="000000" w:themeColor="text1"/>
          <w:lang w:val="es-CO" w:eastAsia="es-CO"/>
        </w:rPr>
        <w:t>ones</w:t>
      </w:r>
      <w:r w:rsidRPr="0096658B">
        <w:rPr>
          <w:rFonts w:ascii="Times New Roman" w:hAnsi="Times New Roman" w:cs="Times New Roman"/>
          <w:i/>
          <w:iCs/>
          <w:color w:val="000000" w:themeColor="text1"/>
          <w:lang w:val="es-CO" w:eastAsia="es-CO"/>
        </w:rPr>
        <w:t>.</w:t>
      </w:r>
      <w:r w:rsidRPr="0096658B">
        <w:rPr>
          <w:rFonts w:ascii="Times New Roman" w:hAnsi="Times New Roman" w:cs="Times New Roman"/>
          <w:i/>
          <w:iCs/>
          <w:color w:val="000000" w:themeColor="text1"/>
          <w:lang w:val="es-CO" w:eastAsia="es-CO"/>
        </w:rPr>
        <w:t xml:space="preserve"> </w:t>
      </w:r>
      <w:r w:rsidRPr="0096658B">
        <w:rPr>
          <w:rFonts w:ascii="Times New Roman" w:hAnsi="Times New Roman" w:cs="Times New Roman"/>
          <w:color w:val="000000" w:themeColor="text1"/>
          <w:lang w:val="es-CO" w:eastAsia="es-CO"/>
        </w:rPr>
        <w:t>El artículo 157</w:t>
      </w:r>
      <w:r w:rsidRPr="0096658B">
        <w:rPr>
          <w:rFonts w:ascii="Times New Roman" w:hAnsi="Times New Roman" w:cs="Times New Roman"/>
          <w:color w:val="000000" w:themeColor="text1"/>
          <w:lang w:val="es-CO" w:eastAsia="es-CO"/>
        </w:rPr>
        <w:t>.</w:t>
      </w:r>
      <w:r w:rsidRPr="0096658B">
        <w:rPr>
          <w:rFonts w:ascii="Times New Roman" w:hAnsi="Times New Roman" w:cs="Times New Roman"/>
          <w:color w:val="000000" w:themeColor="text1"/>
          <w:lang w:val="es-CO" w:eastAsia="es-CO"/>
        </w:rPr>
        <w:t>1</w:t>
      </w:r>
      <w:r w:rsidRPr="0096658B">
        <w:rPr>
          <w:rFonts w:ascii="Times New Roman" w:hAnsi="Times New Roman" w:cs="Times New Roman"/>
          <w:color w:val="000000" w:themeColor="text1"/>
          <w:lang w:val="es-CO" w:eastAsia="es-CO"/>
        </w:rPr>
        <w:t xml:space="preserve"> de la Constitución</w:t>
      </w:r>
      <w:r w:rsidRPr="0096658B">
        <w:rPr>
          <w:rFonts w:ascii="Times New Roman" w:hAnsi="Times New Roman" w:cs="Times New Roman"/>
          <w:color w:val="000000" w:themeColor="text1"/>
          <w:lang w:val="es-CO" w:eastAsia="es-CO"/>
        </w:rPr>
        <w:t xml:space="preserve"> determina que ningún proyecto será ley sin haber sido publicado oficialmente por el Congreso, antes de darle curso en la comisión respectiva. Igualmente, el artículo 144 de la Ley 5ª de 1992 </w:t>
      </w:r>
      <w:r w:rsidRPr="0096658B">
        <w:rPr>
          <w:rFonts w:ascii="Times New Roman" w:hAnsi="Times New Roman" w:cs="Times New Roman"/>
          <w:color w:val="000000" w:themeColor="text1"/>
          <w:lang w:val="es-CO" w:eastAsia="es-CO"/>
        </w:rPr>
        <w:t xml:space="preserve">instituye </w:t>
      </w:r>
      <w:r w:rsidRPr="0096658B">
        <w:rPr>
          <w:rFonts w:ascii="Times New Roman" w:hAnsi="Times New Roman" w:cs="Times New Roman"/>
          <w:color w:val="000000" w:themeColor="text1"/>
          <w:lang w:val="es-CO" w:eastAsia="es-CO"/>
        </w:rPr>
        <w:t>que</w:t>
      </w:r>
      <w:r w:rsidRPr="0096658B">
        <w:rPr>
          <w:rFonts w:ascii="Times New Roman" w:hAnsi="Times New Roman" w:cs="Times New Roman"/>
          <w:color w:val="000000" w:themeColor="text1"/>
          <w:lang w:val="es-CO" w:eastAsia="es-CO"/>
        </w:rPr>
        <w:t>,</w:t>
      </w:r>
      <w:r w:rsidRPr="0096658B">
        <w:rPr>
          <w:rFonts w:ascii="Times New Roman" w:hAnsi="Times New Roman" w:cs="Times New Roman"/>
          <w:color w:val="000000" w:themeColor="text1"/>
          <w:lang w:val="es-CO" w:eastAsia="es-CO"/>
        </w:rPr>
        <w:t xml:space="preserve"> una vez recibido el proyecto</w:t>
      </w:r>
      <w:r w:rsidRPr="0096658B">
        <w:rPr>
          <w:rFonts w:ascii="Times New Roman" w:hAnsi="Times New Roman" w:cs="Times New Roman"/>
          <w:color w:val="000000" w:themeColor="text1"/>
          <w:lang w:val="es-CO" w:eastAsia="es-CO"/>
        </w:rPr>
        <w:t>,</w:t>
      </w:r>
      <w:r w:rsidRPr="0096658B">
        <w:rPr>
          <w:rFonts w:ascii="Times New Roman" w:hAnsi="Times New Roman" w:cs="Times New Roman"/>
          <w:color w:val="000000" w:themeColor="text1"/>
          <w:lang w:val="es-CO" w:eastAsia="es-CO"/>
        </w:rPr>
        <w:t xml:space="preserve"> </w:t>
      </w:r>
      <w:r w:rsidRPr="0096658B">
        <w:rPr>
          <w:rFonts w:ascii="Times New Roman" w:hAnsi="Times New Roman" w:cs="Times New Roman"/>
          <w:color w:val="000000" w:themeColor="text1"/>
          <w:lang w:val="es-CO" w:eastAsia="es-CO"/>
        </w:rPr>
        <w:t xml:space="preserve">la secretaría de la </w:t>
      </w:r>
      <w:r w:rsidRPr="0096658B">
        <w:rPr>
          <w:rFonts w:ascii="Times New Roman" w:hAnsi="Times New Roman" w:cs="Times New Roman"/>
          <w:color w:val="000000" w:themeColor="text1"/>
          <w:lang w:val="es-CO" w:eastAsia="es-CO"/>
        </w:rPr>
        <w:t xml:space="preserve">cámara de origen </w:t>
      </w:r>
      <w:r w:rsidRPr="0096658B">
        <w:rPr>
          <w:rFonts w:ascii="Times New Roman" w:hAnsi="Times New Roman" w:cs="Times New Roman"/>
          <w:color w:val="000000" w:themeColor="text1"/>
          <w:lang w:val="es-CO" w:eastAsia="es-CO"/>
        </w:rPr>
        <w:t xml:space="preserve">ordenará </w:t>
      </w:r>
      <w:r w:rsidRPr="0096658B">
        <w:rPr>
          <w:rFonts w:ascii="Times New Roman" w:hAnsi="Times New Roman" w:cs="Times New Roman"/>
          <w:color w:val="000000" w:themeColor="text1"/>
          <w:lang w:val="es-CO" w:eastAsia="es-CO"/>
        </w:rPr>
        <w:t xml:space="preserve">su publicación en la Gaceta del Congreso y </w:t>
      </w:r>
      <w:r w:rsidRPr="0096658B">
        <w:rPr>
          <w:rFonts w:ascii="Times New Roman" w:hAnsi="Times New Roman" w:cs="Times New Roman"/>
          <w:color w:val="000000" w:themeColor="text1"/>
          <w:lang w:val="es-CO" w:eastAsia="es-CO"/>
        </w:rPr>
        <w:t xml:space="preserve">el presidente lo </w:t>
      </w:r>
      <w:r w:rsidRPr="0096658B">
        <w:rPr>
          <w:rFonts w:ascii="Times New Roman" w:hAnsi="Times New Roman" w:cs="Times New Roman"/>
          <w:color w:val="000000" w:themeColor="text1"/>
          <w:lang w:val="es-CO" w:eastAsia="es-CO"/>
        </w:rPr>
        <w:t>repartirá a la comisión respectiva.</w:t>
      </w:r>
      <w:r w:rsidRPr="0096658B">
        <w:rPr>
          <w:rFonts w:ascii="Times New Roman" w:hAnsi="Times New Roman" w:cs="Times New Roman"/>
          <w:color w:val="000000" w:themeColor="text1"/>
          <w:lang w:val="es-CO" w:eastAsia="es-CO"/>
        </w:rPr>
        <w:t xml:space="preserve"> La publicación, como lo ha entendido la jurisprudencia constitucional, es un requi</w:t>
      </w:r>
      <w:r w:rsidRPr="0096658B">
        <w:rPr>
          <w:rFonts w:ascii="Times New Roman" w:hAnsi="Times New Roman" w:cs="Times New Roman"/>
          <w:color w:val="000000" w:themeColor="text1"/>
          <w:lang w:val="es-CO" w:eastAsia="es-CO"/>
        </w:rPr>
        <w:t>sito esencial para la racionalidad del trámite legislativo y en el entendido de que solo aquellos asuntos que son puestos en conocimiento de las cámaras de forma completa y oportuna pueden obtener un debate democrático genuino y sustantivo</w:t>
      </w:r>
      <w:r w:rsidRPr="0096658B">
        <w:rPr>
          <w:rStyle w:val="Refdenotaalpie"/>
          <w:rFonts w:ascii="Times New Roman" w:hAnsi="Times New Roman"/>
          <w:color w:val="000000" w:themeColor="text1"/>
          <w:lang w:val="es-CO" w:eastAsia="es-CO"/>
        </w:rPr>
        <w:footnoteReference w:id="20"/>
      </w:r>
      <w:r w:rsidRPr="0096658B">
        <w:rPr>
          <w:rFonts w:ascii="Times New Roman" w:hAnsi="Times New Roman" w:cs="Times New Roman"/>
          <w:color w:val="000000" w:themeColor="text1"/>
          <w:lang w:val="es-CO" w:eastAsia="es-CO"/>
        </w:rPr>
        <w:t>.</w:t>
      </w:r>
      <w:r w:rsidRPr="0096658B">
        <w:rPr>
          <w:rFonts w:ascii="Times New Roman" w:hAnsi="Times New Roman" w:cs="Times New Roman"/>
          <w:color w:val="000000" w:themeColor="text1"/>
          <w:lang w:val="es-CO" w:eastAsia="es-CO"/>
        </w:rPr>
        <w:t xml:space="preserve"> </w:t>
      </w:r>
    </w:p>
    <w:p w:rsidR="007145AB" w:rsidRPr="0096658B" w:rsidRDefault="0096658B" w:rsidP="007145AB">
      <w:pPr>
        <w:pStyle w:val="Prrafodelista"/>
        <w:rPr>
          <w:rFonts w:ascii="Times New Roman" w:hAnsi="Times New Roman" w:cs="Times New Roman"/>
          <w:color w:val="000000" w:themeColor="text1"/>
          <w:lang w:val="es-CO" w:eastAsia="es-CO"/>
        </w:rPr>
      </w:pPr>
    </w:p>
    <w:p w:rsidR="00903D62"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CO" w:eastAsia="es-CO"/>
        </w:rPr>
      </w:pPr>
      <w:r w:rsidRPr="0096658B">
        <w:rPr>
          <w:rFonts w:ascii="Times New Roman" w:hAnsi="Times New Roman" w:cs="Times New Roman"/>
          <w:color w:val="000000" w:themeColor="text1"/>
          <w:lang w:val="es-CO" w:eastAsia="es-CO"/>
        </w:rPr>
        <w:t xml:space="preserve">Igualmente, </w:t>
      </w:r>
      <w:r w:rsidRPr="0096658B">
        <w:rPr>
          <w:rFonts w:ascii="Times New Roman" w:hAnsi="Times New Roman" w:cs="Times New Roman"/>
          <w:color w:val="000000" w:themeColor="text1"/>
          <w:lang w:val="es-CO" w:eastAsia="es-CO"/>
        </w:rPr>
        <w:t>en lo que respecta a la facultad de iniciativa legislativa, el artículo 140 del Reglamento del Congreso agrupa las instancias con autorización constitucional para ello, entre ellas los senadores y representantes a la Cámara</w:t>
      </w:r>
      <w:r w:rsidRPr="0096658B">
        <w:rPr>
          <w:rFonts w:ascii="Times New Roman" w:hAnsi="Times New Roman" w:cs="Times New Roman"/>
          <w:color w:val="000000" w:themeColor="text1"/>
          <w:lang w:val="es-CO" w:eastAsia="es-CO"/>
        </w:rPr>
        <w:t>, de manera individual,</w:t>
      </w:r>
      <w:r w:rsidRPr="0096658B">
        <w:rPr>
          <w:rFonts w:ascii="Times New Roman" w:hAnsi="Times New Roman" w:cs="Times New Roman"/>
          <w:color w:val="000000" w:themeColor="text1"/>
          <w:lang w:val="es-CO" w:eastAsia="es-CO"/>
        </w:rPr>
        <w:t xml:space="preserve"> y a travé</w:t>
      </w:r>
      <w:r w:rsidRPr="0096658B">
        <w:rPr>
          <w:rFonts w:ascii="Times New Roman" w:hAnsi="Times New Roman" w:cs="Times New Roman"/>
          <w:color w:val="000000" w:themeColor="text1"/>
          <w:lang w:val="es-CO" w:eastAsia="es-CO"/>
        </w:rPr>
        <w:t xml:space="preserve">s de </w:t>
      </w:r>
      <w:r w:rsidRPr="0096658B">
        <w:rPr>
          <w:rFonts w:ascii="Times New Roman" w:hAnsi="Times New Roman" w:cs="Times New Roman"/>
          <w:color w:val="000000" w:themeColor="text1"/>
          <w:lang w:val="es-CO" w:eastAsia="es-CO"/>
        </w:rPr>
        <w:t>sus</w:t>
      </w:r>
      <w:r w:rsidRPr="0096658B">
        <w:rPr>
          <w:rFonts w:ascii="Times New Roman" w:hAnsi="Times New Roman" w:cs="Times New Roman"/>
          <w:color w:val="000000" w:themeColor="text1"/>
          <w:lang w:val="es-CO" w:eastAsia="es-CO"/>
        </w:rPr>
        <w:t xml:space="preserve"> bancadas. </w:t>
      </w:r>
      <w:r w:rsidRPr="0096658B">
        <w:rPr>
          <w:rFonts w:ascii="Times New Roman" w:hAnsi="Times New Roman" w:cs="Times New Roman"/>
          <w:color w:val="000000" w:themeColor="text1"/>
          <w:lang w:val="es-CO" w:eastAsia="es-CO"/>
        </w:rPr>
        <w:t xml:space="preserve">Ello en consonancia con lo dispuesto </w:t>
      </w:r>
      <w:r w:rsidRPr="0096658B">
        <w:rPr>
          <w:rFonts w:ascii="Times New Roman" w:hAnsi="Times New Roman" w:cs="Times New Roman"/>
          <w:color w:val="000000" w:themeColor="text1"/>
          <w:lang w:val="es-CO" w:eastAsia="es-CO"/>
        </w:rPr>
        <w:t>por</w:t>
      </w:r>
      <w:r w:rsidRPr="0096658B">
        <w:rPr>
          <w:rFonts w:ascii="Times New Roman" w:hAnsi="Times New Roman" w:cs="Times New Roman"/>
          <w:color w:val="000000" w:themeColor="text1"/>
          <w:lang w:val="es-CO" w:eastAsia="es-CO"/>
        </w:rPr>
        <w:t xml:space="preserve"> el artículo 154 de la Constitución, </w:t>
      </w:r>
      <w:r w:rsidRPr="0096658B">
        <w:rPr>
          <w:rFonts w:ascii="Times New Roman" w:hAnsi="Times New Roman" w:cs="Times New Roman"/>
          <w:color w:val="000000" w:themeColor="text1"/>
          <w:lang w:val="es-CO" w:eastAsia="es-CO"/>
        </w:rPr>
        <w:t xml:space="preserve">según el cual, </w:t>
      </w:r>
      <w:r w:rsidRPr="0096658B">
        <w:rPr>
          <w:rFonts w:ascii="Times New Roman" w:hAnsi="Times New Roman" w:cs="Times New Roman"/>
          <w:color w:val="000000" w:themeColor="text1"/>
          <w:lang w:val="es-CO" w:eastAsia="es-CO"/>
        </w:rPr>
        <w:t xml:space="preserve">las leyes pueden proponerse por los miembros de las cámaras, el Gobierno Nacional y las entidades señaladas en el artículo 156 superior. </w:t>
      </w:r>
    </w:p>
    <w:p w:rsidR="007145AB" w:rsidRPr="0096658B" w:rsidRDefault="0096658B" w:rsidP="007145AB">
      <w:pPr>
        <w:pStyle w:val="Prrafodelista"/>
        <w:rPr>
          <w:rFonts w:ascii="Times New Roman" w:hAnsi="Times New Roman" w:cs="Times New Roman"/>
          <w:color w:val="000000" w:themeColor="text1"/>
          <w:lang w:val="es-CO" w:eastAsia="es-CO"/>
        </w:rPr>
      </w:pPr>
    </w:p>
    <w:p w:rsidR="007145AB"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CO" w:eastAsia="es-CO"/>
        </w:rPr>
      </w:pPr>
      <w:r w:rsidRPr="0096658B">
        <w:rPr>
          <w:rFonts w:ascii="Times New Roman" w:hAnsi="Times New Roman" w:cs="Times New Roman"/>
          <w:color w:val="000000" w:themeColor="text1"/>
          <w:lang w:val="es-CO" w:eastAsia="es-CO"/>
        </w:rPr>
        <w:t>Las co</w:t>
      </w:r>
      <w:r w:rsidRPr="0096658B">
        <w:rPr>
          <w:rFonts w:ascii="Times New Roman" w:hAnsi="Times New Roman" w:cs="Times New Roman"/>
          <w:color w:val="000000" w:themeColor="text1"/>
          <w:lang w:val="es-CO" w:eastAsia="es-CO"/>
        </w:rPr>
        <w:t xml:space="preserve">ndiciones previstas fueron cumplidas en el caso del PLE. En efecto, </w:t>
      </w:r>
      <w:r w:rsidRPr="0096658B">
        <w:rPr>
          <w:rFonts w:ascii="Times New Roman" w:hAnsi="Times New Roman" w:cs="Times New Roman"/>
          <w:color w:val="000000" w:themeColor="text1"/>
          <w:lang w:val="es-CO" w:eastAsia="es-CO"/>
        </w:rPr>
        <w:t xml:space="preserve">el Proyecto de Ley fue presentado por los senadores Angélica Lozano Correa, Fabián Díaz Plata, Ana Carolina Espitia </w:t>
      </w:r>
      <w:r w:rsidRPr="0096658B">
        <w:rPr>
          <w:rFonts w:ascii="Times New Roman" w:hAnsi="Times New Roman" w:cs="Times New Roman"/>
          <w:color w:val="000000" w:themeColor="text1"/>
          <w:lang w:val="es-CO" w:eastAsia="es-CO"/>
        </w:rPr>
        <w:t>Jerez</w:t>
      </w:r>
      <w:r w:rsidRPr="0096658B">
        <w:rPr>
          <w:rFonts w:ascii="Times New Roman" w:hAnsi="Times New Roman" w:cs="Times New Roman"/>
          <w:color w:val="000000" w:themeColor="text1"/>
          <w:lang w:val="es-CO" w:eastAsia="es-CO"/>
        </w:rPr>
        <w:t>,</w:t>
      </w:r>
      <w:r w:rsidRPr="0096658B">
        <w:rPr>
          <w:rFonts w:ascii="Times New Roman" w:hAnsi="Times New Roman" w:cs="Times New Roman"/>
          <w:color w:val="000000" w:themeColor="text1"/>
          <w:lang w:val="es-CO" w:eastAsia="es-CO"/>
        </w:rPr>
        <w:t xml:space="preserve"> Iván Leonidas Name Vásquez</w:t>
      </w:r>
      <w:r w:rsidRPr="0096658B">
        <w:rPr>
          <w:rFonts w:ascii="Times New Roman" w:hAnsi="Times New Roman" w:cs="Times New Roman"/>
          <w:color w:val="000000" w:themeColor="text1"/>
          <w:lang w:val="es-CO" w:eastAsia="es-CO"/>
        </w:rPr>
        <w:t xml:space="preserve"> y Nadya Blel Scaff, </w:t>
      </w:r>
      <w:r w:rsidRPr="0096658B">
        <w:rPr>
          <w:rFonts w:ascii="Times New Roman" w:hAnsi="Times New Roman" w:cs="Times New Roman"/>
          <w:color w:val="000000" w:themeColor="text1"/>
          <w:lang w:val="es-CO" w:eastAsia="es-CO"/>
        </w:rPr>
        <w:t xml:space="preserve">y los representantes a la Cámara Catherine Juvinao Clavijo, Duvalier Sánchez Arango, Jennifer Pedraza, Carolina Giraldo Botero, Juan Diego Muñoz Cabrera, Daniel Carvalho Mejía, Elkin Rodolfo Ospina Ospina, </w:t>
      </w:r>
      <w:r w:rsidRPr="0096658B">
        <w:rPr>
          <w:rFonts w:ascii="Times New Roman" w:hAnsi="Times New Roman" w:cs="Times New Roman"/>
          <w:color w:val="000000" w:themeColor="text1"/>
          <w:lang w:val="es-CO" w:eastAsia="es-CO"/>
        </w:rPr>
        <w:t>Jaime Raúl Salamanca Torres, Santiago Osorio Marín</w:t>
      </w:r>
      <w:r w:rsidRPr="0096658B">
        <w:rPr>
          <w:rFonts w:ascii="Times New Roman" w:hAnsi="Times New Roman" w:cs="Times New Roman"/>
          <w:color w:val="000000" w:themeColor="text1"/>
          <w:lang w:val="es-CO" w:eastAsia="es-CO"/>
        </w:rPr>
        <w:t>, Alejandro García Ríos, Cristian Danilo Avendaño Fino y Juan Sebastián Gómez González</w:t>
      </w:r>
      <w:r w:rsidRPr="0096658B">
        <w:rPr>
          <w:rFonts w:ascii="Times New Roman" w:hAnsi="Times New Roman" w:cs="Times New Roman"/>
          <w:color w:val="000000" w:themeColor="text1"/>
          <w:lang w:val="es-CO" w:eastAsia="es-CO"/>
        </w:rPr>
        <w:t>. El texto de la iniciativa y su exposición de motivos fueron publicados en la Gaceta del Congreso 898 del 9 de agosto de 2022</w:t>
      </w:r>
      <w:r w:rsidRPr="0096658B">
        <w:rPr>
          <w:rStyle w:val="Refdenotaalpie"/>
          <w:rFonts w:ascii="Times New Roman" w:hAnsi="Times New Roman"/>
          <w:color w:val="000000" w:themeColor="text1"/>
          <w:lang w:val="es-CO" w:eastAsia="es-CO"/>
        </w:rPr>
        <w:footnoteReference w:id="21"/>
      </w:r>
      <w:r w:rsidRPr="0096658B">
        <w:rPr>
          <w:rFonts w:ascii="Times New Roman" w:hAnsi="Times New Roman" w:cs="Times New Roman"/>
          <w:color w:val="000000" w:themeColor="text1"/>
          <w:lang w:val="es-CO" w:eastAsia="es-CO"/>
        </w:rPr>
        <w:t>.</w:t>
      </w:r>
    </w:p>
    <w:p w:rsidR="00A422C2" w:rsidRPr="0096658B" w:rsidRDefault="0096658B" w:rsidP="00A422C2">
      <w:pPr>
        <w:pStyle w:val="Prrafodelista"/>
        <w:rPr>
          <w:rFonts w:ascii="Times New Roman" w:hAnsi="Times New Roman" w:cs="Times New Roman"/>
          <w:color w:val="000000" w:themeColor="text1"/>
          <w:lang w:val="es-CO" w:eastAsia="es-CO"/>
        </w:rPr>
      </w:pPr>
    </w:p>
    <w:p w:rsidR="00A422C2"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CO" w:eastAsia="es-CO"/>
        </w:rPr>
      </w:pPr>
      <w:r w:rsidRPr="0096658B">
        <w:rPr>
          <w:rFonts w:ascii="Times New Roman" w:hAnsi="Times New Roman" w:cs="Times New Roman"/>
          <w:color w:val="000000" w:themeColor="text1"/>
          <w:lang w:val="es-CO" w:eastAsia="es-CO"/>
        </w:rPr>
        <w:t>Asimismo, la Corte verifica que se cumpl</w:t>
      </w:r>
      <w:r w:rsidRPr="0096658B">
        <w:rPr>
          <w:rFonts w:ascii="Times New Roman" w:hAnsi="Times New Roman" w:cs="Times New Roman"/>
          <w:color w:val="000000" w:themeColor="text1"/>
          <w:lang w:val="es-CO" w:eastAsia="es-CO"/>
        </w:rPr>
        <w:t>ió el requisito de publicación previa</w:t>
      </w:r>
      <w:r w:rsidRPr="0096658B">
        <w:rPr>
          <w:rFonts w:ascii="Times New Roman" w:hAnsi="Times New Roman" w:cs="Times New Roman"/>
          <w:color w:val="000000" w:themeColor="text1"/>
          <w:lang w:val="es-CO" w:eastAsia="es-CO"/>
        </w:rPr>
        <w:t xml:space="preserve"> de los informes de ponencia en c</w:t>
      </w:r>
      <w:r w:rsidRPr="0096658B">
        <w:rPr>
          <w:rFonts w:ascii="Times New Roman" w:hAnsi="Times New Roman" w:cs="Times New Roman"/>
          <w:color w:val="000000" w:themeColor="text1"/>
          <w:lang w:val="es-CO" w:eastAsia="es-CO"/>
        </w:rPr>
        <w:t>ada uno de los debates en comisiones y en plenarias, como se explica en el siguiente cuadro:</w:t>
      </w:r>
    </w:p>
    <w:p w:rsidR="00A422C2" w:rsidRPr="0096658B" w:rsidRDefault="0096658B" w:rsidP="00A422C2">
      <w:pPr>
        <w:rPr>
          <w:rFonts w:ascii="Times New Roman" w:hAnsi="Times New Roman" w:cs="Times New Roman"/>
          <w:color w:val="000000" w:themeColor="text1"/>
          <w:sz w:val="28"/>
        </w:rPr>
      </w:pPr>
    </w:p>
    <w:tbl>
      <w:tblPr>
        <w:tblStyle w:val="Tablaconcuadrcula"/>
        <w:tblW w:w="0" w:type="auto"/>
        <w:tblLook w:val="04A0" w:firstRow="1" w:lastRow="0" w:firstColumn="1" w:lastColumn="0" w:noHBand="0" w:noVBand="1"/>
      </w:tblPr>
      <w:tblGrid>
        <w:gridCol w:w="2942"/>
        <w:gridCol w:w="2943"/>
        <w:gridCol w:w="2943"/>
      </w:tblGrid>
      <w:tr w:rsidR="009F6B08" w:rsidRPr="0096658B" w:rsidTr="00337A19">
        <w:tc>
          <w:tcPr>
            <w:tcW w:w="2942" w:type="dxa"/>
            <w:shd w:val="clear" w:color="auto" w:fill="BFBFBF" w:themeFill="background1" w:themeFillShade="BF"/>
          </w:tcPr>
          <w:p w:rsidR="004854CF" w:rsidRPr="0096658B" w:rsidRDefault="0096658B" w:rsidP="00337A19">
            <w:pPr>
              <w:jc w:val="center"/>
              <w:rPr>
                <w:rFonts w:ascii="Times New Roman" w:hAnsi="Times New Roman" w:cs="Times New Roman"/>
                <w:b/>
                <w:bCs/>
                <w:color w:val="000000" w:themeColor="text1"/>
                <w:sz w:val="28"/>
              </w:rPr>
            </w:pPr>
            <w:r w:rsidRPr="0096658B">
              <w:rPr>
                <w:rFonts w:ascii="Times New Roman" w:hAnsi="Times New Roman" w:cs="Times New Roman"/>
                <w:b/>
                <w:bCs/>
                <w:color w:val="000000" w:themeColor="text1"/>
                <w:sz w:val="28"/>
              </w:rPr>
              <w:t xml:space="preserve">Informe de </w:t>
            </w:r>
            <w:r w:rsidRPr="0096658B">
              <w:rPr>
                <w:rFonts w:ascii="Times New Roman" w:hAnsi="Times New Roman" w:cs="Times New Roman"/>
                <w:b/>
                <w:bCs/>
                <w:color w:val="000000" w:themeColor="text1"/>
                <w:sz w:val="28"/>
              </w:rPr>
              <w:t>Ponencia</w:t>
            </w:r>
          </w:p>
        </w:tc>
        <w:tc>
          <w:tcPr>
            <w:tcW w:w="2943" w:type="dxa"/>
            <w:shd w:val="clear" w:color="auto" w:fill="BFBFBF" w:themeFill="background1" w:themeFillShade="BF"/>
          </w:tcPr>
          <w:p w:rsidR="004854CF" w:rsidRPr="0096658B" w:rsidRDefault="0096658B" w:rsidP="00337A19">
            <w:pPr>
              <w:jc w:val="center"/>
              <w:rPr>
                <w:rFonts w:ascii="Times New Roman" w:hAnsi="Times New Roman" w:cs="Times New Roman"/>
                <w:b/>
                <w:bCs/>
                <w:color w:val="000000" w:themeColor="text1"/>
                <w:sz w:val="28"/>
              </w:rPr>
            </w:pPr>
            <w:r w:rsidRPr="0096658B">
              <w:rPr>
                <w:rFonts w:ascii="Times New Roman" w:hAnsi="Times New Roman" w:cs="Times New Roman"/>
                <w:b/>
                <w:bCs/>
                <w:color w:val="000000" w:themeColor="text1"/>
                <w:sz w:val="28"/>
              </w:rPr>
              <w:t>Publicación</w:t>
            </w:r>
          </w:p>
        </w:tc>
        <w:tc>
          <w:tcPr>
            <w:tcW w:w="2943" w:type="dxa"/>
            <w:shd w:val="clear" w:color="auto" w:fill="BFBFBF" w:themeFill="background1" w:themeFillShade="BF"/>
          </w:tcPr>
          <w:p w:rsidR="004854CF" w:rsidRPr="0096658B" w:rsidRDefault="0096658B" w:rsidP="00337A19">
            <w:pPr>
              <w:jc w:val="center"/>
              <w:rPr>
                <w:rFonts w:ascii="Times New Roman" w:hAnsi="Times New Roman" w:cs="Times New Roman"/>
                <w:b/>
                <w:bCs/>
                <w:color w:val="000000" w:themeColor="text1"/>
                <w:sz w:val="28"/>
              </w:rPr>
            </w:pPr>
            <w:r w:rsidRPr="0096658B">
              <w:rPr>
                <w:rFonts w:ascii="Times New Roman" w:hAnsi="Times New Roman" w:cs="Times New Roman"/>
                <w:b/>
                <w:bCs/>
                <w:color w:val="000000" w:themeColor="text1"/>
                <w:sz w:val="28"/>
              </w:rPr>
              <w:t>Discusión y votación</w:t>
            </w:r>
          </w:p>
        </w:tc>
      </w:tr>
      <w:tr w:rsidR="009F6B08" w:rsidRPr="0096658B" w:rsidTr="00337A19">
        <w:tc>
          <w:tcPr>
            <w:tcW w:w="2942" w:type="dxa"/>
          </w:tcPr>
          <w:p w:rsidR="004854CF" w:rsidRPr="0096658B" w:rsidRDefault="0096658B" w:rsidP="00337A19">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 xml:space="preserve">Primer debate en la Comisión Primera del Senado </w:t>
            </w:r>
          </w:p>
        </w:tc>
        <w:tc>
          <w:tcPr>
            <w:tcW w:w="2943" w:type="dxa"/>
            <w:vAlign w:val="center"/>
          </w:tcPr>
          <w:p w:rsidR="004854CF" w:rsidRPr="0096658B" w:rsidRDefault="0096658B" w:rsidP="00337A19">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Gaceta 1054  del 9 de septiembre de 2022, pp. 1-4</w:t>
            </w:r>
          </w:p>
        </w:tc>
        <w:tc>
          <w:tcPr>
            <w:tcW w:w="2943" w:type="dxa"/>
            <w:vAlign w:val="center"/>
          </w:tcPr>
          <w:p w:rsidR="004854CF" w:rsidRPr="0096658B" w:rsidRDefault="0096658B" w:rsidP="00337A19">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25 de octubre de 2022</w:t>
            </w:r>
          </w:p>
        </w:tc>
      </w:tr>
      <w:tr w:rsidR="009F6B08" w:rsidRPr="0096658B" w:rsidTr="00337A19">
        <w:tc>
          <w:tcPr>
            <w:tcW w:w="2942" w:type="dxa"/>
          </w:tcPr>
          <w:p w:rsidR="004854CF" w:rsidRPr="0096658B" w:rsidRDefault="0096658B" w:rsidP="00337A19">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Segundo debate en la plenaria del Senado</w:t>
            </w:r>
          </w:p>
        </w:tc>
        <w:tc>
          <w:tcPr>
            <w:tcW w:w="2943" w:type="dxa"/>
            <w:vAlign w:val="center"/>
          </w:tcPr>
          <w:p w:rsidR="004854CF" w:rsidRPr="0096658B" w:rsidRDefault="0096658B" w:rsidP="00337A19">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 xml:space="preserve">Gaceta 1377 del </w:t>
            </w:r>
            <w:r w:rsidRPr="0096658B">
              <w:rPr>
                <w:rFonts w:ascii="Times New Roman" w:hAnsi="Times New Roman" w:cs="Times New Roman"/>
                <w:color w:val="000000" w:themeColor="text1"/>
                <w:sz w:val="28"/>
              </w:rPr>
              <w:t>4 de noviembre de 2022, pp. 1-6</w:t>
            </w:r>
          </w:p>
        </w:tc>
        <w:tc>
          <w:tcPr>
            <w:tcW w:w="2943" w:type="dxa"/>
            <w:vAlign w:val="center"/>
          </w:tcPr>
          <w:p w:rsidR="004854CF" w:rsidRPr="0096658B" w:rsidRDefault="0096658B" w:rsidP="00337A19">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14 de diciembre de 2022</w:t>
            </w:r>
          </w:p>
        </w:tc>
      </w:tr>
      <w:tr w:rsidR="009F6B08" w:rsidRPr="0096658B" w:rsidTr="00337A19">
        <w:tc>
          <w:tcPr>
            <w:tcW w:w="2942" w:type="dxa"/>
          </w:tcPr>
          <w:p w:rsidR="004854CF" w:rsidRPr="0096658B" w:rsidRDefault="0096658B" w:rsidP="00337A19">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 xml:space="preserve">Primer debate en la </w:t>
            </w:r>
            <w:r w:rsidRPr="0096658B">
              <w:rPr>
                <w:rFonts w:ascii="Times New Roman" w:hAnsi="Times New Roman" w:cs="Times New Roman"/>
                <w:color w:val="000000" w:themeColor="text1"/>
                <w:sz w:val="28"/>
              </w:rPr>
              <w:t>Comisión Primera de la Cámara</w:t>
            </w:r>
          </w:p>
        </w:tc>
        <w:tc>
          <w:tcPr>
            <w:tcW w:w="2943" w:type="dxa"/>
            <w:vAlign w:val="center"/>
          </w:tcPr>
          <w:p w:rsidR="004854CF" w:rsidRPr="0096658B" w:rsidRDefault="0096658B" w:rsidP="00337A19">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 xml:space="preserve">Gaceta 384 del </w:t>
            </w:r>
            <w:r w:rsidRPr="0096658B">
              <w:rPr>
                <w:rFonts w:ascii="Times New Roman" w:hAnsi="Times New Roman" w:cs="Times New Roman"/>
                <w:color w:val="000000" w:themeColor="text1"/>
                <w:sz w:val="28"/>
              </w:rPr>
              <w:t>26 de abril de 2023</w:t>
            </w:r>
            <w:r w:rsidRPr="0096658B">
              <w:rPr>
                <w:rFonts w:ascii="Times New Roman" w:hAnsi="Times New Roman" w:cs="Times New Roman"/>
                <w:color w:val="000000" w:themeColor="text1"/>
                <w:sz w:val="28"/>
              </w:rPr>
              <w:t>, pp. 29-</w:t>
            </w:r>
            <w:r w:rsidRPr="0096658B">
              <w:rPr>
                <w:rFonts w:ascii="Times New Roman" w:hAnsi="Times New Roman" w:cs="Times New Roman"/>
                <w:color w:val="000000" w:themeColor="text1"/>
                <w:sz w:val="28"/>
              </w:rPr>
              <w:t>37</w:t>
            </w:r>
          </w:p>
        </w:tc>
        <w:tc>
          <w:tcPr>
            <w:tcW w:w="2943" w:type="dxa"/>
            <w:vAlign w:val="center"/>
          </w:tcPr>
          <w:p w:rsidR="004854CF" w:rsidRPr="0096658B" w:rsidRDefault="0096658B" w:rsidP="00337A19">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10 de mayo de 2023</w:t>
            </w:r>
          </w:p>
        </w:tc>
      </w:tr>
      <w:tr w:rsidR="009F6B08" w:rsidRPr="0096658B" w:rsidTr="00337A19">
        <w:tc>
          <w:tcPr>
            <w:tcW w:w="2942" w:type="dxa"/>
          </w:tcPr>
          <w:p w:rsidR="004854CF" w:rsidRPr="0096658B" w:rsidRDefault="0096658B" w:rsidP="00337A19">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Segundo debate en la plenaria de la Cámara</w:t>
            </w:r>
          </w:p>
        </w:tc>
        <w:tc>
          <w:tcPr>
            <w:tcW w:w="2943" w:type="dxa"/>
            <w:vAlign w:val="center"/>
          </w:tcPr>
          <w:p w:rsidR="004854CF" w:rsidRPr="0096658B" w:rsidRDefault="0096658B" w:rsidP="00337A19">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 xml:space="preserve">Gaceta </w:t>
            </w:r>
            <w:r w:rsidRPr="0096658B">
              <w:rPr>
                <w:rFonts w:ascii="Times New Roman" w:hAnsi="Times New Roman" w:cs="Times New Roman"/>
                <w:color w:val="000000" w:themeColor="text1"/>
                <w:sz w:val="28"/>
              </w:rPr>
              <w:t>547 del 26 de mayo de 2023</w:t>
            </w:r>
            <w:r w:rsidRPr="0096658B">
              <w:rPr>
                <w:rFonts w:ascii="Times New Roman" w:hAnsi="Times New Roman" w:cs="Times New Roman"/>
                <w:color w:val="000000" w:themeColor="text1"/>
                <w:sz w:val="28"/>
              </w:rPr>
              <w:t>, pp. 16-27</w:t>
            </w:r>
          </w:p>
        </w:tc>
        <w:tc>
          <w:tcPr>
            <w:tcW w:w="2943" w:type="dxa"/>
            <w:vAlign w:val="center"/>
          </w:tcPr>
          <w:p w:rsidR="004854CF" w:rsidRPr="0096658B" w:rsidRDefault="0096658B" w:rsidP="00337A19">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15 de junio de 2023</w:t>
            </w:r>
          </w:p>
        </w:tc>
      </w:tr>
      <w:tr w:rsidR="009F6B08" w:rsidRPr="0096658B" w:rsidTr="00337A19">
        <w:tc>
          <w:tcPr>
            <w:tcW w:w="2942" w:type="dxa"/>
          </w:tcPr>
          <w:p w:rsidR="004854CF" w:rsidRPr="0096658B" w:rsidRDefault="0096658B" w:rsidP="00337A19">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Informe de conciliación para plenaria del Senado</w:t>
            </w:r>
          </w:p>
        </w:tc>
        <w:tc>
          <w:tcPr>
            <w:tcW w:w="2943" w:type="dxa"/>
            <w:vAlign w:val="center"/>
          </w:tcPr>
          <w:p w:rsidR="004854CF" w:rsidRPr="0096658B" w:rsidRDefault="0096658B" w:rsidP="00337A19">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Gaceta 742 del 16 de junio de 2023, pp. 1-8</w:t>
            </w:r>
          </w:p>
        </w:tc>
        <w:tc>
          <w:tcPr>
            <w:tcW w:w="2943" w:type="dxa"/>
            <w:vAlign w:val="center"/>
          </w:tcPr>
          <w:p w:rsidR="004854CF" w:rsidRPr="0096658B" w:rsidRDefault="0096658B" w:rsidP="00337A19">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19 de junio de 2023</w:t>
            </w:r>
          </w:p>
        </w:tc>
      </w:tr>
      <w:tr w:rsidR="00202929" w:rsidRPr="0096658B" w:rsidTr="00202929">
        <w:tc>
          <w:tcPr>
            <w:tcW w:w="2942" w:type="dxa"/>
          </w:tcPr>
          <w:p w:rsidR="004764DE" w:rsidRPr="0096658B" w:rsidRDefault="0096658B" w:rsidP="00337A19">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Informe de conciliación para plenaria de la Cámara</w:t>
            </w:r>
          </w:p>
        </w:tc>
        <w:tc>
          <w:tcPr>
            <w:tcW w:w="2943" w:type="dxa"/>
            <w:vAlign w:val="center"/>
          </w:tcPr>
          <w:p w:rsidR="004764DE" w:rsidRPr="0096658B" w:rsidRDefault="0096658B" w:rsidP="00337A19">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Gaceta 751 del 16 de junio de 2023, pp. 1-7</w:t>
            </w:r>
          </w:p>
        </w:tc>
        <w:tc>
          <w:tcPr>
            <w:tcW w:w="2943" w:type="dxa"/>
            <w:vAlign w:val="center"/>
          </w:tcPr>
          <w:p w:rsidR="004764DE" w:rsidRPr="0096658B" w:rsidRDefault="0096658B" w:rsidP="00337A19">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19 de junio de 2023</w:t>
            </w:r>
          </w:p>
        </w:tc>
      </w:tr>
    </w:tbl>
    <w:p w:rsidR="00A422C2" w:rsidRPr="0096658B" w:rsidRDefault="0096658B" w:rsidP="00A422C2">
      <w:pPr>
        <w:rPr>
          <w:rFonts w:ascii="Times New Roman" w:hAnsi="Times New Roman" w:cs="Times New Roman"/>
          <w:color w:val="000000" w:themeColor="text1"/>
          <w:sz w:val="28"/>
        </w:rPr>
      </w:pPr>
    </w:p>
    <w:p w:rsidR="00A422C2" w:rsidRPr="0096658B" w:rsidRDefault="0096658B" w:rsidP="00337A19">
      <w:pPr>
        <w:pStyle w:val="Prrafodelista"/>
        <w:widowControl w:val="0"/>
        <w:numPr>
          <w:ilvl w:val="0"/>
          <w:numId w:val="5"/>
        </w:numPr>
        <w:shd w:val="clear" w:color="auto" w:fill="FFFFFF"/>
        <w:tabs>
          <w:tab w:val="left" w:pos="0"/>
        </w:tabs>
        <w:autoSpaceDE w:val="0"/>
        <w:autoSpaceDN w:val="0"/>
        <w:adjustRightInd w:val="0"/>
        <w:ind w:left="0" w:firstLine="0"/>
        <w:jc w:val="both"/>
        <w:rPr>
          <w:rFonts w:ascii="Times New Roman" w:hAnsi="Times New Roman" w:cs="Times New Roman"/>
          <w:color w:val="000000" w:themeColor="text1"/>
          <w:lang w:val="es-CO" w:eastAsia="es-CO"/>
        </w:rPr>
      </w:pPr>
      <w:r w:rsidRPr="0096658B">
        <w:rPr>
          <w:rFonts w:ascii="Times New Roman" w:hAnsi="Times New Roman" w:cs="Times New Roman"/>
          <w:i/>
          <w:iCs/>
          <w:color w:val="000000" w:themeColor="text1"/>
          <w:lang w:val="es-CO" w:eastAsia="es-CO"/>
        </w:rPr>
        <w:t xml:space="preserve">Anuncio previo a la votación. </w:t>
      </w:r>
      <w:r w:rsidRPr="0096658B">
        <w:rPr>
          <w:rFonts w:ascii="Times New Roman" w:hAnsi="Times New Roman" w:cs="Times New Roman"/>
          <w:color w:val="000000" w:themeColor="text1"/>
          <w:lang w:val="es-CO" w:eastAsia="es-CO"/>
        </w:rPr>
        <w:t xml:space="preserve">El artículo 160 de la Constitución establece, entre otras condiciones del trámite legislativo, que ningún proyecto de ley será sometido a votación en sesión diferente a aquella en que previamente se haya anunciado. Este anuncio lo realizará la presidencia </w:t>
      </w:r>
      <w:r w:rsidRPr="0096658B">
        <w:rPr>
          <w:rFonts w:ascii="Times New Roman" w:hAnsi="Times New Roman" w:cs="Times New Roman"/>
          <w:color w:val="000000" w:themeColor="text1"/>
          <w:lang w:val="es-CO" w:eastAsia="es-CO"/>
        </w:rPr>
        <w:t xml:space="preserve">de cada cámara o comisión </w:t>
      </w:r>
      <w:r w:rsidRPr="0096658B">
        <w:rPr>
          <w:rFonts w:ascii="Times New Roman" w:hAnsi="Times New Roman" w:cs="Times New Roman"/>
          <w:color w:val="000000" w:themeColor="text1"/>
          <w:lang w:val="es-CO" w:eastAsia="es-CO"/>
        </w:rPr>
        <w:t xml:space="preserve">en sesión distinta de aquella en que se realizará la votación. </w:t>
      </w:r>
    </w:p>
    <w:p w:rsidR="006B169D" w:rsidRPr="0096658B" w:rsidRDefault="0096658B" w:rsidP="006B169D">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color w:val="000000" w:themeColor="text1"/>
          <w:lang w:val="es-CO" w:eastAsia="es-CO"/>
        </w:rPr>
      </w:pPr>
    </w:p>
    <w:p w:rsidR="006B169D" w:rsidRPr="0096658B" w:rsidRDefault="0096658B" w:rsidP="00337A19">
      <w:pPr>
        <w:pStyle w:val="Prrafodelista"/>
        <w:widowControl w:val="0"/>
        <w:numPr>
          <w:ilvl w:val="0"/>
          <w:numId w:val="5"/>
        </w:numPr>
        <w:shd w:val="clear" w:color="auto" w:fill="FFFFFF"/>
        <w:tabs>
          <w:tab w:val="left" w:pos="0"/>
        </w:tabs>
        <w:autoSpaceDE w:val="0"/>
        <w:autoSpaceDN w:val="0"/>
        <w:adjustRightInd w:val="0"/>
        <w:ind w:left="0" w:firstLine="0"/>
        <w:jc w:val="both"/>
        <w:rPr>
          <w:rFonts w:ascii="Times New Roman" w:hAnsi="Times New Roman" w:cs="Times New Roman"/>
          <w:color w:val="000000" w:themeColor="text1"/>
          <w:lang w:val="es-CO" w:eastAsia="es-CO"/>
        </w:rPr>
      </w:pPr>
      <w:r w:rsidRPr="0096658B">
        <w:rPr>
          <w:rFonts w:ascii="Times New Roman" w:hAnsi="Times New Roman" w:cs="Times New Roman"/>
          <w:color w:val="000000" w:themeColor="text1"/>
          <w:lang w:val="es-CO" w:eastAsia="es-CO"/>
        </w:rPr>
        <w:t>El requisito de anuncio previo también está vinculado con la racionalidad en la deliberación democrática</w:t>
      </w:r>
      <w:r w:rsidRPr="0096658B">
        <w:rPr>
          <w:rFonts w:ascii="Times New Roman" w:hAnsi="Times New Roman" w:cs="Times New Roman"/>
          <w:color w:val="000000" w:themeColor="text1"/>
          <w:lang w:val="es-CO" w:eastAsia="es-CO"/>
        </w:rPr>
        <w:t xml:space="preserve">, en la medida en que </w:t>
      </w:r>
      <w:r w:rsidRPr="0096658B">
        <w:rPr>
          <w:rFonts w:ascii="Times New Roman" w:hAnsi="Times New Roman" w:cs="Times New Roman"/>
          <w:color w:val="000000" w:themeColor="text1"/>
          <w:lang w:val="es-CO" w:eastAsia="es-CO"/>
        </w:rPr>
        <w:t>evita</w:t>
      </w:r>
      <w:r w:rsidRPr="0096658B">
        <w:rPr>
          <w:rFonts w:ascii="Times New Roman" w:hAnsi="Times New Roman" w:cs="Times New Roman"/>
          <w:color w:val="000000" w:themeColor="text1"/>
          <w:lang w:val="es-CO" w:eastAsia="es-CO"/>
        </w:rPr>
        <w:t xml:space="preserve"> que los congresistas sean sorprendidos con la votación de iniciativas sin que medie el debido aviso y antelación</w:t>
      </w:r>
      <w:r w:rsidRPr="0096658B">
        <w:rPr>
          <w:rStyle w:val="Refdenotaalpie"/>
          <w:rFonts w:ascii="Times New Roman" w:hAnsi="Times New Roman"/>
          <w:color w:val="000000" w:themeColor="text1"/>
          <w:lang w:val="es-CO" w:eastAsia="es-CO"/>
        </w:rPr>
        <w:footnoteReference w:id="22"/>
      </w:r>
      <w:r w:rsidRPr="0096658B">
        <w:rPr>
          <w:rFonts w:ascii="Times New Roman" w:hAnsi="Times New Roman" w:cs="Times New Roman"/>
          <w:color w:val="000000" w:themeColor="text1"/>
          <w:lang w:val="es-CO" w:eastAsia="es-CO"/>
        </w:rPr>
        <w:t>. El anuncio, en términos de la jurisprudencia, “</w:t>
      </w:r>
      <w:r w:rsidRPr="0096658B">
        <w:rPr>
          <w:rFonts w:ascii="Times New Roman" w:hAnsi="Times New Roman" w:cs="Times New Roman"/>
          <w:iCs/>
          <w:color w:val="000000" w:themeColor="text1"/>
        </w:rPr>
        <w:t>asegura que los parlamentarios y la comunidad política en general conozcan con la debida ante</w:t>
      </w:r>
      <w:r w:rsidRPr="0096658B">
        <w:rPr>
          <w:rFonts w:ascii="Times New Roman" w:hAnsi="Times New Roman" w:cs="Times New Roman"/>
          <w:iCs/>
          <w:color w:val="000000" w:themeColor="text1"/>
        </w:rPr>
        <w:t xml:space="preserve">lación, la fecha en la cual un proyecto de ley se someterá a discusión y votación en cada célula legislativa. Ello no sólo favorece el control político y el seguimiento ciudadano a los proyectos de ley, sino que </w:t>
      </w:r>
      <w:r w:rsidRPr="0096658B">
        <w:rPr>
          <w:rFonts w:ascii="Times New Roman" w:hAnsi="Times New Roman" w:cs="Times New Roman"/>
          <w:color w:val="000000" w:themeColor="text1"/>
        </w:rPr>
        <w:t>afianza y profundiza el principio democrátic</w:t>
      </w:r>
      <w:r w:rsidRPr="0096658B">
        <w:rPr>
          <w:rFonts w:ascii="Times New Roman" w:hAnsi="Times New Roman" w:cs="Times New Roman"/>
          <w:color w:val="000000" w:themeColor="text1"/>
        </w:rPr>
        <w:t xml:space="preserve">o, el respeto por las minorías parlamentarias, </w:t>
      </w:r>
      <w:r w:rsidRPr="0096658B">
        <w:rPr>
          <w:rFonts w:ascii="Times New Roman" w:hAnsi="Times New Roman" w:cs="Times New Roman"/>
          <w:color w:val="000000" w:themeColor="text1"/>
        </w:rPr>
        <w:t xml:space="preserve">así como </w:t>
      </w:r>
      <w:r w:rsidRPr="0096658B">
        <w:rPr>
          <w:rFonts w:ascii="Times New Roman" w:hAnsi="Times New Roman" w:cs="Times New Roman"/>
          <w:color w:val="000000" w:themeColor="text1"/>
        </w:rPr>
        <w:t xml:space="preserve">la publicidad y </w:t>
      </w:r>
      <w:r w:rsidRPr="0096658B">
        <w:rPr>
          <w:rFonts w:ascii="Times New Roman" w:hAnsi="Times New Roman" w:cs="Times New Roman"/>
          <w:color w:val="000000" w:themeColor="text1"/>
        </w:rPr>
        <w:t xml:space="preserve">la </w:t>
      </w:r>
      <w:r w:rsidRPr="0096658B">
        <w:rPr>
          <w:rFonts w:ascii="Times New Roman" w:hAnsi="Times New Roman" w:cs="Times New Roman"/>
          <w:color w:val="000000" w:themeColor="text1"/>
        </w:rPr>
        <w:t>transparencia del proceso legislativo”</w:t>
      </w:r>
      <w:r w:rsidRPr="0096658B">
        <w:rPr>
          <w:rStyle w:val="Refdenotaalpie"/>
          <w:rFonts w:ascii="Times New Roman" w:hAnsi="Times New Roman"/>
          <w:color w:val="000000" w:themeColor="text1"/>
        </w:rPr>
        <w:footnoteReference w:id="23"/>
      </w:r>
      <w:r w:rsidRPr="0096658B">
        <w:rPr>
          <w:rFonts w:ascii="Times New Roman" w:hAnsi="Times New Roman" w:cs="Times New Roman"/>
          <w:color w:val="000000" w:themeColor="text1"/>
        </w:rPr>
        <w:t>.</w:t>
      </w:r>
    </w:p>
    <w:p w:rsidR="008F59B1" w:rsidRPr="0096658B" w:rsidRDefault="0096658B" w:rsidP="008F59B1">
      <w:pPr>
        <w:pStyle w:val="Prrafodelista"/>
        <w:rPr>
          <w:rFonts w:ascii="Times New Roman" w:hAnsi="Times New Roman" w:cs="Times New Roman"/>
          <w:color w:val="000000" w:themeColor="text1"/>
          <w:lang w:val="es-CO" w:eastAsia="es-CO"/>
        </w:rPr>
      </w:pPr>
    </w:p>
    <w:p w:rsidR="008F59B1" w:rsidRPr="0096658B" w:rsidRDefault="0096658B" w:rsidP="00337A19">
      <w:pPr>
        <w:pStyle w:val="Prrafodelista"/>
        <w:widowControl w:val="0"/>
        <w:numPr>
          <w:ilvl w:val="0"/>
          <w:numId w:val="5"/>
        </w:numPr>
        <w:shd w:val="clear" w:color="auto" w:fill="FFFFFF"/>
        <w:tabs>
          <w:tab w:val="left" w:pos="0"/>
        </w:tabs>
        <w:autoSpaceDE w:val="0"/>
        <w:autoSpaceDN w:val="0"/>
        <w:adjustRightInd w:val="0"/>
        <w:ind w:left="0" w:firstLine="0"/>
        <w:jc w:val="both"/>
        <w:rPr>
          <w:rFonts w:ascii="Times New Roman" w:hAnsi="Times New Roman" w:cs="Times New Roman"/>
          <w:color w:val="000000" w:themeColor="text1"/>
          <w:lang w:val="es-CO" w:eastAsia="es-CO"/>
        </w:rPr>
      </w:pPr>
      <w:r w:rsidRPr="0096658B">
        <w:rPr>
          <w:rFonts w:ascii="Times New Roman" w:hAnsi="Times New Roman" w:cs="Times New Roman"/>
          <w:color w:val="000000" w:themeColor="text1"/>
          <w:lang w:val="es-CO" w:eastAsia="es-CO"/>
        </w:rPr>
        <w:t>Este precedente</w:t>
      </w:r>
      <w:r w:rsidRPr="0096658B">
        <w:rPr>
          <w:rStyle w:val="Refdenotaalpie"/>
          <w:rFonts w:ascii="Times New Roman" w:hAnsi="Times New Roman"/>
          <w:color w:val="000000" w:themeColor="text1"/>
          <w:lang w:val="es-CO" w:eastAsia="es-CO"/>
        </w:rPr>
        <w:footnoteReference w:id="24"/>
      </w:r>
      <w:r w:rsidRPr="0096658B">
        <w:rPr>
          <w:rFonts w:ascii="Times New Roman" w:hAnsi="Times New Roman" w:cs="Times New Roman"/>
          <w:color w:val="000000" w:themeColor="text1"/>
          <w:lang w:val="es-CO" w:eastAsia="es-CO"/>
        </w:rPr>
        <w:t xml:space="preserve"> ha señalado que el anuncio es un requisito de carácter sustantivo, por lo que no está sujeto a fórmulas sacramentales </w:t>
      </w:r>
      <w:r w:rsidRPr="0096658B">
        <w:rPr>
          <w:rFonts w:ascii="Times New Roman" w:hAnsi="Times New Roman" w:cs="Times New Roman"/>
          <w:color w:val="000000" w:themeColor="text1"/>
          <w:lang w:val="es-CO" w:eastAsia="es-CO"/>
        </w:rPr>
        <w:t>o a</w:t>
      </w:r>
      <w:r w:rsidRPr="0096658B">
        <w:rPr>
          <w:rFonts w:ascii="Times New Roman" w:hAnsi="Times New Roman" w:cs="Times New Roman"/>
          <w:color w:val="000000" w:themeColor="text1"/>
          <w:lang w:val="es-CO" w:eastAsia="es-CO"/>
        </w:rPr>
        <w:t xml:space="preserve"> una formalidad específica. Por ende, lo que se requiere es que el anuncio sea previo, determinado o determinable, esto es, que </w:t>
      </w:r>
      <w:r w:rsidRPr="0096658B">
        <w:rPr>
          <w:rFonts w:ascii="Times New Roman" w:hAnsi="Times New Roman" w:cs="Times New Roman"/>
          <w:color w:val="000000" w:themeColor="text1"/>
          <w:lang w:val="es-CO" w:eastAsia="es-CO"/>
        </w:rPr>
        <w:t>identifique con mediana claridad la sesión en que se llevará a cabo la votación, de modo que sea inequívoca para los congresista</w:t>
      </w:r>
      <w:r w:rsidRPr="0096658B">
        <w:rPr>
          <w:rFonts w:ascii="Times New Roman" w:hAnsi="Times New Roman" w:cs="Times New Roman"/>
          <w:color w:val="000000" w:themeColor="text1"/>
          <w:lang w:val="es-CO" w:eastAsia="es-CO"/>
        </w:rPr>
        <w:t xml:space="preserve">s. </w:t>
      </w:r>
    </w:p>
    <w:p w:rsidR="002853D0" w:rsidRPr="0096658B" w:rsidRDefault="0096658B" w:rsidP="002853D0">
      <w:pPr>
        <w:pStyle w:val="Prrafodelista"/>
        <w:rPr>
          <w:rFonts w:ascii="Times New Roman" w:hAnsi="Times New Roman" w:cs="Times New Roman"/>
          <w:color w:val="000000" w:themeColor="text1"/>
          <w:lang w:val="es-CO" w:eastAsia="es-CO"/>
        </w:rPr>
      </w:pPr>
    </w:p>
    <w:p w:rsidR="002853D0" w:rsidRPr="0096658B" w:rsidRDefault="0096658B" w:rsidP="00337A19">
      <w:pPr>
        <w:pStyle w:val="Prrafodelista"/>
        <w:widowControl w:val="0"/>
        <w:numPr>
          <w:ilvl w:val="0"/>
          <w:numId w:val="5"/>
        </w:numPr>
        <w:shd w:val="clear" w:color="auto" w:fill="FFFFFF"/>
        <w:tabs>
          <w:tab w:val="left" w:pos="0"/>
        </w:tabs>
        <w:autoSpaceDE w:val="0"/>
        <w:autoSpaceDN w:val="0"/>
        <w:adjustRightInd w:val="0"/>
        <w:ind w:left="0" w:firstLine="0"/>
        <w:jc w:val="both"/>
        <w:rPr>
          <w:rFonts w:ascii="Times New Roman" w:hAnsi="Times New Roman" w:cs="Times New Roman"/>
          <w:color w:val="000000" w:themeColor="text1"/>
          <w:lang w:val="es-CO" w:eastAsia="es-CO"/>
        </w:rPr>
      </w:pPr>
      <w:r w:rsidRPr="0096658B">
        <w:rPr>
          <w:rFonts w:ascii="Times New Roman" w:hAnsi="Times New Roman" w:cs="Times New Roman"/>
          <w:color w:val="000000" w:themeColor="text1"/>
          <w:lang w:val="es-CO" w:eastAsia="es-CO"/>
        </w:rPr>
        <w:t xml:space="preserve">La Corte evidencia que este requisito fue debidamente cumplido para el caso del PLE. En efecto, en cada una de las etapas el anuncio de votación se hizo de manera </w:t>
      </w:r>
      <w:r w:rsidRPr="0096658B">
        <w:rPr>
          <w:rFonts w:ascii="Times New Roman" w:hAnsi="Times New Roman" w:cs="Times New Roman"/>
          <w:color w:val="000000" w:themeColor="text1"/>
          <w:lang w:val="es-CO" w:eastAsia="es-CO"/>
        </w:rPr>
        <w:t>previa y para una fecha determinada</w:t>
      </w:r>
      <w:r w:rsidRPr="0096658B">
        <w:rPr>
          <w:rFonts w:ascii="Times New Roman" w:hAnsi="Times New Roman" w:cs="Times New Roman"/>
          <w:color w:val="000000" w:themeColor="text1"/>
          <w:lang w:val="es-CO" w:eastAsia="es-CO"/>
        </w:rPr>
        <w:t xml:space="preserve"> o determinable</w:t>
      </w:r>
      <w:r w:rsidRPr="0096658B">
        <w:rPr>
          <w:rFonts w:ascii="Times New Roman" w:hAnsi="Times New Roman" w:cs="Times New Roman"/>
          <w:color w:val="000000" w:themeColor="text1"/>
          <w:lang w:val="es-CO" w:eastAsia="es-CO"/>
        </w:rPr>
        <w:t>, como se explica en el siguiente cuad</w:t>
      </w:r>
      <w:r w:rsidRPr="0096658B">
        <w:rPr>
          <w:rFonts w:ascii="Times New Roman" w:hAnsi="Times New Roman" w:cs="Times New Roman"/>
          <w:color w:val="000000" w:themeColor="text1"/>
          <w:lang w:val="es-CO" w:eastAsia="es-CO"/>
        </w:rPr>
        <w:t>ro:</w:t>
      </w:r>
    </w:p>
    <w:p w:rsidR="00A9699C" w:rsidRPr="0096658B" w:rsidRDefault="0096658B" w:rsidP="00A9699C">
      <w:pPr>
        <w:rPr>
          <w:rFonts w:ascii="Times New Roman" w:hAnsi="Times New Roman" w:cs="Times New Roman"/>
          <w:color w:val="000000" w:themeColor="text1"/>
          <w:sz w:val="28"/>
        </w:rPr>
      </w:pPr>
    </w:p>
    <w:tbl>
      <w:tblPr>
        <w:tblStyle w:val="Tablaconcuadrcula"/>
        <w:tblW w:w="0" w:type="auto"/>
        <w:tblLook w:val="04A0" w:firstRow="1" w:lastRow="0" w:firstColumn="1" w:lastColumn="0" w:noHBand="0" w:noVBand="1"/>
      </w:tblPr>
      <w:tblGrid>
        <w:gridCol w:w="2405"/>
        <w:gridCol w:w="4394"/>
        <w:gridCol w:w="2029"/>
      </w:tblGrid>
      <w:tr w:rsidR="009F6B08" w:rsidRPr="0096658B" w:rsidTr="00337A19">
        <w:tc>
          <w:tcPr>
            <w:tcW w:w="2405" w:type="dxa"/>
            <w:shd w:val="clear" w:color="auto" w:fill="BFBFBF" w:themeFill="background1" w:themeFillShade="BF"/>
            <w:vAlign w:val="center"/>
          </w:tcPr>
          <w:p w:rsidR="00A9699C" w:rsidRPr="0096658B" w:rsidRDefault="0096658B" w:rsidP="00337A19">
            <w:pPr>
              <w:jc w:val="center"/>
              <w:rPr>
                <w:rFonts w:ascii="Times New Roman" w:hAnsi="Times New Roman" w:cs="Times New Roman"/>
                <w:b/>
                <w:bCs/>
                <w:color w:val="000000" w:themeColor="text1"/>
                <w:sz w:val="28"/>
              </w:rPr>
            </w:pPr>
            <w:r w:rsidRPr="0096658B">
              <w:rPr>
                <w:rFonts w:ascii="Times New Roman" w:hAnsi="Times New Roman" w:cs="Times New Roman"/>
                <w:b/>
                <w:bCs/>
                <w:color w:val="000000" w:themeColor="text1"/>
                <w:sz w:val="28"/>
              </w:rPr>
              <w:t>Etapa del trámite</w:t>
            </w:r>
          </w:p>
        </w:tc>
        <w:tc>
          <w:tcPr>
            <w:tcW w:w="4394" w:type="dxa"/>
            <w:shd w:val="clear" w:color="auto" w:fill="BFBFBF" w:themeFill="background1" w:themeFillShade="BF"/>
            <w:vAlign w:val="center"/>
          </w:tcPr>
          <w:p w:rsidR="00A9699C" w:rsidRPr="0096658B" w:rsidRDefault="0096658B" w:rsidP="00337A19">
            <w:pPr>
              <w:jc w:val="center"/>
              <w:rPr>
                <w:rFonts w:ascii="Times New Roman" w:hAnsi="Times New Roman" w:cs="Times New Roman"/>
                <w:b/>
                <w:bCs/>
                <w:color w:val="000000" w:themeColor="text1"/>
                <w:sz w:val="28"/>
              </w:rPr>
            </w:pPr>
            <w:r w:rsidRPr="0096658B">
              <w:rPr>
                <w:rFonts w:ascii="Times New Roman" w:hAnsi="Times New Roman" w:cs="Times New Roman"/>
                <w:b/>
                <w:bCs/>
                <w:color w:val="000000" w:themeColor="text1"/>
                <w:sz w:val="28"/>
              </w:rPr>
              <w:t>Sesión en la que se anunció la discusión y votación</w:t>
            </w:r>
          </w:p>
        </w:tc>
        <w:tc>
          <w:tcPr>
            <w:tcW w:w="2029" w:type="dxa"/>
            <w:shd w:val="clear" w:color="auto" w:fill="BFBFBF" w:themeFill="background1" w:themeFillShade="BF"/>
            <w:vAlign w:val="center"/>
          </w:tcPr>
          <w:p w:rsidR="00A9699C" w:rsidRPr="0096658B" w:rsidRDefault="0096658B" w:rsidP="00337A19">
            <w:pPr>
              <w:jc w:val="center"/>
              <w:rPr>
                <w:rFonts w:ascii="Times New Roman" w:hAnsi="Times New Roman" w:cs="Times New Roman"/>
                <w:b/>
                <w:bCs/>
                <w:color w:val="000000" w:themeColor="text1"/>
                <w:sz w:val="28"/>
              </w:rPr>
            </w:pPr>
            <w:r w:rsidRPr="0096658B">
              <w:rPr>
                <w:rFonts w:ascii="Times New Roman" w:hAnsi="Times New Roman" w:cs="Times New Roman"/>
                <w:b/>
                <w:bCs/>
                <w:color w:val="000000" w:themeColor="text1"/>
                <w:sz w:val="28"/>
              </w:rPr>
              <w:t>Fecha de votación</w:t>
            </w:r>
          </w:p>
        </w:tc>
      </w:tr>
      <w:tr w:rsidR="009F6B08" w:rsidRPr="0096658B" w:rsidTr="00337A19">
        <w:tc>
          <w:tcPr>
            <w:tcW w:w="2405" w:type="dxa"/>
            <w:vAlign w:val="center"/>
          </w:tcPr>
          <w:p w:rsidR="00A9699C" w:rsidRPr="0096658B" w:rsidRDefault="0096658B" w:rsidP="008D26EE">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 xml:space="preserve">Primer debate </w:t>
            </w:r>
            <w:r w:rsidRPr="0096658B">
              <w:rPr>
                <w:rFonts w:ascii="Times New Roman" w:hAnsi="Times New Roman" w:cs="Times New Roman"/>
                <w:color w:val="000000" w:themeColor="text1"/>
                <w:sz w:val="28"/>
              </w:rPr>
              <w:t>en la Comisión Primera del Senado</w:t>
            </w:r>
          </w:p>
        </w:tc>
        <w:tc>
          <w:tcPr>
            <w:tcW w:w="4394" w:type="dxa"/>
            <w:vAlign w:val="center"/>
          </w:tcPr>
          <w:p w:rsidR="00A9699C" w:rsidRPr="0096658B" w:rsidRDefault="0096658B" w:rsidP="008D26EE">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 xml:space="preserve">Sesión de 4 de octubre de 2022, anunciándose </w:t>
            </w:r>
            <w:r w:rsidRPr="0096658B">
              <w:rPr>
                <w:rFonts w:ascii="Times New Roman" w:hAnsi="Times New Roman" w:cs="Times New Roman"/>
                <w:color w:val="000000" w:themeColor="text1"/>
                <w:sz w:val="28"/>
              </w:rPr>
              <w:t xml:space="preserve">para </w:t>
            </w:r>
            <w:r w:rsidRPr="0096658B">
              <w:rPr>
                <w:rFonts w:ascii="Times New Roman" w:hAnsi="Times New Roman" w:cs="Times New Roman"/>
                <w:color w:val="000000" w:themeColor="text1"/>
                <w:sz w:val="28"/>
              </w:rPr>
              <w:t>“</w:t>
            </w:r>
            <w:r w:rsidRPr="0096658B">
              <w:rPr>
                <w:rFonts w:ascii="Times New Roman" w:hAnsi="Times New Roman" w:cs="Times New Roman"/>
                <w:color w:val="000000" w:themeColor="text1"/>
                <w:sz w:val="28"/>
              </w:rPr>
              <w:t>discusión y votación en la próxima sesión”</w:t>
            </w:r>
            <w:r w:rsidRPr="0096658B">
              <w:rPr>
                <w:rStyle w:val="Refdenotaalpie"/>
                <w:rFonts w:ascii="Times New Roman" w:hAnsi="Times New Roman"/>
                <w:color w:val="000000" w:themeColor="text1"/>
                <w:sz w:val="28"/>
              </w:rPr>
              <w:footnoteReference w:id="25"/>
            </w:r>
          </w:p>
        </w:tc>
        <w:tc>
          <w:tcPr>
            <w:tcW w:w="2029" w:type="dxa"/>
            <w:vAlign w:val="center"/>
          </w:tcPr>
          <w:p w:rsidR="00A9699C" w:rsidRPr="0096658B" w:rsidRDefault="0096658B" w:rsidP="008D26EE">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 xml:space="preserve">25 de octubre de </w:t>
            </w:r>
            <w:r w:rsidRPr="0096658B">
              <w:rPr>
                <w:rFonts w:ascii="Times New Roman" w:hAnsi="Times New Roman" w:cs="Times New Roman"/>
                <w:color w:val="000000" w:themeColor="text1"/>
                <w:sz w:val="28"/>
              </w:rPr>
              <w:t>2022</w:t>
            </w:r>
          </w:p>
        </w:tc>
      </w:tr>
      <w:tr w:rsidR="009F6B08" w:rsidRPr="0096658B" w:rsidTr="00337A19">
        <w:tc>
          <w:tcPr>
            <w:tcW w:w="2405" w:type="dxa"/>
            <w:vAlign w:val="center"/>
          </w:tcPr>
          <w:p w:rsidR="00A9699C" w:rsidRPr="0096658B" w:rsidRDefault="0096658B" w:rsidP="008D26EE">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Segundo debate en la plenaria del Senado</w:t>
            </w:r>
          </w:p>
        </w:tc>
        <w:tc>
          <w:tcPr>
            <w:tcW w:w="4394" w:type="dxa"/>
            <w:vAlign w:val="center"/>
          </w:tcPr>
          <w:p w:rsidR="00A9699C" w:rsidRPr="0096658B" w:rsidRDefault="0096658B" w:rsidP="008D26EE">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Sesión de 13 de diciembre de 2022, anunciándose para “la sesión plenaria del honorable Senado de la República siguiente a la del día martes 13 de diciembre de 2022”</w:t>
            </w:r>
            <w:r w:rsidRPr="0096658B">
              <w:rPr>
                <w:rStyle w:val="Refdenotaalpie"/>
                <w:rFonts w:ascii="Times New Roman" w:hAnsi="Times New Roman"/>
                <w:color w:val="000000" w:themeColor="text1"/>
                <w:sz w:val="28"/>
              </w:rPr>
              <w:footnoteReference w:id="26"/>
            </w:r>
          </w:p>
        </w:tc>
        <w:tc>
          <w:tcPr>
            <w:tcW w:w="2029" w:type="dxa"/>
            <w:vAlign w:val="center"/>
          </w:tcPr>
          <w:p w:rsidR="00A9699C" w:rsidRPr="0096658B" w:rsidRDefault="0096658B" w:rsidP="008D26EE">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14 de diciembre de 2022</w:t>
            </w:r>
          </w:p>
        </w:tc>
      </w:tr>
      <w:tr w:rsidR="009F6B08" w:rsidRPr="0096658B" w:rsidTr="00337A19">
        <w:tc>
          <w:tcPr>
            <w:tcW w:w="2405" w:type="dxa"/>
            <w:vAlign w:val="center"/>
          </w:tcPr>
          <w:p w:rsidR="00A9699C" w:rsidRPr="0096658B" w:rsidRDefault="0096658B" w:rsidP="008D26EE">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Primer debate en l</w:t>
            </w:r>
            <w:r w:rsidRPr="0096658B">
              <w:rPr>
                <w:rFonts w:ascii="Times New Roman" w:hAnsi="Times New Roman" w:cs="Times New Roman"/>
                <w:color w:val="000000" w:themeColor="text1"/>
                <w:sz w:val="28"/>
              </w:rPr>
              <w:t>a Comisión Primera de la Cámara</w:t>
            </w:r>
          </w:p>
        </w:tc>
        <w:tc>
          <w:tcPr>
            <w:tcW w:w="4394" w:type="dxa"/>
            <w:vAlign w:val="center"/>
          </w:tcPr>
          <w:p w:rsidR="00A9699C" w:rsidRPr="0096658B" w:rsidRDefault="0096658B" w:rsidP="008D26EE">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Sesión de 9 de mayo de 2023, anunciándose para “la próxima sesión”</w:t>
            </w:r>
            <w:r w:rsidRPr="0096658B">
              <w:rPr>
                <w:rStyle w:val="Refdenotaalpie"/>
                <w:rFonts w:ascii="Times New Roman" w:hAnsi="Times New Roman"/>
                <w:color w:val="000000" w:themeColor="text1"/>
                <w:sz w:val="28"/>
              </w:rPr>
              <w:footnoteReference w:id="27"/>
            </w:r>
          </w:p>
        </w:tc>
        <w:tc>
          <w:tcPr>
            <w:tcW w:w="2029" w:type="dxa"/>
            <w:vAlign w:val="center"/>
          </w:tcPr>
          <w:p w:rsidR="00A9699C" w:rsidRPr="0096658B" w:rsidRDefault="0096658B" w:rsidP="008D26EE">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10 de mayo de 2023</w:t>
            </w:r>
          </w:p>
        </w:tc>
      </w:tr>
      <w:tr w:rsidR="009F6B08" w:rsidRPr="0096658B" w:rsidTr="00337A19">
        <w:tc>
          <w:tcPr>
            <w:tcW w:w="2405" w:type="dxa"/>
            <w:vAlign w:val="center"/>
          </w:tcPr>
          <w:p w:rsidR="00A9699C" w:rsidRPr="0096658B" w:rsidRDefault="0096658B" w:rsidP="008D26EE">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Segundo debate en la plenaria de la Cámara</w:t>
            </w:r>
          </w:p>
        </w:tc>
        <w:tc>
          <w:tcPr>
            <w:tcW w:w="4394" w:type="dxa"/>
            <w:vAlign w:val="center"/>
          </w:tcPr>
          <w:p w:rsidR="00A9699C" w:rsidRPr="0096658B" w:rsidRDefault="0096658B" w:rsidP="008D26EE">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Sesión de 14 de junio de 2023, anunciándose para “</w:t>
            </w:r>
            <w:r w:rsidRPr="0096658B">
              <w:rPr>
                <w:rFonts w:ascii="Times New Roman" w:hAnsi="Times New Roman" w:cs="Times New Roman"/>
                <w:color w:val="000000" w:themeColor="text1"/>
                <w:sz w:val="28"/>
              </w:rPr>
              <w:t xml:space="preserve">la sesión ordinaria del día jueves 15 de </w:t>
            </w:r>
            <w:r w:rsidRPr="0096658B">
              <w:rPr>
                <w:rFonts w:ascii="Times New Roman" w:hAnsi="Times New Roman" w:cs="Times New Roman"/>
                <w:color w:val="000000" w:themeColor="text1"/>
                <w:sz w:val="28"/>
              </w:rPr>
              <w:t>junio de 2023 a las 10 a.m., o para la siguiente sesión Plenaria, en la cual se debatan proyectos de ley o actos legislativos”</w:t>
            </w:r>
            <w:r w:rsidRPr="0096658B">
              <w:rPr>
                <w:rStyle w:val="Refdenotaalpie"/>
                <w:rFonts w:ascii="Times New Roman" w:hAnsi="Times New Roman"/>
                <w:color w:val="000000" w:themeColor="text1"/>
                <w:sz w:val="28"/>
              </w:rPr>
              <w:footnoteReference w:id="28"/>
            </w:r>
          </w:p>
        </w:tc>
        <w:tc>
          <w:tcPr>
            <w:tcW w:w="2029" w:type="dxa"/>
            <w:vAlign w:val="center"/>
          </w:tcPr>
          <w:p w:rsidR="00A9699C" w:rsidRPr="0096658B" w:rsidRDefault="0096658B" w:rsidP="008D26EE">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15 de junio de 2023</w:t>
            </w:r>
          </w:p>
        </w:tc>
      </w:tr>
      <w:tr w:rsidR="009F6B08" w:rsidRPr="0096658B" w:rsidTr="00337A19">
        <w:tc>
          <w:tcPr>
            <w:tcW w:w="2405" w:type="dxa"/>
            <w:vAlign w:val="center"/>
          </w:tcPr>
          <w:p w:rsidR="00A9699C" w:rsidRPr="0096658B" w:rsidRDefault="0096658B" w:rsidP="008D26EE">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Aprobación del informe de conciliación en Senado</w:t>
            </w:r>
          </w:p>
        </w:tc>
        <w:tc>
          <w:tcPr>
            <w:tcW w:w="4394" w:type="dxa"/>
            <w:vAlign w:val="center"/>
          </w:tcPr>
          <w:p w:rsidR="00A9699C" w:rsidRPr="0096658B" w:rsidRDefault="0096658B" w:rsidP="008D26EE">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Sesión de 16 de junio de 2023, anunciándose para “la Sesió</w:t>
            </w:r>
            <w:r w:rsidRPr="0096658B">
              <w:rPr>
                <w:rFonts w:ascii="Times New Roman" w:hAnsi="Times New Roman" w:cs="Times New Roman"/>
                <w:color w:val="000000" w:themeColor="text1"/>
                <w:sz w:val="28"/>
              </w:rPr>
              <w:t xml:space="preserve">n Plenaria del Senado de la República de Colombia, siguiente la </w:t>
            </w:r>
            <w:r w:rsidRPr="0096658B">
              <w:rPr>
                <w:rFonts w:ascii="Times New Roman" w:hAnsi="Times New Roman" w:cs="Times New Roman"/>
                <w:color w:val="000000" w:themeColor="text1"/>
                <w:sz w:val="28"/>
              </w:rPr>
              <w:t>[</w:t>
            </w:r>
            <w:r w:rsidRPr="0096658B">
              <w:rPr>
                <w:rFonts w:ascii="Times New Roman" w:hAnsi="Times New Roman" w:cs="Times New Roman"/>
                <w:color w:val="000000" w:themeColor="text1"/>
                <w:sz w:val="28"/>
              </w:rPr>
              <w:t>sic</w:t>
            </w:r>
            <w:r w:rsidRPr="0096658B">
              <w:rPr>
                <w:rFonts w:ascii="Times New Roman" w:hAnsi="Times New Roman" w:cs="Times New Roman"/>
                <w:color w:val="000000" w:themeColor="text1"/>
                <w:sz w:val="28"/>
              </w:rPr>
              <w:t>]</w:t>
            </w:r>
            <w:r w:rsidRPr="0096658B">
              <w:rPr>
                <w:rFonts w:ascii="Times New Roman" w:hAnsi="Times New Roman" w:cs="Times New Roman"/>
                <w:color w:val="000000" w:themeColor="text1"/>
                <w:sz w:val="28"/>
              </w:rPr>
              <w:t xml:space="preserve"> del día 16 de junio de 2023”</w:t>
            </w:r>
            <w:r w:rsidRPr="0096658B">
              <w:rPr>
                <w:rStyle w:val="Refdenotaalpie"/>
                <w:rFonts w:ascii="Times New Roman" w:hAnsi="Times New Roman"/>
                <w:color w:val="000000" w:themeColor="text1"/>
                <w:sz w:val="28"/>
              </w:rPr>
              <w:footnoteReference w:id="29"/>
            </w:r>
          </w:p>
        </w:tc>
        <w:tc>
          <w:tcPr>
            <w:tcW w:w="2029" w:type="dxa"/>
            <w:vAlign w:val="center"/>
          </w:tcPr>
          <w:p w:rsidR="00A9699C" w:rsidRPr="0096658B" w:rsidRDefault="0096658B" w:rsidP="008D26EE">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19 de junio de 2023</w:t>
            </w:r>
          </w:p>
        </w:tc>
      </w:tr>
      <w:tr w:rsidR="008D26EE" w:rsidRPr="0096658B" w:rsidTr="008D26EE">
        <w:tc>
          <w:tcPr>
            <w:tcW w:w="2405" w:type="dxa"/>
            <w:vAlign w:val="center"/>
          </w:tcPr>
          <w:p w:rsidR="004C7E23" w:rsidRPr="0096658B" w:rsidRDefault="0096658B" w:rsidP="008D26EE">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Aprobación del informe de conciliación en Cámara</w:t>
            </w:r>
          </w:p>
        </w:tc>
        <w:tc>
          <w:tcPr>
            <w:tcW w:w="4394" w:type="dxa"/>
            <w:vAlign w:val="center"/>
          </w:tcPr>
          <w:p w:rsidR="004C7E23" w:rsidRPr="0096658B" w:rsidRDefault="0096658B" w:rsidP="008D26EE">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Sesión de 16 de junio de 2023, anunciándose para</w:t>
            </w:r>
            <w:r w:rsidRPr="0096658B">
              <w:rPr>
                <w:rFonts w:ascii="Times New Roman" w:hAnsi="Times New Roman" w:cs="Times New Roman"/>
                <w:color w:val="000000" w:themeColor="text1"/>
                <w:sz w:val="28"/>
              </w:rPr>
              <w:t xml:space="preserve"> la</w:t>
            </w:r>
            <w:r w:rsidRPr="0096658B">
              <w:rPr>
                <w:rFonts w:ascii="Times New Roman" w:hAnsi="Times New Roman" w:cs="Times New Roman"/>
                <w:color w:val="000000" w:themeColor="text1"/>
                <w:sz w:val="28"/>
              </w:rPr>
              <w:t xml:space="preserve"> “</w:t>
            </w:r>
            <w:r w:rsidRPr="0096658B">
              <w:rPr>
                <w:rFonts w:ascii="Times New Roman" w:hAnsi="Times New Roman" w:cs="Times New Roman"/>
                <w:color w:val="000000" w:themeColor="text1"/>
                <w:sz w:val="28"/>
              </w:rPr>
              <w:t xml:space="preserve">Sesión Plenaria del día lunes 19 </w:t>
            </w:r>
            <w:r w:rsidRPr="0096658B">
              <w:rPr>
                <w:rFonts w:ascii="Times New Roman" w:hAnsi="Times New Roman" w:cs="Times New Roman"/>
                <w:color w:val="000000" w:themeColor="text1"/>
                <w:sz w:val="28"/>
              </w:rPr>
              <w:t>de junio del 2023, a las 4:00 de la tarde, o para la siguiente sesión Plenaria donde se debatan proyecto de ley y/o actos legislativos”</w:t>
            </w:r>
            <w:r w:rsidRPr="0096658B">
              <w:rPr>
                <w:rStyle w:val="Refdenotaalpie"/>
                <w:rFonts w:ascii="Times New Roman" w:hAnsi="Times New Roman"/>
                <w:color w:val="000000" w:themeColor="text1"/>
                <w:sz w:val="28"/>
              </w:rPr>
              <w:footnoteReference w:id="30"/>
            </w:r>
          </w:p>
        </w:tc>
        <w:tc>
          <w:tcPr>
            <w:tcW w:w="2029" w:type="dxa"/>
            <w:vAlign w:val="center"/>
          </w:tcPr>
          <w:p w:rsidR="004C7E23" w:rsidRPr="0096658B" w:rsidRDefault="0096658B" w:rsidP="008D26EE">
            <w:pPr>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19 de junio de 2023</w:t>
            </w:r>
          </w:p>
        </w:tc>
      </w:tr>
    </w:tbl>
    <w:p w:rsidR="00A9699C" w:rsidRPr="0096658B" w:rsidRDefault="0096658B" w:rsidP="00A9699C">
      <w:pPr>
        <w:rPr>
          <w:rFonts w:ascii="Times New Roman" w:hAnsi="Times New Roman" w:cs="Times New Roman"/>
          <w:color w:val="000000" w:themeColor="text1"/>
          <w:sz w:val="28"/>
        </w:rPr>
      </w:pPr>
    </w:p>
    <w:p w:rsidR="00A9699C" w:rsidRPr="0096658B" w:rsidRDefault="0096658B" w:rsidP="00337A19">
      <w:pPr>
        <w:pStyle w:val="Prrafodelista"/>
        <w:widowControl w:val="0"/>
        <w:numPr>
          <w:ilvl w:val="0"/>
          <w:numId w:val="5"/>
        </w:numPr>
        <w:shd w:val="clear" w:color="auto" w:fill="FFFFFF"/>
        <w:tabs>
          <w:tab w:val="left" w:pos="0"/>
        </w:tabs>
        <w:autoSpaceDE w:val="0"/>
        <w:autoSpaceDN w:val="0"/>
        <w:adjustRightInd w:val="0"/>
        <w:ind w:left="0" w:firstLine="0"/>
        <w:jc w:val="both"/>
        <w:rPr>
          <w:rFonts w:ascii="Times New Roman" w:hAnsi="Times New Roman" w:cs="Times New Roman"/>
          <w:color w:val="000000" w:themeColor="text1"/>
          <w:lang w:val="es-CO" w:eastAsia="es-CO"/>
        </w:rPr>
      </w:pPr>
      <w:r w:rsidRPr="0096658B">
        <w:rPr>
          <w:rFonts w:ascii="Times New Roman" w:hAnsi="Times New Roman" w:cs="Times New Roman"/>
          <w:color w:val="000000" w:themeColor="text1"/>
          <w:lang w:val="es-CO" w:eastAsia="es-CO"/>
        </w:rPr>
        <w:t xml:space="preserve">Como se observa, el anuncio para el caso de segundo debate en la Cámara de Representantes, y la </w:t>
      </w:r>
      <w:r w:rsidRPr="0096658B">
        <w:rPr>
          <w:rFonts w:ascii="Times New Roman" w:hAnsi="Times New Roman" w:cs="Times New Roman"/>
          <w:color w:val="000000" w:themeColor="text1"/>
          <w:lang w:val="es-CO" w:eastAsia="es-CO"/>
        </w:rPr>
        <w:t>aprobación del informe de conciliación en la misma corporación se realizaron para una fecha determinada</w:t>
      </w:r>
      <w:r w:rsidRPr="0096658B">
        <w:rPr>
          <w:rFonts w:ascii="Times New Roman" w:hAnsi="Times New Roman" w:cs="Times New Roman"/>
          <w:color w:val="000000" w:themeColor="text1"/>
          <w:lang w:val="es-CO" w:eastAsia="es-CO"/>
        </w:rPr>
        <w:t xml:space="preserve"> en la que efectivamente se llevó a cabo la discusión y votación del PLE. En el caso del segundo debate en el Senado y el primer debate en la Comisión Pr</w:t>
      </w:r>
      <w:r w:rsidRPr="0096658B">
        <w:rPr>
          <w:rFonts w:ascii="Times New Roman" w:hAnsi="Times New Roman" w:cs="Times New Roman"/>
          <w:color w:val="000000" w:themeColor="text1"/>
          <w:lang w:val="es-CO" w:eastAsia="es-CO"/>
        </w:rPr>
        <w:t xml:space="preserve">imera de la Cámara, el anuncio se realizó para la siguiente sesión y esta ocurrió el día siguiente, por lo que </w:t>
      </w:r>
      <w:r w:rsidRPr="0096658B">
        <w:rPr>
          <w:rFonts w:ascii="Times New Roman" w:hAnsi="Times New Roman" w:cs="Times New Roman"/>
          <w:color w:val="000000" w:themeColor="text1"/>
          <w:lang w:val="es-CO" w:eastAsia="es-CO"/>
        </w:rPr>
        <w:t xml:space="preserve">se </w:t>
      </w:r>
      <w:r w:rsidRPr="0096658B">
        <w:rPr>
          <w:rFonts w:ascii="Times New Roman" w:hAnsi="Times New Roman" w:cs="Times New Roman"/>
          <w:color w:val="000000" w:themeColor="text1"/>
          <w:lang w:val="es-CO" w:eastAsia="es-CO"/>
        </w:rPr>
        <w:t xml:space="preserve">está ante un anuncio plenamente determinable. </w:t>
      </w:r>
    </w:p>
    <w:p w:rsidR="00F91E5B" w:rsidRPr="0096658B" w:rsidRDefault="0096658B" w:rsidP="00F91E5B">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color w:val="000000" w:themeColor="text1"/>
          <w:lang w:val="es-CO" w:eastAsia="es-CO"/>
        </w:rPr>
      </w:pPr>
    </w:p>
    <w:p w:rsidR="00F91E5B"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CO" w:eastAsia="es-CO"/>
        </w:rPr>
      </w:pPr>
      <w:r w:rsidRPr="0096658B">
        <w:rPr>
          <w:rFonts w:ascii="Times New Roman" w:hAnsi="Times New Roman" w:cs="Times New Roman"/>
          <w:color w:val="000000" w:themeColor="text1"/>
          <w:lang w:val="es-CO" w:eastAsia="es-CO"/>
        </w:rPr>
        <w:t>Respecto del primer debate en el Senado, el anuncio de votación se hizo para la próxima sesión</w:t>
      </w:r>
      <w:r w:rsidRPr="0096658B">
        <w:rPr>
          <w:rFonts w:ascii="Times New Roman" w:hAnsi="Times New Roman" w:cs="Times New Roman"/>
          <w:color w:val="000000" w:themeColor="text1"/>
          <w:lang w:val="es-CO" w:eastAsia="es-CO"/>
        </w:rPr>
        <w:t xml:space="preserve"> y esta ocurrió s</w:t>
      </w:r>
      <w:r w:rsidRPr="0096658B">
        <w:rPr>
          <w:rFonts w:ascii="Times New Roman" w:hAnsi="Times New Roman" w:cs="Times New Roman"/>
          <w:color w:val="000000" w:themeColor="text1"/>
          <w:lang w:val="es-CO" w:eastAsia="es-CO"/>
        </w:rPr>
        <w:t>ó</w:t>
      </w:r>
      <w:r w:rsidRPr="0096658B">
        <w:rPr>
          <w:rFonts w:ascii="Times New Roman" w:hAnsi="Times New Roman" w:cs="Times New Roman"/>
          <w:color w:val="000000" w:themeColor="text1"/>
          <w:lang w:val="es-CO" w:eastAsia="es-CO"/>
        </w:rPr>
        <w:t>lo hasta el 25 de octubre de 2022. Con todo, verificado el consecutivo de actas se encuentra que el anuncio tuvo lugar en la sesión contenida en el acta número 17 de 7 de octubre de 2022 y la votación en la sesión mencionada y que fue inc</w:t>
      </w:r>
      <w:r w:rsidRPr="0096658B">
        <w:rPr>
          <w:rFonts w:ascii="Times New Roman" w:hAnsi="Times New Roman" w:cs="Times New Roman"/>
          <w:color w:val="000000" w:themeColor="text1"/>
          <w:lang w:val="es-CO" w:eastAsia="es-CO"/>
        </w:rPr>
        <w:t xml:space="preserve">orporada en el acta número 18, publicada en la Gaceta del Congreso </w:t>
      </w:r>
      <w:r w:rsidRPr="0096658B">
        <w:rPr>
          <w:rFonts w:ascii="Times New Roman" w:hAnsi="Times New Roman" w:cs="Times New Roman"/>
          <w:color w:val="000000" w:themeColor="text1"/>
          <w:lang w:val="es-CO" w:eastAsia="es-CO"/>
        </w:rPr>
        <w:t>95 del 27 de febrero de 2023. Sobre el particular cabe recordar que la jurisprudencia constitucional ha utilizado el criterio del consecutivo de actas como indicio sobre la identificación</w:t>
      </w:r>
      <w:r w:rsidRPr="0096658B">
        <w:rPr>
          <w:rFonts w:ascii="Times New Roman" w:hAnsi="Times New Roman" w:cs="Times New Roman"/>
          <w:color w:val="000000" w:themeColor="text1"/>
          <w:lang w:val="es-CO" w:eastAsia="es-CO"/>
        </w:rPr>
        <w:t xml:space="preserve"> d</w:t>
      </w:r>
      <w:r w:rsidRPr="0096658B">
        <w:rPr>
          <w:rFonts w:ascii="Times New Roman" w:hAnsi="Times New Roman" w:cs="Times New Roman"/>
          <w:color w:val="000000" w:themeColor="text1"/>
          <w:lang w:val="es-CO" w:eastAsia="es-CO"/>
        </w:rPr>
        <w:t>e</w:t>
      </w:r>
      <w:r w:rsidRPr="0096658B">
        <w:rPr>
          <w:rFonts w:ascii="Times New Roman" w:hAnsi="Times New Roman" w:cs="Times New Roman"/>
          <w:color w:val="000000" w:themeColor="text1"/>
          <w:lang w:val="es-CO" w:eastAsia="es-CO"/>
        </w:rPr>
        <w:t xml:space="preserve"> la siguiente sesión a aquella en que se realiza el anuncio</w:t>
      </w:r>
      <w:r w:rsidRPr="0096658B">
        <w:rPr>
          <w:rStyle w:val="Refdenotaalpie"/>
          <w:rFonts w:ascii="Times New Roman" w:hAnsi="Times New Roman"/>
          <w:color w:val="000000" w:themeColor="text1"/>
          <w:lang w:val="es-CO" w:eastAsia="es-CO"/>
        </w:rPr>
        <w:footnoteReference w:id="31"/>
      </w:r>
      <w:r w:rsidRPr="0096658B">
        <w:rPr>
          <w:rFonts w:ascii="Times New Roman" w:hAnsi="Times New Roman" w:cs="Times New Roman"/>
          <w:color w:val="000000" w:themeColor="text1"/>
          <w:lang w:val="es-CO" w:eastAsia="es-CO"/>
        </w:rPr>
        <w:t xml:space="preserve">. Asimismo, para esta instancia particular debe tenerse en cuenta que si bien la presidencia de la Comisión Primera del Senado convocó la siguiente sesión para </w:t>
      </w:r>
      <w:r w:rsidRPr="0096658B">
        <w:rPr>
          <w:rFonts w:ascii="Times New Roman" w:hAnsi="Times New Roman" w:cs="Times New Roman"/>
          <w:color w:val="000000" w:themeColor="text1"/>
          <w:lang w:val="es-CO" w:eastAsia="es-CO"/>
        </w:rPr>
        <w:t>el 5 de octubre de 2022, ello ocurr</w:t>
      </w:r>
      <w:r w:rsidRPr="0096658B">
        <w:rPr>
          <w:rFonts w:ascii="Times New Roman" w:hAnsi="Times New Roman" w:cs="Times New Roman"/>
          <w:color w:val="000000" w:themeColor="text1"/>
          <w:lang w:val="es-CO" w:eastAsia="es-CO"/>
        </w:rPr>
        <w:t>ió respecto de la sesión conjunta con su par de la Cámara de Representantes</w:t>
      </w:r>
      <w:r w:rsidRPr="0096658B">
        <w:rPr>
          <w:rFonts w:ascii="Times New Roman" w:hAnsi="Times New Roman" w:cs="Times New Roman"/>
          <w:color w:val="000000" w:themeColor="text1"/>
          <w:lang w:val="es-CO" w:eastAsia="es-CO"/>
        </w:rPr>
        <w:t>, pero no para la siguiente convocatoria de la comisión individualmente considerada</w:t>
      </w:r>
      <w:r w:rsidRPr="0096658B">
        <w:rPr>
          <w:rStyle w:val="Refdenotaalpie"/>
          <w:rFonts w:ascii="Times New Roman" w:hAnsi="Times New Roman"/>
          <w:color w:val="000000" w:themeColor="text1"/>
          <w:lang w:val="es-CO" w:eastAsia="es-CO"/>
        </w:rPr>
        <w:footnoteReference w:id="32"/>
      </w:r>
      <w:r w:rsidRPr="0096658B">
        <w:rPr>
          <w:rFonts w:ascii="Times New Roman" w:hAnsi="Times New Roman" w:cs="Times New Roman"/>
          <w:color w:val="000000" w:themeColor="text1"/>
          <w:lang w:val="es-CO" w:eastAsia="es-CO"/>
        </w:rPr>
        <w:t>.</w:t>
      </w:r>
    </w:p>
    <w:p w:rsidR="00C50F39" w:rsidRPr="0096658B" w:rsidRDefault="0096658B" w:rsidP="00C50F39">
      <w:pPr>
        <w:pStyle w:val="Prrafodelista"/>
        <w:rPr>
          <w:rFonts w:ascii="Times New Roman" w:hAnsi="Times New Roman" w:cs="Times New Roman"/>
          <w:color w:val="000000" w:themeColor="text1"/>
          <w:lang w:val="es-CO" w:eastAsia="es-CO"/>
        </w:rPr>
      </w:pPr>
    </w:p>
    <w:p w:rsidR="00C50F39" w:rsidRPr="0096658B" w:rsidRDefault="0096658B" w:rsidP="00337A19">
      <w:pPr>
        <w:pStyle w:val="Prrafodelista"/>
        <w:widowControl w:val="0"/>
        <w:numPr>
          <w:ilvl w:val="0"/>
          <w:numId w:val="5"/>
        </w:numPr>
        <w:shd w:val="clear" w:color="auto" w:fill="FFFFFF"/>
        <w:tabs>
          <w:tab w:val="left" w:pos="0"/>
        </w:tabs>
        <w:autoSpaceDE w:val="0"/>
        <w:autoSpaceDN w:val="0"/>
        <w:adjustRightInd w:val="0"/>
        <w:ind w:left="0" w:firstLine="0"/>
        <w:jc w:val="both"/>
        <w:rPr>
          <w:rFonts w:ascii="Times New Roman" w:hAnsi="Times New Roman" w:cs="Times New Roman"/>
          <w:color w:val="000000" w:themeColor="text1"/>
          <w:lang w:val="es-CO" w:eastAsia="es-CO"/>
        </w:rPr>
      </w:pPr>
      <w:r w:rsidRPr="0096658B">
        <w:rPr>
          <w:rFonts w:ascii="Times New Roman" w:hAnsi="Times New Roman" w:cs="Times New Roman"/>
          <w:color w:val="000000" w:themeColor="text1"/>
          <w:lang w:val="es-CO" w:eastAsia="es-CO"/>
        </w:rPr>
        <w:t>El mismo criterio se comprueba para la aprobación del informe de conciliación en el Sena</w:t>
      </w:r>
      <w:r w:rsidRPr="0096658B">
        <w:rPr>
          <w:rFonts w:ascii="Times New Roman" w:hAnsi="Times New Roman" w:cs="Times New Roman"/>
          <w:color w:val="000000" w:themeColor="text1"/>
          <w:lang w:val="es-CO" w:eastAsia="es-CO"/>
        </w:rPr>
        <w:t>do. En</w:t>
      </w:r>
      <w:r w:rsidRPr="0096658B">
        <w:rPr>
          <w:rFonts w:ascii="Times New Roman" w:hAnsi="Times New Roman" w:cs="Times New Roman"/>
          <w:color w:val="000000" w:themeColor="text1"/>
          <w:lang w:val="es-CO" w:eastAsia="es-CO"/>
        </w:rPr>
        <w:t xml:space="preserve"> efecto, el anuncio se llevó a cabo en la sesión plenaria de 16 de junio de 2023, contenida en el acta número 59, y la aprobación de dicho informe tuvo lugar el 19 de junio siguiente</w:t>
      </w:r>
      <w:r w:rsidRPr="0096658B">
        <w:rPr>
          <w:rFonts w:ascii="Times New Roman" w:hAnsi="Times New Roman" w:cs="Times New Roman"/>
          <w:color w:val="000000" w:themeColor="text1"/>
          <w:lang w:val="es-CO" w:eastAsia="es-CO"/>
        </w:rPr>
        <w:t>,</w:t>
      </w:r>
      <w:r w:rsidRPr="0096658B">
        <w:rPr>
          <w:rFonts w:ascii="Times New Roman" w:hAnsi="Times New Roman" w:cs="Times New Roman"/>
          <w:color w:val="000000" w:themeColor="text1"/>
          <w:lang w:val="es-CO" w:eastAsia="es-CO"/>
        </w:rPr>
        <w:t xml:space="preserve"> según da cuenta el acta número 60, publicada en la Gaceta del Congreso 1</w:t>
      </w:r>
      <w:r w:rsidRPr="0096658B">
        <w:rPr>
          <w:rFonts w:ascii="Times New Roman" w:hAnsi="Times New Roman" w:cs="Times New Roman"/>
          <w:color w:val="000000" w:themeColor="text1"/>
          <w:lang w:val="es-CO" w:eastAsia="es-CO"/>
        </w:rPr>
        <w:t xml:space="preserve">373 del 2 de octubre de 2023. De esta forma, la Corte comprueba el cabal cumplimiento del requisito de anuncio previo respecto del proyecto de ley de la referencia. </w:t>
      </w:r>
    </w:p>
    <w:p w:rsidR="00624F3C" w:rsidRPr="0096658B" w:rsidRDefault="0096658B" w:rsidP="00624F3C">
      <w:pPr>
        <w:pStyle w:val="Prrafodelista"/>
        <w:rPr>
          <w:rFonts w:ascii="Times New Roman" w:hAnsi="Times New Roman" w:cs="Times New Roman"/>
          <w:color w:val="000000" w:themeColor="text1"/>
          <w:lang w:val="es-CO" w:eastAsia="es-CO"/>
        </w:rPr>
      </w:pPr>
    </w:p>
    <w:p w:rsidR="00965E8A" w:rsidRPr="0096658B" w:rsidRDefault="0096658B" w:rsidP="00337A19">
      <w:pPr>
        <w:pStyle w:val="Prrafodelista"/>
        <w:widowControl w:val="0"/>
        <w:numPr>
          <w:ilvl w:val="0"/>
          <w:numId w:val="5"/>
        </w:numPr>
        <w:shd w:val="clear" w:color="auto" w:fill="FFFFFF"/>
        <w:tabs>
          <w:tab w:val="left" w:pos="0"/>
        </w:tabs>
        <w:autoSpaceDE w:val="0"/>
        <w:autoSpaceDN w:val="0"/>
        <w:adjustRightInd w:val="0"/>
        <w:ind w:left="0" w:firstLine="0"/>
        <w:jc w:val="both"/>
        <w:rPr>
          <w:rFonts w:ascii="Times New Roman" w:hAnsi="Times New Roman" w:cs="Times New Roman"/>
          <w:color w:val="000000" w:themeColor="text1"/>
          <w:lang w:val="es-CO" w:eastAsia="es-CO"/>
        </w:rPr>
      </w:pPr>
      <w:r w:rsidRPr="0096658B">
        <w:rPr>
          <w:rFonts w:ascii="Times New Roman" w:hAnsi="Times New Roman" w:cs="Times New Roman"/>
          <w:i/>
          <w:iCs/>
          <w:color w:val="000000" w:themeColor="text1"/>
          <w:lang w:val="es-CO" w:eastAsia="es-CO"/>
        </w:rPr>
        <w:t>Qu</w:t>
      </w:r>
      <w:r w:rsidRPr="0096658B">
        <w:rPr>
          <w:rFonts w:ascii="Times New Roman" w:hAnsi="Times New Roman" w:cs="Times New Roman"/>
          <w:i/>
          <w:iCs/>
          <w:color w:val="000000" w:themeColor="text1"/>
          <w:lang w:val="es-CO" w:eastAsia="es-CO"/>
        </w:rPr>
        <w:t>o</w:t>
      </w:r>
      <w:r w:rsidRPr="0096658B">
        <w:rPr>
          <w:rFonts w:ascii="Times New Roman" w:hAnsi="Times New Roman" w:cs="Times New Roman"/>
          <w:i/>
          <w:iCs/>
          <w:color w:val="000000" w:themeColor="text1"/>
          <w:lang w:val="es-CO" w:eastAsia="es-CO"/>
        </w:rPr>
        <w:t>rum</w:t>
      </w:r>
      <w:r w:rsidRPr="0096658B">
        <w:rPr>
          <w:rFonts w:ascii="Times New Roman" w:hAnsi="Times New Roman" w:cs="Times New Roman"/>
          <w:i/>
          <w:iCs/>
          <w:color w:val="000000" w:themeColor="text1"/>
          <w:lang w:val="es-CO" w:eastAsia="es-CO"/>
        </w:rPr>
        <w:t>, mayor</w:t>
      </w:r>
      <w:r w:rsidRPr="0096658B">
        <w:rPr>
          <w:rFonts w:ascii="Times New Roman" w:hAnsi="Times New Roman" w:cs="Times New Roman"/>
          <w:i/>
          <w:iCs/>
          <w:color w:val="000000" w:themeColor="text1"/>
          <w:lang w:val="es-ES_tradnl" w:eastAsia="es-CO"/>
        </w:rPr>
        <w:t xml:space="preserve">ías y votación nominal. </w:t>
      </w:r>
      <w:r w:rsidRPr="0096658B">
        <w:rPr>
          <w:rFonts w:ascii="Times New Roman" w:hAnsi="Times New Roman" w:cs="Times New Roman"/>
          <w:color w:val="000000" w:themeColor="text1"/>
          <w:lang w:val="es-ES_tradnl" w:eastAsia="es-CO"/>
        </w:rPr>
        <w:t xml:space="preserve">El artículo 157 </w:t>
      </w:r>
      <w:r w:rsidRPr="0096658B">
        <w:rPr>
          <w:rFonts w:ascii="Times New Roman" w:hAnsi="Times New Roman" w:cs="Times New Roman"/>
          <w:color w:val="000000" w:themeColor="text1"/>
          <w:lang w:val="es-ES_tradnl" w:eastAsia="es-CO"/>
        </w:rPr>
        <w:t xml:space="preserve">de la Constitución determina que un </w:t>
      </w:r>
      <w:r w:rsidRPr="0096658B">
        <w:rPr>
          <w:rFonts w:ascii="Times New Roman" w:hAnsi="Times New Roman" w:cs="Times New Roman"/>
          <w:color w:val="000000" w:themeColor="text1"/>
          <w:lang w:val="es-ES_tradnl" w:eastAsia="es-CO"/>
        </w:rPr>
        <w:t xml:space="preserve">proyecto será ley cuando, entre otras condiciones, haya sido aprobado en primer debate en la correspondiente comisión permanente de cada cámara y en segundo debate en las respectivas plenarias. Análoga exigencia </w:t>
      </w:r>
      <w:r w:rsidRPr="0096658B">
        <w:rPr>
          <w:rFonts w:ascii="Times New Roman" w:hAnsi="Times New Roman" w:cs="Times New Roman"/>
          <w:color w:val="000000" w:themeColor="text1"/>
          <w:lang w:val="es-ES_tradnl" w:eastAsia="es-CO"/>
        </w:rPr>
        <w:t xml:space="preserve">se aplica </w:t>
      </w:r>
      <w:r w:rsidRPr="0096658B">
        <w:rPr>
          <w:rFonts w:ascii="Times New Roman" w:hAnsi="Times New Roman" w:cs="Times New Roman"/>
          <w:color w:val="000000" w:themeColor="text1"/>
          <w:lang w:val="es-ES_tradnl" w:eastAsia="es-CO"/>
        </w:rPr>
        <w:t xml:space="preserve">respecto de la etapa de conciliación, cuando ello resulte aplicable y en los términos del artículo 161 de la Constitución. </w:t>
      </w:r>
      <w:r w:rsidRPr="0096658B">
        <w:rPr>
          <w:rFonts w:ascii="Times New Roman" w:hAnsi="Times New Roman" w:cs="Times New Roman"/>
          <w:color w:val="000000" w:themeColor="text1"/>
          <w:lang w:val="es-ES_tradnl" w:eastAsia="es-CO"/>
        </w:rPr>
        <w:t xml:space="preserve">A su vez, el artículo 133 de la Constitución determina que el voto de los miembros de los cuerpos colegiados será nominal y público, </w:t>
      </w:r>
      <w:r w:rsidRPr="0096658B">
        <w:rPr>
          <w:rFonts w:ascii="Times New Roman" w:hAnsi="Times New Roman" w:cs="Times New Roman"/>
          <w:color w:val="000000" w:themeColor="text1"/>
          <w:lang w:val="es-ES_tradnl" w:eastAsia="es-CO"/>
        </w:rPr>
        <w:t>excepto</w:t>
      </w:r>
      <w:r w:rsidRPr="0096658B">
        <w:rPr>
          <w:rFonts w:ascii="Times New Roman" w:hAnsi="Times New Roman" w:cs="Times New Roman"/>
          <w:color w:val="000000" w:themeColor="text1"/>
          <w:lang w:val="es-ES_tradnl" w:eastAsia="es-CO"/>
        </w:rPr>
        <w:t xml:space="preserve"> en</w:t>
      </w:r>
      <w:r w:rsidRPr="0096658B">
        <w:rPr>
          <w:rFonts w:ascii="Times New Roman" w:hAnsi="Times New Roman" w:cs="Times New Roman"/>
          <w:color w:val="000000" w:themeColor="text1"/>
          <w:lang w:val="es-ES_tradnl" w:eastAsia="es-CO"/>
        </w:rPr>
        <w:t xml:space="preserve"> los casos que determine la ley. El artículo 130 del Reglamento del Congreso reconoce el carácter general de la votación nominal y permite que esta podrá adelantarse </w:t>
      </w:r>
      <w:r w:rsidRPr="0096658B">
        <w:rPr>
          <w:rFonts w:ascii="Times New Roman" w:hAnsi="Times New Roman" w:cs="Times New Roman"/>
          <w:color w:val="000000" w:themeColor="text1"/>
          <w:lang w:val="es-ES_tradnl" w:eastAsia="es-CO"/>
        </w:rPr>
        <w:t>mediante</w:t>
      </w:r>
      <w:r w:rsidRPr="0096658B">
        <w:rPr>
          <w:rFonts w:ascii="Times New Roman" w:hAnsi="Times New Roman" w:cs="Times New Roman"/>
          <w:color w:val="000000" w:themeColor="text1"/>
          <w:lang w:val="es-ES_tradnl" w:eastAsia="es-CO"/>
        </w:rPr>
        <w:t xml:space="preserve"> cualquier procedimiento electrónico que acredite el sentido del voto de</w:t>
      </w:r>
      <w:r w:rsidRPr="0096658B">
        <w:rPr>
          <w:rFonts w:ascii="Times New Roman" w:hAnsi="Times New Roman" w:cs="Times New Roman"/>
          <w:color w:val="000000" w:themeColor="text1"/>
          <w:lang w:val="es-ES_tradnl" w:eastAsia="es-CO"/>
        </w:rPr>
        <w:t xml:space="preserve"> cada congresista y el resultado de la votación. Si estos mecanismos no existiesen, la votación nominal se realizará mediante llamado a lista. </w:t>
      </w:r>
      <w:r w:rsidRPr="0096658B">
        <w:rPr>
          <w:rFonts w:ascii="Times New Roman" w:hAnsi="Times New Roman" w:cs="Times New Roman"/>
          <w:color w:val="000000" w:themeColor="text1"/>
          <w:lang w:val="es-ES_tradnl" w:eastAsia="es-CO"/>
        </w:rPr>
        <w:t>Estas previsiones deben, en el presente escenario, interpretarse de cara a lo dispuesto en el artículo 153 superi</w:t>
      </w:r>
      <w:r w:rsidRPr="0096658B">
        <w:rPr>
          <w:rFonts w:ascii="Times New Roman" w:hAnsi="Times New Roman" w:cs="Times New Roman"/>
          <w:color w:val="000000" w:themeColor="text1"/>
          <w:lang w:val="es-ES_tradnl" w:eastAsia="es-CO"/>
        </w:rPr>
        <w:t>or, que determina que la aprobación, modificación o derogación de las leyes estatutarias exige la mayoría absoluta</w:t>
      </w:r>
      <w:r w:rsidRPr="0096658B">
        <w:rPr>
          <w:rStyle w:val="Refdenotaalpie"/>
          <w:rFonts w:ascii="Times New Roman" w:hAnsi="Times New Roman"/>
          <w:color w:val="000000" w:themeColor="text1"/>
          <w:lang w:val="es-ES_tradnl" w:eastAsia="es-CO"/>
        </w:rPr>
        <w:footnoteReference w:id="33"/>
      </w:r>
      <w:r w:rsidRPr="0096658B">
        <w:rPr>
          <w:rFonts w:ascii="Times New Roman" w:hAnsi="Times New Roman" w:cs="Times New Roman"/>
          <w:color w:val="000000" w:themeColor="text1"/>
          <w:lang w:val="es-ES_tradnl" w:eastAsia="es-CO"/>
        </w:rPr>
        <w:t xml:space="preserve"> de los miembros del Congreso y deberá efectuarse en una sola legislatura.</w:t>
      </w:r>
    </w:p>
    <w:p w:rsidR="00624F3C" w:rsidRPr="0096658B" w:rsidRDefault="0096658B" w:rsidP="00965E8A">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color w:val="000000" w:themeColor="text1"/>
          <w:lang w:val="es-CO" w:eastAsia="es-CO"/>
        </w:rPr>
      </w:pPr>
      <w:r w:rsidRPr="0096658B">
        <w:rPr>
          <w:rFonts w:ascii="Times New Roman" w:hAnsi="Times New Roman" w:cs="Times New Roman"/>
          <w:color w:val="000000" w:themeColor="text1"/>
          <w:lang w:val="es-ES_tradnl" w:eastAsia="es-CO"/>
        </w:rPr>
        <w:t xml:space="preserve"> </w:t>
      </w:r>
    </w:p>
    <w:p w:rsidR="00965E8A" w:rsidRPr="0096658B" w:rsidRDefault="0096658B" w:rsidP="00337A19">
      <w:pPr>
        <w:pStyle w:val="Prrafodelista"/>
        <w:widowControl w:val="0"/>
        <w:numPr>
          <w:ilvl w:val="0"/>
          <w:numId w:val="5"/>
        </w:numPr>
        <w:shd w:val="clear" w:color="auto" w:fill="FFFFFF"/>
        <w:tabs>
          <w:tab w:val="left" w:pos="0"/>
        </w:tabs>
        <w:autoSpaceDE w:val="0"/>
        <w:autoSpaceDN w:val="0"/>
        <w:adjustRightInd w:val="0"/>
        <w:ind w:left="0" w:firstLine="0"/>
        <w:jc w:val="both"/>
        <w:rPr>
          <w:rFonts w:ascii="Times New Roman" w:hAnsi="Times New Roman" w:cs="Times New Roman"/>
          <w:color w:val="000000" w:themeColor="text1"/>
          <w:lang w:val="es-CO" w:eastAsia="es-CO"/>
        </w:rPr>
      </w:pPr>
      <w:r w:rsidRPr="0096658B">
        <w:rPr>
          <w:rFonts w:ascii="Times New Roman" w:hAnsi="Times New Roman" w:cs="Times New Roman"/>
          <w:color w:val="000000" w:themeColor="text1"/>
          <w:lang w:val="es-CO" w:eastAsia="es-CO"/>
        </w:rPr>
        <w:t xml:space="preserve">En relación con los </w:t>
      </w:r>
      <w:r w:rsidRPr="0096658B">
        <w:rPr>
          <w:rFonts w:ascii="Times New Roman" w:hAnsi="Times New Roman" w:cs="Times New Roman"/>
          <w:i/>
          <w:iCs/>
          <w:color w:val="000000" w:themeColor="text1"/>
          <w:lang w:val="es-CO" w:eastAsia="es-CO"/>
        </w:rPr>
        <w:t>qu</w:t>
      </w:r>
      <w:r w:rsidRPr="0096658B">
        <w:rPr>
          <w:rFonts w:ascii="Times New Roman" w:hAnsi="Times New Roman" w:cs="Times New Roman"/>
          <w:i/>
          <w:iCs/>
          <w:color w:val="000000" w:themeColor="text1"/>
          <w:lang w:val="es-CO" w:eastAsia="es-CO"/>
        </w:rPr>
        <w:t>o</w:t>
      </w:r>
      <w:r w:rsidRPr="0096658B">
        <w:rPr>
          <w:rFonts w:ascii="Times New Roman" w:hAnsi="Times New Roman" w:cs="Times New Roman"/>
          <w:i/>
          <w:iCs/>
          <w:color w:val="000000" w:themeColor="text1"/>
          <w:lang w:val="es-CO" w:eastAsia="es-CO"/>
        </w:rPr>
        <w:t>rum</w:t>
      </w:r>
      <w:r w:rsidRPr="0096658B">
        <w:rPr>
          <w:rFonts w:ascii="Times New Roman" w:hAnsi="Times New Roman" w:cs="Times New Roman"/>
          <w:color w:val="000000" w:themeColor="text1"/>
          <w:lang w:val="es-CO" w:eastAsia="es-CO"/>
        </w:rPr>
        <w:t xml:space="preserve"> y mayorías exigidas en cada etapa del</w:t>
      </w:r>
      <w:r w:rsidRPr="0096658B">
        <w:rPr>
          <w:rFonts w:ascii="Times New Roman" w:hAnsi="Times New Roman" w:cs="Times New Roman"/>
          <w:color w:val="000000" w:themeColor="text1"/>
          <w:lang w:val="es-CO" w:eastAsia="es-CO"/>
        </w:rPr>
        <w:t xml:space="preserve"> trámite, los requisitos de participación y votación son los siguientes:</w:t>
      </w:r>
    </w:p>
    <w:p w:rsidR="00965E8A" w:rsidRPr="0096658B" w:rsidRDefault="0096658B" w:rsidP="00965E8A">
      <w:pPr>
        <w:rPr>
          <w:rFonts w:ascii="Times New Roman" w:hAnsi="Times New Roman" w:cs="Times New Roman"/>
          <w:color w:val="000000" w:themeColor="text1"/>
          <w:sz w:val="28"/>
        </w:rPr>
      </w:pPr>
    </w:p>
    <w:p w:rsidR="003434AF" w:rsidRPr="0096658B" w:rsidRDefault="0096658B" w:rsidP="00965E8A">
      <w:pPr>
        <w:rPr>
          <w:rFonts w:ascii="Times New Roman" w:hAnsi="Times New Roman" w:cs="Times New Roman"/>
          <w:color w:val="000000" w:themeColor="text1"/>
          <w:sz w:val="28"/>
        </w:rPr>
      </w:pPr>
    </w:p>
    <w:tbl>
      <w:tblPr>
        <w:tblW w:w="0" w:type="auto"/>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3"/>
        <w:gridCol w:w="1567"/>
        <w:gridCol w:w="1991"/>
        <w:gridCol w:w="1773"/>
        <w:gridCol w:w="1748"/>
      </w:tblGrid>
      <w:tr w:rsidR="009F6B08" w:rsidRPr="0096658B" w:rsidTr="00337A19">
        <w:tc>
          <w:tcPr>
            <w:tcW w:w="1743" w:type="dxa"/>
            <w:shd w:val="clear" w:color="auto" w:fill="BFBFBF" w:themeFill="background1" w:themeFillShade="BF"/>
            <w:vAlign w:val="center"/>
          </w:tcPr>
          <w:p w:rsidR="00965E8A" w:rsidRPr="0096658B" w:rsidRDefault="0096658B" w:rsidP="00337A19">
            <w:pPr>
              <w:pStyle w:val="Style3"/>
              <w:spacing w:line="240" w:lineRule="auto"/>
              <w:jc w:val="center"/>
              <w:rPr>
                <w:rFonts w:ascii="Times New Roman" w:hAnsi="Times New Roman" w:cs="Times New Roman"/>
                <w:b/>
                <w:bCs/>
                <w:color w:val="000000" w:themeColor="text1"/>
                <w:sz w:val="28"/>
              </w:rPr>
            </w:pPr>
            <w:r w:rsidRPr="0096658B">
              <w:rPr>
                <w:rFonts w:ascii="Times New Roman" w:hAnsi="Times New Roman" w:cs="Times New Roman"/>
                <w:b/>
                <w:bCs/>
                <w:color w:val="000000" w:themeColor="text1"/>
                <w:sz w:val="28"/>
              </w:rPr>
              <w:t>Instancia</w:t>
            </w:r>
          </w:p>
        </w:tc>
        <w:tc>
          <w:tcPr>
            <w:tcW w:w="1567" w:type="dxa"/>
            <w:shd w:val="clear" w:color="auto" w:fill="BFBFBF" w:themeFill="background1" w:themeFillShade="BF"/>
            <w:vAlign w:val="center"/>
          </w:tcPr>
          <w:p w:rsidR="00965E8A" w:rsidRPr="0096658B" w:rsidRDefault="0096658B" w:rsidP="00337A19">
            <w:pPr>
              <w:pStyle w:val="Style3"/>
              <w:spacing w:line="240" w:lineRule="auto"/>
              <w:jc w:val="center"/>
              <w:rPr>
                <w:rFonts w:ascii="Times New Roman" w:hAnsi="Times New Roman" w:cs="Times New Roman"/>
                <w:b/>
                <w:bCs/>
                <w:color w:val="000000" w:themeColor="text1"/>
                <w:sz w:val="28"/>
              </w:rPr>
            </w:pPr>
            <w:r w:rsidRPr="0096658B">
              <w:rPr>
                <w:rFonts w:ascii="Times New Roman" w:hAnsi="Times New Roman" w:cs="Times New Roman"/>
                <w:b/>
                <w:bCs/>
                <w:color w:val="000000" w:themeColor="text1"/>
                <w:sz w:val="28"/>
              </w:rPr>
              <w:t>Número de integrantes</w:t>
            </w:r>
          </w:p>
        </w:tc>
        <w:tc>
          <w:tcPr>
            <w:tcW w:w="1991" w:type="dxa"/>
            <w:shd w:val="clear" w:color="auto" w:fill="BFBFBF" w:themeFill="background1" w:themeFillShade="BF"/>
            <w:vAlign w:val="center"/>
          </w:tcPr>
          <w:p w:rsidR="00965E8A" w:rsidRPr="0096658B" w:rsidRDefault="0096658B" w:rsidP="00337A19">
            <w:pPr>
              <w:pStyle w:val="Style3"/>
              <w:spacing w:line="240" w:lineRule="auto"/>
              <w:jc w:val="center"/>
              <w:rPr>
                <w:rFonts w:ascii="Times New Roman" w:hAnsi="Times New Roman" w:cs="Times New Roman"/>
                <w:b/>
                <w:bCs/>
                <w:color w:val="000000" w:themeColor="text1"/>
                <w:sz w:val="28"/>
              </w:rPr>
            </w:pPr>
            <w:r w:rsidRPr="0096658B">
              <w:rPr>
                <w:rFonts w:ascii="Times New Roman" w:hAnsi="Times New Roman" w:cs="Times New Roman"/>
                <w:b/>
                <w:bCs/>
                <w:color w:val="000000" w:themeColor="text1"/>
                <w:sz w:val="28"/>
              </w:rPr>
              <w:t>Quórum deliberatorio</w:t>
            </w:r>
            <w:r w:rsidRPr="0096658B">
              <w:rPr>
                <w:rStyle w:val="Refdenotaalpie"/>
                <w:rFonts w:ascii="Times New Roman" w:hAnsi="Times New Roman"/>
                <w:b/>
                <w:bCs/>
                <w:color w:val="000000" w:themeColor="text1"/>
                <w:sz w:val="28"/>
              </w:rPr>
              <w:footnoteReference w:id="34"/>
            </w:r>
          </w:p>
        </w:tc>
        <w:tc>
          <w:tcPr>
            <w:tcW w:w="1773" w:type="dxa"/>
            <w:shd w:val="clear" w:color="auto" w:fill="BFBFBF" w:themeFill="background1" w:themeFillShade="BF"/>
            <w:vAlign w:val="center"/>
          </w:tcPr>
          <w:p w:rsidR="00965E8A" w:rsidRPr="0096658B" w:rsidRDefault="0096658B" w:rsidP="00337A19">
            <w:pPr>
              <w:pStyle w:val="Style3"/>
              <w:spacing w:line="240" w:lineRule="auto"/>
              <w:jc w:val="center"/>
              <w:rPr>
                <w:rFonts w:ascii="Times New Roman" w:hAnsi="Times New Roman" w:cs="Times New Roman"/>
                <w:b/>
                <w:bCs/>
                <w:color w:val="000000" w:themeColor="text1"/>
                <w:sz w:val="28"/>
              </w:rPr>
            </w:pPr>
            <w:r w:rsidRPr="0096658B">
              <w:rPr>
                <w:rFonts w:ascii="Times New Roman" w:hAnsi="Times New Roman" w:cs="Times New Roman"/>
                <w:b/>
                <w:bCs/>
                <w:color w:val="000000" w:themeColor="text1"/>
                <w:sz w:val="28"/>
              </w:rPr>
              <w:t>Quórum decisorio</w:t>
            </w:r>
            <w:r w:rsidRPr="0096658B">
              <w:rPr>
                <w:rStyle w:val="Refdenotaalpie"/>
                <w:rFonts w:ascii="Times New Roman" w:hAnsi="Times New Roman"/>
                <w:b/>
                <w:bCs/>
                <w:color w:val="000000" w:themeColor="text1"/>
                <w:sz w:val="28"/>
              </w:rPr>
              <w:footnoteReference w:id="35"/>
            </w:r>
          </w:p>
        </w:tc>
        <w:tc>
          <w:tcPr>
            <w:tcW w:w="1748" w:type="dxa"/>
            <w:shd w:val="clear" w:color="auto" w:fill="BFBFBF" w:themeFill="background1" w:themeFillShade="BF"/>
            <w:vAlign w:val="center"/>
          </w:tcPr>
          <w:p w:rsidR="00965E8A" w:rsidRPr="0096658B" w:rsidRDefault="0096658B" w:rsidP="00337A19">
            <w:pPr>
              <w:pStyle w:val="Style3"/>
              <w:spacing w:line="240" w:lineRule="auto"/>
              <w:jc w:val="center"/>
              <w:rPr>
                <w:rFonts w:ascii="Times New Roman" w:hAnsi="Times New Roman" w:cs="Times New Roman"/>
                <w:b/>
                <w:bCs/>
                <w:color w:val="000000" w:themeColor="text1"/>
                <w:sz w:val="28"/>
              </w:rPr>
            </w:pPr>
            <w:r w:rsidRPr="0096658B">
              <w:rPr>
                <w:rFonts w:ascii="Times New Roman" w:hAnsi="Times New Roman" w:cs="Times New Roman"/>
                <w:b/>
                <w:bCs/>
                <w:color w:val="000000" w:themeColor="text1"/>
                <w:sz w:val="28"/>
              </w:rPr>
              <w:t>Mayoría absoluta</w:t>
            </w:r>
            <w:r w:rsidRPr="0096658B">
              <w:rPr>
                <w:rStyle w:val="Refdenotaalpie"/>
                <w:rFonts w:ascii="Times New Roman" w:hAnsi="Times New Roman"/>
                <w:b/>
                <w:bCs/>
                <w:color w:val="000000" w:themeColor="text1"/>
                <w:sz w:val="28"/>
              </w:rPr>
              <w:footnoteReference w:id="36"/>
            </w:r>
          </w:p>
        </w:tc>
      </w:tr>
      <w:tr w:rsidR="009F6B08" w:rsidRPr="0096658B" w:rsidTr="00337A19">
        <w:tc>
          <w:tcPr>
            <w:tcW w:w="1743" w:type="dxa"/>
            <w:shd w:val="clear" w:color="auto" w:fill="auto"/>
            <w:vAlign w:val="center"/>
          </w:tcPr>
          <w:p w:rsidR="00965E8A" w:rsidRPr="0096658B" w:rsidRDefault="0096658B" w:rsidP="00337A19">
            <w:pPr>
              <w:pStyle w:val="Style3"/>
              <w:spacing w:line="240" w:lineRule="auto"/>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Comisión Primera del Senado</w:t>
            </w:r>
          </w:p>
        </w:tc>
        <w:tc>
          <w:tcPr>
            <w:tcW w:w="1567" w:type="dxa"/>
            <w:shd w:val="clear" w:color="auto" w:fill="auto"/>
            <w:vAlign w:val="center"/>
          </w:tcPr>
          <w:p w:rsidR="00965E8A" w:rsidRPr="0096658B" w:rsidRDefault="0096658B" w:rsidP="00337A19">
            <w:pPr>
              <w:pStyle w:val="Style3"/>
              <w:spacing w:line="240" w:lineRule="auto"/>
              <w:jc w:val="center"/>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22</w:t>
            </w:r>
          </w:p>
        </w:tc>
        <w:tc>
          <w:tcPr>
            <w:tcW w:w="1991" w:type="dxa"/>
            <w:shd w:val="clear" w:color="auto" w:fill="auto"/>
            <w:vAlign w:val="center"/>
          </w:tcPr>
          <w:p w:rsidR="00965E8A" w:rsidRPr="0096658B" w:rsidRDefault="0096658B" w:rsidP="00337A19">
            <w:pPr>
              <w:pStyle w:val="Style3"/>
              <w:spacing w:line="240" w:lineRule="auto"/>
              <w:jc w:val="center"/>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5</w:t>
            </w:r>
          </w:p>
        </w:tc>
        <w:tc>
          <w:tcPr>
            <w:tcW w:w="1773" w:type="dxa"/>
            <w:shd w:val="clear" w:color="auto" w:fill="auto"/>
            <w:vAlign w:val="center"/>
          </w:tcPr>
          <w:p w:rsidR="00965E8A" w:rsidRPr="0096658B" w:rsidRDefault="0096658B" w:rsidP="00337A19">
            <w:pPr>
              <w:pStyle w:val="Style3"/>
              <w:spacing w:line="240" w:lineRule="auto"/>
              <w:jc w:val="center"/>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12</w:t>
            </w:r>
          </w:p>
        </w:tc>
        <w:tc>
          <w:tcPr>
            <w:tcW w:w="1748" w:type="dxa"/>
            <w:shd w:val="clear" w:color="auto" w:fill="auto"/>
            <w:vAlign w:val="center"/>
          </w:tcPr>
          <w:p w:rsidR="00965E8A" w:rsidRPr="0096658B" w:rsidRDefault="0096658B" w:rsidP="00337A19">
            <w:pPr>
              <w:pStyle w:val="Style3"/>
              <w:spacing w:line="240" w:lineRule="auto"/>
              <w:jc w:val="center"/>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12</w:t>
            </w:r>
          </w:p>
        </w:tc>
      </w:tr>
      <w:tr w:rsidR="009F6B08" w:rsidRPr="0096658B" w:rsidTr="00337A19">
        <w:tc>
          <w:tcPr>
            <w:tcW w:w="1743" w:type="dxa"/>
            <w:shd w:val="clear" w:color="auto" w:fill="auto"/>
            <w:vAlign w:val="center"/>
          </w:tcPr>
          <w:p w:rsidR="00965E8A" w:rsidRPr="0096658B" w:rsidRDefault="0096658B" w:rsidP="00337A19">
            <w:pPr>
              <w:pStyle w:val="Style3"/>
              <w:spacing w:line="240" w:lineRule="auto"/>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Plenaria del Senado</w:t>
            </w:r>
          </w:p>
        </w:tc>
        <w:tc>
          <w:tcPr>
            <w:tcW w:w="1567" w:type="dxa"/>
            <w:shd w:val="clear" w:color="auto" w:fill="auto"/>
            <w:vAlign w:val="center"/>
          </w:tcPr>
          <w:p w:rsidR="00965E8A" w:rsidRPr="0096658B" w:rsidRDefault="0096658B" w:rsidP="00337A19">
            <w:pPr>
              <w:pStyle w:val="Style3"/>
              <w:spacing w:line="240" w:lineRule="auto"/>
              <w:jc w:val="center"/>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108</w:t>
            </w:r>
          </w:p>
        </w:tc>
        <w:tc>
          <w:tcPr>
            <w:tcW w:w="1991" w:type="dxa"/>
            <w:shd w:val="clear" w:color="auto" w:fill="auto"/>
            <w:vAlign w:val="center"/>
          </w:tcPr>
          <w:p w:rsidR="00965E8A" w:rsidRPr="0096658B" w:rsidRDefault="0096658B" w:rsidP="00337A19">
            <w:pPr>
              <w:pStyle w:val="Style3"/>
              <w:spacing w:line="240" w:lineRule="auto"/>
              <w:jc w:val="center"/>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27</w:t>
            </w:r>
          </w:p>
        </w:tc>
        <w:tc>
          <w:tcPr>
            <w:tcW w:w="1773" w:type="dxa"/>
            <w:shd w:val="clear" w:color="auto" w:fill="auto"/>
            <w:vAlign w:val="center"/>
          </w:tcPr>
          <w:p w:rsidR="00965E8A" w:rsidRPr="0096658B" w:rsidRDefault="0096658B" w:rsidP="00337A19">
            <w:pPr>
              <w:pStyle w:val="Style3"/>
              <w:spacing w:line="240" w:lineRule="auto"/>
              <w:jc w:val="center"/>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55</w:t>
            </w:r>
          </w:p>
        </w:tc>
        <w:tc>
          <w:tcPr>
            <w:tcW w:w="1748" w:type="dxa"/>
            <w:shd w:val="clear" w:color="auto" w:fill="auto"/>
            <w:vAlign w:val="center"/>
          </w:tcPr>
          <w:p w:rsidR="00965E8A" w:rsidRPr="0096658B" w:rsidRDefault="0096658B" w:rsidP="00337A19">
            <w:pPr>
              <w:pStyle w:val="Style3"/>
              <w:spacing w:line="240" w:lineRule="auto"/>
              <w:jc w:val="center"/>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55</w:t>
            </w:r>
          </w:p>
        </w:tc>
      </w:tr>
      <w:tr w:rsidR="009F6B08" w:rsidRPr="0096658B" w:rsidTr="00337A19">
        <w:tc>
          <w:tcPr>
            <w:tcW w:w="1743" w:type="dxa"/>
            <w:tcBorders>
              <w:top w:val="single" w:sz="4" w:space="0" w:color="auto"/>
              <w:left w:val="single" w:sz="4" w:space="0" w:color="auto"/>
              <w:bottom w:val="single" w:sz="4" w:space="0" w:color="auto"/>
              <w:right w:val="single" w:sz="4" w:space="0" w:color="auto"/>
            </w:tcBorders>
            <w:shd w:val="clear" w:color="auto" w:fill="auto"/>
            <w:vAlign w:val="center"/>
          </w:tcPr>
          <w:p w:rsidR="008644BE" w:rsidRPr="0096658B" w:rsidRDefault="0096658B" w:rsidP="00337A19">
            <w:pPr>
              <w:pStyle w:val="Style3"/>
              <w:spacing w:line="240" w:lineRule="auto"/>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Comisión Primera</w:t>
            </w:r>
            <w:r w:rsidRPr="0096658B">
              <w:rPr>
                <w:rFonts w:ascii="Times New Roman" w:hAnsi="Times New Roman" w:cs="Times New Roman"/>
                <w:color w:val="000000" w:themeColor="text1"/>
                <w:sz w:val="28"/>
              </w:rPr>
              <w:t xml:space="preserve"> de la Cámara</w:t>
            </w:r>
          </w:p>
        </w:tc>
        <w:tc>
          <w:tcPr>
            <w:tcW w:w="1567" w:type="dxa"/>
            <w:tcBorders>
              <w:top w:val="single" w:sz="4" w:space="0" w:color="auto"/>
              <w:left w:val="single" w:sz="4" w:space="0" w:color="auto"/>
              <w:bottom w:val="single" w:sz="4" w:space="0" w:color="auto"/>
              <w:right w:val="single" w:sz="4" w:space="0" w:color="auto"/>
            </w:tcBorders>
            <w:shd w:val="clear" w:color="auto" w:fill="auto"/>
            <w:vAlign w:val="center"/>
          </w:tcPr>
          <w:p w:rsidR="008644BE" w:rsidRPr="0096658B" w:rsidRDefault="0096658B" w:rsidP="00337A19">
            <w:pPr>
              <w:pStyle w:val="Style3"/>
              <w:spacing w:line="240" w:lineRule="auto"/>
              <w:jc w:val="center"/>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41</w:t>
            </w:r>
            <w:r w:rsidRPr="0096658B">
              <w:rPr>
                <w:rFonts w:ascii="Times New Roman" w:hAnsi="Times New Roman" w:cs="Times New Roman"/>
                <w:color w:val="000000" w:themeColor="text1"/>
                <w:sz w:val="28"/>
                <w:vertAlign w:val="superscript"/>
              </w:rPr>
              <w:footnoteReference w:id="37"/>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tcPr>
          <w:p w:rsidR="008644BE" w:rsidRPr="0096658B" w:rsidRDefault="0096658B" w:rsidP="00337A19">
            <w:pPr>
              <w:pStyle w:val="Style3"/>
              <w:spacing w:line="240" w:lineRule="auto"/>
              <w:jc w:val="center"/>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10</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tcPr>
          <w:p w:rsidR="008644BE" w:rsidRPr="0096658B" w:rsidRDefault="0096658B" w:rsidP="00337A19">
            <w:pPr>
              <w:pStyle w:val="Style3"/>
              <w:spacing w:line="240" w:lineRule="auto"/>
              <w:jc w:val="center"/>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21</w:t>
            </w:r>
          </w:p>
        </w:tc>
        <w:tc>
          <w:tcPr>
            <w:tcW w:w="1748" w:type="dxa"/>
            <w:tcBorders>
              <w:top w:val="single" w:sz="4" w:space="0" w:color="auto"/>
              <w:left w:val="single" w:sz="4" w:space="0" w:color="auto"/>
              <w:bottom w:val="single" w:sz="4" w:space="0" w:color="auto"/>
              <w:right w:val="single" w:sz="4" w:space="0" w:color="auto"/>
            </w:tcBorders>
            <w:shd w:val="clear" w:color="auto" w:fill="auto"/>
            <w:vAlign w:val="center"/>
          </w:tcPr>
          <w:p w:rsidR="008644BE" w:rsidRPr="0096658B" w:rsidRDefault="0096658B" w:rsidP="00337A19">
            <w:pPr>
              <w:pStyle w:val="Style3"/>
              <w:spacing w:line="240" w:lineRule="auto"/>
              <w:jc w:val="center"/>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21</w:t>
            </w:r>
          </w:p>
        </w:tc>
      </w:tr>
      <w:tr w:rsidR="00F41598" w:rsidRPr="0096658B" w:rsidTr="00F41598">
        <w:tc>
          <w:tcPr>
            <w:tcW w:w="1743" w:type="dxa"/>
            <w:tcBorders>
              <w:top w:val="single" w:sz="4" w:space="0" w:color="auto"/>
              <w:left w:val="single" w:sz="4" w:space="0" w:color="auto"/>
              <w:bottom w:val="single" w:sz="4" w:space="0" w:color="auto"/>
              <w:right w:val="single" w:sz="4" w:space="0" w:color="auto"/>
            </w:tcBorders>
            <w:shd w:val="clear" w:color="auto" w:fill="auto"/>
            <w:vAlign w:val="center"/>
          </w:tcPr>
          <w:p w:rsidR="008644BE" w:rsidRPr="0096658B" w:rsidRDefault="0096658B" w:rsidP="00337A19">
            <w:pPr>
              <w:pStyle w:val="Style3"/>
              <w:spacing w:line="240" w:lineRule="auto"/>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Plenaria de la Cámara</w:t>
            </w:r>
          </w:p>
        </w:tc>
        <w:tc>
          <w:tcPr>
            <w:tcW w:w="1567" w:type="dxa"/>
            <w:tcBorders>
              <w:top w:val="single" w:sz="4" w:space="0" w:color="auto"/>
              <w:left w:val="single" w:sz="4" w:space="0" w:color="auto"/>
              <w:bottom w:val="single" w:sz="4" w:space="0" w:color="auto"/>
              <w:right w:val="single" w:sz="4" w:space="0" w:color="auto"/>
            </w:tcBorders>
            <w:shd w:val="clear" w:color="auto" w:fill="auto"/>
            <w:vAlign w:val="center"/>
          </w:tcPr>
          <w:p w:rsidR="008644BE" w:rsidRPr="0096658B" w:rsidRDefault="0096658B" w:rsidP="00337A19">
            <w:pPr>
              <w:pStyle w:val="Style3"/>
              <w:spacing w:line="240" w:lineRule="auto"/>
              <w:jc w:val="center"/>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1</w:t>
            </w:r>
            <w:r w:rsidRPr="0096658B">
              <w:rPr>
                <w:rFonts w:ascii="Times New Roman" w:hAnsi="Times New Roman" w:cs="Times New Roman"/>
                <w:color w:val="000000" w:themeColor="text1"/>
                <w:sz w:val="28"/>
              </w:rPr>
              <w:t>87</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tcPr>
          <w:p w:rsidR="008644BE" w:rsidRPr="0096658B" w:rsidRDefault="0096658B" w:rsidP="00337A19">
            <w:pPr>
              <w:pStyle w:val="Style3"/>
              <w:spacing w:line="240" w:lineRule="auto"/>
              <w:jc w:val="center"/>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46</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tcPr>
          <w:p w:rsidR="008644BE" w:rsidRPr="0096658B" w:rsidRDefault="0096658B" w:rsidP="00337A19">
            <w:pPr>
              <w:pStyle w:val="Style3"/>
              <w:spacing w:line="240" w:lineRule="auto"/>
              <w:jc w:val="center"/>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94</w:t>
            </w:r>
          </w:p>
        </w:tc>
        <w:tc>
          <w:tcPr>
            <w:tcW w:w="1748" w:type="dxa"/>
            <w:tcBorders>
              <w:top w:val="single" w:sz="4" w:space="0" w:color="auto"/>
              <w:left w:val="single" w:sz="4" w:space="0" w:color="auto"/>
              <w:bottom w:val="single" w:sz="4" w:space="0" w:color="auto"/>
              <w:right w:val="single" w:sz="4" w:space="0" w:color="auto"/>
            </w:tcBorders>
            <w:shd w:val="clear" w:color="auto" w:fill="auto"/>
            <w:vAlign w:val="center"/>
          </w:tcPr>
          <w:p w:rsidR="008644BE" w:rsidRPr="0096658B" w:rsidRDefault="0096658B" w:rsidP="00337A19">
            <w:pPr>
              <w:pStyle w:val="Style3"/>
              <w:spacing w:line="240" w:lineRule="auto"/>
              <w:jc w:val="center"/>
              <w:rPr>
                <w:rFonts w:ascii="Times New Roman" w:hAnsi="Times New Roman" w:cs="Times New Roman"/>
                <w:color w:val="000000" w:themeColor="text1"/>
                <w:sz w:val="28"/>
              </w:rPr>
            </w:pPr>
            <w:r w:rsidRPr="0096658B">
              <w:rPr>
                <w:rFonts w:ascii="Times New Roman" w:hAnsi="Times New Roman" w:cs="Times New Roman"/>
                <w:color w:val="000000" w:themeColor="text1"/>
                <w:sz w:val="28"/>
              </w:rPr>
              <w:t>94</w:t>
            </w:r>
          </w:p>
        </w:tc>
      </w:tr>
    </w:tbl>
    <w:p w:rsidR="00965E8A" w:rsidRPr="0096658B" w:rsidRDefault="0096658B" w:rsidP="00965E8A">
      <w:pPr>
        <w:rPr>
          <w:rFonts w:ascii="Times New Roman" w:hAnsi="Times New Roman" w:cs="Times New Roman"/>
          <w:color w:val="000000" w:themeColor="text1"/>
          <w:sz w:val="28"/>
        </w:rPr>
      </w:pPr>
    </w:p>
    <w:p w:rsidR="00811F4A" w:rsidRPr="0096658B" w:rsidRDefault="0096658B" w:rsidP="00337A19">
      <w:pPr>
        <w:pStyle w:val="Prrafodelista"/>
        <w:widowControl w:val="0"/>
        <w:numPr>
          <w:ilvl w:val="0"/>
          <w:numId w:val="5"/>
        </w:numPr>
        <w:shd w:val="clear" w:color="auto" w:fill="FFFFFF"/>
        <w:tabs>
          <w:tab w:val="left" w:pos="0"/>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CO" w:eastAsia="es-CO"/>
        </w:rPr>
        <w:t>E</w:t>
      </w:r>
      <w:r w:rsidRPr="0096658B">
        <w:rPr>
          <w:rFonts w:ascii="Times New Roman" w:hAnsi="Times New Roman" w:cs="Times New Roman"/>
          <w:color w:val="000000" w:themeColor="text1"/>
          <w:lang w:val="es-CO" w:eastAsia="es-CO"/>
        </w:rPr>
        <w:t>l debate y votación del PLE en la Comisión Primera del Senado de la República</w:t>
      </w:r>
      <w:r w:rsidRPr="0096658B">
        <w:rPr>
          <w:rFonts w:ascii="Times New Roman" w:hAnsi="Times New Roman" w:cs="Times New Roman"/>
          <w:color w:val="000000" w:themeColor="text1"/>
          <w:lang w:val="es-CO" w:eastAsia="es-CO"/>
        </w:rPr>
        <w:t xml:space="preserve"> fue desarrollada en la sesión de 18 de abril de 2022, de la que da cuenta el acta número 18 de la misma fecha, publicada en la Gaceta del Congreso 95 de 2023. </w:t>
      </w:r>
      <w:r w:rsidRPr="0096658B">
        <w:rPr>
          <w:rFonts w:ascii="Times New Roman" w:hAnsi="Times New Roman" w:cs="Times New Roman"/>
          <w:color w:val="000000" w:themeColor="text1"/>
          <w:lang w:val="es-CO" w:eastAsia="es-CO"/>
        </w:rPr>
        <w:t xml:space="preserve">Al inicio de la sesión respondieron a lista siete senadores y luego, en el transcurso de </w:t>
      </w:r>
      <w:r w:rsidRPr="0096658B">
        <w:rPr>
          <w:rFonts w:ascii="Times New Roman" w:hAnsi="Times New Roman" w:cs="Times New Roman"/>
          <w:color w:val="000000" w:themeColor="text1"/>
          <w:lang w:val="es-CO" w:eastAsia="es-CO"/>
        </w:rPr>
        <w:t>esta</w:t>
      </w:r>
      <w:r w:rsidRPr="0096658B">
        <w:rPr>
          <w:rFonts w:ascii="Times New Roman" w:hAnsi="Times New Roman" w:cs="Times New Roman"/>
          <w:color w:val="000000" w:themeColor="text1"/>
          <w:lang w:val="es-CO" w:eastAsia="es-CO"/>
        </w:rPr>
        <w:t>,</w:t>
      </w:r>
      <w:r w:rsidRPr="0096658B">
        <w:rPr>
          <w:rFonts w:ascii="Times New Roman" w:hAnsi="Times New Roman" w:cs="Times New Roman"/>
          <w:color w:val="000000" w:themeColor="text1"/>
          <w:lang w:val="es-CO" w:eastAsia="es-CO"/>
        </w:rPr>
        <w:t xml:space="preserve"> s</w:t>
      </w:r>
      <w:r w:rsidRPr="0096658B">
        <w:rPr>
          <w:rFonts w:ascii="Times New Roman" w:hAnsi="Times New Roman" w:cs="Times New Roman"/>
          <w:color w:val="000000" w:themeColor="text1"/>
          <w:lang w:val="es-CO" w:eastAsia="es-CO"/>
        </w:rPr>
        <w:t xml:space="preserve">e hicieron presentes 12 senadores más, conformándose así </w:t>
      </w:r>
      <w:r w:rsidRPr="0096658B">
        <w:rPr>
          <w:rFonts w:ascii="Times New Roman" w:hAnsi="Times New Roman" w:cs="Times New Roman"/>
          <w:i/>
          <w:iCs/>
          <w:color w:val="000000" w:themeColor="text1"/>
          <w:lang w:val="es-CO" w:eastAsia="es-CO"/>
        </w:rPr>
        <w:t>qu</w:t>
      </w:r>
      <w:r w:rsidRPr="0096658B">
        <w:rPr>
          <w:rFonts w:ascii="Times New Roman" w:hAnsi="Times New Roman" w:cs="Times New Roman"/>
          <w:i/>
          <w:iCs/>
          <w:color w:val="000000" w:themeColor="text1"/>
          <w:lang w:val="es-CO" w:eastAsia="es-CO"/>
        </w:rPr>
        <w:t>o</w:t>
      </w:r>
      <w:r w:rsidRPr="0096658B">
        <w:rPr>
          <w:rFonts w:ascii="Times New Roman" w:hAnsi="Times New Roman" w:cs="Times New Roman"/>
          <w:i/>
          <w:iCs/>
          <w:color w:val="000000" w:themeColor="text1"/>
          <w:lang w:val="es-CO" w:eastAsia="es-CO"/>
        </w:rPr>
        <w:t>rum</w:t>
      </w:r>
      <w:r w:rsidRPr="0096658B">
        <w:rPr>
          <w:rFonts w:ascii="Times New Roman" w:hAnsi="Times New Roman" w:cs="Times New Roman"/>
          <w:color w:val="000000" w:themeColor="text1"/>
          <w:lang w:val="es-CO" w:eastAsia="es-CO"/>
        </w:rPr>
        <w:t xml:space="preserve"> decisorio de 19 integrantes de la comisión</w:t>
      </w:r>
      <w:r w:rsidRPr="0096658B">
        <w:rPr>
          <w:rStyle w:val="Refdenotaalpie"/>
          <w:rFonts w:ascii="Times New Roman" w:hAnsi="Times New Roman"/>
          <w:color w:val="000000" w:themeColor="text1"/>
          <w:lang w:val="es-CO" w:eastAsia="es-CO"/>
        </w:rPr>
        <w:footnoteReference w:id="38"/>
      </w:r>
      <w:r w:rsidRPr="0096658B">
        <w:rPr>
          <w:rFonts w:ascii="Times New Roman" w:hAnsi="Times New Roman" w:cs="Times New Roman"/>
          <w:color w:val="000000" w:themeColor="text1"/>
          <w:lang w:val="es-CO" w:eastAsia="es-CO"/>
        </w:rPr>
        <w:t>.</w:t>
      </w:r>
    </w:p>
    <w:p w:rsidR="000F0E4C" w:rsidRPr="0096658B" w:rsidRDefault="0096658B" w:rsidP="000F0E4C">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color w:val="000000" w:themeColor="text1"/>
          <w:lang w:val="es-ES_tradnl"/>
        </w:rPr>
      </w:pPr>
    </w:p>
    <w:p w:rsidR="009E215D"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CO" w:eastAsia="es-CO"/>
        </w:rPr>
        <w:t xml:space="preserve">Luego de la intervención de la senadora ponente María José Pizarro Rodríguez, </w:t>
      </w:r>
      <w:r w:rsidRPr="0096658B">
        <w:rPr>
          <w:rFonts w:ascii="Times New Roman" w:hAnsi="Times New Roman" w:cs="Times New Roman"/>
          <w:color w:val="000000" w:themeColor="text1"/>
          <w:lang w:val="es-CO" w:eastAsia="es-CO"/>
        </w:rPr>
        <w:t>la presidencia sometió a votación la proposición positiva con la</w:t>
      </w:r>
      <w:r w:rsidRPr="0096658B">
        <w:rPr>
          <w:rFonts w:ascii="Times New Roman" w:hAnsi="Times New Roman" w:cs="Times New Roman"/>
          <w:color w:val="000000" w:themeColor="text1"/>
          <w:lang w:val="es-CO" w:eastAsia="es-CO"/>
        </w:rPr>
        <w:t xml:space="preserve"> que</w:t>
      </w:r>
      <w:r w:rsidRPr="0096658B">
        <w:rPr>
          <w:rFonts w:ascii="Times New Roman" w:hAnsi="Times New Roman" w:cs="Times New Roman"/>
          <w:color w:val="000000" w:themeColor="text1"/>
          <w:lang w:val="es-CO" w:eastAsia="es-CO"/>
        </w:rPr>
        <w:t xml:space="preserve"> terminaba el informe de ponencia, la cual</w:t>
      </w:r>
      <w:r w:rsidRPr="0096658B">
        <w:rPr>
          <w:rFonts w:ascii="Times New Roman" w:hAnsi="Times New Roman" w:cs="Times New Roman"/>
          <w:color w:val="000000" w:themeColor="text1"/>
          <w:lang w:val="es-CO" w:eastAsia="es-CO"/>
        </w:rPr>
        <w:t xml:space="preserve"> fue aprobada mediante</w:t>
      </w:r>
      <w:r w:rsidRPr="0096658B">
        <w:rPr>
          <w:rFonts w:ascii="Times New Roman" w:hAnsi="Times New Roman" w:cs="Times New Roman"/>
          <w:color w:val="000000" w:themeColor="text1"/>
          <w:lang w:val="es-CO" w:eastAsia="es-CO"/>
        </w:rPr>
        <w:t xml:space="preserve"> </w:t>
      </w:r>
      <w:r w:rsidRPr="0096658B">
        <w:rPr>
          <w:rFonts w:ascii="Times New Roman" w:hAnsi="Times New Roman" w:cs="Times New Roman"/>
          <w:color w:val="000000" w:themeColor="text1"/>
          <w:lang w:val="es-CO" w:eastAsia="es-CO"/>
        </w:rPr>
        <w:t>votación nominal y pública</w:t>
      </w:r>
      <w:r w:rsidRPr="0096658B">
        <w:rPr>
          <w:rFonts w:ascii="Times New Roman" w:hAnsi="Times New Roman" w:cs="Times New Roman"/>
          <w:color w:val="000000" w:themeColor="text1"/>
          <w:lang w:val="es-CO" w:eastAsia="es-CO"/>
        </w:rPr>
        <w:t xml:space="preserve"> con 13 votos a favor y ninguno en contra</w:t>
      </w:r>
      <w:r w:rsidRPr="0096658B">
        <w:rPr>
          <w:rStyle w:val="Refdenotaalpie"/>
          <w:rFonts w:ascii="Times New Roman" w:hAnsi="Times New Roman"/>
          <w:color w:val="000000" w:themeColor="text1"/>
          <w:lang w:val="es-CO" w:eastAsia="es-CO"/>
        </w:rPr>
        <w:footnoteReference w:id="39"/>
      </w:r>
      <w:r w:rsidRPr="0096658B">
        <w:rPr>
          <w:rFonts w:ascii="Times New Roman" w:hAnsi="Times New Roman" w:cs="Times New Roman"/>
          <w:color w:val="000000" w:themeColor="text1"/>
          <w:lang w:val="es-CO" w:eastAsia="es-CO"/>
        </w:rPr>
        <w:t>.</w:t>
      </w:r>
      <w:r w:rsidRPr="0096658B">
        <w:rPr>
          <w:rFonts w:ascii="Times New Roman" w:hAnsi="Times New Roman" w:cs="Times New Roman"/>
          <w:color w:val="000000" w:themeColor="text1"/>
          <w:lang w:val="es-CO" w:eastAsia="es-CO"/>
        </w:rPr>
        <w:t xml:space="preserve"> Por ende, fue aprobada por mayoría absoluta. Abierta la discusión del proyecto, los congresistas decidieron dejar sus proposiciones como constancias, de modo que la presidencia de la Comisión sometió a votación el articulado contenido en el informe de pon</w:t>
      </w:r>
      <w:r w:rsidRPr="0096658B">
        <w:rPr>
          <w:rFonts w:ascii="Times New Roman" w:hAnsi="Times New Roman" w:cs="Times New Roman"/>
          <w:color w:val="000000" w:themeColor="text1"/>
          <w:lang w:val="es-CO" w:eastAsia="es-CO"/>
        </w:rPr>
        <w:t>encia y que correspondía al proyecto original. Este fue aprobado mediante votación nominal y pública con 14 votos a favor y ninguno en contra</w:t>
      </w:r>
      <w:r w:rsidRPr="0096658B">
        <w:rPr>
          <w:rStyle w:val="Refdenotaalpie"/>
          <w:rFonts w:ascii="Times New Roman" w:hAnsi="Times New Roman"/>
          <w:color w:val="000000" w:themeColor="text1"/>
          <w:lang w:val="es-CO" w:eastAsia="es-CO"/>
        </w:rPr>
        <w:footnoteReference w:id="40"/>
      </w:r>
      <w:r w:rsidRPr="0096658B">
        <w:rPr>
          <w:rFonts w:ascii="Times New Roman" w:hAnsi="Times New Roman" w:cs="Times New Roman"/>
          <w:color w:val="000000" w:themeColor="text1"/>
          <w:lang w:val="es-CO" w:eastAsia="es-CO"/>
        </w:rPr>
        <w:t xml:space="preserve">, esto es, cumpliéndose la mayoría absoluta. </w:t>
      </w:r>
    </w:p>
    <w:p w:rsidR="00E70025" w:rsidRPr="0096658B" w:rsidRDefault="0096658B" w:rsidP="00E70025">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color w:val="000000" w:themeColor="text1"/>
          <w:lang w:val="es-ES_tradnl"/>
        </w:rPr>
      </w:pPr>
    </w:p>
    <w:p w:rsidR="00E70025"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En consecuencia, la Corte concluye que los requisitos analizados fu</w:t>
      </w:r>
      <w:r w:rsidRPr="0096658B">
        <w:rPr>
          <w:rFonts w:ascii="Times New Roman" w:hAnsi="Times New Roman" w:cs="Times New Roman"/>
          <w:color w:val="000000" w:themeColor="text1"/>
          <w:lang w:val="es-ES_tradnl"/>
        </w:rPr>
        <w:t xml:space="preserve">eron cumplidos durante el primer debate surtido ante la Comisión Primera del Senado de la República. </w:t>
      </w:r>
    </w:p>
    <w:p w:rsidR="00E70025" w:rsidRPr="0096658B" w:rsidRDefault="0096658B" w:rsidP="00E70025">
      <w:pPr>
        <w:pStyle w:val="Prrafodelista"/>
        <w:rPr>
          <w:rFonts w:ascii="Times New Roman" w:hAnsi="Times New Roman" w:cs="Times New Roman"/>
          <w:color w:val="000000" w:themeColor="text1"/>
          <w:lang w:val="es-ES_tradnl"/>
        </w:rPr>
      </w:pPr>
    </w:p>
    <w:p w:rsidR="00E70025"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El segundo debate ante la plenaria del Senado se realizó en la sesión de 14 de diciembre de 2023, consignada en el acta 35 de la misma fecha y publicada </w:t>
      </w:r>
      <w:r w:rsidRPr="0096658B">
        <w:rPr>
          <w:rFonts w:ascii="Times New Roman" w:hAnsi="Times New Roman" w:cs="Times New Roman"/>
          <w:color w:val="000000" w:themeColor="text1"/>
          <w:lang w:val="es-ES_tradnl"/>
        </w:rPr>
        <w:t xml:space="preserve">en la Gaceta del Congreso </w:t>
      </w:r>
      <w:r w:rsidRPr="0096658B">
        <w:rPr>
          <w:rFonts w:ascii="Times New Roman" w:hAnsi="Times New Roman" w:cs="Times New Roman"/>
          <w:color w:val="000000" w:themeColor="text1"/>
          <w:lang w:val="es-ES_tradnl"/>
        </w:rPr>
        <w:t xml:space="preserve">285 de </w:t>
      </w:r>
      <w:r w:rsidRPr="0096658B">
        <w:rPr>
          <w:rFonts w:ascii="Times New Roman" w:hAnsi="Times New Roman" w:cs="Times New Roman"/>
          <w:color w:val="000000" w:themeColor="text1"/>
          <w:lang w:val="es-ES_tradnl"/>
        </w:rPr>
        <w:t xml:space="preserve">12 de abril de 2023. </w:t>
      </w:r>
      <w:r w:rsidRPr="0096658B">
        <w:rPr>
          <w:rFonts w:ascii="Times New Roman" w:hAnsi="Times New Roman" w:cs="Times New Roman"/>
          <w:color w:val="000000" w:themeColor="text1"/>
          <w:lang w:val="es-ES_tradnl"/>
        </w:rPr>
        <w:t>Iniciada la sesión</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la presidencia llamó a lista y respondieron con su asistencia 98 senadores que conformaron </w:t>
      </w:r>
      <w:r w:rsidRPr="0096658B">
        <w:rPr>
          <w:rFonts w:ascii="Times New Roman" w:hAnsi="Times New Roman" w:cs="Times New Roman"/>
          <w:i/>
          <w:iCs/>
          <w:color w:val="000000" w:themeColor="text1"/>
          <w:lang w:val="es-ES_tradnl"/>
        </w:rPr>
        <w:t>qu</w:t>
      </w:r>
      <w:r w:rsidRPr="0096658B">
        <w:rPr>
          <w:rFonts w:ascii="Times New Roman" w:hAnsi="Times New Roman" w:cs="Times New Roman"/>
          <w:i/>
          <w:iCs/>
          <w:color w:val="000000" w:themeColor="text1"/>
          <w:lang w:val="es-ES_tradnl"/>
        </w:rPr>
        <w:t>o</w:t>
      </w:r>
      <w:r w:rsidRPr="0096658B">
        <w:rPr>
          <w:rFonts w:ascii="Times New Roman" w:hAnsi="Times New Roman" w:cs="Times New Roman"/>
          <w:i/>
          <w:iCs/>
          <w:color w:val="000000" w:themeColor="text1"/>
          <w:lang w:val="es-ES_tradnl"/>
        </w:rPr>
        <w:t>rum</w:t>
      </w:r>
      <w:r w:rsidRPr="0096658B">
        <w:rPr>
          <w:rFonts w:ascii="Times New Roman" w:hAnsi="Times New Roman" w:cs="Times New Roman"/>
          <w:color w:val="000000" w:themeColor="text1"/>
          <w:lang w:val="es-ES_tradnl"/>
        </w:rPr>
        <w:t xml:space="preserve"> decisorio</w:t>
      </w:r>
      <w:r w:rsidRPr="0096658B">
        <w:rPr>
          <w:rStyle w:val="Refdenotaalpie"/>
          <w:rFonts w:ascii="Times New Roman" w:hAnsi="Times New Roman"/>
          <w:color w:val="000000" w:themeColor="text1"/>
          <w:lang w:val="es-ES_tradnl"/>
        </w:rPr>
        <w:footnoteReference w:id="41"/>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Asumido el asunto por la plenaria, la senadora ponente María José Pizarro Rodríguez hizo un</w:t>
      </w:r>
      <w:r w:rsidRPr="0096658B">
        <w:rPr>
          <w:rFonts w:ascii="Times New Roman" w:hAnsi="Times New Roman" w:cs="Times New Roman"/>
          <w:color w:val="000000" w:themeColor="text1"/>
          <w:lang w:val="es-ES_tradnl"/>
        </w:rPr>
        <w:t>a</w:t>
      </w:r>
      <w:r w:rsidRPr="0096658B">
        <w:rPr>
          <w:rFonts w:ascii="Times New Roman" w:hAnsi="Times New Roman" w:cs="Times New Roman"/>
          <w:color w:val="000000" w:themeColor="text1"/>
          <w:lang w:val="es-ES_tradnl"/>
        </w:rPr>
        <w:t xml:space="preserve"> presentación general del proyecto</w:t>
      </w:r>
      <w:r w:rsidRPr="0096658B">
        <w:rPr>
          <w:rStyle w:val="Refdenotaalpie"/>
          <w:rFonts w:ascii="Times New Roman" w:hAnsi="Times New Roman"/>
          <w:color w:val="000000" w:themeColor="text1"/>
          <w:lang w:val="es-ES_tradnl"/>
        </w:rPr>
        <w:footnoteReference w:id="42"/>
      </w:r>
      <w:r w:rsidRPr="0096658B">
        <w:rPr>
          <w:rFonts w:ascii="Times New Roman" w:hAnsi="Times New Roman" w:cs="Times New Roman"/>
          <w:color w:val="000000" w:themeColor="text1"/>
          <w:lang w:val="es-ES_tradnl"/>
        </w:rPr>
        <w:t>. Acto seguido</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algunos senadores formularon impedimentos, los cuales fueron dejados como constancia</w:t>
      </w:r>
      <w:r w:rsidRPr="0096658B">
        <w:rPr>
          <w:rFonts w:ascii="Times New Roman" w:hAnsi="Times New Roman" w:cs="Times New Roman"/>
          <w:color w:val="000000" w:themeColor="text1"/>
          <w:lang w:val="es-ES_tradnl"/>
        </w:rPr>
        <w:t>s</w:t>
      </w:r>
      <w:r w:rsidRPr="0096658B">
        <w:rPr>
          <w:rFonts w:ascii="Times New Roman" w:hAnsi="Times New Roman" w:cs="Times New Roman"/>
          <w:color w:val="000000" w:themeColor="text1"/>
          <w:lang w:val="es-ES_tradnl"/>
        </w:rPr>
        <w:t xml:space="preserve"> y, por ende, no fueron obj</w:t>
      </w:r>
      <w:r w:rsidRPr="0096658B">
        <w:rPr>
          <w:rFonts w:ascii="Times New Roman" w:hAnsi="Times New Roman" w:cs="Times New Roman"/>
          <w:color w:val="000000" w:themeColor="text1"/>
          <w:lang w:val="es-ES_tradnl"/>
        </w:rPr>
        <w:t xml:space="preserve">eto de </w:t>
      </w:r>
      <w:r w:rsidRPr="0096658B">
        <w:rPr>
          <w:rFonts w:ascii="Times New Roman" w:hAnsi="Times New Roman" w:cs="Times New Roman"/>
          <w:color w:val="000000" w:themeColor="text1"/>
          <w:lang w:val="es-ES_tradnl"/>
        </w:rPr>
        <w:t>votación por la plenaria</w:t>
      </w:r>
      <w:r w:rsidRPr="0096658B">
        <w:rPr>
          <w:rStyle w:val="Refdenotaalpie"/>
          <w:rFonts w:ascii="Times New Roman" w:hAnsi="Times New Roman"/>
          <w:color w:val="000000" w:themeColor="text1"/>
          <w:lang w:val="es-ES_tradnl"/>
        </w:rPr>
        <w:footnoteReference w:id="43"/>
      </w:r>
      <w:r w:rsidRPr="0096658B">
        <w:rPr>
          <w:rFonts w:ascii="Times New Roman" w:hAnsi="Times New Roman" w:cs="Times New Roman"/>
          <w:color w:val="000000" w:themeColor="text1"/>
          <w:lang w:val="es-ES_tradnl"/>
        </w:rPr>
        <w:t>. Luego, la presidencia sometió a votación la proposición favorable contenida en el informe de ponencia, la cual fue aprobada nominalmente por 64 votos a favor y dos en contra</w:t>
      </w:r>
      <w:r w:rsidRPr="0096658B">
        <w:rPr>
          <w:rStyle w:val="Refdenotaalpie"/>
          <w:rFonts w:ascii="Times New Roman" w:hAnsi="Times New Roman"/>
          <w:color w:val="000000" w:themeColor="text1"/>
          <w:lang w:val="es-ES_tradnl"/>
        </w:rPr>
        <w:footnoteReference w:id="44"/>
      </w:r>
      <w:r w:rsidRPr="0096658B">
        <w:rPr>
          <w:rFonts w:ascii="Times New Roman" w:hAnsi="Times New Roman" w:cs="Times New Roman"/>
          <w:color w:val="000000" w:themeColor="text1"/>
          <w:lang w:val="es-ES_tradnl"/>
        </w:rPr>
        <w:t xml:space="preserve">, esto es, contó con mayoría absoluta. </w:t>
      </w:r>
    </w:p>
    <w:p w:rsidR="00AD06E7" w:rsidRPr="0096658B" w:rsidRDefault="0096658B" w:rsidP="00AD06E7">
      <w:pPr>
        <w:pStyle w:val="Prrafodelista"/>
        <w:rPr>
          <w:rFonts w:ascii="Times New Roman" w:hAnsi="Times New Roman" w:cs="Times New Roman"/>
          <w:color w:val="000000" w:themeColor="text1"/>
          <w:lang w:val="es-ES_tradnl"/>
        </w:rPr>
      </w:pPr>
    </w:p>
    <w:p w:rsidR="00AD06E7"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La pres</w:t>
      </w:r>
      <w:r w:rsidRPr="0096658B">
        <w:rPr>
          <w:rFonts w:ascii="Times New Roman" w:hAnsi="Times New Roman" w:cs="Times New Roman"/>
          <w:color w:val="000000" w:themeColor="text1"/>
          <w:lang w:val="es-ES_tradnl"/>
        </w:rPr>
        <w:t xml:space="preserve">idencia abrió la discusión del articulado y </w:t>
      </w:r>
      <w:r w:rsidRPr="0096658B">
        <w:rPr>
          <w:rFonts w:ascii="Times New Roman" w:hAnsi="Times New Roman" w:cs="Times New Roman"/>
          <w:color w:val="000000" w:themeColor="text1"/>
          <w:lang w:val="es-ES_tradnl"/>
        </w:rPr>
        <w:t>tomó la palabra el senador Alejandro Alberto Vega Pérez, quien explicó algunas proposiciones formuladas por varios senadores. A continuación</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y con la anuencia de la senadora ponente, la presidencia sometió a vot</w:t>
      </w:r>
      <w:r w:rsidRPr="0096658B">
        <w:rPr>
          <w:rFonts w:ascii="Times New Roman" w:hAnsi="Times New Roman" w:cs="Times New Roman"/>
          <w:color w:val="000000" w:themeColor="text1"/>
          <w:lang w:val="es-ES_tradnl"/>
        </w:rPr>
        <w:t xml:space="preserve">ación el articulado con las proposiciones modificativas </w:t>
      </w:r>
      <w:r w:rsidRPr="0096658B">
        <w:rPr>
          <w:rFonts w:ascii="Times New Roman" w:hAnsi="Times New Roman" w:cs="Times New Roman"/>
          <w:color w:val="000000" w:themeColor="text1"/>
          <w:lang w:val="es-ES_tradnl"/>
        </w:rPr>
        <w:t>formuladas, al igual que el título de la iniciativa</w:t>
      </w:r>
      <w:r w:rsidRPr="0096658B">
        <w:rPr>
          <w:rStyle w:val="Refdenotaalpie"/>
          <w:rFonts w:ascii="Times New Roman" w:hAnsi="Times New Roman"/>
          <w:color w:val="000000" w:themeColor="text1"/>
          <w:lang w:val="es-ES_tradnl"/>
        </w:rPr>
        <w:footnoteReference w:id="45"/>
      </w:r>
      <w:r w:rsidRPr="0096658B">
        <w:rPr>
          <w:rFonts w:ascii="Times New Roman" w:hAnsi="Times New Roman" w:cs="Times New Roman"/>
          <w:color w:val="000000" w:themeColor="text1"/>
          <w:lang w:val="es-ES_tradnl"/>
        </w:rPr>
        <w:t>. El texto fue aprobado con la votación nominal de 63 votos favorables y uno en contra</w:t>
      </w:r>
      <w:r w:rsidRPr="0096658B">
        <w:rPr>
          <w:rStyle w:val="Refdenotaalpie"/>
          <w:rFonts w:ascii="Times New Roman" w:hAnsi="Times New Roman"/>
          <w:color w:val="000000" w:themeColor="text1"/>
          <w:lang w:val="es-ES_tradnl"/>
        </w:rPr>
        <w:footnoteReference w:id="46"/>
      </w:r>
      <w:r w:rsidRPr="0096658B">
        <w:rPr>
          <w:rFonts w:ascii="Times New Roman" w:hAnsi="Times New Roman" w:cs="Times New Roman"/>
          <w:color w:val="000000" w:themeColor="text1"/>
          <w:lang w:val="es-ES_tradnl"/>
        </w:rPr>
        <w:t xml:space="preserve">, esto es, cumpliéndose </w:t>
      </w:r>
      <w:r w:rsidRPr="0096658B">
        <w:rPr>
          <w:rFonts w:ascii="Times New Roman" w:hAnsi="Times New Roman" w:cs="Times New Roman"/>
          <w:color w:val="000000" w:themeColor="text1"/>
          <w:lang w:val="es-ES_tradnl"/>
        </w:rPr>
        <w:t xml:space="preserve">con </w:t>
      </w:r>
      <w:r w:rsidRPr="0096658B">
        <w:rPr>
          <w:rFonts w:ascii="Times New Roman" w:hAnsi="Times New Roman" w:cs="Times New Roman"/>
          <w:color w:val="000000" w:themeColor="text1"/>
          <w:lang w:val="es-ES_tradnl"/>
        </w:rPr>
        <w:t xml:space="preserve">el requisito de mayoría absoluta. </w:t>
      </w:r>
    </w:p>
    <w:p w:rsidR="001405D0" w:rsidRPr="0096658B" w:rsidRDefault="0096658B" w:rsidP="001405D0">
      <w:pPr>
        <w:pStyle w:val="Prrafodelista"/>
        <w:rPr>
          <w:rFonts w:ascii="Times New Roman" w:hAnsi="Times New Roman" w:cs="Times New Roman"/>
          <w:color w:val="000000" w:themeColor="text1"/>
          <w:lang w:val="es-ES_tradnl"/>
        </w:rPr>
      </w:pPr>
    </w:p>
    <w:p w:rsidR="001405D0"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Habida cuenta </w:t>
      </w:r>
      <w:r w:rsidRPr="0096658B">
        <w:rPr>
          <w:rFonts w:ascii="Times New Roman" w:hAnsi="Times New Roman" w:cs="Times New Roman"/>
          <w:color w:val="000000" w:themeColor="text1"/>
          <w:lang w:val="es-ES_tradnl"/>
        </w:rPr>
        <w:t xml:space="preserve">de </w:t>
      </w:r>
      <w:r w:rsidRPr="0096658B">
        <w:rPr>
          <w:rFonts w:ascii="Times New Roman" w:hAnsi="Times New Roman" w:cs="Times New Roman"/>
          <w:color w:val="000000" w:themeColor="text1"/>
          <w:lang w:val="es-ES_tradnl"/>
        </w:rPr>
        <w:t xml:space="preserve">lo </w:t>
      </w:r>
      <w:r w:rsidRPr="0096658B">
        <w:rPr>
          <w:rFonts w:ascii="Times New Roman" w:hAnsi="Times New Roman" w:cs="Times New Roman"/>
          <w:color w:val="000000" w:themeColor="text1"/>
          <w:lang w:val="es-ES_tradnl"/>
        </w:rPr>
        <w:t>anterior</w:t>
      </w:r>
      <w:r w:rsidRPr="0096658B">
        <w:rPr>
          <w:rFonts w:ascii="Times New Roman" w:hAnsi="Times New Roman" w:cs="Times New Roman"/>
          <w:color w:val="000000" w:themeColor="text1"/>
          <w:lang w:val="es-ES_tradnl"/>
        </w:rPr>
        <w:t xml:space="preserve">, el PLE fue aprobado en el segundo debate ante la plenaria del Senado de la República bajo el cumplimiento de los requisitos constitucionales de </w:t>
      </w:r>
      <w:r w:rsidRPr="0096658B">
        <w:rPr>
          <w:rFonts w:ascii="Times New Roman" w:hAnsi="Times New Roman" w:cs="Times New Roman"/>
          <w:i/>
          <w:iCs/>
          <w:color w:val="000000" w:themeColor="text1"/>
          <w:lang w:val="es-ES_tradnl"/>
        </w:rPr>
        <w:t>qu</w:t>
      </w:r>
      <w:r w:rsidRPr="0096658B">
        <w:rPr>
          <w:rFonts w:ascii="Times New Roman" w:hAnsi="Times New Roman" w:cs="Times New Roman"/>
          <w:i/>
          <w:iCs/>
          <w:color w:val="000000" w:themeColor="text1"/>
          <w:lang w:val="es-ES_tradnl"/>
        </w:rPr>
        <w:t>o</w:t>
      </w:r>
      <w:r w:rsidRPr="0096658B">
        <w:rPr>
          <w:rFonts w:ascii="Times New Roman" w:hAnsi="Times New Roman" w:cs="Times New Roman"/>
          <w:i/>
          <w:iCs/>
          <w:color w:val="000000" w:themeColor="text1"/>
          <w:lang w:val="es-ES_tradnl"/>
        </w:rPr>
        <w:t>rum</w:t>
      </w:r>
      <w:r w:rsidRPr="0096658B">
        <w:rPr>
          <w:rFonts w:ascii="Times New Roman" w:hAnsi="Times New Roman" w:cs="Times New Roman"/>
          <w:color w:val="000000" w:themeColor="text1"/>
          <w:lang w:val="es-ES_tradnl"/>
        </w:rPr>
        <w:t xml:space="preserve">, votación nominal y mayorías. </w:t>
      </w:r>
    </w:p>
    <w:p w:rsidR="00A7140A" w:rsidRPr="0096658B" w:rsidRDefault="0096658B" w:rsidP="00A7140A">
      <w:pPr>
        <w:pStyle w:val="Prrafodelista"/>
        <w:rPr>
          <w:rFonts w:ascii="Times New Roman" w:hAnsi="Times New Roman" w:cs="Times New Roman"/>
          <w:color w:val="000000" w:themeColor="text1"/>
          <w:lang w:val="es-ES_tradnl"/>
        </w:rPr>
      </w:pPr>
    </w:p>
    <w:p w:rsidR="00EF4424"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La disc</w:t>
      </w:r>
      <w:r w:rsidRPr="0096658B">
        <w:rPr>
          <w:rFonts w:ascii="Times New Roman" w:hAnsi="Times New Roman" w:cs="Times New Roman"/>
          <w:color w:val="000000" w:themeColor="text1"/>
          <w:lang w:val="es-ES_tradnl"/>
        </w:rPr>
        <w:t xml:space="preserve">usión y aprobación del Proyecto de Ley en la Comisión Primera de la Cámara de Representantes tuvo lugar en la sesión de </w:t>
      </w:r>
      <w:r w:rsidRPr="0096658B">
        <w:rPr>
          <w:rFonts w:ascii="Times New Roman" w:hAnsi="Times New Roman" w:cs="Times New Roman"/>
          <w:color w:val="000000" w:themeColor="text1"/>
          <w:lang w:val="es-ES_tradnl"/>
        </w:rPr>
        <w:t>10 de mayo de 2023, según da cuenta el acta número 48 publicada en la Gaceta del Congreso 810 de 4 de julio de 2023. Al inicio de la ses</w:t>
      </w:r>
      <w:r w:rsidRPr="0096658B">
        <w:rPr>
          <w:rFonts w:ascii="Times New Roman" w:hAnsi="Times New Roman" w:cs="Times New Roman"/>
          <w:color w:val="000000" w:themeColor="text1"/>
          <w:lang w:val="es-ES_tradnl"/>
        </w:rPr>
        <w:t xml:space="preserve">ión se verificó el </w:t>
      </w:r>
      <w:r w:rsidRPr="0096658B">
        <w:rPr>
          <w:rFonts w:ascii="Times New Roman" w:hAnsi="Times New Roman" w:cs="Times New Roman"/>
          <w:i/>
          <w:iCs/>
          <w:color w:val="000000" w:themeColor="text1"/>
          <w:lang w:val="es-ES_tradnl"/>
        </w:rPr>
        <w:t>qu</w:t>
      </w:r>
      <w:r w:rsidRPr="0096658B">
        <w:rPr>
          <w:rFonts w:ascii="Times New Roman" w:hAnsi="Times New Roman" w:cs="Times New Roman"/>
          <w:i/>
          <w:iCs/>
          <w:color w:val="000000" w:themeColor="text1"/>
          <w:lang w:val="es-ES_tradnl"/>
        </w:rPr>
        <w:t>o</w:t>
      </w:r>
      <w:r w:rsidRPr="0096658B">
        <w:rPr>
          <w:rFonts w:ascii="Times New Roman" w:hAnsi="Times New Roman" w:cs="Times New Roman"/>
          <w:i/>
          <w:iCs/>
          <w:color w:val="000000" w:themeColor="text1"/>
          <w:lang w:val="es-ES_tradnl"/>
        </w:rPr>
        <w:t>rum</w:t>
      </w:r>
      <w:r w:rsidRPr="0096658B">
        <w:rPr>
          <w:rFonts w:ascii="Times New Roman" w:hAnsi="Times New Roman" w:cs="Times New Roman"/>
          <w:color w:val="000000" w:themeColor="text1"/>
          <w:lang w:val="es-ES_tradnl"/>
        </w:rPr>
        <w:t xml:space="preserve"> y respondieron 12 representantes. En el transcurso de la sesión se hicieron presentes 28 más, para un total de 30</w:t>
      </w:r>
      <w:r w:rsidRPr="0096658B">
        <w:rPr>
          <w:rFonts w:ascii="Times New Roman" w:hAnsi="Times New Roman" w:cs="Times New Roman"/>
          <w:color w:val="000000" w:themeColor="text1"/>
          <w:lang w:val="es-ES_tradnl"/>
        </w:rPr>
        <w:t>, quienes</w:t>
      </w:r>
      <w:r w:rsidRPr="0096658B">
        <w:rPr>
          <w:rFonts w:ascii="Times New Roman" w:hAnsi="Times New Roman" w:cs="Times New Roman"/>
          <w:color w:val="000000" w:themeColor="text1"/>
          <w:lang w:val="es-ES_tradnl"/>
        </w:rPr>
        <w:t xml:space="preserve"> conformaron</w:t>
      </w:r>
      <w:r w:rsidRPr="0096658B">
        <w:rPr>
          <w:rFonts w:ascii="Times New Roman" w:hAnsi="Times New Roman" w:cs="Times New Roman"/>
          <w:color w:val="000000" w:themeColor="text1"/>
          <w:lang w:val="es-ES_tradnl"/>
        </w:rPr>
        <w:t xml:space="preserve"> el</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i/>
          <w:iCs/>
          <w:color w:val="000000" w:themeColor="text1"/>
          <w:lang w:val="es-ES_tradnl"/>
        </w:rPr>
        <w:t>qu</w:t>
      </w:r>
      <w:r w:rsidRPr="0096658B">
        <w:rPr>
          <w:rFonts w:ascii="Times New Roman" w:hAnsi="Times New Roman" w:cs="Times New Roman"/>
          <w:i/>
          <w:iCs/>
          <w:color w:val="000000" w:themeColor="text1"/>
          <w:lang w:val="es-ES_tradnl"/>
        </w:rPr>
        <w:t>o</w:t>
      </w:r>
      <w:r w:rsidRPr="0096658B">
        <w:rPr>
          <w:rFonts w:ascii="Times New Roman" w:hAnsi="Times New Roman" w:cs="Times New Roman"/>
          <w:i/>
          <w:iCs/>
          <w:color w:val="000000" w:themeColor="text1"/>
          <w:lang w:val="es-ES_tradnl"/>
        </w:rPr>
        <w:t>rum</w:t>
      </w:r>
      <w:r w:rsidRPr="0096658B">
        <w:rPr>
          <w:rFonts w:ascii="Times New Roman" w:hAnsi="Times New Roman" w:cs="Times New Roman"/>
          <w:color w:val="000000" w:themeColor="text1"/>
          <w:lang w:val="es-ES_tradnl"/>
        </w:rPr>
        <w:t xml:space="preserve"> decisorio</w:t>
      </w:r>
      <w:r w:rsidRPr="0096658B">
        <w:rPr>
          <w:rStyle w:val="Refdenotaalpie"/>
          <w:rFonts w:ascii="Times New Roman" w:hAnsi="Times New Roman"/>
          <w:color w:val="000000" w:themeColor="text1"/>
          <w:lang w:val="es-ES_tradnl"/>
        </w:rPr>
        <w:footnoteReference w:id="47"/>
      </w:r>
      <w:r w:rsidRPr="0096658B">
        <w:rPr>
          <w:rFonts w:ascii="Times New Roman" w:hAnsi="Times New Roman" w:cs="Times New Roman"/>
          <w:color w:val="000000" w:themeColor="text1"/>
          <w:lang w:val="es-ES_tradnl"/>
        </w:rPr>
        <w:t xml:space="preserve">. </w:t>
      </w:r>
    </w:p>
    <w:p w:rsidR="00EF4424" w:rsidRPr="0096658B" w:rsidRDefault="0096658B" w:rsidP="00EF4424">
      <w:pPr>
        <w:pStyle w:val="Prrafodelista"/>
        <w:rPr>
          <w:rFonts w:ascii="Times New Roman" w:hAnsi="Times New Roman" w:cs="Times New Roman"/>
          <w:color w:val="000000" w:themeColor="text1"/>
          <w:lang w:val="es-ES_tradnl"/>
        </w:rPr>
      </w:pPr>
    </w:p>
    <w:p w:rsidR="00EF4424" w:rsidRPr="0096658B" w:rsidRDefault="0096658B" w:rsidP="00EF4424">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La presidencia inició la discusión del proyecto de ley sometiendo a discusión y </w:t>
      </w:r>
      <w:r w:rsidRPr="0096658B">
        <w:rPr>
          <w:rFonts w:ascii="Times New Roman" w:hAnsi="Times New Roman" w:cs="Times New Roman"/>
          <w:color w:val="000000" w:themeColor="text1"/>
          <w:lang w:val="es-ES_tradnl"/>
        </w:rPr>
        <w:t>votación la</w:t>
      </w:r>
      <w:r w:rsidRPr="0096658B">
        <w:rPr>
          <w:rFonts w:ascii="Times New Roman" w:hAnsi="Times New Roman" w:cs="Times New Roman"/>
          <w:color w:val="000000" w:themeColor="text1"/>
          <w:lang w:val="es-ES_tradnl"/>
        </w:rPr>
        <w:t xml:space="preserve"> proposición positiva con la que terminaba el informe de ponencia. </w:t>
      </w:r>
      <w:r w:rsidRPr="0096658B">
        <w:rPr>
          <w:rFonts w:ascii="Times New Roman" w:hAnsi="Times New Roman" w:cs="Times New Roman"/>
          <w:color w:val="000000" w:themeColor="text1"/>
          <w:lang w:val="es-ES_tradnl"/>
        </w:rPr>
        <w:t>Esta fue aprobada con 29 votos nominales, esto es, con mayoría absoluta. Luego, la presidencia con</w:t>
      </w:r>
      <w:r w:rsidRPr="0096658B">
        <w:rPr>
          <w:rFonts w:ascii="Times New Roman" w:hAnsi="Times New Roman" w:cs="Times New Roman"/>
          <w:color w:val="000000" w:themeColor="text1"/>
          <w:lang w:val="es-ES_tradnl"/>
        </w:rPr>
        <w:t xml:space="preserve">cedió la palabra </w:t>
      </w:r>
      <w:r w:rsidRPr="0096658B">
        <w:rPr>
          <w:rFonts w:ascii="Times New Roman" w:hAnsi="Times New Roman" w:cs="Times New Roman"/>
          <w:color w:val="000000" w:themeColor="text1"/>
          <w:lang w:val="es-ES_tradnl"/>
        </w:rPr>
        <w:t xml:space="preserve">a </w:t>
      </w:r>
      <w:r w:rsidRPr="0096658B">
        <w:rPr>
          <w:rFonts w:ascii="Times New Roman" w:hAnsi="Times New Roman" w:cs="Times New Roman"/>
          <w:color w:val="000000" w:themeColor="text1"/>
          <w:lang w:val="es-ES_tradnl"/>
        </w:rPr>
        <w:t>la senadora Angélica Lozano Correa, autora del proyecto de ley, quien fue invitada para que explicara el contenido de la iniciativa y</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en particular</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expusiera las implicaciones de la proposición contenida en el informe de ponencia</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rela</w:t>
      </w:r>
      <w:r w:rsidRPr="0096658B">
        <w:rPr>
          <w:rFonts w:ascii="Times New Roman" w:hAnsi="Times New Roman" w:cs="Times New Roman"/>
          <w:color w:val="000000" w:themeColor="text1"/>
          <w:lang w:val="es-ES_tradnl"/>
        </w:rPr>
        <w:t xml:space="preserve">tiva a la regla aplicable en aquellos casos </w:t>
      </w:r>
      <w:r w:rsidRPr="0096658B">
        <w:rPr>
          <w:rFonts w:ascii="Times New Roman" w:hAnsi="Times New Roman" w:cs="Times New Roman"/>
          <w:color w:val="000000" w:themeColor="text1"/>
          <w:lang w:val="es-ES_tradnl"/>
        </w:rPr>
        <w:t xml:space="preserve">en </w:t>
      </w:r>
      <w:r w:rsidRPr="0096658B">
        <w:rPr>
          <w:rFonts w:ascii="Times New Roman" w:hAnsi="Times New Roman" w:cs="Times New Roman"/>
          <w:color w:val="000000" w:themeColor="text1"/>
          <w:lang w:val="es-ES_tradnl"/>
        </w:rPr>
        <w:t xml:space="preserve">que la lista a corporación pública fuese impar. </w:t>
      </w:r>
    </w:p>
    <w:p w:rsidR="0031756C" w:rsidRPr="0096658B" w:rsidRDefault="0096658B" w:rsidP="0031756C">
      <w:pPr>
        <w:pStyle w:val="Prrafodelista"/>
        <w:rPr>
          <w:rFonts w:ascii="Times New Roman" w:hAnsi="Times New Roman" w:cs="Times New Roman"/>
          <w:color w:val="000000" w:themeColor="text1"/>
          <w:lang w:val="es-ES_tradnl"/>
        </w:rPr>
      </w:pPr>
    </w:p>
    <w:p w:rsidR="0031756C" w:rsidRPr="0096658B" w:rsidRDefault="0096658B" w:rsidP="005C567C">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Luego de la intervención de la senadora Lozano Correa, representantes de varias bancadas expresaron su acuerdo general y unánime al proyecto</w:t>
      </w:r>
      <w:r w:rsidRPr="0096658B">
        <w:rPr>
          <w:rFonts w:ascii="Times New Roman" w:hAnsi="Times New Roman" w:cs="Times New Roman"/>
          <w:color w:val="000000" w:themeColor="text1"/>
          <w:lang w:val="es-ES_tradnl"/>
        </w:rPr>
        <w:t>. Asimismo, f</w:t>
      </w:r>
      <w:r w:rsidRPr="0096658B">
        <w:rPr>
          <w:rFonts w:ascii="Times New Roman" w:hAnsi="Times New Roman" w:cs="Times New Roman"/>
          <w:color w:val="000000" w:themeColor="text1"/>
          <w:lang w:val="es-ES_tradnl"/>
        </w:rPr>
        <w:t>ormularon la necesidad de precisar algunos aspectos, como el tema antes señalado sobre las listas impares, la definición de la fecha de entrada en vigencia de la paridad en las listas y la pertinencia de disponer la imposición de sanciones ante el incumpli</w:t>
      </w:r>
      <w:r w:rsidRPr="0096658B">
        <w:rPr>
          <w:rFonts w:ascii="Times New Roman" w:hAnsi="Times New Roman" w:cs="Times New Roman"/>
          <w:color w:val="000000" w:themeColor="text1"/>
          <w:lang w:val="es-ES_tradnl"/>
        </w:rPr>
        <w:t xml:space="preserve">miento de la disposición. </w:t>
      </w:r>
      <w:r w:rsidRPr="0096658B">
        <w:rPr>
          <w:rFonts w:ascii="Times New Roman" w:hAnsi="Times New Roman" w:cs="Times New Roman"/>
          <w:color w:val="000000" w:themeColor="text1"/>
          <w:lang w:val="es-ES_tradnl"/>
        </w:rPr>
        <w:t>Finalizadas las intervenciones se sometió a votación el articulado</w:t>
      </w:r>
      <w:r w:rsidRPr="0096658B">
        <w:rPr>
          <w:rFonts w:ascii="Times New Roman" w:hAnsi="Times New Roman" w:cs="Times New Roman"/>
          <w:color w:val="000000" w:themeColor="text1"/>
          <w:lang w:val="es-ES_tradnl"/>
        </w:rPr>
        <w:t xml:space="preserve">. Iniciaron </w:t>
      </w:r>
      <w:r w:rsidRPr="0096658B">
        <w:rPr>
          <w:rFonts w:ascii="Times New Roman" w:hAnsi="Times New Roman" w:cs="Times New Roman"/>
          <w:color w:val="000000" w:themeColor="text1"/>
          <w:lang w:val="es-ES_tradnl"/>
        </w:rPr>
        <w:t>con la aprobación de los artículos 1º -con la proposición aceptada por la autora del proyecto-</w:t>
      </w:r>
      <w:r w:rsidRPr="0096658B">
        <w:rPr>
          <w:rStyle w:val="Refdenotaalpie"/>
          <w:rFonts w:ascii="Times New Roman" w:hAnsi="Times New Roman"/>
          <w:color w:val="000000" w:themeColor="text1"/>
          <w:lang w:val="es-ES_tradnl"/>
        </w:rPr>
        <w:footnoteReference w:id="48"/>
      </w:r>
      <w:r w:rsidRPr="0096658B">
        <w:rPr>
          <w:rFonts w:ascii="Times New Roman" w:hAnsi="Times New Roman" w:cs="Times New Roman"/>
          <w:color w:val="000000" w:themeColor="text1"/>
          <w:lang w:val="es-ES_tradnl"/>
        </w:rPr>
        <w:t>, 2º y 4º que no tenían proposiciones o</w:t>
      </w:r>
      <w:r w:rsidRPr="0096658B">
        <w:rPr>
          <w:rFonts w:ascii="Times New Roman" w:hAnsi="Times New Roman" w:cs="Times New Roman"/>
          <w:color w:val="000000" w:themeColor="text1"/>
          <w:lang w:val="es-ES_tradnl"/>
        </w:rPr>
        <w:t>, de tenerlas,</w:t>
      </w:r>
      <w:r w:rsidRPr="0096658B">
        <w:rPr>
          <w:rFonts w:ascii="Times New Roman" w:hAnsi="Times New Roman" w:cs="Times New Roman"/>
          <w:color w:val="000000" w:themeColor="text1"/>
          <w:lang w:val="es-ES_tradnl"/>
        </w:rPr>
        <w:t xml:space="preserve"> fue</w:t>
      </w:r>
      <w:r w:rsidRPr="0096658B">
        <w:rPr>
          <w:rFonts w:ascii="Times New Roman" w:hAnsi="Times New Roman" w:cs="Times New Roman"/>
          <w:color w:val="000000" w:themeColor="text1"/>
          <w:lang w:val="es-ES_tradnl"/>
        </w:rPr>
        <w:t>ron dejadas como constancia. Es</w:t>
      </w:r>
      <w:r w:rsidRPr="0096658B">
        <w:rPr>
          <w:rFonts w:ascii="Times New Roman" w:hAnsi="Times New Roman" w:cs="Times New Roman"/>
          <w:color w:val="000000" w:themeColor="text1"/>
          <w:lang w:val="es-ES_tradnl"/>
        </w:rPr>
        <w:t>te</w:t>
      </w:r>
      <w:r w:rsidRPr="0096658B">
        <w:rPr>
          <w:rFonts w:ascii="Times New Roman" w:hAnsi="Times New Roman" w:cs="Times New Roman"/>
          <w:color w:val="000000" w:themeColor="text1"/>
          <w:lang w:val="es-ES_tradnl"/>
        </w:rPr>
        <w:t xml:space="preserve"> primer bloque </w:t>
      </w:r>
      <w:r w:rsidRPr="0096658B">
        <w:rPr>
          <w:rFonts w:ascii="Times New Roman" w:hAnsi="Times New Roman" w:cs="Times New Roman"/>
          <w:color w:val="000000" w:themeColor="text1"/>
          <w:lang w:val="es-ES_tradnl"/>
        </w:rPr>
        <w:t xml:space="preserve">de artículos </w:t>
      </w:r>
      <w:r w:rsidRPr="0096658B">
        <w:rPr>
          <w:rFonts w:ascii="Times New Roman" w:hAnsi="Times New Roman" w:cs="Times New Roman"/>
          <w:color w:val="000000" w:themeColor="text1"/>
          <w:lang w:val="es-ES_tradnl"/>
        </w:rPr>
        <w:t xml:space="preserve">obtuvo </w:t>
      </w:r>
      <w:r w:rsidRPr="0096658B">
        <w:rPr>
          <w:rFonts w:ascii="Times New Roman" w:hAnsi="Times New Roman" w:cs="Times New Roman"/>
          <w:color w:val="000000" w:themeColor="text1"/>
          <w:lang w:val="es-ES_tradnl"/>
        </w:rPr>
        <w:t>aprobación con 33 votos nominales a favor y uno en contra</w:t>
      </w:r>
      <w:r w:rsidRPr="0096658B">
        <w:rPr>
          <w:rStyle w:val="Refdenotaalpie"/>
          <w:rFonts w:ascii="Times New Roman" w:hAnsi="Times New Roman"/>
          <w:color w:val="000000" w:themeColor="text1"/>
          <w:lang w:val="es-ES_tradnl"/>
        </w:rPr>
        <w:footnoteReference w:id="49"/>
      </w:r>
      <w:r w:rsidRPr="0096658B">
        <w:rPr>
          <w:rFonts w:ascii="Times New Roman" w:hAnsi="Times New Roman" w:cs="Times New Roman"/>
          <w:color w:val="000000" w:themeColor="text1"/>
          <w:lang w:val="es-ES_tradnl"/>
        </w:rPr>
        <w:t>, por lo que contó con mayoría absoluta</w:t>
      </w:r>
      <w:r w:rsidRPr="0096658B">
        <w:rPr>
          <w:rFonts w:ascii="Times New Roman" w:hAnsi="Times New Roman" w:cs="Times New Roman"/>
          <w:color w:val="000000" w:themeColor="text1"/>
          <w:lang w:val="es-ES_tradnl"/>
        </w:rPr>
        <w:t>.</w:t>
      </w:r>
    </w:p>
    <w:p w:rsidR="00CC7F80" w:rsidRPr="0096658B" w:rsidRDefault="0096658B" w:rsidP="00CC7F80">
      <w:pPr>
        <w:pStyle w:val="Prrafodelista"/>
        <w:rPr>
          <w:rFonts w:ascii="Times New Roman" w:hAnsi="Times New Roman" w:cs="Times New Roman"/>
          <w:color w:val="000000" w:themeColor="text1"/>
          <w:lang w:val="es-ES_tradnl"/>
        </w:rPr>
      </w:pPr>
    </w:p>
    <w:p w:rsidR="00CC7F80" w:rsidRPr="0096658B" w:rsidRDefault="0096658B" w:rsidP="005C567C">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El artículo 3º </w:t>
      </w:r>
      <w:r w:rsidRPr="0096658B">
        <w:rPr>
          <w:rFonts w:ascii="Times New Roman" w:hAnsi="Times New Roman" w:cs="Times New Roman"/>
          <w:color w:val="000000" w:themeColor="text1"/>
          <w:lang w:val="es-ES_tradnl"/>
        </w:rPr>
        <w:t>tuvo</w:t>
      </w:r>
      <w:r w:rsidRPr="0096658B">
        <w:rPr>
          <w:rFonts w:ascii="Times New Roman" w:hAnsi="Times New Roman" w:cs="Times New Roman"/>
          <w:color w:val="000000" w:themeColor="text1"/>
          <w:lang w:val="es-ES_tradnl"/>
        </w:rPr>
        <w:t xml:space="preserve"> dos proposiciones yuxtapuestas. Una que determinaba que en listas im</w:t>
      </w:r>
      <w:r w:rsidRPr="0096658B">
        <w:rPr>
          <w:rFonts w:ascii="Times New Roman" w:hAnsi="Times New Roman" w:cs="Times New Roman"/>
          <w:color w:val="000000" w:themeColor="text1"/>
          <w:lang w:val="es-ES_tradnl"/>
        </w:rPr>
        <w:t>pares el partido político respectivo definiera el género del re</w:t>
      </w:r>
      <w:r w:rsidRPr="0096658B">
        <w:rPr>
          <w:rFonts w:ascii="Times New Roman" w:hAnsi="Times New Roman" w:cs="Times New Roman"/>
          <w:color w:val="000000" w:themeColor="text1"/>
          <w:lang w:val="es-ES_tradnl"/>
        </w:rPr>
        <w:t>n</w:t>
      </w:r>
      <w:r w:rsidRPr="0096658B">
        <w:rPr>
          <w:rFonts w:ascii="Times New Roman" w:hAnsi="Times New Roman" w:cs="Times New Roman"/>
          <w:color w:val="000000" w:themeColor="text1"/>
          <w:lang w:val="es-ES_tradnl"/>
        </w:rPr>
        <w:t xml:space="preserve">glón impar y otra que </w:t>
      </w:r>
      <w:r w:rsidRPr="0096658B">
        <w:rPr>
          <w:rFonts w:ascii="Times New Roman" w:hAnsi="Times New Roman" w:cs="Times New Roman"/>
          <w:color w:val="000000" w:themeColor="text1"/>
          <w:lang w:val="es-ES_tradnl"/>
        </w:rPr>
        <w:t xml:space="preserve">preveía </w:t>
      </w:r>
      <w:r w:rsidRPr="0096658B">
        <w:rPr>
          <w:rFonts w:ascii="Times New Roman" w:hAnsi="Times New Roman" w:cs="Times New Roman"/>
          <w:color w:val="000000" w:themeColor="text1"/>
          <w:lang w:val="es-ES_tradnl"/>
        </w:rPr>
        <w:t xml:space="preserve">que ese reglón fuese ocupado por una mujer. La segunda proposición fue sometida a votación y fue aprobada con mayoría absoluta de 26 votos a favor y cinco en </w:t>
      </w:r>
      <w:r w:rsidRPr="0096658B">
        <w:rPr>
          <w:rFonts w:ascii="Times New Roman" w:hAnsi="Times New Roman" w:cs="Times New Roman"/>
          <w:color w:val="000000" w:themeColor="text1"/>
          <w:lang w:val="es-ES_tradnl"/>
        </w:rPr>
        <w:t>contra</w:t>
      </w:r>
      <w:r w:rsidRPr="0096658B">
        <w:rPr>
          <w:rStyle w:val="Refdenotaalpie"/>
          <w:rFonts w:ascii="Times New Roman" w:hAnsi="Times New Roman"/>
          <w:color w:val="000000" w:themeColor="text1"/>
          <w:lang w:val="es-ES_tradnl"/>
        </w:rPr>
        <w:footnoteReference w:id="50"/>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Terminada la votación, el representante Óscar Hernán Sánchez </w:t>
      </w:r>
      <w:r w:rsidRPr="0096658B">
        <w:rPr>
          <w:rFonts w:ascii="Times New Roman" w:hAnsi="Times New Roman" w:cs="Times New Roman"/>
          <w:color w:val="000000" w:themeColor="text1"/>
          <w:lang w:val="es-ES_tradnl"/>
        </w:rPr>
        <w:t>León puso de presente que se había omitido discutir y votar una nueva proposición respecto del artículo 3º, dirigida a que la obligación de las listas paritarias se aplicaría a partir de</w:t>
      </w:r>
      <w:r w:rsidRPr="0096658B">
        <w:rPr>
          <w:rFonts w:ascii="Times New Roman" w:hAnsi="Times New Roman" w:cs="Times New Roman"/>
          <w:color w:val="000000" w:themeColor="text1"/>
          <w:lang w:val="es-ES_tradnl"/>
        </w:rPr>
        <w:t xml:space="preserve"> 2026. Esta fue votada y aprobada por 31 votos nominales a favor y ninguno en contra, contando con mayoría absoluta</w:t>
      </w:r>
      <w:r w:rsidRPr="0096658B">
        <w:rPr>
          <w:rStyle w:val="Refdenotaalpie"/>
          <w:rFonts w:ascii="Times New Roman" w:hAnsi="Times New Roman"/>
          <w:color w:val="000000" w:themeColor="text1"/>
          <w:lang w:val="es-ES_tradnl"/>
        </w:rPr>
        <w:footnoteReference w:id="51"/>
      </w:r>
      <w:r w:rsidRPr="0096658B">
        <w:rPr>
          <w:rFonts w:ascii="Times New Roman" w:hAnsi="Times New Roman" w:cs="Times New Roman"/>
          <w:color w:val="000000" w:themeColor="text1"/>
          <w:lang w:val="es-ES_tradnl"/>
        </w:rPr>
        <w:t>. Por último fue votado nominalmente el título del PLE y la pregunta sobre la intención de la comisión de que la iniciativa surtiese segundo</w:t>
      </w:r>
      <w:r w:rsidRPr="0096658B">
        <w:rPr>
          <w:rFonts w:ascii="Times New Roman" w:hAnsi="Times New Roman" w:cs="Times New Roman"/>
          <w:color w:val="000000" w:themeColor="text1"/>
          <w:lang w:val="es-ES_tradnl"/>
        </w:rPr>
        <w:t xml:space="preserve"> debate. Ambos asuntos contaron con una mayoría absoluta de 36 votos</w:t>
      </w:r>
      <w:r w:rsidRPr="0096658B">
        <w:rPr>
          <w:rStyle w:val="Refdenotaalpie"/>
          <w:rFonts w:ascii="Times New Roman" w:hAnsi="Times New Roman"/>
          <w:color w:val="000000" w:themeColor="text1"/>
          <w:lang w:val="es-ES_tradnl"/>
        </w:rPr>
        <w:footnoteReference w:id="52"/>
      </w:r>
      <w:r w:rsidRPr="0096658B">
        <w:rPr>
          <w:rFonts w:ascii="Times New Roman" w:hAnsi="Times New Roman" w:cs="Times New Roman"/>
          <w:color w:val="000000" w:themeColor="text1"/>
          <w:lang w:val="es-ES_tradnl"/>
        </w:rPr>
        <w:t>.</w:t>
      </w:r>
    </w:p>
    <w:p w:rsidR="001B3B5D" w:rsidRPr="0096658B" w:rsidRDefault="0096658B" w:rsidP="001B3B5D">
      <w:pPr>
        <w:pStyle w:val="Prrafodelista"/>
        <w:rPr>
          <w:rFonts w:ascii="Times New Roman" w:hAnsi="Times New Roman" w:cs="Times New Roman"/>
          <w:color w:val="000000" w:themeColor="text1"/>
          <w:lang w:val="es-ES_tradnl"/>
        </w:rPr>
      </w:pPr>
    </w:p>
    <w:p w:rsidR="001B3B5D" w:rsidRPr="0096658B" w:rsidRDefault="0096658B" w:rsidP="005C567C">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Vista esta descripción del trámite, la Sala concluye que el articulado y sus proposiciones fueron discutidas y votadas en la Comisión Primera de la Cámara con el cumplimiento de los re</w:t>
      </w:r>
      <w:r w:rsidRPr="0096658B">
        <w:rPr>
          <w:rFonts w:ascii="Times New Roman" w:hAnsi="Times New Roman" w:cs="Times New Roman"/>
          <w:color w:val="000000" w:themeColor="text1"/>
          <w:lang w:val="es-ES_tradnl"/>
        </w:rPr>
        <w:t xml:space="preserve">quisitos de </w:t>
      </w:r>
      <w:r w:rsidRPr="0096658B">
        <w:rPr>
          <w:rFonts w:ascii="Times New Roman" w:hAnsi="Times New Roman" w:cs="Times New Roman"/>
          <w:i/>
          <w:iCs/>
          <w:color w:val="000000" w:themeColor="text1"/>
          <w:lang w:val="es-ES_tradnl"/>
        </w:rPr>
        <w:t>qu</w:t>
      </w:r>
      <w:r w:rsidRPr="0096658B">
        <w:rPr>
          <w:rFonts w:ascii="Times New Roman" w:hAnsi="Times New Roman" w:cs="Times New Roman"/>
          <w:i/>
          <w:iCs/>
          <w:color w:val="000000" w:themeColor="text1"/>
          <w:lang w:val="es-ES_tradnl"/>
        </w:rPr>
        <w:t>o</w:t>
      </w:r>
      <w:r w:rsidRPr="0096658B">
        <w:rPr>
          <w:rFonts w:ascii="Times New Roman" w:hAnsi="Times New Roman" w:cs="Times New Roman"/>
          <w:i/>
          <w:iCs/>
          <w:color w:val="000000" w:themeColor="text1"/>
          <w:lang w:val="es-ES_tradnl"/>
        </w:rPr>
        <w:t>rum</w:t>
      </w:r>
      <w:r w:rsidRPr="0096658B">
        <w:rPr>
          <w:rFonts w:ascii="Times New Roman" w:hAnsi="Times New Roman" w:cs="Times New Roman"/>
          <w:color w:val="000000" w:themeColor="text1"/>
          <w:lang w:val="es-ES_tradnl"/>
        </w:rPr>
        <w:t xml:space="preserve"> y mayorías predicables de los proyectos de ley estatutaria. </w:t>
      </w:r>
    </w:p>
    <w:p w:rsidR="00DD3CE4" w:rsidRPr="0096658B" w:rsidRDefault="0096658B" w:rsidP="00DD3CE4">
      <w:pPr>
        <w:pStyle w:val="Prrafodelista"/>
        <w:rPr>
          <w:rFonts w:ascii="Times New Roman" w:hAnsi="Times New Roman" w:cs="Times New Roman"/>
          <w:color w:val="000000" w:themeColor="text1"/>
          <w:lang w:val="es-ES_tradnl"/>
        </w:rPr>
      </w:pPr>
    </w:p>
    <w:p w:rsidR="00DD3CE4" w:rsidRPr="0096658B" w:rsidRDefault="0096658B" w:rsidP="005C567C">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El PLE fue discutido y aprobado en segundo debate en la sesión plenaria de la Cámara de 15 de junio de 2023, documentada en el acta número 67 de la misma fecha, publicada en l</w:t>
      </w:r>
      <w:r w:rsidRPr="0096658B">
        <w:rPr>
          <w:rFonts w:ascii="Times New Roman" w:hAnsi="Times New Roman" w:cs="Times New Roman"/>
          <w:color w:val="000000" w:themeColor="text1"/>
          <w:lang w:val="es-ES_tradnl"/>
        </w:rPr>
        <w:t xml:space="preserve">a Gaceta del Congreso </w:t>
      </w:r>
      <w:r w:rsidRPr="0096658B">
        <w:rPr>
          <w:rFonts w:ascii="Times New Roman" w:hAnsi="Times New Roman" w:cs="Times New Roman"/>
          <w:color w:val="000000" w:themeColor="text1"/>
          <w:lang w:val="es-ES_tradnl"/>
        </w:rPr>
        <w:t>1504 de 26 de octubre de 2023. Iniciada la sesión se realizó el llamado a lista de los asistentes y respondieron 171 representantes</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por lo que se conformó </w:t>
      </w:r>
      <w:r w:rsidRPr="0096658B">
        <w:rPr>
          <w:rFonts w:ascii="Times New Roman" w:hAnsi="Times New Roman" w:cs="Times New Roman"/>
          <w:i/>
          <w:iCs/>
          <w:color w:val="000000" w:themeColor="text1"/>
          <w:lang w:val="es-ES_tradnl"/>
        </w:rPr>
        <w:t>qu</w:t>
      </w:r>
      <w:r w:rsidRPr="0096658B">
        <w:rPr>
          <w:rFonts w:ascii="Times New Roman" w:hAnsi="Times New Roman" w:cs="Times New Roman"/>
          <w:i/>
          <w:iCs/>
          <w:color w:val="000000" w:themeColor="text1"/>
          <w:lang w:val="es-ES_tradnl"/>
        </w:rPr>
        <w:t>o</w:t>
      </w:r>
      <w:r w:rsidRPr="0096658B">
        <w:rPr>
          <w:rFonts w:ascii="Times New Roman" w:hAnsi="Times New Roman" w:cs="Times New Roman"/>
          <w:i/>
          <w:iCs/>
          <w:color w:val="000000" w:themeColor="text1"/>
          <w:lang w:val="es-ES_tradnl"/>
        </w:rPr>
        <w:t>rum</w:t>
      </w:r>
      <w:r w:rsidRPr="0096658B">
        <w:rPr>
          <w:rFonts w:ascii="Times New Roman" w:hAnsi="Times New Roman" w:cs="Times New Roman"/>
          <w:color w:val="000000" w:themeColor="text1"/>
          <w:lang w:val="es-ES_tradnl"/>
        </w:rPr>
        <w:t xml:space="preserve"> decisorio</w:t>
      </w:r>
      <w:r w:rsidRPr="0096658B">
        <w:rPr>
          <w:rStyle w:val="Refdenotaalpie"/>
          <w:rFonts w:ascii="Times New Roman" w:hAnsi="Times New Roman"/>
          <w:color w:val="000000" w:themeColor="text1"/>
          <w:lang w:val="es-ES_tradnl"/>
        </w:rPr>
        <w:footnoteReference w:id="53"/>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Luego de negarse un impedimento, la presidencia concedió el uso de la palabra a la representante Catherine Juvinao Clavijo para que explicara el informe de ponencia. </w:t>
      </w:r>
      <w:r w:rsidRPr="0096658B">
        <w:rPr>
          <w:rFonts w:ascii="Times New Roman" w:hAnsi="Times New Roman" w:cs="Times New Roman"/>
          <w:color w:val="000000" w:themeColor="text1"/>
          <w:lang w:val="es-ES_tradnl"/>
        </w:rPr>
        <w:t>Acto seguido inter</w:t>
      </w:r>
      <w:r w:rsidRPr="0096658B">
        <w:rPr>
          <w:rFonts w:ascii="Times New Roman" w:hAnsi="Times New Roman" w:cs="Times New Roman"/>
          <w:color w:val="000000" w:themeColor="text1"/>
          <w:lang w:val="es-ES_tradnl"/>
        </w:rPr>
        <w:t>vinieron varios representantes que, si bien manifestaron su acuerdo con</w:t>
      </w:r>
      <w:r w:rsidRPr="0096658B">
        <w:rPr>
          <w:rFonts w:ascii="Times New Roman" w:hAnsi="Times New Roman" w:cs="Times New Roman"/>
          <w:color w:val="000000" w:themeColor="text1"/>
          <w:lang w:val="es-ES_tradnl"/>
        </w:rPr>
        <w:t xml:space="preserve"> el objetivo general del proyecto, pusieron de presente algunos desacuerdos sobre</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tres</w:t>
      </w:r>
      <w:r w:rsidRPr="0096658B">
        <w:rPr>
          <w:rFonts w:ascii="Times New Roman" w:hAnsi="Times New Roman" w:cs="Times New Roman"/>
          <w:color w:val="000000" w:themeColor="text1"/>
          <w:lang w:val="es-ES_tradnl"/>
        </w:rPr>
        <w:t xml:space="preserve"> puntos. Primero,</w:t>
      </w:r>
      <w:r w:rsidRPr="0096658B">
        <w:rPr>
          <w:rFonts w:ascii="Times New Roman" w:hAnsi="Times New Roman" w:cs="Times New Roman"/>
          <w:color w:val="000000" w:themeColor="text1"/>
          <w:lang w:val="es-ES_tradnl"/>
        </w:rPr>
        <w:t xml:space="preserve"> la existencia de razones diferentes a la paridad que impiden la participación de las mujeres, como la violencia política en su contra, la distribución i</w:t>
      </w:r>
      <w:r w:rsidRPr="0096658B">
        <w:rPr>
          <w:rFonts w:ascii="Times New Roman" w:hAnsi="Times New Roman" w:cs="Times New Roman"/>
          <w:color w:val="000000" w:themeColor="text1"/>
          <w:lang w:val="es-ES_tradnl"/>
        </w:rPr>
        <w:t>nequitativa de las labores de cuidado y el influjo de grupos armados ilegales en la conformación de las listas</w:t>
      </w:r>
      <w:r w:rsidRPr="0096658B">
        <w:rPr>
          <w:rFonts w:ascii="Times New Roman" w:hAnsi="Times New Roman" w:cs="Times New Roman"/>
          <w:color w:val="000000" w:themeColor="text1"/>
          <w:lang w:val="es-ES_tradnl"/>
        </w:rPr>
        <w:t>. Segundo,</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el riesgo de que, ante la necesidad de conformar listas paritarias</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las mujeres no sean incluidas por sus méritos o aportes, sino ante </w:t>
      </w:r>
      <w:r w:rsidRPr="0096658B">
        <w:rPr>
          <w:rFonts w:ascii="Times New Roman" w:hAnsi="Times New Roman" w:cs="Times New Roman"/>
          <w:color w:val="000000" w:themeColor="text1"/>
          <w:lang w:val="es-ES_tradnl"/>
        </w:rPr>
        <w:t>la simple necesidad de cumplir con la obligación legal</w:t>
      </w:r>
      <w:r w:rsidRPr="0096658B">
        <w:rPr>
          <w:rFonts w:ascii="Times New Roman" w:hAnsi="Times New Roman" w:cs="Times New Roman"/>
          <w:color w:val="000000" w:themeColor="text1"/>
          <w:lang w:val="es-ES_tradnl"/>
        </w:rPr>
        <w:t xml:space="preserve"> e incluso, previo reconocimiento económico para la candidata</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Estos riesgos, además, también estaban presentes bajo la redacción vigente del artículo 28 de la Ley 1475 de 2011, que prevé un mínimo de p</w:t>
      </w:r>
      <w:r w:rsidRPr="0096658B">
        <w:rPr>
          <w:rFonts w:ascii="Times New Roman" w:hAnsi="Times New Roman" w:cs="Times New Roman"/>
          <w:color w:val="000000" w:themeColor="text1"/>
          <w:lang w:val="es-ES_tradnl"/>
        </w:rPr>
        <w:t xml:space="preserve">articipación del 30%. </w:t>
      </w:r>
      <w:r w:rsidRPr="0096658B">
        <w:rPr>
          <w:rFonts w:ascii="Times New Roman" w:hAnsi="Times New Roman" w:cs="Times New Roman"/>
          <w:color w:val="000000" w:themeColor="text1"/>
          <w:lang w:val="es-ES_tradnl"/>
        </w:rPr>
        <w:t>A partir de este último cuestionamiento, la representante Adriana Carolina Arbeláez Giraldo anunció que formularía una proposición para suprimir el artículo 3º del PLE</w:t>
      </w:r>
      <w:r w:rsidRPr="0096658B">
        <w:rPr>
          <w:rFonts w:ascii="Times New Roman" w:hAnsi="Times New Roman" w:cs="Times New Roman"/>
          <w:color w:val="000000" w:themeColor="text1"/>
          <w:lang w:val="es-ES_tradnl"/>
        </w:rPr>
        <w:t>. Tercero,</w:t>
      </w:r>
      <w:r w:rsidRPr="0096658B">
        <w:rPr>
          <w:rFonts w:ascii="Times New Roman" w:hAnsi="Times New Roman" w:cs="Times New Roman"/>
          <w:color w:val="000000" w:themeColor="text1"/>
          <w:lang w:val="es-ES_tradnl"/>
        </w:rPr>
        <w:t xml:space="preserve"> la discriminación que la iniciativa generaría respecto de las personas de género no binario</w:t>
      </w:r>
      <w:r w:rsidRPr="0096658B">
        <w:rPr>
          <w:rFonts w:ascii="Times New Roman" w:hAnsi="Times New Roman" w:cs="Times New Roman"/>
          <w:color w:val="000000" w:themeColor="text1"/>
          <w:lang w:val="es-ES_tradnl"/>
        </w:rPr>
        <w:t>, quienes quedarían excluidas de los mecanismos de paridad previstos en la iniciativa</w:t>
      </w:r>
      <w:r w:rsidRPr="0096658B">
        <w:rPr>
          <w:rFonts w:ascii="Times New Roman" w:hAnsi="Times New Roman" w:cs="Times New Roman"/>
          <w:color w:val="000000" w:themeColor="text1"/>
          <w:lang w:val="es-ES_tradnl"/>
        </w:rPr>
        <w:t>.</w:t>
      </w:r>
    </w:p>
    <w:p w:rsidR="00101EAF" w:rsidRPr="0096658B" w:rsidRDefault="0096658B" w:rsidP="00101EAF">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color w:val="000000" w:themeColor="text1"/>
          <w:lang w:val="es-ES_tradnl"/>
        </w:rPr>
      </w:pPr>
    </w:p>
    <w:p w:rsidR="00101EAF" w:rsidRPr="0096658B" w:rsidRDefault="0096658B" w:rsidP="005C567C">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Finalizadas las intervenciones fue sometid</w:t>
      </w:r>
      <w:r w:rsidRPr="0096658B">
        <w:rPr>
          <w:rFonts w:ascii="Times New Roman" w:hAnsi="Times New Roman" w:cs="Times New Roman"/>
          <w:color w:val="000000" w:themeColor="text1"/>
          <w:lang w:val="es-ES_tradnl"/>
        </w:rPr>
        <w:t>a</w:t>
      </w:r>
      <w:r w:rsidRPr="0096658B">
        <w:rPr>
          <w:rFonts w:ascii="Times New Roman" w:hAnsi="Times New Roman" w:cs="Times New Roman"/>
          <w:color w:val="000000" w:themeColor="text1"/>
          <w:lang w:val="es-ES_tradnl"/>
        </w:rPr>
        <w:t xml:space="preserve"> a votación la proposición favora</w:t>
      </w:r>
      <w:r w:rsidRPr="0096658B">
        <w:rPr>
          <w:rFonts w:ascii="Times New Roman" w:hAnsi="Times New Roman" w:cs="Times New Roman"/>
          <w:color w:val="000000" w:themeColor="text1"/>
          <w:lang w:val="es-ES_tradnl"/>
        </w:rPr>
        <w:t xml:space="preserve">ble que contenía el informe de ponencia, la cual fue aprobada </w:t>
      </w:r>
      <w:r w:rsidRPr="0096658B">
        <w:rPr>
          <w:rFonts w:ascii="Times New Roman" w:hAnsi="Times New Roman" w:cs="Times New Roman"/>
          <w:color w:val="000000" w:themeColor="text1"/>
          <w:lang w:val="es-ES_tradnl"/>
        </w:rPr>
        <w:t xml:space="preserve">mediante votación nominal </w:t>
      </w:r>
      <w:r w:rsidRPr="0096658B">
        <w:rPr>
          <w:rFonts w:ascii="Times New Roman" w:hAnsi="Times New Roman" w:cs="Times New Roman"/>
          <w:color w:val="000000" w:themeColor="text1"/>
          <w:lang w:val="es-ES_tradnl"/>
        </w:rPr>
        <w:t xml:space="preserve">con 129 votos </w:t>
      </w:r>
      <w:r w:rsidRPr="0096658B">
        <w:rPr>
          <w:rFonts w:ascii="Times New Roman" w:hAnsi="Times New Roman" w:cs="Times New Roman"/>
          <w:color w:val="000000" w:themeColor="text1"/>
          <w:lang w:val="es-ES_tradnl"/>
        </w:rPr>
        <w:t>afirmativos</w:t>
      </w:r>
      <w:r w:rsidRPr="0096658B">
        <w:rPr>
          <w:rFonts w:ascii="Times New Roman" w:hAnsi="Times New Roman" w:cs="Times New Roman"/>
          <w:color w:val="000000" w:themeColor="text1"/>
          <w:lang w:val="es-ES_tradnl"/>
        </w:rPr>
        <w:t xml:space="preserve"> y seis </w:t>
      </w:r>
      <w:r w:rsidRPr="0096658B">
        <w:rPr>
          <w:rFonts w:ascii="Times New Roman" w:hAnsi="Times New Roman" w:cs="Times New Roman"/>
          <w:color w:val="000000" w:themeColor="text1"/>
          <w:lang w:val="es-ES_tradnl"/>
        </w:rPr>
        <w:t>negativos</w:t>
      </w:r>
      <w:r w:rsidRPr="0096658B">
        <w:rPr>
          <w:rFonts w:ascii="Times New Roman" w:hAnsi="Times New Roman" w:cs="Times New Roman"/>
          <w:color w:val="000000" w:themeColor="text1"/>
          <w:lang w:val="es-ES_tradnl"/>
        </w:rPr>
        <w:t>, esto es, con mayoría absoluta</w:t>
      </w:r>
      <w:r w:rsidRPr="0096658B">
        <w:rPr>
          <w:rStyle w:val="Refdenotaalpie"/>
          <w:rFonts w:ascii="Times New Roman" w:hAnsi="Times New Roman"/>
          <w:color w:val="000000" w:themeColor="text1"/>
          <w:lang w:val="es-ES_tradnl"/>
        </w:rPr>
        <w:footnoteReference w:id="54"/>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Luego, la presidencia ordenó la votación de los artículos 2º y 4º que no tenían proposicione</w:t>
      </w:r>
      <w:r w:rsidRPr="0096658B">
        <w:rPr>
          <w:rFonts w:ascii="Times New Roman" w:hAnsi="Times New Roman" w:cs="Times New Roman"/>
          <w:color w:val="000000" w:themeColor="text1"/>
          <w:lang w:val="es-ES_tradnl"/>
        </w:rPr>
        <w:t>s, siendo aprobados con mayoría absoluta de 125 votos nominales a favor y ninguno en contra</w:t>
      </w:r>
      <w:r w:rsidRPr="0096658B">
        <w:rPr>
          <w:rStyle w:val="Refdenotaalpie"/>
          <w:rFonts w:ascii="Times New Roman" w:hAnsi="Times New Roman"/>
          <w:color w:val="000000" w:themeColor="text1"/>
          <w:lang w:val="es-ES_tradnl"/>
        </w:rPr>
        <w:footnoteReference w:id="55"/>
      </w:r>
      <w:r w:rsidRPr="0096658B">
        <w:rPr>
          <w:rFonts w:ascii="Times New Roman" w:hAnsi="Times New Roman" w:cs="Times New Roman"/>
          <w:color w:val="000000" w:themeColor="text1"/>
          <w:lang w:val="es-ES_tradnl"/>
        </w:rPr>
        <w:t>.</w:t>
      </w:r>
    </w:p>
    <w:p w:rsidR="008213B4" w:rsidRPr="0096658B" w:rsidRDefault="0096658B" w:rsidP="008213B4">
      <w:pPr>
        <w:pStyle w:val="Prrafodelista"/>
        <w:rPr>
          <w:rFonts w:ascii="Times New Roman" w:hAnsi="Times New Roman" w:cs="Times New Roman"/>
          <w:color w:val="000000" w:themeColor="text1"/>
          <w:lang w:val="es-ES_tradnl"/>
        </w:rPr>
      </w:pPr>
    </w:p>
    <w:p w:rsidR="008213B4" w:rsidRPr="0096658B" w:rsidRDefault="0096658B" w:rsidP="005C567C">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Respecto del artículo 1º se había formulado una proposición que luego fue dejada como constancia, de modo que s</w:t>
      </w:r>
      <w:r w:rsidRPr="0096658B">
        <w:rPr>
          <w:rFonts w:ascii="Times New Roman" w:hAnsi="Times New Roman" w:cs="Times New Roman"/>
          <w:color w:val="000000" w:themeColor="text1"/>
          <w:lang w:val="es-ES_tradnl"/>
        </w:rPr>
        <w:t>ó</w:t>
      </w:r>
      <w:r w:rsidRPr="0096658B">
        <w:rPr>
          <w:rFonts w:ascii="Times New Roman" w:hAnsi="Times New Roman" w:cs="Times New Roman"/>
          <w:color w:val="000000" w:themeColor="text1"/>
          <w:lang w:val="es-ES_tradnl"/>
        </w:rPr>
        <w:t>lo quedaron proposiciones no avaladas respecto de</w:t>
      </w:r>
      <w:r w:rsidRPr="0096658B">
        <w:rPr>
          <w:rFonts w:ascii="Times New Roman" w:hAnsi="Times New Roman" w:cs="Times New Roman"/>
          <w:color w:val="000000" w:themeColor="text1"/>
          <w:lang w:val="es-ES_tradnl"/>
        </w:rPr>
        <w:t xml:space="preserve">l artículo 3º. </w:t>
      </w:r>
      <w:r w:rsidRPr="0096658B">
        <w:rPr>
          <w:rFonts w:ascii="Times New Roman" w:hAnsi="Times New Roman" w:cs="Times New Roman"/>
          <w:color w:val="000000" w:themeColor="text1"/>
          <w:lang w:val="es-ES_tradnl"/>
        </w:rPr>
        <w:t xml:space="preserve">La primera, dirigida a eliminar el artículo 3º, fue negada con </w:t>
      </w:r>
      <w:r w:rsidRPr="0096658B">
        <w:rPr>
          <w:rFonts w:ascii="Times New Roman" w:hAnsi="Times New Roman" w:cs="Times New Roman"/>
          <w:color w:val="000000" w:themeColor="text1"/>
          <w:lang w:val="es-ES_tradnl"/>
        </w:rPr>
        <w:t>74 votos en contra y seis a favor, por lo que no contó con la mayoría absoluta necesaria para ser aprobada</w:t>
      </w:r>
      <w:r w:rsidRPr="0096658B">
        <w:rPr>
          <w:rStyle w:val="Refdenotaalpie"/>
          <w:rFonts w:ascii="Times New Roman" w:hAnsi="Times New Roman"/>
          <w:color w:val="000000" w:themeColor="text1"/>
          <w:lang w:val="es-ES_tradnl"/>
        </w:rPr>
        <w:footnoteReference w:id="56"/>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A continuación intervinieron varios representantes acerca de las demás proposiciones no avaladas. Terminadas estas intervenciones</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la presidencia advirtió que el artículo 1º no había sido votado, por lo cual ordenó esa votación</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a partir de la proposición</w:t>
      </w:r>
      <w:r w:rsidRPr="0096658B">
        <w:rPr>
          <w:rFonts w:ascii="Times New Roman" w:hAnsi="Times New Roman" w:cs="Times New Roman"/>
          <w:color w:val="000000" w:themeColor="text1"/>
          <w:lang w:val="es-ES_tradnl"/>
        </w:rPr>
        <w:t xml:space="preserve"> formulada por la representante ponente Catherine Juvinao</w:t>
      </w:r>
      <w:r w:rsidRPr="0096658B">
        <w:rPr>
          <w:rStyle w:val="Refdenotaalpie"/>
          <w:rFonts w:ascii="Times New Roman" w:hAnsi="Times New Roman"/>
          <w:color w:val="000000" w:themeColor="text1"/>
          <w:lang w:val="es-ES_tradnl"/>
        </w:rPr>
        <w:footnoteReference w:id="57"/>
      </w:r>
      <w:r w:rsidRPr="0096658B">
        <w:rPr>
          <w:rFonts w:ascii="Times New Roman" w:hAnsi="Times New Roman" w:cs="Times New Roman"/>
          <w:color w:val="000000" w:themeColor="text1"/>
          <w:lang w:val="es-ES_tradnl"/>
        </w:rPr>
        <w:t>. Este artículo fue aprobado con votación nominal de 135 votos a favor y seis votos en contra</w:t>
      </w:r>
      <w:r w:rsidRPr="0096658B">
        <w:rPr>
          <w:rStyle w:val="Refdenotaalpie"/>
          <w:rFonts w:ascii="Times New Roman" w:hAnsi="Times New Roman"/>
          <w:color w:val="000000" w:themeColor="text1"/>
          <w:lang w:val="es-ES_tradnl"/>
        </w:rPr>
        <w:footnoteReference w:id="58"/>
      </w:r>
      <w:r w:rsidRPr="0096658B">
        <w:rPr>
          <w:rFonts w:ascii="Times New Roman" w:hAnsi="Times New Roman" w:cs="Times New Roman"/>
          <w:color w:val="000000" w:themeColor="text1"/>
          <w:lang w:val="es-ES_tradnl"/>
        </w:rPr>
        <w:t>.</w:t>
      </w:r>
    </w:p>
    <w:p w:rsidR="00E07A14" w:rsidRPr="0096658B" w:rsidRDefault="0096658B" w:rsidP="00E07A14">
      <w:pPr>
        <w:pStyle w:val="Prrafodelista"/>
        <w:rPr>
          <w:rFonts w:ascii="Times New Roman" w:hAnsi="Times New Roman" w:cs="Times New Roman"/>
          <w:color w:val="000000" w:themeColor="text1"/>
          <w:lang w:val="es-ES_tradnl"/>
        </w:rPr>
      </w:pPr>
    </w:p>
    <w:p w:rsidR="00D656FC" w:rsidRPr="0096658B" w:rsidRDefault="0096658B" w:rsidP="005C567C">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Frente a las demás proposiciones no avaladas al artículo 3º, durante la sesión se acordó que un grupo</w:t>
      </w:r>
      <w:r w:rsidRPr="0096658B">
        <w:rPr>
          <w:rFonts w:ascii="Times New Roman" w:hAnsi="Times New Roman" w:cs="Times New Roman"/>
          <w:color w:val="000000" w:themeColor="text1"/>
          <w:lang w:val="es-ES_tradnl"/>
        </w:rPr>
        <w:t xml:space="preserve"> de representantes </w:t>
      </w:r>
      <w:r w:rsidRPr="0096658B">
        <w:rPr>
          <w:rFonts w:ascii="Times New Roman" w:hAnsi="Times New Roman" w:cs="Times New Roman"/>
          <w:color w:val="000000" w:themeColor="text1"/>
          <w:lang w:val="es-ES_tradnl"/>
        </w:rPr>
        <w:t>prepar</w:t>
      </w:r>
      <w:r w:rsidRPr="0096658B">
        <w:rPr>
          <w:rFonts w:ascii="Times New Roman" w:hAnsi="Times New Roman" w:cs="Times New Roman"/>
          <w:color w:val="000000" w:themeColor="text1"/>
          <w:lang w:val="es-ES_tradnl"/>
        </w:rPr>
        <w:t>ar</w:t>
      </w:r>
      <w:r w:rsidRPr="0096658B">
        <w:rPr>
          <w:rFonts w:ascii="Times New Roman" w:hAnsi="Times New Roman" w:cs="Times New Roman"/>
          <w:color w:val="000000" w:themeColor="text1"/>
          <w:lang w:val="es-ES_tradnl"/>
        </w:rPr>
        <w:t>ía</w:t>
      </w:r>
      <w:r w:rsidRPr="0096658B">
        <w:rPr>
          <w:rFonts w:ascii="Times New Roman" w:hAnsi="Times New Roman" w:cs="Times New Roman"/>
          <w:color w:val="000000" w:themeColor="text1"/>
          <w:lang w:val="es-ES_tradnl"/>
        </w:rPr>
        <w:t xml:space="preserve"> un texto que reuniera las preocupaciones planteadas por algunos congresistas y lo sometieran a la plenaria. El asunto e</w:t>
      </w:r>
      <w:r w:rsidRPr="0096658B">
        <w:rPr>
          <w:rFonts w:ascii="Times New Roman" w:hAnsi="Times New Roman" w:cs="Times New Roman"/>
          <w:color w:val="000000" w:themeColor="text1"/>
          <w:lang w:val="es-ES_tradnl"/>
        </w:rPr>
        <w:t>specífico</w:t>
      </w:r>
      <w:r w:rsidRPr="0096658B">
        <w:rPr>
          <w:rFonts w:ascii="Times New Roman" w:hAnsi="Times New Roman" w:cs="Times New Roman"/>
          <w:color w:val="000000" w:themeColor="text1"/>
          <w:lang w:val="es-ES_tradnl"/>
        </w:rPr>
        <w:t xml:space="preserve"> de discusión fue la participación de las mujeres en aquellas listas para elegir menos de cinco cu</w:t>
      </w:r>
      <w:r w:rsidRPr="0096658B">
        <w:rPr>
          <w:rFonts w:ascii="Times New Roman" w:hAnsi="Times New Roman" w:cs="Times New Roman"/>
          <w:color w:val="000000" w:themeColor="text1"/>
          <w:lang w:val="es-ES_tradnl"/>
        </w:rPr>
        <w:t>rules</w:t>
      </w:r>
      <w:r w:rsidRPr="0096658B">
        <w:rPr>
          <w:rFonts w:ascii="Times New Roman" w:hAnsi="Times New Roman" w:cs="Times New Roman"/>
          <w:color w:val="000000" w:themeColor="text1"/>
          <w:lang w:val="es-ES_tradnl"/>
        </w:rPr>
        <w:t xml:space="preserve">, para lo cual se llegó al acuerdo </w:t>
      </w:r>
      <w:r w:rsidRPr="0096658B">
        <w:rPr>
          <w:rFonts w:ascii="Times New Roman" w:hAnsi="Times New Roman" w:cs="Times New Roman"/>
          <w:color w:val="000000" w:themeColor="text1"/>
          <w:lang w:val="es-ES_tradnl"/>
        </w:rPr>
        <w:t xml:space="preserve">de </w:t>
      </w:r>
      <w:r w:rsidRPr="0096658B">
        <w:rPr>
          <w:rFonts w:ascii="Times New Roman" w:hAnsi="Times New Roman" w:cs="Times New Roman"/>
          <w:color w:val="000000" w:themeColor="text1"/>
          <w:lang w:val="es-ES_tradnl"/>
        </w:rPr>
        <w:t xml:space="preserve">que en esos casos la lista deberá tener al menos una mujer. </w:t>
      </w:r>
      <w:r w:rsidRPr="0096658B">
        <w:rPr>
          <w:rFonts w:ascii="Times New Roman" w:hAnsi="Times New Roman" w:cs="Times New Roman"/>
          <w:color w:val="000000" w:themeColor="text1"/>
          <w:lang w:val="es-ES_tradnl"/>
        </w:rPr>
        <w:t>Igualmente, en el caso de las listas dirigidas a elegir más de cinco curules, el mencionado grupo acordó reducir la cuota de participación de las mujeres</w:t>
      </w:r>
      <w:r w:rsidRPr="0096658B">
        <w:rPr>
          <w:rFonts w:ascii="Times New Roman" w:hAnsi="Times New Roman" w:cs="Times New Roman"/>
          <w:color w:val="000000" w:themeColor="text1"/>
          <w:lang w:val="es-ES_tradnl"/>
        </w:rPr>
        <w:t xml:space="preserve"> en las listas destinadas a proveer más de cinco curules, del 50% previsto en la ponencia</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al 30% dispuesto en la legislación vigente</w:t>
      </w:r>
      <w:r w:rsidRPr="0096658B">
        <w:rPr>
          <w:rStyle w:val="Refdenotaalpie"/>
          <w:rFonts w:ascii="Times New Roman" w:hAnsi="Times New Roman"/>
          <w:color w:val="000000" w:themeColor="text1"/>
          <w:lang w:val="es-ES_tradnl"/>
        </w:rPr>
        <w:footnoteReference w:id="59"/>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Asimismo, consider</w:t>
      </w:r>
      <w:r w:rsidRPr="0096658B">
        <w:rPr>
          <w:rFonts w:ascii="Times New Roman" w:hAnsi="Times New Roman" w:cs="Times New Roman"/>
          <w:color w:val="000000" w:themeColor="text1"/>
          <w:lang w:val="es-ES_tradnl"/>
        </w:rPr>
        <w:t>aron</w:t>
      </w:r>
      <w:r w:rsidRPr="0096658B">
        <w:rPr>
          <w:rFonts w:ascii="Times New Roman" w:hAnsi="Times New Roman" w:cs="Times New Roman"/>
          <w:color w:val="000000" w:themeColor="text1"/>
          <w:lang w:val="es-ES_tradnl"/>
        </w:rPr>
        <w:t xml:space="preserve"> necesario incorporar un parágrafo que dejar</w:t>
      </w:r>
      <w:r w:rsidRPr="0096658B">
        <w:rPr>
          <w:rFonts w:ascii="Times New Roman" w:hAnsi="Times New Roman" w:cs="Times New Roman"/>
          <w:color w:val="000000" w:themeColor="text1"/>
          <w:lang w:val="es-ES_tradnl"/>
        </w:rPr>
        <w:t>a</w:t>
      </w:r>
      <w:r w:rsidRPr="0096658B">
        <w:rPr>
          <w:rFonts w:ascii="Times New Roman" w:hAnsi="Times New Roman" w:cs="Times New Roman"/>
          <w:color w:val="000000" w:themeColor="text1"/>
          <w:lang w:val="es-ES_tradnl"/>
        </w:rPr>
        <w:t xml:space="preserve"> claro que la entrada en vigencia de las obligaciones sobre conformación de las listas </w:t>
      </w:r>
      <w:r w:rsidRPr="0096658B">
        <w:rPr>
          <w:rFonts w:ascii="Times New Roman" w:hAnsi="Times New Roman" w:cs="Times New Roman"/>
          <w:color w:val="000000" w:themeColor="text1"/>
          <w:lang w:val="es-ES_tradnl"/>
        </w:rPr>
        <w:t>fuera solo hasta 2026 y con el fin de evitar una implementación precipitada de los mecanismos de paridad en las elecciones locales de 2023</w:t>
      </w:r>
      <w:r w:rsidRPr="0096658B">
        <w:rPr>
          <w:rStyle w:val="Refdenotaalpie"/>
          <w:rFonts w:ascii="Times New Roman" w:hAnsi="Times New Roman"/>
          <w:color w:val="000000" w:themeColor="text1"/>
          <w:lang w:val="es-ES_tradnl"/>
        </w:rPr>
        <w:footnoteReference w:id="60"/>
      </w:r>
      <w:r w:rsidRPr="0096658B">
        <w:rPr>
          <w:rFonts w:ascii="Times New Roman" w:hAnsi="Times New Roman" w:cs="Times New Roman"/>
          <w:color w:val="000000" w:themeColor="text1"/>
          <w:lang w:val="es-ES_tradnl"/>
        </w:rPr>
        <w:t>.</w:t>
      </w:r>
    </w:p>
    <w:p w:rsidR="00D656FC" w:rsidRPr="0096658B" w:rsidRDefault="0096658B" w:rsidP="00D656FC">
      <w:pPr>
        <w:pStyle w:val="Prrafodelista"/>
        <w:rPr>
          <w:rFonts w:ascii="Times New Roman" w:hAnsi="Times New Roman" w:cs="Times New Roman"/>
          <w:color w:val="000000" w:themeColor="text1"/>
          <w:lang w:val="es-ES_tradnl"/>
        </w:rPr>
      </w:pPr>
    </w:p>
    <w:p w:rsidR="00E07A14" w:rsidRPr="0096658B" w:rsidRDefault="0096658B" w:rsidP="005C567C">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El nuevo texto del artículo</w:t>
      </w:r>
      <w:r w:rsidRPr="0096658B">
        <w:rPr>
          <w:rFonts w:ascii="Times New Roman" w:hAnsi="Times New Roman" w:cs="Times New Roman"/>
          <w:color w:val="000000" w:themeColor="text1"/>
          <w:lang w:val="es-ES_tradnl"/>
        </w:rPr>
        <w:t xml:space="preserve"> 3º fue sometido a votación y</w:t>
      </w:r>
      <w:r w:rsidRPr="0096658B">
        <w:rPr>
          <w:rFonts w:ascii="Times New Roman" w:hAnsi="Times New Roman" w:cs="Times New Roman"/>
          <w:color w:val="000000" w:themeColor="text1"/>
          <w:lang w:val="es-ES_tradnl"/>
        </w:rPr>
        <w:t xml:space="preserve"> resultó</w:t>
      </w:r>
      <w:r w:rsidRPr="0096658B">
        <w:rPr>
          <w:rFonts w:ascii="Times New Roman" w:hAnsi="Times New Roman" w:cs="Times New Roman"/>
          <w:color w:val="000000" w:themeColor="text1"/>
          <w:lang w:val="es-ES_tradnl"/>
        </w:rPr>
        <w:t xml:space="preserve"> aprobado con 119 votos nominales por el sí y 19 votos por el no</w:t>
      </w:r>
      <w:r w:rsidRPr="0096658B">
        <w:rPr>
          <w:rStyle w:val="Refdenotaalpie"/>
          <w:rFonts w:ascii="Times New Roman" w:hAnsi="Times New Roman"/>
          <w:color w:val="000000" w:themeColor="text1"/>
          <w:lang w:val="es-ES_tradnl"/>
        </w:rPr>
        <w:footnoteReference w:id="61"/>
      </w:r>
      <w:r w:rsidRPr="0096658B">
        <w:rPr>
          <w:rFonts w:ascii="Times New Roman" w:hAnsi="Times New Roman" w:cs="Times New Roman"/>
          <w:color w:val="000000" w:themeColor="text1"/>
          <w:lang w:val="es-ES_tradnl"/>
        </w:rPr>
        <w:t>. Por ende, contó con mayoría absoluta. Acto seguido, el representante Julián Peinado Ramírez intervino con el fin de llamar nuevamente la atención acerca</w:t>
      </w:r>
      <w:r w:rsidRPr="0096658B">
        <w:rPr>
          <w:rFonts w:ascii="Times New Roman" w:hAnsi="Times New Roman" w:cs="Times New Roman"/>
          <w:color w:val="000000" w:themeColor="text1"/>
          <w:lang w:val="es-ES_tradnl"/>
        </w:rPr>
        <w:t xml:space="preserve"> de la discriminación que el PLE otorgaba a las personas no binarias, quienes no quedarían cobijadas por las medidas de participación paritaria entre hombres y mujeres. </w:t>
      </w:r>
      <w:r w:rsidRPr="0096658B">
        <w:rPr>
          <w:rFonts w:ascii="Times New Roman" w:hAnsi="Times New Roman" w:cs="Times New Roman"/>
          <w:color w:val="000000" w:themeColor="text1"/>
          <w:lang w:val="es-ES_tradnl"/>
        </w:rPr>
        <w:t>Por ende, formuló una proposición de artículo nuevo</w:t>
      </w:r>
      <w:r w:rsidRPr="0096658B">
        <w:rPr>
          <w:rStyle w:val="Refdenotaalpie"/>
          <w:rFonts w:ascii="Times New Roman" w:hAnsi="Times New Roman"/>
          <w:color w:val="000000" w:themeColor="text1"/>
          <w:lang w:val="es-ES_tradnl"/>
        </w:rPr>
        <w:footnoteReference w:id="62"/>
      </w:r>
      <w:r w:rsidRPr="0096658B">
        <w:rPr>
          <w:rFonts w:ascii="Times New Roman" w:hAnsi="Times New Roman" w:cs="Times New Roman"/>
          <w:color w:val="000000" w:themeColor="text1"/>
          <w:lang w:val="es-ES_tradnl"/>
        </w:rPr>
        <w:t xml:space="preserve">, el cual fue negado con 32 votos a favor y </w:t>
      </w:r>
      <w:r w:rsidRPr="0096658B">
        <w:rPr>
          <w:rFonts w:ascii="Times New Roman" w:hAnsi="Times New Roman" w:cs="Times New Roman"/>
          <w:color w:val="000000" w:themeColor="text1"/>
          <w:lang w:val="es-ES_tradnl"/>
        </w:rPr>
        <w:t>101 en contra</w:t>
      </w:r>
      <w:r w:rsidRPr="0096658B">
        <w:rPr>
          <w:rStyle w:val="Refdenotaalpie"/>
          <w:rFonts w:ascii="Times New Roman" w:hAnsi="Times New Roman"/>
          <w:color w:val="000000" w:themeColor="text1"/>
          <w:lang w:val="es-ES_tradnl"/>
        </w:rPr>
        <w:footnoteReference w:id="63"/>
      </w:r>
      <w:r w:rsidRPr="0096658B">
        <w:rPr>
          <w:rFonts w:ascii="Times New Roman" w:hAnsi="Times New Roman" w:cs="Times New Roman"/>
          <w:color w:val="000000" w:themeColor="text1"/>
          <w:lang w:val="es-ES_tradnl"/>
        </w:rPr>
        <w:t>. Finalmente, fue sometido a aprobación el título de la iniciativa y la intención de la plenaria de que fuese ley de la República, ambos asuntos</w:t>
      </w:r>
      <w:r w:rsidRPr="0096658B">
        <w:rPr>
          <w:rFonts w:ascii="Times New Roman" w:hAnsi="Times New Roman" w:cs="Times New Roman"/>
          <w:color w:val="000000" w:themeColor="text1"/>
          <w:lang w:val="es-ES_tradnl"/>
        </w:rPr>
        <w:t xml:space="preserve"> fueron</w:t>
      </w:r>
      <w:r w:rsidRPr="0096658B">
        <w:rPr>
          <w:rFonts w:ascii="Times New Roman" w:hAnsi="Times New Roman" w:cs="Times New Roman"/>
          <w:color w:val="000000" w:themeColor="text1"/>
          <w:lang w:val="es-ES_tradnl"/>
        </w:rPr>
        <w:t xml:space="preserve"> aprobados por mayoría absoluta de 130 votos a </w:t>
      </w:r>
      <w:r w:rsidRPr="0096658B">
        <w:rPr>
          <w:rFonts w:ascii="Times New Roman" w:hAnsi="Times New Roman" w:cs="Times New Roman"/>
          <w:color w:val="000000" w:themeColor="text1"/>
          <w:lang w:val="es-ES_tradnl"/>
        </w:rPr>
        <w:t>favor y uno en contra</w:t>
      </w:r>
      <w:r w:rsidRPr="0096658B">
        <w:rPr>
          <w:rStyle w:val="Refdenotaalpie"/>
          <w:rFonts w:ascii="Times New Roman" w:hAnsi="Times New Roman"/>
          <w:color w:val="000000" w:themeColor="text1"/>
          <w:lang w:val="es-ES_tradnl"/>
        </w:rPr>
        <w:footnoteReference w:id="64"/>
      </w:r>
      <w:r w:rsidRPr="0096658B">
        <w:rPr>
          <w:rFonts w:ascii="Times New Roman" w:hAnsi="Times New Roman" w:cs="Times New Roman"/>
          <w:color w:val="000000" w:themeColor="text1"/>
          <w:lang w:val="es-ES_tradnl"/>
        </w:rPr>
        <w:t xml:space="preserve">. </w:t>
      </w:r>
    </w:p>
    <w:p w:rsidR="00CE686F" w:rsidRPr="0096658B" w:rsidRDefault="0096658B" w:rsidP="00CE686F">
      <w:pPr>
        <w:pStyle w:val="Prrafodelista"/>
        <w:rPr>
          <w:rFonts w:ascii="Times New Roman" w:hAnsi="Times New Roman" w:cs="Times New Roman"/>
          <w:color w:val="000000" w:themeColor="text1"/>
          <w:lang w:val="es-ES_tradnl"/>
        </w:rPr>
      </w:pPr>
    </w:p>
    <w:p w:rsidR="00CE686F" w:rsidRPr="0096658B" w:rsidRDefault="0096658B" w:rsidP="005C567C">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A partir de lo expuesto, la Sala </w:t>
      </w:r>
      <w:r w:rsidRPr="0096658B">
        <w:rPr>
          <w:rFonts w:ascii="Times New Roman" w:hAnsi="Times New Roman" w:cs="Times New Roman"/>
          <w:color w:val="000000" w:themeColor="text1"/>
          <w:lang w:val="es-ES_tradnl"/>
        </w:rPr>
        <w:t xml:space="preserve">constata </w:t>
      </w:r>
      <w:r w:rsidRPr="0096658B">
        <w:rPr>
          <w:rFonts w:ascii="Times New Roman" w:hAnsi="Times New Roman" w:cs="Times New Roman"/>
          <w:color w:val="000000" w:themeColor="text1"/>
          <w:lang w:val="es-ES_tradnl"/>
        </w:rPr>
        <w:t>que</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en el caso del segundo debate en la plenaria de la Cámara de Representantes</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se </w:t>
      </w:r>
      <w:r w:rsidRPr="0096658B">
        <w:rPr>
          <w:rFonts w:ascii="Times New Roman" w:hAnsi="Times New Roman" w:cs="Times New Roman"/>
          <w:color w:val="000000" w:themeColor="text1"/>
          <w:lang w:val="es-ES_tradnl"/>
        </w:rPr>
        <w:t>cumplieron los</w:t>
      </w:r>
      <w:r w:rsidRPr="0096658B">
        <w:rPr>
          <w:rFonts w:ascii="Times New Roman" w:hAnsi="Times New Roman" w:cs="Times New Roman"/>
          <w:color w:val="000000" w:themeColor="text1"/>
          <w:lang w:val="es-ES_tradnl"/>
        </w:rPr>
        <w:t xml:space="preserve"> requisitos de </w:t>
      </w:r>
      <w:r w:rsidRPr="0096658B">
        <w:rPr>
          <w:rFonts w:ascii="Times New Roman" w:hAnsi="Times New Roman" w:cs="Times New Roman"/>
          <w:i/>
          <w:iCs/>
          <w:color w:val="000000" w:themeColor="text1"/>
          <w:lang w:val="es-ES_tradnl"/>
        </w:rPr>
        <w:t>qu</w:t>
      </w:r>
      <w:r w:rsidRPr="0096658B">
        <w:rPr>
          <w:rFonts w:ascii="Times New Roman" w:hAnsi="Times New Roman" w:cs="Times New Roman"/>
          <w:i/>
          <w:iCs/>
          <w:color w:val="000000" w:themeColor="text1"/>
          <w:lang w:val="es-ES_tradnl"/>
        </w:rPr>
        <w:t>o</w:t>
      </w:r>
      <w:r w:rsidRPr="0096658B">
        <w:rPr>
          <w:rFonts w:ascii="Times New Roman" w:hAnsi="Times New Roman" w:cs="Times New Roman"/>
          <w:i/>
          <w:iCs/>
          <w:color w:val="000000" w:themeColor="text1"/>
          <w:lang w:val="es-ES_tradnl"/>
        </w:rPr>
        <w:t>rum</w:t>
      </w:r>
      <w:r w:rsidRPr="0096658B">
        <w:rPr>
          <w:rFonts w:ascii="Times New Roman" w:hAnsi="Times New Roman" w:cs="Times New Roman"/>
          <w:color w:val="000000" w:themeColor="text1"/>
          <w:lang w:val="es-ES_tradnl"/>
        </w:rPr>
        <w:t xml:space="preserve"> y mayorías propios de los proyectos de ley estatutaria. Al respecto </w:t>
      </w:r>
      <w:r w:rsidRPr="0096658B">
        <w:rPr>
          <w:rFonts w:ascii="Times New Roman" w:hAnsi="Times New Roman" w:cs="Times New Roman"/>
          <w:color w:val="000000" w:themeColor="text1"/>
          <w:lang w:val="es-ES_tradnl"/>
        </w:rPr>
        <w:t>aclara</w:t>
      </w:r>
      <w:r w:rsidRPr="0096658B">
        <w:rPr>
          <w:rFonts w:ascii="Times New Roman" w:hAnsi="Times New Roman" w:cs="Times New Roman"/>
          <w:color w:val="000000" w:themeColor="text1"/>
          <w:lang w:val="es-ES_tradnl"/>
        </w:rPr>
        <w:t xml:space="preserve"> que esta conclusión se aplica incluso respecto de la votación de la proposición que buscaba eliminar el artículo 3º del Proyecto de Ley. Esto porque el requisito de mayoría absolut</w:t>
      </w:r>
      <w:r w:rsidRPr="0096658B">
        <w:rPr>
          <w:rFonts w:ascii="Times New Roman" w:hAnsi="Times New Roman" w:cs="Times New Roman"/>
          <w:color w:val="000000" w:themeColor="text1"/>
          <w:lang w:val="es-ES_tradnl"/>
        </w:rPr>
        <w:t xml:space="preserve">a de que trata el artículo </w:t>
      </w:r>
      <w:r w:rsidRPr="0096658B">
        <w:rPr>
          <w:rFonts w:ascii="Times New Roman" w:hAnsi="Times New Roman" w:cs="Times New Roman"/>
          <w:color w:val="000000" w:themeColor="text1"/>
          <w:lang w:val="es-ES_tradnl"/>
        </w:rPr>
        <w:t>153 se aplica para la aprobación, modificación o derogación de las leyes estatutarias. Así, esta mayoría no se obtiene en dos escenarios: o porque la respectiva proposición fue negada por un número de votos constitutivo de mayorí</w:t>
      </w:r>
      <w:r w:rsidRPr="0096658B">
        <w:rPr>
          <w:rFonts w:ascii="Times New Roman" w:hAnsi="Times New Roman" w:cs="Times New Roman"/>
          <w:color w:val="000000" w:themeColor="text1"/>
          <w:lang w:val="es-ES_tradnl"/>
        </w:rPr>
        <w:t>a absoluta</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o bien cuando no alcanza ese mismo guarismo en votos favorables. En este último caso se está ante lo que en la práctica parlamentaria se denomina como el “hundimiento” de la proposición</w:t>
      </w:r>
      <w:r w:rsidRPr="0096658B">
        <w:rPr>
          <w:rStyle w:val="Refdenotaalpie"/>
          <w:rFonts w:ascii="Times New Roman" w:hAnsi="Times New Roman"/>
          <w:color w:val="000000" w:themeColor="text1"/>
          <w:lang w:val="es-ES_tradnl"/>
        </w:rPr>
        <w:footnoteReference w:id="65"/>
      </w:r>
      <w:r w:rsidRPr="0096658B">
        <w:rPr>
          <w:rFonts w:ascii="Times New Roman" w:hAnsi="Times New Roman" w:cs="Times New Roman"/>
          <w:color w:val="000000" w:themeColor="text1"/>
          <w:lang w:val="es-ES_tradnl"/>
        </w:rPr>
        <w:t xml:space="preserve">. Esta segunda alternativa fue la que operó en el caso de </w:t>
      </w:r>
      <w:r w:rsidRPr="0096658B">
        <w:rPr>
          <w:rFonts w:ascii="Times New Roman" w:hAnsi="Times New Roman" w:cs="Times New Roman"/>
          <w:color w:val="000000" w:themeColor="text1"/>
          <w:lang w:val="es-ES_tradnl"/>
        </w:rPr>
        <w:t xml:space="preserve">la proposición que pretendía eliminar el artículo 3º. </w:t>
      </w:r>
    </w:p>
    <w:p w:rsidR="00AF4922" w:rsidRPr="0096658B" w:rsidRDefault="0096658B" w:rsidP="00AF4922">
      <w:pPr>
        <w:pStyle w:val="Prrafodelista"/>
        <w:rPr>
          <w:rFonts w:ascii="Times New Roman" w:hAnsi="Times New Roman" w:cs="Times New Roman"/>
          <w:color w:val="000000" w:themeColor="text1"/>
          <w:lang w:val="es-ES_tradnl"/>
        </w:rPr>
      </w:pPr>
    </w:p>
    <w:p w:rsidR="00AF4922" w:rsidRPr="0096658B" w:rsidRDefault="0096658B" w:rsidP="005C567C">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Ante la existencia de divergencias entre los textos aprobados</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se integró </w:t>
      </w:r>
      <w:r w:rsidRPr="0096658B">
        <w:rPr>
          <w:rFonts w:ascii="Times New Roman" w:hAnsi="Times New Roman" w:cs="Times New Roman"/>
          <w:color w:val="000000" w:themeColor="text1"/>
          <w:lang w:val="es-ES_tradnl"/>
        </w:rPr>
        <w:t xml:space="preserve">la </w:t>
      </w:r>
      <w:r w:rsidRPr="0096658B">
        <w:rPr>
          <w:rFonts w:ascii="Times New Roman" w:hAnsi="Times New Roman" w:cs="Times New Roman"/>
          <w:color w:val="000000" w:themeColor="text1"/>
          <w:lang w:val="es-ES_tradnl"/>
        </w:rPr>
        <w:t xml:space="preserve">comisión accidental de conciliación. Para el caso del Senado, la plenaria en la que se discutió y votó el informe respectivo se realizó el </w:t>
      </w:r>
      <w:r w:rsidRPr="0096658B">
        <w:rPr>
          <w:rFonts w:ascii="Times New Roman" w:hAnsi="Times New Roman" w:cs="Times New Roman"/>
          <w:color w:val="000000" w:themeColor="text1"/>
          <w:lang w:val="es-ES_tradnl"/>
        </w:rPr>
        <w:t>19 de junio de 2023</w:t>
      </w:r>
      <w:r w:rsidRPr="0096658B">
        <w:rPr>
          <w:rFonts w:ascii="Times New Roman" w:hAnsi="Times New Roman" w:cs="Times New Roman"/>
          <w:color w:val="000000" w:themeColor="text1"/>
          <w:lang w:val="es-ES_tradnl"/>
        </w:rPr>
        <w:t>. De esto</w:t>
      </w:r>
      <w:r w:rsidRPr="0096658B">
        <w:rPr>
          <w:rFonts w:ascii="Times New Roman" w:hAnsi="Times New Roman" w:cs="Times New Roman"/>
          <w:color w:val="000000" w:themeColor="text1"/>
          <w:lang w:val="es-ES_tradnl"/>
        </w:rPr>
        <w:t xml:space="preserve"> da cuenta el acta número 60 publicada en la Gaceta del Congreso 1373 de 2 de octubre de </w:t>
      </w:r>
      <w:r w:rsidRPr="0096658B">
        <w:rPr>
          <w:rFonts w:ascii="Times New Roman" w:hAnsi="Times New Roman" w:cs="Times New Roman"/>
          <w:color w:val="000000" w:themeColor="text1"/>
          <w:lang w:val="es-ES_tradnl"/>
        </w:rPr>
        <w:t xml:space="preserve">2023. Al inicio de la sesión se verificó el </w:t>
      </w:r>
      <w:r w:rsidRPr="0096658B">
        <w:rPr>
          <w:rFonts w:ascii="Times New Roman" w:hAnsi="Times New Roman" w:cs="Times New Roman"/>
          <w:i/>
          <w:iCs/>
          <w:color w:val="000000" w:themeColor="text1"/>
          <w:lang w:val="es-ES_tradnl"/>
        </w:rPr>
        <w:t>quorum</w:t>
      </w:r>
      <w:r w:rsidRPr="0096658B">
        <w:rPr>
          <w:rFonts w:ascii="Times New Roman" w:hAnsi="Times New Roman" w:cs="Times New Roman"/>
          <w:color w:val="000000" w:themeColor="text1"/>
          <w:lang w:val="es-ES_tradnl"/>
        </w:rPr>
        <w:t xml:space="preserve"> y respondieron a lista </w:t>
      </w:r>
      <w:r w:rsidRPr="0096658B">
        <w:rPr>
          <w:rFonts w:ascii="Times New Roman" w:hAnsi="Times New Roman" w:cs="Times New Roman"/>
          <w:color w:val="000000" w:themeColor="text1"/>
          <w:lang w:val="es-ES_tradnl"/>
        </w:rPr>
        <w:t xml:space="preserve">99 senadores, conformándose </w:t>
      </w:r>
      <w:r w:rsidRPr="0096658B">
        <w:rPr>
          <w:rFonts w:ascii="Times New Roman" w:hAnsi="Times New Roman" w:cs="Times New Roman"/>
          <w:i/>
          <w:iCs/>
          <w:color w:val="000000" w:themeColor="text1"/>
          <w:lang w:val="es-ES_tradnl"/>
        </w:rPr>
        <w:t>qu</w:t>
      </w:r>
      <w:r w:rsidRPr="0096658B">
        <w:rPr>
          <w:rFonts w:ascii="Times New Roman" w:hAnsi="Times New Roman" w:cs="Times New Roman"/>
          <w:i/>
          <w:iCs/>
          <w:color w:val="000000" w:themeColor="text1"/>
          <w:lang w:val="es-ES_tradnl"/>
        </w:rPr>
        <w:t>o</w:t>
      </w:r>
      <w:r w:rsidRPr="0096658B">
        <w:rPr>
          <w:rFonts w:ascii="Times New Roman" w:hAnsi="Times New Roman" w:cs="Times New Roman"/>
          <w:i/>
          <w:iCs/>
          <w:color w:val="000000" w:themeColor="text1"/>
          <w:lang w:val="es-ES_tradnl"/>
        </w:rPr>
        <w:t>rum</w:t>
      </w:r>
      <w:r w:rsidRPr="0096658B">
        <w:rPr>
          <w:rFonts w:ascii="Times New Roman" w:hAnsi="Times New Roman" w:cs="Times New Roman"/>
          <w:color w:val="000000" w:themeColor="text1"/>
          <w:lang w:val="es-ES_tradnl"/>
        </w:rPr>
        <w:t xml:space="preserve"> decisorio</w:t>
      </w:r>
      <w:r w:rsidRPr="0096658B">
        <w:rPr>
          <w:rStyle w:val="Refdenotaalpie"/>
          <w:rFonts w:ascii="Times New Roman" w:hAnsi="Times New Roman"/>
          <w:color w:val="000000" w:themeColor="text1"/>
          <w:lang w:val="es-ES_tradnl"/>
        </w:rPr>
        <w:footnoteReference w:id="66"/>
      </w:r>
      <w:r w:rsidRPr="0096658B">
        <w:rPr>
          <w:rFonts w:ascii="Times New Roman" w:hAnsi="Times New Roman" w:cs="Times New Roman"/>
          <w:color w:val="000000" w:themeColor="text1"/>
          <w:lang w:val="es-ES_tradnl"/>
        </w:rPr>
        <w:t>. Al asumir el asunto</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la presidencia dio la palabra la senadora ponente María José Pizarro Rodríguez, quien explicó a la plenaria que se</w:t>
      </w:r>
      <w:r w:rsidRPr="0096658B">
        <w:rPr>
          <w:rFonts w:ascii="Times New Roman" w:hAnsi="Times New Roman" w:cs="Times New Roman"/>
          <w:color w:val="000000" w:themeColor="text1"/>
          <w:lang w:val="es-ES_tradnl"/>
        </w:rPr>
        <w:t xml:space="preserve"> había acogido en </w:t>
      </w:r>
      <w:r w:rsidRPr="0096658B">
        <w:rPr>
          <w:rFonts w:ascii="Times New Roman" w:hAnsi="Times New Roman" w:cs="Times New Roman"/>
          <w:color w:val="000000" w:themeColor="text1"/>
          <w:lang w:val="es-ES_tradnl"/>
        </w:rPr>
        <w:t xml:space="preserve">la </w:t>
      </w:r>
      <w:r w:rsidRPr="0096658B">
        <w:rPr>
          <w:rFonts w:ascii="Times New Roman" w:hAnsi="Times New Roman" w:cs="Times New Roman"/>
          <w:color w:val="000000" w:themeColor="text1"/>
          <w:lang w:val="es-ES_tradnl"/>
        </w:rPr>
        <w:t>conciliación el texto aprobado por la Cámara de Representantes. Luego de ello, se procedió a votar el informe, el cual contó con 73 votos nominales a favor y uno en contra</w:t>
      </w:r>
      <w:r w:rsidRPr="0096658B">
        <w:rPr>
          <w:rStyle w:val="Refdenotaalpie"/>
          <w:rFonts w:ascii="Times New Roman" w:hAnsi="Times New Roman"/>
          <w:color w:val="000000" w:themeColor="text1"/>
          <w:lang w:val="es-ES_tradnl"/>
        </w:rPr>
        <w:footnoteReference w:id="67"/>
      </w:r>
      <w:r w:rsidRPr="0096658B">
        <w:rPr>
          <w:rFonts w:ascii="Times New Roman" w:hAnsi="Times New Roman" w:cs="Times New Roman"/>
          <w:color w:val="000000" w:themeColor="text1"/>
          <w:lang w:val="es-ES_tradnl"/>
        </w:rPr>
        <w:t xml:space="preserve">, esto es, fue aprobado por mayoría absoluta. </w:t>
      </w:r>
    </w:p>
    <w:p w:rsidR="00E90028" w:rsidRPr="0096658B" w:rsidRDefault="0096658B" w:rsidP="00E90028">
      <w:pPr>
        <w:pStyle w:val="Prrafodelista"/>
        <w:rPr>
          <w:rFonts w:ascii="Times New Roman" w:hAnsi="Times New Roman" w:cs="Times New Roman"/>
          <w:color w:val="000000" w:themeColor="text1"/>
          <w:lang w:val="es-ES_tradnl"/>
        </w:rPr>
      </w:pPr>
    </w:p>
    <w:p w:rsidR="00E90028" w:rsidRPr="0096658B" w:rsidRDefault="0096658B" w:rsidP="005C567C">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La plenaria de </w:t>
      </w:r>
      <w:r w:rsidRPr="0096658B">
        <w:rPr>
          <w:rFonts w:ascii="Times New Roman" w:hAnsi="Times New Roman" w:cs="Times New Roman"/>
          <w:color w:val="000000" w:themeColor="text1"/>
          <w:lang w:val="es-ES_tradnl"/>
        </w:rPr>
        <w:t xml:space="preserve">la Cámara de Representantes aprobó el informe de conciliación en sesión de </w:t>
      </w:r>
      <w:r w:rsidRPr="0096658B">
        <w:rPr>
          <w:rFonts w:ascii="Times New Roman" w:hAnsi="Times New Roman" w:cs="Times New Roman"/>
          <w:color w:val="000000" w:themeColor="text1"/>
          <w:lang w:val="es-ES_tradnl"/>
        </w:rPr>
        <w:t>19 de junio de 2023, según da cuenta el acta número 69 publicada en la Gaceta del Congreso 1493 de 24 de octubre de 2023. Iniciada la sesión</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se verificó </w:t>
      </w:r>
      <w:r w:rsidRPr="0096658B">
        <w:rPr>
          <w:rFonts w:ascii="Times New Roman" w:hAnsi="Times New Roman" w:cs="Times New Roman"/>
          <w:i/>
          <w:iCs/>
          <w:color w:val="000000" w:themeColor="text1"/>
          <w:lang w:val="es-ES_tradnl"/>
        </w:rPr>
        <w:t>qu</w:t>
      </w:r>
      <w:r w:rsidRPr="0096658B">
        <w:rPr>
          <w:rFonts w:ascii="Times New Roman" w:hAnsi="Times New Roman" w:cs="Times New Roman"/>
          <w:i/>
          <w:iCs/>
          <w:color w:val="000000" w:themeColor="text1"/>
          <w:lang w:val="es-ES_tradnl"/>
        </w:rPr>
        <w:t>o</w:t>
      </w:r>
      <w:r w:rsidRPr="0096658B">
        <w:rPr>
          <w:rFonts w:ascii="Times New Roman" w:hAnsi="Times New Roman" w:cs="Times New Roman"/>
          <w:i/>
          <w:iCs/>
          <w:color w:val="000000" w:themeColor="text1"/>
          <w:lang w:val="es-ES_tradnl"/>
        </w:rPr>
        <w:t>rum</w:t>
      </w:r>
      <w:r w:rsidRPr="0096658B">
        <w:rPr>
          <w:rFonts w:ascii="Times New Roman" w:hAnsi="Times New Roman" w:cs="Times New Roman"/>
          <w:color w:val="000000" w:themeColor="text1"/>
          <w:lang w:val="es-ES_tradnl"/>
        </w:rPr>
        <w:t xml:space="preserve"> decisorio con la presencia de 166 representantes</w:t>
      </w:r>
      <w:r w:rsidRPr="0096658B">
        <w:rPr>
          <w:rStyle w:val="Refdenotaalpie"/>
          <w:rFonts w:ascii="Times New Roman" w:hAnsi="Times New Roman"/>
          <w:color w:val="000000" w:themeColor="text1"/>
          <w:lang w:val="es-ES_tradnl"/>
        </w:rPr>
        <w:footnoteReference w:id="68"/>
      </w:r>
      <w:r w:rsidRPr="0096658B">
        <w:rPr>
          <w:rFonts w:ascii="Times New Roman" w:hAnsi="Times New Roman" w:cs="Times New Roman"/>
          <w:color w:val="000000" w:themeColor="text1"/>
          <w:lang w:val="es-ES_tradnl"/>
        </w:rPr>
        <w:t>. El informe fue aprobado con 150 votos nominales a favor y ninguno en contra</w:t>
      </w:r>
      <w:r w:rsidRPr="0096658B">
        <w:rPr>
          <w:rStyle w:val="Refdenotaalpie"/>
          <w:rFonts w:ascii="Times New Roman" w:hAnsi="Times New Roman"/>
          <w:color w:val="000000" w:themeColor="text1"/>
          <w:lang w:val="es-ES_tradnl"/>
        </w:rPr>
        <w:footnoteReference w:id="69"/>
      </w:r>
      <w:r w:rsidRPr="0096658B">
        <w:rPr>
          <w:rFonts w:ascii="Times New Roman" w:hAnsi="Times New Roman" w:cs="Times New Roman"/>
          <w:color w:val="000000" w:themeColor="text1"/>
          <w:lang w:val="es-ES_tradnl"/>
        </w:rPr>
        <w:t xml:space="preserve">. </w:t>
      </w:r>
    </w:p>
    <w:p w:rsidR="00D23DE6" w:rsidRPr="0096658B" w:rsidRDefault="0096658B" w:rsidP="00D23DE6">
      <w:pPr>
        <w:pStyle w:val="Prrafodelista"/>
        <w:rPr>
          <w:rFonts w:ascii="Times New Roman" w:hAnsi="Times New Roman" w:cs="Times New Roman"/>
          <w:color w:val="000000" w:themeColor="text1"/>
          <w:lang w:val="es-ES_tradnl"/>
        </w:rPr>
      </w:pPr>
    </w:p>
    <w:p w:rsidR="00D23DE6" w:rsidRPr="0096658B" w:rsidRDefault="0096658B" w:rsidP="005C567C">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Con base en lo anterior, la Corte encuentra que los requisitos de </w:t>
      </w:r>
      <w:r w:rsidRPr="0096658B">
        <w:rPr>
          <w:rFonts w:ascii="Times New Roman" w:hAnsi="Times New Roman" w:cs="Times New Roman"/>
          <w:i/>
          <w:iCs/>
          <w:color w:val="000000" w:themeColor="text1"/>
          <w:lang w:val="es-ES_tradnl"/>
        </w:rPr>
        <w:t>qu</w:t>
      </w:r>
      <w:r w:rsidRPr="0096658B">
        <w:rPr>
          <w:rFonts w:ascii="Times New Roman" w:hAnsi="Times New Roman" w:cs="Times New Roman"/>
          <w:i/>
          <w:iCs/>
          <w:color w:val="000000" w:themeColor="text1"/>
          <w:lang w:val="es-ES_tradnl"/>
        </w:rPr>
        <w:t>o</w:t>
      </w:r>
      <w:r w:rsidRPr="0096658B">
        <w:rPr>
          <w:rFonts w:ascii="Times New Roman" w:hAnsi="Times New Roman" w:cs="Times New Roman"/>
          <w:i/>
          <w:iCs/>
          <w:color w:val="000000" w:themeColor="text1"/>
          <w:lang w:val="es-ES_tradnl"/>
        </w:rPr>
        <w:t>rum</w:t>
      </w:r>
      <w:r w:rsidRPr="0096658B">
        <w:rPr>
          <w:rFonts w:ascii="Times New Roman" w:hAnsi="Times New Roman" w:cs="Times New Roman"/>
          <w:color w:val="000000" w:themeColor="text1"/>
          <w:lang w:val="es-ES_tradnl"/>
        </w:rPr>
        <w:t xml:space="preserve"> y mayorías fueron cumplidos a cabalidad en la etapa</w:t>
      </w:r>
      <w:r w:rsidRPr="0096658B">
        <w:rPr>
          <w:rFonts w:ascii="Times New Roman" w:hAnsi="Times New Roman" w:cs="Times New Roman"/>
          <w:color w:val="000000" w:themeColor="text1"/>
          <w:lang w:val="es-ES_tradnl"/>
        </w:rPr>
        <w:t xml:space="preserve"> de conciliación surtida en las plenarias del Senado y de la Cámara de Representantes. </w:t>
      </w:r>
    </w:p>
    <w:p w:rsidR="008B7FBB" w:rsidRPr="0096658B" w:rsidRDefault="0096658B" w:rsidP="008B7FBB">
      <w:pPr>
        <w:pStyle w:val="Prrafodelista"/>
        <w:rPr>
          <w:rFonts w:ascii="Times New Roman" w:hAnsi="Times New Roman" w:cs="Times New Roman"/>
          <w:color w:val="000000" w:themeColor="text1"/>
          <w:lang w:val="es-ES_tradnl"/>
        </w:rPr>
      </w:pPr>
    </w:p>
    <w:p w:rsidR="00EF4424"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iCs/>
          <w:color w:val="000000" w:themeColor="text1"/>
          <w:lang w:val="es-ES_tradnl"/>
        </w:rPr>
        <w:t xml:space="preserve">Consecutividad, identidad flexible y unidad de materia. </w:t>
      </w:r>
      <w:r w:rsidRPr="0096658B">
        <w:rPr>
          <w:rFonts w:ascii="Times New Roman" w:hAnsi="Times New Roman" w:cs="Times New Roman"/>
          <w:color w:val="000000" w:themeColor="text1"/>
          <w:lang w:val="es-ES_tradnl"/>
        </w:rPr>
        <w:t xml:space="preserve">El artículo </w:t>
      </w:r>
      <w:r w:rsidRPr="0096658B">
        <w:rPr>
          <w:rFonts w:ascii="Times New Roman" w:hAnsi="Times New Roman" w:cs="Times New Roman"/>
          <w:color w:val="000000" w:themeColor="text1"/>
          <w:lang w:val="es-ES_tradnl"/>
        </w:rPr>
        <w:t xml:space="preserve">151 de la Constitución </w:t>
      </w:r>
      <w:r w:rsidRPr="0096658B">
        <w:rPr>
          <w:rFonts w:ascii="Times New Roman" w:hAnsi="Times New Roman" w:cs="Times New Roman"/>
          <w:color w:val="000000" w:themeColor="text1"/>
          <w:lang w:val="es-ES_tradnl"/>
        </w:rPr>
        <w:t>prevé</w:t>
      </w:r>
      <w:r w:rsidRPr="0096658B">
        <w:rPr>
          <w:rFonts w:ascii="Times New Roman" w:hAnsi="Times New Roman" w:cs="Times New Roman"/>
          <w:color w:val="000000" w:themeColor="text1"/>
          <w:lang w:val="es-ES_tradnl"/>
        </w:rPr>
        <w:t xml:space="preserve">, entre otros asuntos, que ningún proyecto será ley sin que haya sido aprobado en primer debate por las comisiones permanentes y en segundo debate por las plenarias de cada una de las cámaras. </w:t>
      </w:r>
      <w:r w:rsidRPr="0096658B">
        <w:rPr>
          <w:rFonts w:ascii="Times New Roman" w:hAnsi="Times New Roman" w:cs="Times New Roman"/>
          <w:color w:val="000000" w:themeColor="text1"/>
          <w:lang w:val="es-ES_tradnl"/>
        </w:rPr>
        <w:t xml:space="preserve">Conforme a lo previsto por el artículo 160 superior, en </w:t>
      </w:r>
      <w:r w:rsidRPr="0096658B">
        <w:rPr>
          <w:rFonts w:ascii="Times New Roman" w:hAnsi="Times New Roman" w:cs="Times New Roman"/>
          <w:color w:val="000000" w:themeColor="text1"/>
          <w:lang w:val="es-ES_tradnl"/>
        </w:rPr>
        <w:t>ese seg</w:t>
      </w:r>
      <w:r w:rsidRPr="0096658B">
        <w:rPr>
          <w:rFonts w:ascii="Times New Roman" w:hAnsi="Times New Roman" w:cs="Times New Roman"/>
          <w:color w:val="000000" w:themeColor="text1"/>
          <w:lang w:val="es-ES_tradnl"/>
        </w:rPr>
        <w:t xml:space="preserve">undo debate, cada cámara podrá introducir </w:t>
      </w:r>
      <w:r w:rsidRPr="0096658B">
        <w:rPr>
          <w:rFonts w:ascii="Times New Roman" w:hAnsi="Times New Roman" w:cs="Times New Roman"/>
          <w:color w:val="000000" w:themeColor="text1"/>
          <w:lang w:val="es-ES_tradnl"/>
        </w:rPr>
        <w:t xml:space="preserve">modificaciones, adiciones y supresiones </w:t>
      </w:r>
      <w:r w:rsidRPr="0096658B">
        <w:rPr>
          <w:rFonts w:ascii="Times New Roman" w:hAnsi="Times New Roman" w:cs="Times New Roman"/>
          <w:color w:val="000000" w:themeColor="text1"/>
          <w:lang w:val="es-ES_tradnl"/>
        </w:rPr>
        <w:t>al proyecto</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Finamente, el artículo 158 de la Constitución ordena que todo proyecto de ley debe referirse a una misma materia y serán admisibles las disposiciones o modificac</w:t>
      </w:r>
      <w:r w:rsidRPr="0096658B">
        <w:rPr>
          <w:rFonts w:ascii="Times New Roman" w:hAnsi="Times New Roman" w:cs="Times New Roman"/>
          <w:color w:val="000000" w:themeColor="text1"/>
          <w:lang w:val="es-ES_tradnl"/>
        </w:rPr>
        <w:t xml:space="preserve">iones que no se relacionen con ella. A partir de estas reglas, la jurisprudencia constitucional ha </w:t>
      </w:r>
      <w:r w:rsidRPr="0096658B">
        <w:rPr>
          <w:rFonts w:ascii="Times New Roman" w:hAnsi="Times New Roman" w:cs="Times New Roman"/>
          <w:color w:val="000000" w:themeColor="text1"/>
          <w:lang w:val="es-ES_tradnl"/>
        </w:rPr>
        <w:t xml:space="preserve">previsto los principios de consecutividad, identidad flexible y unidad de materia. </w:t>
      </w:r>
    </w:p>
    <w:p w:rsidR="005D04C0" w:rsidRPr="0096658B" w:rsidRDefault="0096658B" w:rsidP="005D04C0">
      <w:pPr>
        <w:pStyle w:val="Prrafodelista"/>
        <w:rPr>
          <w:rFonts w:ascii="Times New Roman" w:hAnsi="Times New Roman" w:cs="Times New Roman"/>
          <w:color w:val="000000" w:themeColor="text1"/>
          <w:lang w:val="es-ES_tradnl"/>
        </w:rPr>
      </w:pPr>
    </w:p>
    <w:p w:rsidR="00EF4424"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El principio de consecutividad, también conocido como la “regla de los c</w:t>
      </w:r>
      <w:r w:rsidRPr="0096658B">
        <w:rPr>
          <w:rFonts w:ascii="Times New Roman" w:hAnsi="Times New Roman" w:cs="Times New Roman"/>
          <w:color w:val="000000" w:themeColor="text1"/>
          <w:lang w:val="es-ES_tradnl"/>
        </w:rPr>
        <w:t xml:space="preserve">uatro debates” exige que las diferentes materias que componen el articulado de un proyecto de ley </w:t>
      </w:r>
      <w:r w:rsidRPr="0096658B">
        <w:rPr>
          <w:rFonts w:ascii="Times New Roman" w:hAnsi="Times New Roman" w:cs="Times New Roman"/>
          <w:color w:val="000000" w:themeColor="text1"/>
          <w:lang w:val="es-ES_tradnl"/>
        </w:rPr>
        <w:t>hayan</w:t>
      </w:r>
      <w:r w:rsidRPr="0096658B">
        <w:rPr>
          <w:rFonts w:ascii="Times New Roman" w:hAnsi="Times New Roman" w:cs="Times New Roman"/>
          <w:color w:val="000000" w:themeColor="text1"/>
          <w:lang w:val="es-ES_tradnl"/>
        </w:rPr>
        <w:t xml:space="preserve"> surtido debate y aprobación en la respectiva comisión constitucional permanente</w:t>
      </w:r>
      <w:r w:rsidRPr="0096658B">
        <w:rPr>
          <w:rFonts w:ascii="Times New Roman" w:hAnsi="Times New Roman" w:cs="Times New Roman"/>
          <w:color w:val="000000" w:themeColor="text1"/>
          <w:lang w:val="es-ES_tradnl"/>
        </w:rPr>
        <w:t>, así como</w:t>
      </w:r>
      <w:r w:rsidRPr="0096658B">
        <w:rPr>
          <w:rFonts w:ascii="Times New Roman" w:hAnsi="Times New Roman" w:cs="Times New Roman"/>
          <w:color w:val="000000" w:themeColor="text1"/>
          <w:lang w:val="es-ES_tradnl"/>
        </w:rPr>
        <w:t xml:space="preserve"> en la plenaria de la Cámara y </w:t>
      </w:r>
      <w:r w:rsidRPr="0096658B">
        <w:rPr>
          <w:rFonts w:ascii="Times New Roman" w:hAnsi="Times New Roman" w:cs="Times New Roman"/>
          <w:color w:val="000000" w:themeColor="text1"/>
          <w:lang w:val="es-ES_tradnl"/>
        </w:rPr>
        <w:t>d</w:t>
      </w:r>
      <w:r w:rsidRPr="0096658B">
        <w:rPr>
          <w:rFonts w:ascii="Times New Roman" w:hAnsi="Times New Roman" w:cs="Times New Roman"/>
          <w:color w:val="000000" w:themeColor="text1"/>
          <w:lang w:val="es-ES_tradnl"/>
        </w:rPr>
        <w:t>el Senado. La Corte ha sistemat</w:t>
      </w:r>
      <w:r w:rsidRPr="0096658B">
        <w:rPr>
          <w:rFonts w:ascii="Times New Roman" w:hAnsi="Times New Roman" w:cs="Times New Roman"/>
          <w:color w:val="000000" w:themeColor="text1"/>
          <w:lang w:val="es-ES_tradnl"/>
        </w:rPr>
        <w:t>izado las reglas que se derivan de est</w:t>
      </w:r>
      <w:r w:rsidRPr="0096658B">
        <w:rPr>
          <w:rFonts w:ascii="Times New Roman" w:hAnsi="Times New Roman" w:cs="Times New Roman"/>
          <w:color w:val="000000" w:themeColor="text1"/>
          <w:lang w:val="es-ES_tradnl"/>
        </w:rPr>
        <w:t>e</w:t>
      </w:r>
      <w:r w:rsidRPr="0096658B">
        <w:rPr>
          <w:rFonts w:ascii="Times New Roman" w:hAnsi="Times New Roman" w:cs="Times New Roman"/>
          <w:color w:val="000000" w:themeColor="text1"/>
          <w:lang w:val="es-ES_tradnl"/>
        </w:rPr>
        <w:t xml:space="preserve"> mandato</w:t>
      </w:r>
      <w:r w:rsidRPr="0096658B">
        <w:rPr>
          <w:rStyle w:val="Refdenotaalpie"/>
          <w:rFonts w:ascii="Times New Roman" w:hAnsi="Times New Roman"/>
          <w:color w:val="000000" w:themeColor="text1"/>
          <w:lang w:val="es-ES_tradnl"/>
        </w:rPr>
        <w:footnoteReference w:id="70"/>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a partir de</w:t>
      </w:r>
      <w:r w:rsidRPr="0096658B">
        <w:rPr>
          <w:rFonts w:ascii="Times New Roman" w:hAnsi="Times New Roman" w:cs="Times New Roman"/>
          <w:color w:val="000000" w:themeColor="text1"/>
          <w:lang w:val="es-ES_tradnl"/>
        </w:rPr>
        <w:t xml:space="preserve"> las</w:t>
      </w:r>
      <w:r w:rsidRPr="0096658B">
        <w:rPr>
          <w:rFonts w:ascii="Times New Roman" w:hAnsi="Times New Roman" w:cs="Times New Roman"/>
          <w:color w:val="000000" w:themeColor="text1"/>
          <w:lang w:val="es-ES_tradnl"/>
        </w:rPr>
        <w:t xml:space="preserve"> obligaciones de las cámaras de </w:t>
      </w:r>
      <w:r w:rsidRPr="0096658B">
        <w:rPr>
          <w:rFonts w:ascii="Times New Roman" w:hAnsi="Times New Roman" w:cs="Times New Roman"/>
          <w:i/>
          <w:iCs/>
          <w:color w:val="000000" w:themeColor="text1"/>
          <w:lang w:val="es-ES_tradnl"/>
        </w:rPr>
        <w:t xml:space="preserve">(i) </w:t>
      </w:r>
      <w:r w:rsidRPr="0096658B">
        <w:rPr>
          <w:rFonts w:ascii="Times New Roman" w:hAnsi="Times New Roman" w:cs="Times New Roman"/>
          <w:color w:val="000000" w:themeColor="text1"/>
          <w:lang w:val="es-ES_tradnl"/>
        </w:rPr>
        <w:t>estudiar y debatir todos los temas propuest</w:t>
      </w:r>
      <w:r w:rsidRPr="0096658B">
        <w:rPr>
          <w:rFonts w:ascii="Times New Roman" w:hAnsi="Times New Roman" w:cs="Times New Roman"/>
          <w:color w:val="000000" w:themeColor="text1"/>
          <w:lang w:val="es-ES_tradnl"/>
        </w:rPr>
        <w:t>o</w:t>
      </w:r>
      <w:r w:rsidRPr="0096658B">
        <w:rPr>
          <w:rFonts w:ascii="Times New Roman" w:hAnsi="Times New Roman" w:cs="Times New Roman"/>
          <w:color w:val="000000" w:themeColor="text1"/>
          <w:lang w:val="es-ES_tradnl"/>
        </w:rPr>
        <w:t xml:space="preserve">s ante ellas durante el trámite legislativo; </w:t>
      </w:r>
      <w:r w:rsidRPr="0096658B">
        <w:rPr>
          <w:rFonts w:ascii="Times New Roman" w:hAnsi="Times New Roman" w:cs="Times New Roman"/>
          <w:i/>
          <w:iCs/>
          <w:color w:val="000000" w:themeColor="text1"/>
          <w:lang w:val="es-ES_tradnl"/>
        </w:rPr>
        <w:t>(ii)</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 xml:space="preserve">no omitir el deber anterior mediante la indebida delegación del estudio y aprobación en otra instancia legislativa posterior; y </w:t>
      </w:r>
      <w:r w:rsidRPr="0096658B">
        <w:rPr>
          <w:rFonts w:ascii="Times New Roman" w:hAnsi="Times New Roman" w:cs="Times New Roman"/>
          <w:i/>
          <w:iCs/>
          <w:color w:val="000000" w:themeColor="text1"/>
          <w:lang w:val="es-ES_tradnl"/>
        </w:rPr>
        <w:t xml:space="preserve">(iii) </w:t>
      </w:r>
      <w:r w:rsidRPr="0096658B">
        <w:rPr>
          <w:rFonts w:ascii="Times New Roman" w:hAnsi="Times New Roman" w:cs="Times New Roman"/>
          <w:color w:val="000000" w:themeColor="text1"/>
          <w:lang w:val="es-ES_tradnl"/>
        </w:rPr>
        <w:t>“debatir, aprobar o improbar el articulado propuesto para primer o segundo debate, así como las proposiciones que lo modif</w:t>
      </w:r>
      <w:r w:rsidRPr="0096658B">
        <w:rPr>
          <w:rFonts w:ascii="Times New Roman" w:hAnsi="Times New Roman" w:cs="Times New Roman"/>
          <w:color w:val="000000" w:themeColor="text1"/>
          <w:lang w:val="es-ES_tradnl"/>
        </w:rPr>
        <w:t>iquen o adicionen. En general, si una irregularidad asociada a estas obligaciones ha tenido lugar, se considera que el Legislador ha incurrido en un vicio de procedimiento por elusión”</w:t>
      </w:r>
      <w:r w:rsidRPr="0096658B">
        <w:rPr>
          <w:rStyle w:val="Refdenotaalpie"/>
          <w:rFonts w:ascii="Times New Roman" w:hAnsi="Times New Roman"/>
          <w:color w:val="000000" w:themeColor="text1"/>
          <w:lang w:val="es-ES_tradnl"/>
        </w:rPr>
        <w:footnoteReference w:id="71"/>
      </w:r>
      <w:r w:rsidRPr="0096658B">
        <w:rPr>
          <w:rFonts w:ascii="Times New Roman" w:hAnsi="Times New Roman" w:cs="Times New Roman"/>
          <w:color w:val="000000" w:themeColor="text1"/>
          <w:lang w:val="es-ES_tradnl"/>
        </w:rPr>
        <w:t>.</w:t>
      </w:r>
    </w:p>
    <w:p w:rsidR="00055F51" w:rsidRPr="0096658B" w:rsidRDefault="0096658B" w:rsidP="00055F51">
      <w:pPr>
        <w:pStyle w:val="Prrafodelista"/>
        <w:rPr>
          <w:rFonts w:ascii="Times New Roman" w:hAnsi="Times New Roman" w:cs="Times New Roman"/>
          <w:color w:val="000000" w:themeColor="text1"/>
          <w:lang w:val="es-ES_tradnl"/>
        </w:rPr>
      </w:pPr>
    </w:p>
    <w:p w:rsidR="00055F51"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El principio de identidad flexible exige, a su turno, que las adicio</w:t>
      </w:r>
      <w:r w:rsidRPr="0096658B">
        <w:rPr>
          <w:rFonts w:ascii="Times New Roman" w:hAnsi="Times New Roman" w:cs="Times New Roman"/>
          <w:color w:val="000000" w:themeColor="text1"/>
          <w:lang w:val="es-ES_tradnl"/>
        </w:rPr>
        <w:t xml:space="preserve">nes, modificaciones o supresiones que se realicen en segundo debate versen sobre materias que hayan sido objeto de estudio y debate en la comisión respectiva. En otras palabras, este principio circunscribe la potestad constitucional de las plenarias </w:t>
      </w:r>
      <w:r w:rsidRPr="0096658B">
        <w:rPr>
          <w:rFonts w:ascii="Times New Roman" w:hAnsi="Times New Roman" w:cs="Times New Roman"/>
          <w:color w:val="000000" w:themeColor="text1"/>
          <w:lang w:val="es-ES_tradnl"/>
        </w:rPr>
        <w:t>a aque</w:t>
      </w:r>
      <w:r w:rsidRPr="0096658B">
        <w:rPr>
          <w:rFonts w:ascii="Times New Roman" w:hAnsi="Times New Roman" w:cs="Times New Roman"/>
          <w:color w:val="000000" w:themeColor="text1"/>
          <w:lang w:val="es-ES_tradnl"/>
        </w:rPr>
        <w:t>llos asuntos, que no</w:t>
      </w:r>
      <w:r w:rsidRPr="0096658B">
        <w:rPr>
          <w:rFonts w:ascii="Times New Roman" w:hAnsi="Times New Roman" w:cs="Times New Roman"/>
          <w:color w:val="000000" w:themeColor="text1"/>
          <w:lang w:val="es-ES_tradnl"/>
        </w:rPr>
        <w:t xml:space="preserve"> simplemente</w:t>
      </w:r>
      <w:r w:rsidRPr="0096658B">
        <w:rPr>
          <w:rFonts w:ascii="Times New Roman" w:hAnsi="Times New Roman" w:cs="Times New Roman"/>
          <w:color w:val="000000" w:themeColor="text1"/>
          <w:lang w:val="es-ES_tradnl"/>
        </w:rPr>
        <w:t xml:space="preserve"> textos, que hayan sido </w:t>
      </w:r>
      <w:r w:rsidRPr="0096658B">
        <w:rPr>
          <w:rFonts w:ascii="Times New Roman" w:hAnsi="Times New Roman" w:cs="Times New Roman"/>
          <w:color w:val="000000" w:themeColor="text1"/>
          <w:lang w:val="es-ES_tradnl"/>
        </w:rPr>
        <w:t xml:space="preserve">formulados y discutidos en primer debate. Sobre este particular, la jurisprudencia ha establecido que </w:t>
      </w:r>
      <w:r w:rsidRPr="0096658B">
        <w:rPr>
          <w:rFonts w:ascii="Times New Roman" w:hAnsi="Times New Roman" w:cs="Times New Roman"/>
          <w:color w:val="000000" w:themeColor="text1"/>
          <w:lang w:val="es-ES_tradnl"/>
        </w:rPr>
        <w:t>el principio de identidad flexible implica una “valoración de que las distintas modificaciones y a</w:t>
      </w:r>
      <w:r w:rsidRPr="0096658B">
        <w:rPr>
          <w:rFonts w:ascii="Times New Roman" w:hAnsi="Times New Roman" w:cs="Times New Roman"/>
          <w:color w:val="000000" w:themeColor="text1"/>
          <w:lang w:val="es-ES_tradnl"/>
        </w:rPr>
        <w:t>diciones introducidas a lo largo de las discusiones y sus correspondientes votaciones guarden conexidad con lo debatido y aprobado en la instancia anterior. Dicha conexidad no conlleva la prohibición de modificar los textos aprobados por las comisiones per</w:t>
      </w:r>
      <w:r w:rsidRPr="0096658B">
        <w:rPr>
          <w:rFonts w:ascii="Times New Roman" w:hAnsi="Times New Roman" w:cs="Times New Roman"/>
          <w:color w:val="000000" w:themeColor="text1"/>
          <w:lang w:val="es-ES_tradnl"/>
        </w:rPr>
        <w:t xml:space="preserve">manentes </w:t>
      </w:r>
      <w:r w:rsidRPr="0096658B">
        <w:rPr>
          <w:rFonts w:ascii="Times New Roman" w:hAnsi="Times New Roman" w:cs="Times New Roman"/>
          <w:color w:val="000000" w:themeColor="text1"/>
          <w:lang w:val="es-ES_tradnl"/>
        </w:rPr>
        <w:t>de cada Cámara, sino analizar si las adiciones o modificaciones se enmarcan dentro de lo previamente debatido”</w:t>
      </w:r>
      <w:r w:rsidRPr="0096658B">
        <w:rPr>
          <w:rStyle w:val="Refdenotaalpie"/>
          <w:rFonts w:ascii="Times New Roman" w:hAnsi="Times New Roman"/>
          <w:color w:val="000000" w:themeColor="text1"/>
          <w:lang w:val="es-ES_tradnl"/>
        </w:rPr>
        <w:footnoteReference w:id="72"/>
      </w:r>
      <w:r w:rsidRPr="0096658B">
        <w:rPr>
          <w:rFonts w:ascii="Times New Roman" w:hAnsi="Times New Roman" w:cs="Times New Roman"/>
          <w:color w:val="000000" w:themeColor="text1"/>
          <w:lang w:val="es-ES_tradnl"/>
        </w:rPr>
        <w:t>.</w:t>
      </w:r>
    </w:p>
    <w:p w:rsidR="00AD23A4" w:rsidRPr="0096658B" w:rsidRDefault="0096658B" w:rsidP="00AD23A4">
      <w:pPr>
        <w:pStyle w:val="Prrafodelista"/>
        <w:rPr>
          <w:rFonts w:ascii="Times New Roman" w:hAnsi="Times New Roman" w:cs="Times New Roman"/>
          <w:color w:val="000000" w:themeColor="text1"/>
          <w:lang w:val="es-ES_tradnl"/>
        </w:rPr>
      </w:pPr>
    </w:p>
    <w:p w:rsidR="00AD23A4"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Por último, </w:t>
      </w:r>
      <w:r w:rsidRPr="0096658B">
        <w:rPr>
          <w:rFonts w:ascii="Times New Roman" w:hAnsi="Times New Roman" w:cs="Times New Roman"/>
          <w:color w:val="000000" w:themeColor="text1"/>
          <w:lang w:val="es-ES_tradnl"/>
        </w:rPr>
        <w:t>en cuanto a</w:t>
      </w:r>
      <w:r w:rsidRPr="0096658B">
        <w:rPr>
          <w:rFonts w:ascii="Times New Roman" w:hAnsi="Times New Roman" w:cs="Times New Roman"/>
          <w:color w:val="000000" w:themeColor="text1"/>
          <w:lang w:val="es-ES_tradnl"/>
        </w:rPr>
        <w:t>l principio de unidad de materia</w:t>
      </w:r>
      <w:r w:rsidRPr="0096658B">
        <w:rPr>
          <w:rFonts w:ascii="Times New Roman" w:hAnsi="Times New Roman" w:cs="Times New Roman"/>
          <w:color w:val="000000" w:themeColor="text1"/>
          <w:lang w:val="es-ES_tradnl"/>
        </w:rPr>
        <w:t>, la jurisprudencia constitucional</w:t>
      </w:r>
      <w:r w:rsidRPr="0096658B">
        <w:rPr>
          <w:rStyle w:val="Refdenotaalpie"/>
          <w:rFonts w:ascii="Times New Roman" w:hAnsi="Times New Roman"/>
          <w:color w:val="000000" w:themeColor="text1"/>
          <w:lang w:val="es-ES_tradnl"/>
        </w:rPr>
        <w:footnoteReference w:id="73"/>
      </w:r>
      <w:r w:rsidRPr="0096658B">
        <w:rPr>
          <w:rFonts w:ascii="Times New Roman" w:hAnsi="Times New Roman" w:cs="Times New Roman"/>
          <w:color w:val="000000" w:themeColor="text1"/>
          <w:lang w:val="es-ES_tradnl"/>
        </w:rPr>
        <w:t xml:space="preserve"> ha </w:t>
      </w:r>
      <w:r w:rsidRPr="0096658B">
        <w:rPr>
          <w:rFonts w:ascii="Times New Roman" w:hAnsi="Times New Roman" w:cs="Times New Roman"/>
          <w:color w:val="000000" w:themeColor="text1"/>
          <w:lang w:val="es-ES_tradnl"/>
        </w:rPr>
        <w:t xml:space="preserve">señalado </w:t>
      </w:r>
      <w:r w:rsidRPr="0096658B">
        <w:rPr>
          <w:rFonts w:ascii="Times New Roman" w:hAnsi="Times New Roman" w:cs="Times New Roman"/>
          <w:color w:val="000000" w:themeColor="text1"/>
          <w:lang w:val="es-ES_tradnl"/>
        </w:rPr>
        <w:t>que su garantía materializa la</w:t>
      </w:r>
      <w:r w:rsidRPr="0096658B">
        <w:rPr>
          <w:rFonts w:ascii="Times New Roman" w:hAnsi="Times New Roman" w:cs="Times New Roman"/>
          <w:color w:val="000000" w:themeColor="text1"/>
          <w:lang w:val="es-ES_tradnl"/>
        </w:rPr>
        <w:t xml:space="preserve"> transparencia y racionalidad del trámite legislativo. Esto</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a partir de un deber de coherencia entre los asuntos discutidos y la materia del proyecto de ley correspondiente. Esta exigencia constitucional, en todo caso, no puede operar como una regla infle</w:t>
      </w:r>
      <w:r w:rsidRPr="0096658B">
        <w:rPr>
          <w:rFonts w:ascii="Times New Roman" w:hAnsi="Times New Roman" w:cs="Times New Roman"/>
          <w:color w:val="000000" w:themeColor="text1"/>
          <w:lang w:val="es-ES_tradnl"/>
        </w:rPr>
        <w:t xml:space="preserve">xible, puesto que ello limitaría desproporcionadamente la competencia constitucional del Congreso para la producción legislativa. Así, el control de constitucionalidad por unidad de materia puede tener diversas fuentes, como el título de la iniciativa, su </w:t>
      </w:r>
      <w:r w:rsidRPr="0096658B">
        <w:rPr>
          <w:rFonts w:ascii="Times New Roman" w:hAnsi="Times New Roman" w:cs="Times New Roman"/>
          <w:color w:val="000000" w:themeColor="text1"/>
          <w:lang w:val="es-ES_tradnl"/>
        </w:rPr>
        <w:t>exposición de motivos y los informes de ponencia, como elementos de juicio para determinar el vínculo entre el articulado y la materia del proyecto. Este vínculo, además, puede tomar varias formas, como son la identificación del núcleo de la ley (conexidad</w:t>
      </w:r>
      <w:r w:rsidRPr="0096658B">
        <w:rPr>
          <w:rFonts w:ascii="Times New Roman" w:hAnsi="Times New Roman" w:cs="Times New Roman"/>
          <w:color w:val="000000" w:themeColor="text1"/>
          <w:lang w:val="es-ES_tradnl"/>
        </w:rPr>
        <w:t xml:space="preserve"> temática), la finalidad perseguida por el Legislador con la iniciativa (conexidad teleológica), la evaluación del articulado en su conjunto y de manera integral (conexidad si</w:t>
      </w:r>
      <w:r w:rsidRPr="0096658B">
        <w:rPr>
          <w:rFonts w:ascii="Times New Roman" w:hAnsi="Times New Roman" w:cs="Times New Roman"/>
          <w:color w:val="000000" w:themeColor="text1"/>
          <w:lang w:val="es-ES_tradnl"/>
        </w:rPr>
        <w:t>stemática), las relaciones causales entre las disposiciones que integran el artic</w:t>
      </w:r>
      <w:r w:rsidRPr="0096658B">
        <w:rPr>
          <w:rFonts w:ascii="Times New Roman" w:hAnsi="Times New Roman" w:cs="Times New Roman"/>
          <w:color w:val="000000" w:themeColor="text1"/>
          <w:lang w:val="es-ES_tradnl"/>
        </w:rPr>
        <w:t xml:space="preserve">ulado (conexidad </w:t>
      </w:r>
      <w:r w:rsidRPr="0096658B">
        <w:rPr>
          <w:rFonts w:ascii="Times New Roman" w:hAnsi="Times New Roman" w:cs="Times New Roman"/>
          <w:color w:val="000000" w:themeColor="text1"/>
          <w:lang w:val="es-ES_tradnl"/>
        </w:rPr>
        <w:t>causal), o la verificación</w:t>
      </w:r>
      <w:r w:rsidRPr="0096658B">
        <w:rPr>
          <w:rFonts w:ascii="Times New Roman" w:hAnsi="Times New Roman" w:cs="Times New Roman"/>
          <w:color w:val="000000" w:themeColor="text1"/>
          <w:lang w:val="es-ES_tradnl"/>
        </w:rPr>
        <w:t xml:space="preserve"> de</w:t>
      </w:r>
      <w:r w:rsidRPr="0096658B">
        <w:rPr>
          <w:rFonts w:ascii="Times New Roman" w:hAnsi="Times New Roman" w:cs="Times New Roman"/>
          <w:color w:val="000000" w:themeColor="text1"/>
          <w:lang w:val="es-ES_tradnl"/>
        </w:rPr>
        <w:t xml:space="preserve"> si los efectos de la disposición demandada coinciden con los esperados por la ley (conexidad consecuencial). </w:t>
      </w:r>
    </w:p>
    <w:p w:rsidR="00B54890" w:rsidRPr="0096658B" w:rsidRDefault="0096658B" w:rsidP="00B54890">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color w:val="000000" w:themeColor="text1"/>
          <w:lang w:val="es-ES_tradnl"/>
        </w:rPr>
      </w:pPr>
    </w:p>
    <w:p w:rsidR="00B54890"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Con el fin de determinar la satisfacción de estos principios resulta necesario explicar las materi</w:t>
      </w:r>
      <w:r w:rsidRPr="0096658B">
        <w:rPr>
          <w:rFonts w:ascii="Times New Roman" w:hAnsi="Times New Roman" w:cs="Times New Roman"/>
          <w:color w:val="000000" w:themeColor="text1"/>
          <w:lang w:val="es-ES_tradnl"/>
        </w:rPr>
        <w:t xml:space="preserve">as del proyecto de ley </w:t>
      </w:r>
      <w:r w:rsidRPr="0096658B">
        <w:rPr>
          <w:rFonts w:ascii="Times New Roman" w:hAnsi="Times New Roman" w:cs="Times New Roman"/>
          <w:color w:val="000000" w:themeColor="text1"/>
          <w:lang w:val="es-ES_tradnl"/>
        </w:rPr>
        <w:t xml:space="preserve">y </w:t>
      </w:r>
      <w:r w:rsidRPr="0096658B">
        <w:rPr>
          <w:rFonts w:ascii="Times New Roman" w:hAnsi="Times New Roman" w:cs="Times New Roman"/>
          <w:color w:val="000000" w:themeColor="text1"/>
          <w:lang w:val="es-ES_tradnl"/>
        </w:rPr>
        <w:t>las modificaciones surtidas en el trámite. En el anex</w:t>
      </w:r>
      <w:r w:rsidRPr="0096658B">
        <w:rPr>
          <w:rFonts w:ascii="Times New Roman" w:hAnsi="Times New Roman" w:cs="Times New Roman"/>
          <w:color w:val="000000" w:themeColor="text1"/>
          <w:lang w:val="es-ES_tradnl"/>
        </w:rPr>
        <w:t xml:space="preserve">o a esta sentencia se muestra una explicación detallada de estos asuntos, por lo que la Sala resaltará a continuación sus </w:t>
      </w:r>
      <w:r w:rsidRPr="0096658B">
        <w:rPr>
          <w:rFonts w:ascii="Times New Roman" w:hAnsi="Times New Roman" w:cs="Times New Roman"/>
          <w:color w:val="000000" w:themeColor="text1"/>
          <w:lang w:val="es-ES_tradnl"/>
        </w:rPr>
        <w:t>elemento</w:t>
      </w:r>
      <w:r w:rsidRPr="0096658B">
        <w:rPr>
          <w:rFonts w:ascii="Times New Roman" w:hAnsi="Times New Roman" w:cs="Times New Roman"/>
          <w:color w:val="000000" w:themeColor="text1"/>
          <w:lang w:val="es-ES_tradnl"/>
        </w:rPr>
        <w:t>s centrales.</w:t>
      </w:r>
    </w:p>
    <w:p w:rsidR="00850576" w:rsidRPr="0096658B" w:rsidRDefault="0096658B" w:rsidP="00850576">
      <w:pPr>
        <w:pStyle w:val="Prrafodelista"/>
        <w:rPr>
          <w:rFonts w:ascii="Times New Roman" w:hAnsi="Times New Roman" w:cs="Times New Roman"/>
          <w:color w:val="000000" w:themeColor="text1"/>
          <w:lang w:val="es-ES_tradnl"/>
        </w:rPr>
      </w:pPr>
    </w:p>
    <w:p w:rsidR="00850576" w:rsidRPr="0096658B" w:rsidRDefault="0096658B" w:rsidP="00987472">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El proyecto de ley original </w:t>
      </w:r>
      <w:r w:rsidRPr="0096658B">
        <w:rPr>
          <w:rFonts w:ascii="Times New Roman" w:hAnsi="Times New Roman" w:cs="Times New Roman"/>
          <w:color w:val="000000" w:themeColor="text1"/>
          <w:lang w:val="es-ES_tradnl"/>
        </w:rPr>
        <w:t>contaba con cinco artículos</w:t>
      </w:r>
      <w:r w:rsidRPr="0096658B">
        <w:rPr>
          <w:rStyle w:val="Refdenotaalpie"/>
          <w:rFonts w:ascii="Times New Roman" w:hAnsi="Times New Roman"/>
          <w:color w:val="000000" w:themeColor="text1"/>
          <w:lang w:val="es-ES_tradnl"/>
        </w:rPr>
        <w:footnoteReference w:id="74"/>
      </w:r>
      <w:r w:rsidRPr="0096658B">
        <w:rPr>
          <w:rFonts w:ascii="Times New Roman" w:hAnsi="Times New Roman" w:cs="Times New Roman"/>
          <w:color w:val="000000" w:themeColor="text1"/>
          <w:lang w:val="es-ES_tradnl"/>
        </w:rPr>
        <w:t xml:space="preserve"> que cubrían las siguientes materias: </w:t>
      </w:r>
      <w:r w:rsidRPr="0096658B">
        <w:rPr>
          <w:rFonts w:ascii="Times New Roman" w:hAnsi="Times New Roman" w:cs="Times New Roman"/>
          <w:i/>
          <w:iCs/>
          <w:color w:val="000000" w:themeColor="text1"/>
          <w:lang w:val="es-ES_tradnl"/>
        </w:rPr>
        <w:t>(i)</w:t>
      </w:r>
      <w:r w:rsidRPr="0096658B">
        <w:rPr>
          <w:rFonts w:ascii="Times New Roman" w:hAnsi="Times New Roman" w:cs="Times New Roman"/>
          <w:color w:val="000000" w:themeColor="text1"/>
          <w:lang w:val="es-ES_tradnl"/>
        </w:rPr>
        <w:t xml:space="preserve"> la distribución paritaria entre hombres y mujeres respecto de los </w:t>
      </w:r>
      <w:r w:rsidRPr="0096658B">
        <w:rPr>
          <w:rFonts w:ascii="Times New Roman" w:hAnsi="Times New Roman" w:cs="Times New Roman"/>
          <w:color w:val="000000" w:themeColor="text1"/>
          <w:lang w:val="es-ES_tradnl"/>
        </w:rPr>
        <w:t>CMND</w:t>
      </w:r>
      <w:r w:rsidRPr="0096658B">
        <w:rPr>
          <w:rFonts w:ascii="Times New Roman" w:hAnsi="Times New Roman" w:cs="Times New Roman"/>
          <w:color w:val="000000" w:themeColor="text1"/>
          <w:lang w:val="es-ES_tradnl"/>
        </w:rPr>
        <w:t xml:space="preserve"> y </w:t>
      </w:r>
      <w:r w:rsidRPr="0096658B">
        <w:rPr>
          <w:rFonts w:ascii="Times New Roman" w:hAnsi="Times New Roman" w:cs="Times New Roman"/>
          <w:color w:val="000000" w:themeColor="text1"/>
          <w:lang w:val="es-ES_tradnl"/>
        </w:rPr>
        <w:t>CND</w:t>
      </w:r>
      <w:r w:rsidRPr="0096658B">
        <w:rPr>
          <w:rFonts w:ascii="Times New Roman" w:hAnsi="Times New Roman" w:cs="Times New Roman"/>
          <w:color w:val="000000" w:themeColor="text1"/>
          <w:lang w:val="es-ES_tradnl"/>
        </w:rPr>
        <w:t>, la configuración de causal de mala conducta por el incumplimiento de dicho mandato y la previsión para que e</w:t>
      </w:r>
      <w:r w:rsidRPr="0096658B">
        <w:rPr>
          <w:rFonts w:ascii="Times New Roman" w:hAnsi="Times New Roman" w:cs="Times New Roman"/>
          <w:color w:val="000000" w:themeColor="text1"/>
          <w:lang w:val="es-ES_tradnl"/>
        </w:rPr>
        <w:t>l Gobierno reglamente la materia en el plazo de seis meses (</w:t>
      </w:r>
      <w:r w:rsidRPr="0096658B">
        <w:rPr>
          <w:rFonts w:ascii="Times New Roman" w:hAnsi="Times New Roman" w:cs="Times New Roman"/>
          <w:color w:val="000000" w:themeColor="text1"/>
          <w:lang w:val="es-ES_tradnl"/>
        </w:rPr>
        <w:t>a</w:t>
      </w:r>
      <w:r w:rsidRPr="0096658B">
        <w:rPr>
          <w:rFonts w:ascii="Times New Roman" w:hAnsi="Times New Roman" w:cs="Times New Roman"/>
          <w:color w:val="000000" w:themeColor="text1"/>
          <w:lang w:val="es-ES_tradnl"/>
        </w:rPr>
        <w:t xml:space="preserve">rtículo 1°); </w:t>
      </w:r>
      <w:r w:rsidRPr="0096658B">
        <w:rPr>
          <w:rFonts w:ascii="Times New Roman" w:hAnsi="Times New Roman" w:cs="Times New Roman"/>
          <w:i/>
          <w:iCs/>
          <w:color w:val="000000" w:themeColor="text1"/>
          <w:lang w:val="es-ES_tradnl"/>
        </w:rPr>
        <w:t>(ii)</w:t>
      </w:r>
      <w:r w:rsidRPr="0096658B">
        <w:rPr>
          <w:rFonts w:ascii="Times New Roman" w:hAnsi="Times New Roman" w:cs="Times New Roman"/>
          <w:color w:val="000000" w:themeColor="text1"/>
          <w:lang w:val="es-ES_tradnl"/>
        </w:rPr>
        <w:t xml:space="preserve"> la participación paritaria entre hombres y mujeres en las delegaciones a distintos eventos internacionales y la configuración de causal de mala conducta por el incumplimiento </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a</w:t>
      </w:r>
      <w:r w:rsidRPr="0096658B">
        <w:rPr>
          <w:rFonts w:ascii="Times New Roman" w:hAnsi="Times New Roman" w:cs="Times New Roman"/>
          <w:color w:val="000000" w:themeColor="text1"/>
          <w:lang w:val="es-ES_tradnl"/>
        </w:rPr>
        <w:t xml:space="preserve">rtículo </w:t>
      </w:r>
      <w:r w:rsidRPr="0096658B">
        <w:rPr>
          <w:rFonts w:ascii="Times New Roman" w:hAnsi="Times New Roman" w:cs="Times New Roman"/>
          <w:color w:val="000000" w:themeColor="text1"/>
          <w:lang w:val="es-ES_tradnl"/>
        </w:rPr>
        <w:t xml:space="preserve">2°); </w:t>
      </w:r>
      <w:r w:rsidRPr="0096658B">
        <w:rPr>
          <w:rFonts w:ascii="Times New Roman" w:hAnsi="Times New Roman" w:cs="Times New Roman"/>
          <w:i/>
          <w:iCs/>
          <w:color w:val="000000" w:themeColor="text1"/>
          <w:lang w:val="es-ES_tradnl"/>
        </w:rPr>
        <w:t>(iii)</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el aumento al 50% de la composición mínima de uno de los géneros en las listas de candidatos a corporaciones públicas en donde se elijan cinco o más curules (</w:t>
      </w:r>
      <w:r w:rsidRPr="0096658B">
        <w:rPr>
          <w:rFonts w:ascii="Times New Roman" w:hAnsi="Times New Roman" w:cs="Times New Roman"/>
          <w:color w:val="000000" w:themeColor="text1"/>
          <w:lang w:val="es-ES_tradnl"/>
        </w:rPr>
        <w:t>a</w:t>
      </w:r>
      <w:r w:rsidRPr="0096658B">
        <w:rPr>
          <w:rFonts w:ascii="Times New Roman" w:hAnsi="Times New Roman" w:cs="Times New Roman"/>
          <w:color w:val="000000" w:themeColor="text1"/>
          <w:lang w:val="es-ES_tradnl"/>
        </w:rPr>
        <w:t xml:space="preserve">rtículo 3°); </w:t>
      </w:r>
      <w:r w:rsidRPr="0096658B">
        <w:rPr>
          <w:rFonts w:ascii="Times New Roman" w:hAnsi="Times New Roman" w:cs="Times New Roman"/>
          <w:i/>
          <w:iCs/>
          <w:color w:val="000000" w:themeColor="text1"/>
          <w:lang w:val="es-ES_tradnl"/>
        </w:rPr>
        <w:t>(iv)</w:t>
      </w:r>
      <w:r w:rsidRPr="0096658B">
        <w:rPr>
          <w:rFonts w:ascii="Times New Roman" w:hAnsi="Times New Roman" w:cs="Times New Roman"/>
          <w:color w:val="000000" w:themeColor="text1"/>
          <w:lang w:val="es-ES_tradnl"/>
        </w:rPr>
        <w:t xml:space="preserve"> la adición del artículo 80  al Decreto Ley 2241 de 1986, relativo a la fijación de una “cuota de género” </w:t>
      </w:r>
      <w:r w:rsidRPr="0096658B">
        <w:rPr>
          <w:rFonts w:ascii="Times New Roman" w:hAnsi="Times New Roman" w:cs="Times New Roman"/>
          <w:color w:val="000000" w:themeColor="text1"/>
          <w:lang w:val="es-ES_tradnl"/>
        </w:rPr>
        <w:t>en las listas para corporaciones públicas, consistente en la exigencia de paridad en el caso de aquellas donde se elijan cinco o más curules y un míni</w:t>
      </w:r>
      <w:r w:rsidRPr="0096658B">
        <w:rPr>
          <w:rFonts w:ascii="Times New Roman" w:hAnsi="Times New Roman" w:cs="Times New Roman"/>
          <w:color w:val="000000" w:themeColor="text1"/>
          <w:lang w:val="es-ES_tradnl"/>
        </w:rPr>
        <w:t xml:space="preserve">mo del 30% para las demás listas. Esto al igual que la previsión de la causal de revocatoria de la inscripción </w:t>
      </w:r>
      <w:r w:rsidRPr="0096658B">
        <w:rPr>
          <w:rFonts w:ascii="Times New Roman" w:hAnsi="Times New Roman" w:cs="Times New Roman"/>
          <w:color w:val="000000" w:themeColor="text1"/>
          <w:lang w:val="es-ES_tradnl"/>
        </w:rPr>
        <w:t>de la lista en caso de incumplimiento en dichas condiciones</w:t>
      </w:r>
      <w:r w:rsidRPr="0096658B">
        <w:rPr>
          <w:rFonts w:ascii="Times New Roman" w:hAnsi="Times New Roman" w:cs="Times New Roman"/>
          <w:color w:val="000000" w:themeColor="text1"/>
          <w:lang w:val="es-ES_tradnl"/>
        </w:rPr>
        <w:t xml:space="preserve">; y </w:t>
      </w:r>
      <w:r w:rsidRPr="0096658B">
        <w:rPr>
          <w:rFonts w:ascii="Times New Roman" w:hAnsi="Times New Roman" w:cs="Times New Roman"/>
          <w:i/>
          <w:iCs/>
          <w:color w:val="000000" w:themeColor="text1"/>
          <w:lang w:val="es-ES_tradnl"/>
        </w:rPr>
        <w:t xml:space="preserve">(v) </w:t>
      </w:r>
      <w:r w:rsidRPr="0096658B">
        <w:rPr>
          <w:rFonts w:ascii="Times New Roman" w:hAnsi="Times New Roman" w:cs="Times New Roman"/>
          <w:color w:val="000000" w:themeColor="text1"/>
          <w:lang w:val="es-ES_tradnl"/>
        </w:rPr>
        <w:t>la fórmula de vigencia del PLE (</w:t>
      </w:r>
      <w:r w:rsidRPr="0096658B">
        <w:rPr>
          <w:rFonts w:ascii="Times New Roman" w:hAnsi="Times New Roman" w:cs="Times New Roman"/>
          <w:color w:val="000000" w:themeColor="text1"/>
          <w:lang w:val="es-ES_tradnl"/>
        </w:rPr>
        <w:t>a</w:t>
      </w:r>
      <w:r w:rsidRPr="0096658B">
        <w:rPr>
          <w:rFonts w:ascii="Times New Roman" w:hAnsi="Times New Roman" w:cs="Times New Roman"/>
          <w:color w:val="000000" w:themeColor="text1"/>
          <w:lang w:val="es-ES_tradnl"/>
        </w:rPr>
        <w:t xml:space="preserve">rtículo 5°). </w:t>
      </w:r>
    </w:p>
    <w:p w:rsidR="00AC6749" w:rsidRPr="0096658B" w:rsidRDefault="0096658B" w:rsidP="00AC6749">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color w:val="000000" w:themeColor="text1"/>
          <w:lang w:val="es-ES_tradnl"/>
        </w:rPr>
      </w:pPr>
    </w:p>
    <w:p w:rsidR="00AC6749"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El texto original del proyecto</w:t>
      </w:r>
      <w:r w:rsidRPr="0096658B">
        <w:rPr>
          <w:rFonts w:ascii="Times New Roman" w:hAnsi="Times New Roman" w:cs="Times New Roman"/>
          <w:color w:val="000000" w:themeColor="text1"/>
          <w:lang w:val="es-ES_tradnl"/>
        </w:rPr>
        <w:t xml:space="preserve"> de ley fue replicado sin modificaciones en la ponencia para primer debate y </w:t>
      </w:r>
      <w:r w:rsidRPr="0096658B">
        <w:rPr>
          <w:rFonts w:ascii="Times New Roman" w:hAnsi="Times New Roman" w:cs="Times New Roman"/>
          <w:color w:val="000000" w:themeColor="text1"/>
          <w:lang w:val="es-ES_tradnl"/>
        </w:rPr>
        <w:t xml:space="preserve">luego </w:t>
      </w:r>
      <w:r w:rsidRPr="0096658B">
        <w:rPr>
          <w:rFonts w:ascii="Times New Roman" w:hAnsi="Times New Roman" w:cs="Times New Roman"/>
          <w:color w:val="000000" w:themeColor="text1"/>
          <w:lang w:val="es-ES_tradnl"/>
        </w:rPr>
        <w:t>aprobado por la Comisión Primera del Senado</w:t>
      </w:r>
      <w:r w:rsidRPr="0096658B">
        <w:rPr>
          <w:rStyle w:val="Refdenotaalpie"/>
          <w:rFonts w:ascii="Times New Roman" w:hAnsi="Times New Roman"/>
          <w:color w:val="000000" w:themeColor="text1"/>
          <w:lang w:val="es-ES_tradnl"/>
        </w:rPr>
        <w:footnoteReference w:id="75"/>
      </w:r>
      <w:r w:rsidRPr="0096658B">
        <w:rPr>
          <w:rFonts w:ascii="Times New Roman" w:hAnsi="Times New Roman" w:cs="Times New Roman"/>
          <w:color w:val="000000" w:themeColor="text1"/>
          <w:lang w:val="es-ES_tradnl"/>
        </w:rPr>
        <w:t>. Ese mismo texto fue incluido en el informe de ponencia para segundo debate. En la plenaria del Senado fue aprobado con la única</w:t>
      </w:r>
      <w:r w:rsidRPr="0096658B">
        <w:rPr>
          <w:rFonts w:ascii="Times New Roman" w:hAnsi="Times New Roman" w:cs="Times New Roman"/>
          <w:color w:val="000000" w:themeColor="text1"/>
          <w:lang w:val="es-ES_tradnl"/>
        </w:rPr>
        <w:t xml:space="preserve"> modificación consistente en</w:t>
      </w:r>
      <w:r w:rsidRPr="0096658B">
        <w:rPr>
          <w:rFonts w:ascii="Times New Roman" w:hAnsi="Times New Roman" w:cs="Times New Roman"/>
          <w:color w:val="000000" w:themeColor="text1"/>
          <w:lang w:val="es-ES_tradnl"/>
        </w:rPr>
        <w:t xml:space="preserve"> aclarar, respecto del artículo 4°, que la exigencia del 30% de participación en listas de menos de cinco curules corresponde a la conformación de la cuota “para hombres y mujeres”</w:t>
      </w:r>
      <w:r w:rsidRPr="0096658B">
        <w:rPr>
          <w:rStyle w:val="Refdenotaalpie"/>
          <w:rFonts w:ascii="Times New Roman" w:hAnsi="Times New Roman"/>
          <w:color w:val="000000" w:themeColor="text1"/>
          <w:lang w:val="es-ES_tradnl"/>
        </w:rPr>
        <w:footnoteReference w:id="76"/>
      </w:r>
      <w:r w:rsidRPr="0096658B">
        <w:rPr>
          <w:rFonts w:ascii="Times New Roman" w:hAnsi="Times New Roman" w:cs="Times New Roman"/>
          <w:color w:val="000000" w:themeColor="text1"/>
          <w:lang w:val="es-ES_tradnl"/>
        </w:rPr>
        <w:t>.</w:t>
      </w:r>
    </w:p>
    <w:p w:rsidR="008B5B7B" w:rsidRPr="0096658B" w:rsidRDefault="0096658B" w:rsidP="008B5B7B">
      <w:pPr>
        <w:pStyle w:val="Prrafodelista"/>
        <w:rPr>
          <w:rFonts w:ascii="Times New Roman" w:hAnsi="Times New Roman" w:cs="Times New Roman"/>
          <w:color w:val="000000" w:themeColor="text1"/>
          <w:lang w:val="es-ES_tradnl"/>
        </w:rPr>
      </w:pPr>
    </w:p>
    <w:p w:rsidR="008B5B7B"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La ponencia para primer debate en la Comisió</w:t>
      </w:r>
      <w:r w:rsidRPr="0096658B">
        <w:rPr>
          <w:rFonts w:ascii="Times New Roman" w:hAnsi="Times New Roman" w:cs="Times New Roman"/>
          <w:color w:val="000000" w:themeColor="text1"/>
          <w:lang w:val="es-ES_tradnl"/>
        </w:rPr>
        <w:t xml:space="preserve">n Primera de la Cámara propuso varias modificaciones al proyecto. En cuanto al artículo 1° </w:t>
      </w:r>
      <w:r w:rsidRPr="0096658B">
        <w:rPr>
          <w:rFonts w:ascii="Times New Roman" w:hAnsi="Times New Roman" w:cs="Times New Roman"/>
          <w:color w:val="000000" w:themeColor="text1"/>
          <w:lang w:val="es-ES_tradnl"/>
        </w:rPr>
        <w:t xml:space="preserve">se propuso adicionar el parágrafo 3° para indicar que en los municipios en donde no existan </w:t>
      </w:r>
      <w:r w:rsidRPr="0096658B">
        <w:rPr>
          <w:rFonts w:ascii="Times New Roman" w:hAnsi="Times New Roman" w:cs="Times New Roman"/>
          <w:color w:val="000000" w:themeColor="text1"/>
          <w:lang w:val="es-ES_tradnl"/>
        </w:rPr>
        <w:t>CMND</w:t>
      </w:r>
      <w:r w:rsidRPr="0096658B">
        <w:rPr>
          <w:rFonts w:ascii="Times New Roman" w:hAnsi="Times New Roman" w:cs="Times New Roman"/>
          <w:color w:val="000000" w:themeColor="text1"/>
          <w:lang w:val="es-ES_tradnl"/>
        </w:rPr>
        <w:t xml:space="preserve"> se deberá aplicar la regla de paridad frente a los cargos de otros niveles decisorios. Igualmente, propuso integrar las reglas del artículo 4° al artículo 3°, reformatorio del artículo 28 de la Ley 1475 de 2011</w:t>
      </w:r>
      <w:r w:rsidRPr="0096658B">
        <w:rPr>
          <w:rStyle w:val="Refdenotaalpie"/>
          <w:rFonts w:ascii="Times New Roman" w:hAnsi="Times New Roman"/>
          <w:color w:val="000000" w:themeColor="text1"/>
          <w:lang w:val="es-ES_tradnl"/>
        </w:rPr>
        <w:footnoteReference w:id="77"/>
      </w:r>
      <w:r w:rsidRPr="0096658B">
        <w:rPr>
          <w:rFonts w:ascii="Times New Roman" w:hAnsi="Times New Roman" w:cs="Times New Roman"/>
          <w:color w:val="000000" w:themeColor="text1"/>
          <w:lang w:val="es-ES_tradnl"/>
        </w:rPr>
        <w:t>. En consecuencia, puso a consideración de l</w:t>
      </w:r>
      <w:r w:rsidRPr="0096658B">
        <w:rPr>
          <w:rFonts w:ascii="Times New Roman" w:hAnsi="Times New Roman" w:cs="Times New Roman"/>
          <w:color w:val="000000" w:themeColor="text1"/>
          <w:lang w:val="es-ES_tradnl"/>
        </w:rPr>
        <w:t xml:space="preserve">a plenaria la eliminación del artículo 4°, de modo que la fórmula de vigencia sería enumerada </w:t>
      </w:r>
      <w:r w:rsidRPr="0096658B">
        <w:rPr>
          <w:rFonts w:ascii="Times New Roman" w:hAnsi="Times New Roman" w:cs="Times New Roman"/>
          <w:color w:val="000000" w:themeColor="text1"/>
          <w:lang w:val="es-ES_tradnl"/>
        </w:rPr>
        <w:t xml:space="preserve">como nuevo artículo 4°. </w:t>
      </w:r>
    </w:p>
    <w:p w:rsidR="00B91C08" w:rsidRPr="0096658B" w:rsidRDefault="0096658B" w:rsidP="00B91C08">
      <w:pPr>
        <w:pStyle w:val="Prrafodelista"/>
        <w:rPr>
          <w:rFonts w:ascii="Times New Roman" w:hAnsi="Times New Roman" w:cs="Times New Roman"/>
          <w:color w:val="000000" w:themeColor="text1"/>
          <w:lang w:val="es-ES_tradnl"/>
        </w:rPr>
      </w:pPr>
    </w:p>
    <w:p w:rsidR="00B91C08"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La Comisión Primera de la Cámara aprobó el texto basándose en la nueva configuración propuesta por el informe de ponencia y del modo sig</w:t>
      </w:r>
      <w:r w:rsidRPr="0096658B">
        <w:rPr>
          <w:rFonts w:ascii="Times New Roman" w:hAnsi="Times New Roman" w:cs="Times New Roman"/>
          <w:color w:val="000000" w:themeColor="text1"/>
          <w:lang w:val="es-ES_tradnl"/>
        </w:rPr>
        <w:t xml:space="preserve">uiente: </w:t>
      </w:r>
      <w:r w:rsidRPr="0096658B">
        <w:rPr>
          <w:rFonts w:ascii="Times New Roman" w:hAnsi="Times New Roman" w:cs="Times New Roman"/>
          <w:i/>
          <w:iCs/>
          <w:color w:val="000000" w:themeColor="text1"/>
          <w:lang w:val="es-ES_tradnl"/>
        </w:rPr>
        <w:t>(i)</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 xml:space="preserve">aprobó el artículo 1° y adicionó el parágrafo 4°, que impuso la obligación al Gobierno Nacional, </w:t>
      </w:r>
      <w:r w:rsidRPr="0096658B">
        <w:rPr>
          <w:rFonts w:ascii="Times New Roman" w:hAnsi="Times New Roman" w:cs="Times New Roman"/>
          <w:color w:val="000000" w:themeColor="text1"/>
          <w:lang w:val="es-ES_tradnl"/>
        </w:rPr>
        <w:t>por medio</w:t>
      </w:r>
      <w:r w:rsidRPr="0096658B">
        <w:rPr>
          <w:rFonts w:ascii="Times New Roman" w:hAnsi="Times New Roman" w:cs="Times New Roman"/>
          <w:color w:val="000000" w:themeColor="text1"/>
          <w:lang w:val="es-ES_tradnl"/>
        </w:rPr>
        <w:t xml:space="preserve"> del Ministerio de la Igualdad o quien haga sus veces, de rendir un informe bianual a las comisiones primeras constitucionales frente a la</w:t>
      </w:r>
      <w:r w:rsidRPr="0096658B">
        <w:rPr>
          <w:rFonts w:ascii="Times New Roman" w:hAnsi="Times New Roman" w:cs="Times New Roman"/>
          <w:color w:val="000000" w:themeColor="text1"/>
          <w:lang w:val="es-ES_tradnl"/>
        </w:rPr>
        <w:t xml:space="preserve"> implementación de la paridad en los cargos decisorios; </w:t>
      </w:r>
      <w:r w:rsidRPr="0096658B">
        <w:rPr>
          <w:rFonts w:ascii="Times New Roman" w:hAnsi="Times New Roman" w:cs="Times New Roman"/>
          <w:i/>
          <w:iCs/>
          <w:color w:val="000000" w:themeColor="text1"/>
          <w:lang w:val="es-ES_tradnl"/>
        </w:rPr>
        <w:t>(ii)</w:t>
      </w:r>
      <w:r w:rsidRPr="0096658B">
        <w:rPr>
          <w:rFonts w:ascii="Times New Roman" w:hAnsi="Times New Roman" w:cs="Times New Roman"/>
          <w:color w:val="000000" w:themeColor="text1"/>
          <w:lang w:val="es-ES_tradnl"/>
        </w:rPr>
        <w:t xml:space="preserve"> aprobó el artículo 2° sin modificaciones;</w:t>
      </w:r>
      <w:r w:rsidRPr="0096658B">
        <w:rPr>
          <w:rFonts w:ascii="Times New Roman" w:hAnsi="Times New Roman" w:cs="Times New Roman"/>
          <w:i/>
          <w:iCs/>
          <w:color w:val="000000" w:themeColor="text1"/>
          <w:lang w:val="es-ES_tradnl"/>
        </w:rPr>
        <w:t xml:space="preserve"> (ii)</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 xml:space="preserve">aprobó el artículo 3° </w:t>
      </w:r>
      <w:r w:rsidRPr="0096658B">
        <w:rPr>
          <w:rFonts w:ascii="Times New Roman" w:hAnsi="Times New Roman" w:cs="Times New Roman"/>
          <w:color w:val="000000" w:themeColor="text1"/>
          <w:lang w:val="es-ES_tradnl"/>
        </w:rPr>
        <w:t>precisando algunos asuntos sobre la aplicación de la regulación interna de partidos y movimientos políticos para la comprobaci</w:t>
      </w:r>
      <w:r w:rsidRPr="0096658B">
        <w:rPr>
          <w:rFonts w:ascii="Times New Roman" w:hAnsi="Times New Roman" w:cs="Times New Roman"/>
          <w:color w:val="000000" w:themeColor="text1"/>
          <w:lang w:val="es-ES_tradnl"/>
        </w:rPr>
        <w:t xml:space="preserve">ón de los requisitos de los integrantes de las listas, la aplicación de la regla que favorece la inclusión de mujeres cuando se trate de listas de número impar; y </w:t>
      </w:r>
      <w:r w:rsidRPr="0096658B">
        <w:rPr>
          <w:rFonts w:ascii="Times New Roman" w:hAnsi="Times New Roman" w:cs="Times New Roman"/>
          <w:i/>
          <w:iCs/>
          <w:color w:val="000000" w:themeColor="text1"/>
          <w:lang w:val="es-ES_tradnl"/>
        </w:rPr>
        <w:t>(iii)</w:t>
      </w:r>
      <w:r w:rsidRPr="0096658B">
        <w:rPr>
          <w:rFonts w:ascii="Times New Roman" w:hAnsi="Times New Roman" w:cs="Times New Roman"/>
          <w:color w:val="000000" w:themeColor="text1"/>
          <w:lang w:val="es-ES_tradnl"/>
        </w:rPr>
        <w:t xml:space="preserve"> aprobó el artículo 4° sobre vigencia, sin modificaciones</w:t>
      </w:r>
      <w:r w:rsidRPr="0096658B">
        <w:rPr>
          <w:rStyle w:val="Refdenotaalpie"/>
          <w:rFonts w:ascii="Times New Roman" w:hAnsi="Times New Roman"/>
          <w:color w:val="000000" w:themeColor="text1"/>
          <w:lang w:val="es-ES_tradnl"/>
        </w:rPr>
        <w:footnoteReference w:id="78"/>
      </w:r>
      <w:r w:rsidRPr="0096658B">
        <w:rPr>
          <w:rFonts w:ascii="Times New Roman" w:hAnsi="Times New Roman" w:cs="Times New Roman"/>
          <w:color w:val="000000" w:themeColor="text1"/>
          <w:lang w:val="es-ES_tradnl"/>
        </w:rPr>
        <w:t xml:space="preserve">. </w:t>
      </w:r>
    </w:p>
    <w:p w:rsidR="00BE3503" w:rsidRPr="0096658B" w:rsidRDefault="0096658B" w:rsidP="00BE3503">
      <w:pPr>
        <w:pStyle w:val="Prrafodelista"/>
        <w:rPr>
          <w:rFonts w:ascii="Times New Roman" w:hAnsi="Times New Roman" w:cs="Times New Roman"/>
          <w:color w:val="000000" w:themeColor="text1"/>
          <w:lang w:val="es-ES_tradnl"/>
        </w:rPr>
      </w:pPr>
    </w:p>
    <w:p w:rsidR="00BE3503"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La ponencia para segundo </w:t>
      </w:r>
      <w:r w:rsidRPr="0096658B">
        <w:rPr>
          <w:rFonts w:ascii="Times New Roman" w:hAnsi="Times New Roman" w:cs="Times New Roman"/>
          <w:color w:val="000000" w:themeColor="text1"/>
          <w:lang w:val="es-ES_tradnl"/>
        </w:rPr>
        <w:t>debate ante la plenaria de la Cámara reprodujo el texto de los artículos 1º, 2º y 4º del modo en que fueron aprobados en primer debate. En cuanto al artículo 3º</w:t>
      </w:r>
      <w:r w:rsidRPr="0096658B">
        <w:rPr>
          <w:rFonts w:ascii="Times New Roman" w:hAnsi="Times New Roman" w:cs="Times New Roman"/>
          <w:color w:val="000000" w:themeColor="text1"/>
          <w:lang w:val="es-ES_tradnl"/>
        </w:rPr>
        <w:t>, en el pliego de modificaciones</w:t>
      </w:r>
      <w:r w:rsidRPr="0096658B">
        <w:rPr>
          <w:rFonts w:ascii="Times New Roman" w:hAnsi="Times New Roman" w:cs="Times New Roman"/>
          <w:color w:val="000000" w:themeColor="text1"/>
          <w:lang w:val="es-ES_tradnl"/>
        </w:rPr>
        <w:t xml:space="preserve"> se </w:t>
      </w:r>
      <w:r w:rsidRPr="0096658B">
        <w:rPr>
          <w:rFonts w:ascii="Times New Roman" w:hAnsi="Times New Roman" w:cs="Times New Roman"/>
          <w:color w:val="000000" w:themeColor="text1"/>
          <w:lang w:val="es-ES_tradnl"/>
        </w:rPr>
        <w:t>reformuló</w:t>
      </w:r>
      <w:r w:rsidRPr="0096658B">
        <w:rPr>
          <w:rFonts w:ascii="Times New Roman" w:hAnsi="Times New Roman" w:cs="Times New Roman"/>
          <w:color w:val="000000" w:themeColor="text1"/>
          <w:lang w:val="es-ES_tradnl"/>
        </w:rPr>
        <w:t xml:space="preserve"> nuevamente su redacción y con el fin de </w:t>
      </w:r>
      <w:r w:rsidRPr="0096658B">
        <w:rPr>
          <w:rFonts w:ascii="Times New Roman" w:hAnsi="Times New Roman" w:cs="Times New Roman"/>
          <w:i/>
          <w:iCs/>
          <w:color w:val="000000" w:themeColor="text1"/>
          <w:lang w:val="es-ES_tradnl"/>
        </w:rPr>
        <w:t xml:space="preserve">(i) </w:t>
      </w:r>
      <w:r w:rsidRPr="0096658B">
        <w:rPr>
          <w:rFonts w:ascii="Times New Roman" w:hAnsi="Times New Roman" w:cs="Times New Roman"/>
          <w:color w:val="000000" w:themeColor="text1"/>
          <w:lang w:val="es-ES_tradnl"/>
        </w:rPr>
        <w:t>retira</w:t>
      </w:r>
      <w:r w:rsidRPr="0096658B">
        <w:rPr>
          <w:rFonts w:ascii="Times New Roman" w:hAnsi="Times New Roman" w:cs="Times New Roman"/>
          <w:color w:val="000000" w:themeColor="text1"/>
          <w:lang w:val="es-ES_tradnl"/>
        </w:rPr>
        <w:t>r la mención a que la verificación de los requisitos de los candidatos se haría de acuerdo con la regulación interna del partido o movimiento correspondiente</w:t>
      </w:r>
      <w:r w:rsidRPr="0096658B">
        <w:rPr>
          <w:rFonts w:ascii="Times New Roman" w:hAnsi="Times New Roman" w:cs="Times New Roman"/>
          <w:color w:val="000000" w:themeColor="text1"/>
          <w:lang w:val="es-ES_tradnl"/>
        </w:rPr>
        <w:t>. Esto con el fin de mantener la redacción contenida en el actual artículo 28 de la Ley 1475 de 201</w:t>
      </w:r>
      <w:r w:rsidRPr="0096658B">
        <w:rPr>
          <w:rFonts w:ascii="Times New Roman" w:hAnsi="Times New Roman" w:cs="Times New Roman"/>
          <w:color w:val="000000" w:themeColor="text1"/>
          <w:lang w:val="es-ES_tradnl"/>
        </w:rPr>
        <w:t>1</w:t>
      </w:r>
      <w:r w:rsidRPr="0096658B">
        <w:rPr>
          <w:rFonts w:ascii="Times New Roman" w:hAnsi="Times New Roman" w:cs="Times New Roman"/>
          <w:color w:val="000000" w:themeColor="text1"/>
          <w:lang w:val="es-ES_tradnl"/>
        </w:rPr>
        <w:t xml:space="preserve">; y </w:t>
      </w:r>
      <w:r w:rsidRPr="0096658B">
        <w:rPr>
          <w:rFonts w:ascii="Times New Roman" w:hAnsi="Times New Roman" w:cs="Times New Roman"/>
          <w:i/>
          <w:iCs/>
          <w:color w:val="000000" w:themeColor="text1"/>
          <w:lang w:val="es-ES_tradnl"/>
        </w:rPr>
        <w:t>(ii)</w:t>
      </w:r>
      <w:r w:rsidRPr="0096658B">
        <w:rPr>
          <w:rFonts w:ascii="Times New Roman" w:hAnsi="Times New Roman" w:cs="Times New Roman"/>
          <w:color w:val="000000" w:themeColor="text1"/>
          <w:lang w:val="es-ES_tradnl"/>
        </w:rPr>
        <w:t xml:space="preserve"> reformular la regla en el caso de listas impares, en el sentido de que “estas serán conformadas atendiendo una discriminación positiva a favor de la mujer”</w:t>
      </w:r>
      <w:r w:rsidRPr="0096658B">
        <w:rPr>
          <w:rStyle w:val="Refdenotaalpie"/>
          <w:rFonts w:ascii="Times New Roman" w:hAnsi="Times New Roman"/>
          <w:color w:val="000000" w:themeColor="text1"/>
          <w:lang w:val="es-ES_tradnl"/>
        </w:rPr>
        <w:footnoteReference w:id="79"/>
      </w:r>
      <w:r w:rsidRPr="0096658B">
        <w:rPr>
          <w:rFonts w:ascii="Times New Roman" w:hAnsi="Times New Roman" w:cs="Times New Roman"/>
          <w:color w:val="000000" w:themeColor="text1"/>
          <w:lang w:val="es-ES_tradnl"/>
        </w:rPr>
        <w:t>.</w:t>
      </w:r>
    </w:p>
    <w:p w:rsidR="00FC3E10" w:rsidRPr="0096658B" w:rsidRDefault="0096658B" w:rsidP="00FC3E10">
      <w:pPr>
        <w:pStyle w:val="Prrafodelista"/>
        <w:rPr>
          <w:rFonts w:ascii="Times New Roman" w:hAnsi="Times New Roman" w:cs="Times New Roman"/>
          <w:color w:val="000000" w:themeColor="text1"/>
          <w:lang w:val="es-ES_tradnl"/>
        </w:rPr>
      </w:pPr>
    </w:p>
    <w:p w:rsidR="00FC3E10"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La plenaria de la Cámara </w:t>
      </w:r>
      <w:r w:rsidRPr="0096658B">
        <w:rPr>
          <w:rFonts w:ascii="Times New Roman" w:hAnsi="Times New Roman" w:cs="Times New Roman"/>
          <w:color w:val="000000" w:themeColor="text1"/>
          <w:lang w:val="es-ES_tradnl"/>
        </w:rPr>
        <w:t>aprobó el PLE e introdujo las siguientes modificaciones</w:t>
      </w:r>
      <w:r w:rsidRPr="0096658B">
        <w:rPr>
          <w:rFonts w:ascii="Times New Roman" w:hAnsi="Times New Roman" w:cs="Times New Roman"/>
          <w:color w:val="000000" w:themeColor="text1"/>
          <w:lang w:val="es-ES_tradnl"/>
        </w:rPr>
        <w:t>. De un</w:t>
      </w:r>
      <w:r w:rsidRPr="0096658B">
        <w:rPr>
          <w:rFonts w:ascii="Times New Roman" w:hAnsi="Times New Roman" w:cs="Times New Roman"/>
          <w:color w:val="000000" w:themeColor="text1"/>
          <w:lang w:val="es-ES_tradnl"/>
        </w:rPr>
        <w:t xml:space="preserve"> lado, </w:t>
      </w:r>
      <w:r w:rsidRPr="0096658B">
        <w:rPr>
          <w:rFonts w:ascii="Times New Roman" w:hAnsi="Times New Roman" w:cs="Times New Roman"/>
          <w:color w:val="000000" w:themeColor="text1"/>
          <w:lang w:val="es-ES_tradnl"/>
        </w:rPr>
        <w:t>en cuanto al artículo 1º, fueron eliminados los parágrafos 3º y 4º</w:t>
      </w:r>
      <w:r w:rsidRPr="0096658B">
        <w:rPr>
          <w:rFonts w:ascii="Times New Roman" w:hAnsi="Times New Roman" w:cs="Times New Roman"/>
          <w:color w:val="000000" w:themeColor="text1"/>
          <w:lang w:val="es-ES_tradnl"/>
        </w:rPr>
        <w:t xml:space="preserve">. De otro lado, </w:t>
      </w:r>
      <w:r w:rsidRPr="0096658B">
        <w:rPr>
          <w:rFonts w:ascii="Times New Roman" w:hAnsi="Times New Roman" w:cs="Times New Roman"/>
          <w:color w:val="000000" w:themeColor="text1"/>
          <w:lang w:val="es-ES_tradnl"/>
        </w:rPr>
        <w:t>respecto del artículo 3º</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se optó por no reformular la redacción del artículo 28 de la Ley 1475 de 2011</w:t>
      </w:r>
      <w:r w:rsidRPr="0096658B">
        <w:rPr>
          <w:rFonts w:ascii="Times New Roman" w:hAnsi="Times New Roman" w:cs="Times New Roman"/>
          <w:color w:val="000000" w:themeColor="text1"/>
          <w:lang w:val="es-ES_tradnl"/>
        </w:rPr>
        <w:t xml:space="preserve">. En su lugar, se incluyó </w:t>
      </w:r>
      <w:r w:rsidRPr="0096658B">
        <w:rPr>
          <w:rFonts w:ascii="Times New Roman" w:hAnsi="Times New Roman" w:cs="Times New Roman"/>
          <w:color w:val="000000" w:themeColor="text1"/>
          <w:lang w:val="es-ES_tradnl"/>
        </w:rPr>
        <w:t xml:space="preserve">un inciso </w:t>
      </w:r>
      <w:r w:rsidRPr="0096658B">
        <w:rPr>
          <w:rFonts w:ascii="Times New Roman" w:hAnsi="Times New Roman" w:cs="Times New Roman"/>
          <w:color w:val="000000" w:themeColor="text1"/>
          <w:lang w:val="es-ES_tradnl"/>
        </w:rPr>
        <w:t xml:space="preserve">con </w:t>
      </w:r>
      <w:r w:rsidRPr="0096658B">
        <w:rPr>
          <w:rFonts w:ascii="Times New Roman" w:hAnsi="Times New Roman" w:cs="Times New Roman"/>
          <w:color w:val="000000" w:themeColor="text1"/>
          <w:lang w:val="es-ES_tradnl"/>
        </w:rPr>
        <w:t>la obligación de que</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las</w:t>
      </w:r>
      <w:r w:rsidRPr="0096658B">
        <w:rPr>
          <w:rFonts w:ascii="Times New Roman" w:hAnsi="Times New Roman" w:cs="Times New Roman"/>
          <w:color w:val="000000" w:themeColor="text1"/>
          <w:lang w:val="es-ES_tradnl"/>
        </w:rPr>
        <w:t xml:space="preserve"> listas destinadas </w:t>
      </w:r>
      <w:r w:rsidRPr="0096658B">
        <w:rPr>
          <w:rFonts w:ascii="Times New Roman" w:hAnsi="Times New Roman" w:cs="Times New Roman"/>
          <w:color w:val="000000" w:themeColor="text1"/>
          <w:lang w:val="es-ES_tradnl"/>
        </w:rPr>
        <w:t xml:space="preserve">a </w:t>
      </w:r>
      <w:r w:rsidRPr="0096658B">
        <w:rPr>
          <w:rFonts w:ascii="Times New Roman" w:hAnsi="Times New Roman" w:cs="Times New Roman"/>
          <w:color w:val="000000" w:themeColor="text1"/>
          <w:lang w:val="es-ES_tradnl"/>
        </w:rPr>
        <w:t>elegir</w:t>
      </w:r>
      <w:r w:rsidRPr="0096658B">
        <w:rPr>
          <w:rFonts w:ascii="Times New Roman" w:hAnsi="Times New Roman" w:cs="Times New Roman"/>
          <w:color w:val="000000" w:themeColor="text1"/>
          <w:lang w:val="es-ES_tradnl"/>
        </w:rPr>
        <w:t xml:space="preserve"> menos de cinco curules deben contar con al menos una mujer</w:t>
      </w:r>
      <w:r w:rsidRPr="0096658B">
        <w:rPr>
          <w:rFonts w:ascii="Times New Roman" w:hAnsi="Times New Roman" w:cs="Times New Roman"/>
          <w:color w:val="000000" w:themeColor="text1"/>
          <w:lang w:val="es-ES_tradnl"/>
        </w:rPr>
        <w:t xml:space="preserve">. Asimismo, se </w:t>
      </w:r>
      <w:r w:rsidRPr="0096658B">
        <w:rPr>
          <w:rFonts w:ascii="Times New Roman" w:hAnsi="Times New Roman" w:cs="Times New Roman"/>
          <w:color w:val="000000" w:themeColor="text1"/>
          <w:lang w:val="es-ES_tradnl"/>
        </w:rPr>
        <w:t>adicionó un</w:t>
      </w:r>
      <w:r w:rsidRPr="0096658B">
        <w:rPr>
          <w:rFonts w:ascii="Times New Roman" w:hAnsi="Times New Roman" w:cs="Times New Roman"/>
          <w:color w:val="000000" w:themeColor="text1"/>
          <w:lang w:val="es-ES_tradnl"/>
        </w:rPr>
        <w:t xml:space="preserve"> parágrafo que dispone la aplicación de la regla mencionada a partir de 2026</w:t>
      </w:r>
      <w:r w:rsidRPr="0096658B">
        <w:rPr>
          <w:rStyle w:val="Refdenotaalpie"/>
          <w:rFonts w:ascii="Times New Roman" w:hAnsi="Times New Roman"/>
          <w:color w:val="000000" w:themeColor="text1"/>
          <w:lang w:val="es-ES_tradnl"/>
        </w:rPr>
        <w:footnoteReference w:id="80"/>
      </w:r>
      <w:r w:rsidRPr="0096658B">
        <w:rPr>
          <w:rFonts w:ascii="Times New Roman" w:hAnsi="Times New Roman" w:cs="Times New Roman"/>
          <w:color w:val="000000" w:themeColor="text1"/>
          <w:lang w:val="es-ES_tradnl"/>
        </w:rPr>
        <w:t>.</w:t>
      </w:r>
    </w:p>
    <w:p w:rsidR="00A979CB" w:rsidRPr="0096658B" w:rsidRDefault="0096658B" w:rsidP="00A979CB">
      <w:pPr>
        <w:pStyle w:val="Prrafodelista"/>
        <w:rPr>
          <w:rFonts w:ascii="Times New Roman" w:hAnsi="Times New Roman" w:cs="Times New Roman"/>
          <w:color w:val="000000" w:themeColor="text1"/>
          <w:lang w:val="es-ES_tradnl"/>
        </w:rPr>
      </w:pPr>
    </w:p>
    <w:p w:rsidR="00B25C7D"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Ante</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 xml:space="preserve">las divergencias entre los textos aprobados por las cámaras, se convocó </w:t>
      </w:r>
      <w:r w:rsidRPr="0096658B">
        <w:rPr>
          <w:rFonts w:ascii="Times New Roman" w:hAnsi="Times New Roman" w:cs="Times New Roman"/>
          <w:color w:val="000000" w:themeColor="text1"/>
          <w:lang w:val="es-ES_tradnl"/>
        </w:rPr>
        <w:t xml:space="preserve">la </w:t>
      </w:r>
      <w:r w:rsidRPr="0096658B">
        <w:rPr>
          <w:rFonts w:ascii="Times New Roman" w:hAnsi="Times New Roman" w:cs="Times New Roman"/>
          <w:color w:val="000000" w:themeColor="text1"/>
          <w:lang w:val="es-ES_tradnl"/>
        </w:rPr>
        <w:t xml:space="preserve">comisión accidental de conciliación, la cual acordó aceptar el texto aprobado por </w:t>
      </w:r>
      <w:r w:rsidRPr="0096658B">
        <w:rPr>
          <w:rFonts w:ascii="Times New Roman" w:hAnsi="Times New Roman" w:cs="Times New Roman"/>
          <w:color w:val="000000" w:themeColor="text1"/>
          <w:lang w:val="es-ES_tradnl"/>
        </w:rPr>
        <w:t xml:space="preserve">la plenaria de la Cámara de Representantes. Al respecto, solo se evidencia </w:t>
      </w:r>
      <w:r w:rsidRPr="0096658B">
        <w:rPr>
          <w:rFonts w:ascii="Times New Roman" w:hAnsi="Times New Roman" w:cs="Times New Roman"/>
          <w:color w:val="000000" w:themeColor="text1"/>
          <w:lang w:val="es-ES_tradnl"/>
        </w:rPr>
        <w:t xml:space="preserve">el siguiente </w:t>
      </w:r>
      <w:r w:rsidRPr="0096658B">
        <w:rPr>
          <w:rFonts w:ascii="Times New Roman" w:hAnsi="Times New Roman" w:cs="Times New Roman"/>
          <w:color w:val="000000" w:themeColor="text1"/>
          <w:lang w:val="es-ES_tradnl"/>
        </w:rPr>
        <w:t>cambio punt</w:t>
      </w:r>
      <w:r w:rsidRPr="0096658B">
        <w:rPr>
          <w:rFonts w:ascii="Times New Roman" w:hAnsi="Times New Roman" w:cs="Times New Roman"/>
          <w:color w:val="000000" w:themeColor="text1"/>
          <w:lang w:val="es-ES_tradnl"/>
        </w:rPr>
        <w:t>ual</w:t>
      </w:r>
      <w:r w:rsidRPr="0096658B">
        <w:rPr>
          <w:rFonts w:ascii="Times New Roman" w:hAnsi="Times New Roman" w:cs="Times New Roman"/>
          <w:color w:val="000000" w:themeColor="text1"/>
          <w:lang w:val="es-ES_tradnl"/>
        </w:rPr>
        <w:t xml:space="preserve"> y</w:t>
      </w:r>
      <w:r w:rsidRPr="0096658B">
        <w:rPr>
          <w:rFonts w:ascii="Times New Roman" w:hAnsi="Times New Roman" w:cs="Times New Roman"/>
          <w:color w:val="000000" w:themeColor="text1"/>
          <w:lang w:val="es-ES_tradnl"/>
        </w:rPr>
        <w:t xml:space="preserve"> simplemente formal en el artículo 3º</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 xml:space="preserve">adicionar un </w:t>
      </w:r>
      <w:r w:rsidRPr="0096658B">
        <w:rPr>
          <w:rFonts w:ascii="Times New Roman" w:hAnsi="Times New Roman" w:cs="Times New Roman"/>
          <w:color w:val="000000" w:themeColor="text1"/>
          <w:lang w:val="es-ES_tradnl"/>
        </w:rPr>
        <w:t>parágrafo al artículo 28 de la Ley 1475 de 2011</w:t>
      </w:r>
      <w:r w:rsidRPr="0096658B">
        <w:rPr>
          <w:rFonts w:ascii="Times New Roman" w:hAnsi="Times New Roman" w:cs="Times New Roman"/>
          <w:color w:val="000000" w:themeColor="text1"/>
          <w:lang w:val="es-ES_tradnl"/>
        </w:rPr>
        <w:t xml:space="preserve"> con</w:t>
      </w:r>
      <w:r w:rsidRPr="0096658B">
        <w:rPr>
          <w:rFonts w:ascii="Times New Roman" w:hAnsi="Times New Roman" w:cs="Times New Roman"/>
          <w:color w:val="000000" w:themeColor="text1"/>
          <w:lang w:val="es-ES_tradnl"/>
        </w:rPr>
        <w:t xml:space="preserve"> las dos reglas sobre la inclusión de al menos una mujer en las listas para menos de cinco curules y la vigencia a partir de 2026. Este fue el texto</w:t>
      </w:r>
      <w:r w:rsidRPr="0096658B">
        <w:rPr>
          <w:rFonts w:ascii="Times New Roman" w:hAnsi="Times New Roman" w:cs="Times New Roman"/>
          <w:color w:val="000000" w:themeColor="text1"/>
          <w:lang w:val="es-ES_tradnl"/>
        </w:rPr>
        <w:t xml:space="preserve"> remitido a la Corte para su revisión de constitucional</w:t>
      </w:r>
      <w:r w:rsidRPr="0096658B">
        <w:rPr>
          <w:rFonts w:ascii="Times New Roman" w:hAnsi="Times New Roman" w:cs="Times New Roman"/>
          <w:color w:val="000000" w:themeColor="text1"/>
          <w:lang w:val="es-ES_tradnl"/>
        </w:rPr>
        <w:t>idad</w:t>
      </w:r>
      <w:r w:rsidRPr="0096658B">
        <w:rPr>
          <w:rFonts w:ascii="Times New Roman" w:hAnsi="Times New Roman" w:cs="Times New Roman"/>
          <w:color w:val="000000" w:themeColor="text1"/>
          <w:lang w:val="es-ES_tradnl"/>
        </w:rPr>
        <w:t xml:space="preserve"> y que fue transcrito al inicio de </w:t>
      </w:r>
      <w:r w:rsidRPr="0096658B">
        <w:rPr>
          <w:rFonts w:ascii="Times New Roman" w:hAnsi="Times New Roman" w:cs="Times New Roman"/>
          <w:color w:val="000000" w:themeColor="text1"/>
          <w:lang w:val="es-ES_tradnl"/>
        </w:rPr>
        <w:t>esta providencia</w:t>
      </w:r>
      <w:r w:rsidRPr="0096658B">
        <w:rPr>
          <w:rFonts w:ascii="Times New Roman" w:hAnsi="Times New Roman" w:cs="Times New Roman"/>
          <w:color w:val="000000" w:themeColor="text1"/>
          <w:lang w:val="es-ES_tradnl"/>
        </w:rPr>
        <w:t xml:space="preserve">. </w:t>
      </w:r>
    </w:p>
    <w:p w:rsidR="00B25C7D" w:rsidRPr="0096658B" w:rsidRDefault="0096658B" w:rsidP="00B25C7D">
      <w:pPr>
        <w:pStyle w:val="Prrafodelista"/>
        <w:rPr>
          <w:rFonts w:ascii="Times New Roman" w:hAnsi="Times New Roman" w:cs="Times New Roman"/>
          <w:color w:val="000000" w:themeColor="text1"/>
          <w:lang w:val="es-ES_tradnl"/>
        </w:rPr>
      </w:pPr>
    </w:p>
    <w:p w:rsidR="00A92CDC"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La Corte advierte que a lo largo del trámite legislativo se mantuvo estable la materia del PLE, esto es, como lo indica el título de la iniciativa, </w:t>
      </w:r>
      <w:r w:rsidRPr="0096658B">
        <w:rPr>
          <w:rFonts w:ascii="Times New Roman" w:hAnsi="Times New Roman" w:cs="Times New Roman"/>
          <w:color w:val="000000" w:themeColor="text1"/>
          <w:lang w:val="es-ES_tradnl"/>
        </w:rPr>
        <w:t>la previsión de medidas para garantizar la participación de las mujeres en las diferentes ramas y órganos de</w:t>
      </w:r>
      <w:r w:rsidRPr="0096658B">
        <w:rPr>
          <w:rFonts w:ascii="Times New Roman" w:hAnsi="Times New Roman" w:cs="Times New Roman"/>
          <w:color w:val="000000" w:themeColor="text1"/>
          <w:lang w:val="es-ES_tradnl"/>
        </w:rPr>
        <w:t>l poder público. Esto</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a partir de tres asuntos diferenciados: la inclusión paritaria de hombres y mujeres en los </w:t>
      </w:r>
      <w:r w:rsidRPr="0096658B">
        <w:rPr>
          <w:rFonts w:ascii="Times New Roman" w:hAnsi="Times New Roman" w:cs="Times New Roman"/>
          <w:color w:val="000000" w:themeColor="text1"/>
          <w:lang w:val="es-ES_tradnl"/>
        </w:rPr>
        <w:t>CMND</w:t>
      </w:r>
      <w:r w:rsidRPr="0096658B">
        <w:rPr>
          <w:rFonts w:ascii="Times New Roman" w:hAnsi="Times New Roman" w:cs="Times New Roman"/>
          <w:color w:val="000000" w:themeColor="text1"/>
          <w:lang w:val="es-ES_tradnl"/>
        </w:rPr>
        <w:t xml:space="preserve"> y </w:t>
      </w:r>
      <w:r w:rsidRPr="0096658B">
        <w:rPr>
          <w:rFonts w:ascii="Times New Roman" w:hAnsi="Times New Roman" w:cs="Times New Roman"/>
          <w:color w:val="000000" w:themeColor="text1"/>
          <w:lang w:val="es-ES_tradnl"/>
        </w:rPr>
        <w:t>CND</w:t>
      </w:r>
      <w:r w:rsidRPr="0096658B">
        <w:rPr>
          <w:rFonts w:ascii="Times New Roman" w:hAnsi="Times New Roman" w:cs="Times New Roman"/>
          <w:color w:val="000000" w:themeColor="text1"/>
          <w:lang w:val="es-ES_tradnl"/>
        </w:rPr>
        <w:t>, la composición paritaria en las delegaciones a eventos internacionales y la participación paritaria en la conformación de listas p</w:t>
      </w:r>
      <w:r w:rsidRPr="0096658B">
        <w:rPr>
          <w:rFonts w:ascii="Times New Roman" w:hAnsi="Times New Roman" w:cs="Times New Roman"/>
          <w:color w:val="000000" w:themeColor="text1"/>
          <w:lang w:val="es-ES_tradnl"/>
        </w:rPr>
        <w:t xml:space="preserve">ara la elección de corporaciones públicas de elección popular. </w:t>
      </w:r>
    </w:p>
    <w:p w:rsidR="00A92CDC" w:rsidRPr="0096658B" w:rsidRDefault="0096658B" w:rsidP="00A92CDC">
      <w:pPr>
        <w:pStyle w:val="Prrafodelista"/>
        <w:rPr>
          <w:rFonts w:ascii="Times New Roman" w:hAnsi="Times New Roman" w:cs="Times New Roman"/>
          <w:color w:val="000000" w:themeColor="text1"/>
          <w:lang w:val="es-ES_tradnl"/>
        </w:rPr>
      </w:pPr>
    </w:p>
    <w:p w:rsidR="00A979CB"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Cada uno de estos asuntos fue debatido y aprobado tanto en comisiones como en plenarias, de manera que el principio de consecutividad está debidamente acreditado.</w:t>
      </w:r>
      <w:r w:rsidRPr="0096658B">
        <w:rPr>
          <w:rFonts w:ascii="Times New Roman" w:hAnsi="Times New Roman" w:cs="Times New Roman"/>
          <w:color w:val="000000" w:themeColor="text1"/>
          <w:lang w:val="es-ES_tradnl"/>
        </w:rPr>
        <w:t xml:space="preserve"> Asimismo, las modificaciones</w:t>
      </w:r>
      <w:r w:rsidRPr="0096658B">
        <w:rPr>
          <w:rFonts w:ascii="Times New Roman" w:hAnsi="Times New Roman" w:cs="Times New Roman"/>
          <w:color w:val="000000" w:themeColor="text1"/>
          <w:lang w:val="es-ES_tradnl"/>
        </w:rPr>
        <w:t xml:space="preserve"> introducidas en segundo debate, específicamente en la plenaria de la Cámara puesto que en Senado los textos no sufrieron alteraciones significativas, versaron sobre los eje</w:t>
      </w:r>
      <w:r w:rsidRPr="0096658B">
        <w:rPr>
          <w:rFonts w:ascii="Times New Roman" w:hAnsi="Times New Roman" w:cs="Times New Roman"/>
          <w:color w:val="000000" w:themeColor="text1"/>
          <w:lang w:val="es-ES_tradnl"/>
        </w:rPr>
        <w:t>s</w:t>
      </w:r>
      <w:r w:rsidRPr="0096658B">
        <w:rPr>
          <w:rFonts w:ascii="Times New Roman" w:hAnsi="Times New Roman" w:cs="Times New Roman"/>
          <w:color w:val="000000" w:themeColor="text1"/>
          <w:lang w:val="es-ES_tradnl"/>
        </w:rPr>
        <w:t xml:space="preserve"> temáticos antes señalados y, además, estos también fueron replicados en el texto </w:t>
      </w:r>
      <w:r w:rsidRPr="0096658B">
        <w:rPr>
          <w:rFonts w:ascii="Times New Roman" w:hAnsi="Times New Roman" w:cs="Times New Roman"/>
          <w:color w:val="000000" w:themeColor="text1"/>
          <w:lang w:val="es-ES_tradnl"/>
        </w:rPr>
        <w:t xml:space="preserve">conciliado y aprobado por ambas cámaras. En consecuencia, el principio de identidad flexible fue satisfecho a cabalidad. </w:t>
      </w:r>
    </w:p>
    <w:p w:rsidR="00B2702E" w:rsidRPr="0096658B" w:rsidRDefault="0096658B" w:rsidP="00B2702E">
      <w:pPr>
        <w:pStyle w:val="Prrafodelista"/>
        <w:rPr>
          <w:rFonts w:ascii="Times New Roman" w:hAnsi="Times New Roman" w:cs="Times New Roman"/>
          <w:color w:val="000000" w:themeColor="text1"/>
          <w:lang w:val="es-ES_tradnl"/>
        </w:rPr>
      </w:pPr>
    </w:p>
    <w:p w:rsidR="00B2702E"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Por último, las modificaciones realizadas durante el trámite se circunscribieron a los ejes mencionad</w:t>
      </w:r>
      <w:r w:rsidRPr="0096658B">
        <w:rPr>
          <w:rFonts w:ascii="Times New Roman" w:hAnsi="Times New Roman" w:cs="Times New Roman"/>
          <w:color w:val="000000" w:themeColor="text1"/>
          <w:lang w:val="es-ES_tradnl"/>
        </w:rPr>
        <w:t xml:space="preserve">os y, en todo caso, tuvieron el </w:t>
      </w:r>
      <w:r w:rsidRPr="0096658B">
        <w:rPr>
          <w:rFonts w:ascii="Times New Roman" w:hAnsi="Times New Roman" w:cs="Times New Roman"/>
          <w:color w:val="000000" w:themeColor="text1"/>
          <w:lang w:val="es-ES_tradnl"/>
        </w:rPr>
        <w:t>carácter de fórmulas alternativas de regulación pero siempre ancladas a la materia principal del PLE y a los asuntos que fueron discutidos a lo largo del trámite legislativo. Así, al no identificarse la inclusión de asuntos extraños a los ejes mencionados,</w:t>
      </w:r>
      <w:r w:rsidRPr="0096658B">
        <w:rPr>
          <w:rFonts w:ascii="Times New Roman" w:hAnsi="Times New Roman" w:cs="Times New Roman"/>
          <w:color w:val="000000" w:themeColor="text1"/>
          <w:lang w:val="es-ES_tradnl"/>
        </w:rPr>
        <w:t xml:space="preserve"> no existe infracción alguna al principio de unidad de materia. </w:t>
      </w:r>
    </w:p>
    <w:p w:rsidR="00BA2A20" w:rsidRPr="0096658B" w:rsidRDefault="0096658B" w:rsidP="00BA2A20">
      <w:pPr>
        <w:pStyle w:val="Prrafodelista"/>
        <w:rPr>
          <w:rFonts w:ascii="Times New Roman" w:hAnsi="Times New Roman" w:cs="Times New Roman"/>
          <w:color w:val="000000" w:themeColor="text1"/>
          <w:lang w:val="es-ES_tradnl"/>
        </w:rPr>
      </w:pPr>
    </w:p>
    <w:p w:rsidR="00BA2A20"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iCs/>
          <w:color w:val="000000" w:themeColor="text1"/>
          <w:lang w:val="es-ES_tradnl"/>
        </w:rPr>
        <w:t>P</w:t>
      </w:r>
      <w:r w:rsidRPr="0096658B">
        <w:rPr>
          <w:rFonts w:ascii="Times New Roman" w:hAnsi="Times New Roman" w:cs="Times New Roman"/>
          <w:i/>
          <w:iCs/>
          <w:color w:val="000000" w:themeColor="text1"/>
          <w:lang w:val="es-ES_tradnl"/>
        </w:rPr>
        <w:t xml:space="preserve">lazos del debate. </w:t>
      </w:r>
      <w:r w:rsidRPr="0096658B">
        <w:rPr>
          <w:rFonts w:ascii="Times New Roman" w:hAnsi="Times New Roman" w:cs="Times New Roman"/>
          <w:color w:val="000000" w:themeColor="text1"/>
          <w:lang w:val="es-ES_tradnl"/>
        </w:rPr>
        <w:t>El artículo 160 de la Constitución determina que entre el primer y el segundo debate deberá mediar un lapso no inferior a ocho días</w:t>
      </w:r>
      <w:r w:rsidRPr="0096658B">
        <w:rPr>
          <w:rFonts w:ascii="Times New Roman" w:hAnsi="Times New Roman" w:cs="Times New Roman"/>
          <w:color w:val="000000" w:themeColor="text1"/>
          <w:lang w:val="es-ES_tradnl"/>
        </w:rPr>
        <w:t>. Asimismo, dispone que e</w:t>
      </w:r>
      <w:r w:rsidRPr="0096658B">
        <w:rPr>
          <w:rFonts w:ascii="Times New Roman" w:hAnsi="Times New Roman" w:cs="Times New Roman"/>
          <w:color w:val="000000" w:themeColor="text1"/>
          <w:lang w:val="es-ES_tradnl"/>
        </w:rPr>
        <w:t xml:space="preserve">ntre la aprobación </w:t>
      </w:r>
      <w:r w:rsidRPr="0096658B">
        <w:rPr>
          <w:rFonts w:ascii="Times New Roman" w:hAnsi="Times New Roman" w:cs="Times New Roman"/>
          <w:color w:val="000000" w:themeColor="text1"/>
          <w:lang w:val="es-ES_tradnl"/>
        </w:rPr>
        <w:t>del proyecto en una de las cámaras y la iniciación del debate en la otra, deberán transcurrir por lo menos quince días. Adicionalmente, el artículo 153 superior ordena que la aprobación, modificación o derogación de leyes estatutarias de</w:t>
      </w:r>
      <w:r w:rsidRPr="0096658B">
        <w:rPr>
          <w:rFonts w:ascii="Times New Roman" w:hAnsi="Times New Roman" w:cs="Times New Roman"/>
          <w:color w:val="000000" w:themeColor="text1"/>
          <w:lang w:val="es-ES_tradnl"/>
        </w:rPr>
        <w:t xml:space="preserve">berá </w:t>
      </w:r>
      <w:r w:rsidRPr="0096658B">
        <w:rPr>
          <w:rFonts w:ascii="Times New Roman" w:hAnsi="Times New Roman" w:cs="Times New Roman"/>
          <w:color w:val="000000" w:themeColor="text1"/>
          <w:lang w:val="es-ES_tradnl"/>
        </w:rPr>
        <w:t xml:space="preserve">efectuarse en una sola legislatura. </w:t>
      </w:r>
    </w:p>
    <w:p w:rsidR="00582DCD" w:rsidRPr="0096658B" w:rsidRDefault="0096658B" w:rsidP="00582DCD">
      <w:pPr>
        <w:pStyle w:val="Prrafodelista"/>
        <w:rPr>
          <w:rFonts w:ascii="Times New Roman" w:hAnsi="Times New Roman" w:cs="Times New Roman"/>
          <w:color w:val="000000" w:themeColor="text1"/>
          <w:lang w:val="es-ES_tradnl"/>
        </w:rPr>
      </w:pPr>
    </w:p>
    <w:p w:rsidR="00582DCD"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Estas condiciones fueron cumplidas en el caso del PLE. En efecto, para el caso del Senado de la República, el primer debate se surtió el 25 de octubre de 2022 y el segundo el 14 de diciembre del mismo año. A su tu</w:t>
      </w:r>
      <w:r w:rsidRPr="0096658B">
        <w:rPr>
          <w:rFonts w:ascii="Times New Roman" w:hAnsi="Times New Roman" w:cs="Times New Roman"/>
          <w:color w:val="000000" w:themeColor="text1"/>
          <w:lang w:val="es-ES_tradnl"/>
        </w:rPr>
        <w:t xml:space="preserve">rno, en la Cámara de Representantes el primer debate se </w:t>
      </w:r>
      <w:r w:rsidRPr="0096658B">
        <w:rPr>
          <w:rFonts w:ascii="Times New Roman" w:hAnsi="Times New Roman" w:cs="Times New Roman"/>
          <w:color w:val="000000" w:themeColor="text1"/>
          <w:lang w:val="es-ES_tradnl"/>
        </w:rPr>
        <w:t xml:space="preserve">llevó a cabo </w:t>
      </w:r>
      <w:r w:rsidRPr="0096658B">
        <w:rPr>
          <w:rFonts w:ascii="Times New Roman" w:hAnsi="Times New Roman" w:cs="Times New Roman"/>
          <w:color w:val="000000" w:themeColor="text1"/>
          <w:lang w:val="es-ES_tradnl"/>
        </w:rPr>
        <w:t xml:space="preserve">el 10 de mayo de 2023 y el segundo el 15 de junio del mismo año. Por último, </w:t>
      </w:r>
      <w:r w:rsidRPr="0096658B">
        <w:rPr>
          <w:rFonts w:ascii="Times New Roman" w:hAnsi="Times New Roman" w:cs="Times New Roman"/>
          <w:color w:val="000000" w:themeColor="text1"/>
          <w:lang w:val="es-ES_tradnl"/>
        </w:rPr>
        <w:t>la Sala Plena</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evidencia que la totalidad del trámite legislativo, desde la presentación del Proyecto de Ley ha</w:t>
      </w:r>
      <w:r w:rsidRPr="0096658B">
        <w:rPr>
          <w:rFonts w:ascii="Times New Roman" w:hAnsi="Times New Roman" w:cs="Times New Roman"/>
          <w:color w:val="000000" w:themeColor="text1"/>
          <w:lang w:val="es-ES_tradnl"/>
        </w:rPr>
        <w:t xml:space="preserve">sta la aprobación del informe de conciliación por ambas cámaras, tuvo lugar dentro de la legislatura que inició el 20 de julio de 2022 y finalizó el 20 de junio de 2023. </w:t>
      </w:r>
    </w:p>
    <w:p w:rsidR="00582DCD" w:rsidRPr="0096658B" w:rsidRDefault="0096658B" w:rsidP="00582DCD">
      <w:pPr>
        <w:pStyle w:val="Prrafodelista"/>
        <w:rPr>
          <w:rFonts w:ascii="Times New Roman" w:hAnsi="Times New Roman" w:cs="Times New Roman"/>
          <w:color w:val="000000" w:themeColor="text1"/>
          <w:lang w:val="es-ES_tradnl"/>
        </w:rPr>
      </w:pPr>
    </w:p>
    <w:p w:rsidR="00582DCD"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iCs/>
          <w:color w:val="000000" w:themeColor="text1"/>
          <w:lang w:val="es-ES_tradnl"/>
        </w:rPr>
        <w:t xml:space="preserve">Análisis de impacto fiscal. </w:t>
      </w:r>
      <w:r w:rsidRPr="0096658B">
        <w:rPr>
          <w:rFonts w:ascii="Times New Roman" w:hAnsi="Times New Roman" w:cs="Times New Roman"/>
          <w:color w:val="000000" w:themeColor="text1"/>
          <w:lang w:val="es-ES_tradnl"/>
        </w:rPr>
        <w:t>El artículo 7º de la Ley 819 de 2003 – Orgánica de Presu</w:t>
      </w:r>
      <w:r w:rsidRPr="0096658B">
        <w:rPr>
          <w:rFonts w:ascii="Times New Roman" w:hAnsi="Times New Roman" w:cs="Times New Roman"/>
          <w:color w:val="000000" w:themeColor="text1"/>
          <w:lang w:val="es-ES_tradnl"/>
        </w:rPr>
        <w:t xml:space="preserve">puesto, determina que, en todo momento, el impacto fiscal de cualquier proyecto de ley, ordenanza o acuerdo que </w:t>
      </w:r>
      <w:r w:rsidRPr="0096658B">
        <w:rPr>
          <w:rFonts w:ascii="Times New Roman" w:hAnsi="Times New Roman" w:cs="Times New Roman"/>
          <w:i/>
          <w:iCs/>
          <w:color w:val="000000" w:themeColor="text1"/>
          <w:lang w:val="es-ES_tradnl"/>
        </w:rPr>
        <w:t xml:space="preserve">(i) </w:t>
      </w:r>
      <w:r w:rsidRPr="0096658B">
        <w:rPr>
          <w:rFonts w:ascii="Times New Roman" w:hAnsi="Times New Roman" w:cs="Times New Roman"/>
          <w:color w:val="000000" w:themeColor="text1"/>
          <w:lang w:val="es-ES_tradnl"/>
        </w:rPr>
        <w:t>ordene gasto</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o </w:t>
      </w:r>
      <w:r w:rsidRPr="0096658B">
        <w:rPr>
          <w:rFonts w:ascii="Times New Roman" w:hAnsi="Times New Roman" w:cs="Times New Roman"/>
          <w:i/>
          <w:iCs/>
          <w:color w:val="000000" w:themeColor="text1"/>
          <w:lang w:val="es-ES_tradnl"/>
        </w:rPr>
        <w:t>(ii)</w:t>
      </w:r>
      <w:r w:rsidRPr="0096658B">
        <w:rPr>
          <w:rFonts w:ascii="Times New Roman" w:hAnsi="Times New Roman" w:cs="Times New Roman"/>
          <w:color w:val="000000" w:themeColor="text1"/>
          <w:lang w:val="es-ES_tradnl"/>
        </w:rPr>
        <w:t xml:space="preserve"> otorgue beneficios tributarios, deberá hacerse explícito y ser compatible con el marco fiscal de mediano plazo. </w:t>
      </w:r>
      <w:r w:rsidRPr="0096658B">
        <w:rPr>
          <w:rFonts w:ascii="Times New Roman" w:hAnsi="Times New Roman" w:cs="Times New Roman"/>
          <w:color w:val="000000" w:themeColor="text1"/>
          <w:lang w:val="es-ES_tradnl"/>
        </w:rPr>
        <w:t xml:space="preserve">En ese sentido, en la exposición de motivos y en las respectivas ponencias deberá incluirse la estimación del costo fiscal de la iniciativa y la fuente de ingreso adicional para el financiamiento de dicho costo. Asimismo, </w:t>
      </w:r>
      <w:r w:rsidRPr="0096658B">
        <w:rPr>
          <w:rFonts w:ascii="Times New Roman" w:hAnsi="Times New Roman" w:cs="Times New Roman"/>
          <w:color w:val="000000" w:themeColor="text1"/>
          <w:lang w:val="es-ES_tradnl"/>
        </w:rPr>
        <w:t>el Ministerio de Hacienda y Crédit</w:t>
      </w:r>
      <w:r w:rsidRPr="0096658B">
        <w:rPr>
          <w:rFonts w:ascii="Times New Roman" w:hAnsi="Times New Roman" w:cs="Times New Roman"/>
          <w:color w:val="000000" w:themeColor="text1"/>
          <w:lang w:val="es-ES_tradnl"/>
        </w:rPr>
        <w:t xml:space="preserve">o Público debe rendir concepto ante el Congreso frente a la consistencia de lo planteado por el Congreso en cuanto a dicho impacto fiscal. </w:t>
      </w:r>
    </w:p>
    <w:p w:rsidR="00B020EB" w:rsidRPr="0096658B" w:rsidRDefault="0096658B" w:rsidP="00B020EB">
      <w:pPr>
        <w:pStyle w:val="Prrafodelista"/>
        <w:rPr>
          <w:rFonts w:ascii="Times New Roman" w:hAnsi="Times New Roman" w:cs="Times New Roman"/>
          <w:color w:val="000000" w:themeColor="text1"/>
          <w:lang w:val="es-ES_tradnl"/>
        </w:rPr>
      </w:pPr>
    </w:p>
    <w:p w:rsidR="00B020EB"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La jurisprudencia</w:t>
      </w:r>
      <w:r w:rsidRPr="0096658B">
        <w:rPr>
          <w:rStyle w:val="Refdenotaalpie"/>
          <w:rFonts w:ascii="Times New Roman" w:hAnsi="Times New Roman"/>
          <w:color w:val="000000" w:themeColor="text1"/>
          <w:lang w:val="es-ES_tradnl"/>
        </w:rPr>
        <w:footnoteReference w:id="81"/>
      </w:r>
      <w:r w:rsidRPr="0096658B">
        <w:rPr>
          <w:rFonts w:ascii="Times New Roman" w:hAnsi="Times New Roman" w:cs="Times New Roman"/>
          <w:color w:val="000000" w:themeColor="text1"/>
          <w:lang w:val="es-ES_tradnl"/>
        </w:rPr>
        <w:t>, en ese sentido, ha considerado que el estudio de impacto fiscal se hace exigible</w:t>
      </w:r>
      <w:r w:rsidRPr="0096658B">
        <w:rPr>
          <w:rFonts w:ascii="Times New Roman" w:hAnsi="Times New Roman" w:cs="Times New Roman"/>
          <w:color w:val="000000" w:themeColor="text1"/>
          <w:lang w:val="es-ES_tradnl"/>
        </w:rPr>
        <w:t xml:space="preserve"> cuando</w:t>
      </w:r>
      <w:r w:rsidRPr="0096658B">
        <w:rPr>
          <w:rFonts w:ascii="Times New Roman" w:hAnsi="Times New Roman" w:cs="Times New Roman"/>
          <w:color w:val="000000" w:themeColor="text1"/>
          <w:lang w:val="es-ES_tradnl"/>
        </w:rPr>
        <w:t xml:space="preserve"> la medida</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i/>
          <w:iCs/>
          <w:color w:val="000000" w:themeColor="text1"/>
          <w:lang w:val="es-ES_tradnl"/>
        </w:rPr>
        <w:t xml:space="preserve">(i) </w:t>
      </w:r>
      <w:r w:rsidRPr="0096658B">
        <w:rPr>
          <w:rFonts w:ascii="Times New Roman" w:hAnsi="Times New Roman" w:cs="Times New Roman"/>
          <w:color w:val="000000" w:themeColor="text1"/>
          <w:lang w:val="es-ES_tradnl"/>
        </w:rPr>
        <w:t>contenga una orden de gasto</w:t>
      </w:r>
      <w:r w:rsidRPr="0096658B">
        <w:rPr>
          <w:rFonts w:ascii="Times New Roman" w:hAnsi="Times New Roman" w:cs="Times New Roman"/>
          <w:color w:val="000000" w:themeColor="text1"/>
          <w:lang w:val="es-ES_tradnl"/>
        </w:rPr>
        <w:t xml:space="preserve"> o gasto presupuestal</w:t>
      </w:r>
      <w:r w:rsidRPr="0096658B">
        <w:rPr>
          <w:rFonts w:ascii="Times New Roman" w:hAnsi="Times New Roman" w:cs="Times New Roman"/>
          <w:color w:val="000000" w:themeColor="text1"/>
          <w:lang w:val="es-ES_tradnl"/>
        </w:rPr>
        <w:t>, esto es, una previsión que involucre un compromiso fiscal inmediato,</w:t>
      </w:r>
      <w:r w:rsidRPr="0096658B">
        <w:rPr>
          <w:rFonts w:ascii="Times New Roman" w:hAnsi="Times New Roman" w:cs="Times New Roman"/>
          <w:color w:val="000000" w:themeColor="text1"/>
          <w:lang w:val="es-ES_tradnl"/>
        </w:rPr>
        <w:t xml:space="preserve"> o</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i/>
          <w:iCs/>
          <w:color w:val="000000" w:themeColor="text1"/>
          <w:lang w:val="es-ES_tradnl"/>
        </w:rPr>
        <w:t>(ii)</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disponga</w:t>
      </w:r>
      <w:r w:rsidRPr="0096658B">
        <w:rPr>
          <w:rFonts w:ascii="Times New Roman" w:hAnsi="Times New Roman" w:cs="Times New Roman"/>
          <w:color w:val="000000" w:themeColor="text1"/>
          <w:lang w:val="es-ES_tradnl"/>
        </w:rPr>
        <w:t xml:space="preserve"> un beneficio tributario, </w:t>
      </w:r>
      <w:r w:rsidRPr="0096658B">
        <w:rPr>
          <w:rFonts w:ascii="Times New Roman" w:hAnsi="Times New Roman" w:cs="Times New Roman"/>
          <w:color w:val="000000" w:themeColor="text1"/>
          <w:lang w:val="es-ES_tradnl"/>
        </w:rPr>
        <w:t>es decir, que tenga como propósito esencial poner al sujeto o actividad destinata</w:t>
      </w:r>
      <w:r w:rsidRPr="0096658B">
        <w:rPr>
          <w:rFonts w:ascii="Times New Roman" w:hAnsi="Times New Roman" w:cs="Times New Roman"/>
          <w:color w:val="000000" w:themeColor="text1"/>
          <w:lang w:val="es-ES_tradnl"/>
        </w:rPr>
        <w:t xml:space="preserve">ria </w:t>
      </w:r>
      <w:r w:rsidRPr="0096658B">
        <w:rPr>
          <w:rFonts w:ascii="Times New Roman" w:hAnsi="Times New Roman" w:cs="Times New Roman"/>
          <w:color w:val="000000" w:themeColor="text1"/>
          <w:lang w:val="es-ES_tradnl"/>
        </w:rPr>
        <w:t xml:space="preserve">en una situación preferencial o de privilegio, con fines esencialmente extrafiscales. </w:t>
      </w:r>
    </w:p>
    <w:p w:rsidR="00E26FBC" w:rsidRPr="0096658B" w:rsidRDefault="0096658B" w:rsidP="00E26FBC">
      <w:pPr>
        <w:pStyle w:val="Prrafodelista"/>
        <w:rPr>
          <w:rFonts w:ascii="Times New Roman" w:hAnsi="Times New Roman" w:cs="Times New Roman"/>
          <w:color w:val="000000" w:themeColor="text1"/>
          <w:lang w:val="es-ES_tradnl"/>
        </w:rPr>
      </w:pPr>
    </w:p>
    <w:p w:rsidR="00E26FBC"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La Sala evidencia que en el caso del PLE no se evidencia ninguno de los dos supuestos normativos que hacen exigible contar con el análisis de impacto fiscal. Así, e</w:t>
      </w:r>
      <w:r w:rsidRPr="0096658B">
        <w:rPr>
          <w:rFonts w:ascii="Times New Roman" w:hAnsi="Times New Roman" w:cs="Times New Roman"/>
          <w:color w:val="000000" w:themeColor="text1"/>
          <w:lang w:val="es-ES_tradnl"/>
        </w:rPr>
        <w:t xml:space="preserve">n lo relativo a los dos primeros artículos, las medidas sobre paridad en los </w:t>
      </w:r>
      <w:r w:rsidRPr="0096658B">
        <w:rPr>
          <w:rFonts w:ascii="Times New Roman" w:hAnsi="Times New Roman" w:cs="Times New Roman"/>
          <w:color w:val="000000" w:themeColor="text1"/>
          <w:lang w:val="es-ES_tradnl"/>
        </w:rPr>
        <w:t>CMND</w:t>
      </w:r>
      <w:r w:rsidRPr="0096658B">
        <w:rPr>
          <w:rFonts w:ascii="Times New Roman" w:hAnsi="Times New Roman" w:cs="Times New Roman"/>
          <w:color w:val="000000" w:themeColor="text1"/>
          <w:lang w:val="es-ES_tradnl"/>
        </w:rPr>
        <w:t xml:space="preserve"> y </w:t>
      </w:r>
      <w:r w:rsidRPr="0096658B">
        <w:rPr>
          <w:rFonts w:ascii="Times New Roman" w:hAnsi="Times New Roman" w:cs="Times New Roman"/>
          <w:color w:val="000000" w:themeColor="text1"/>
          <w:lang w:val="es-ES_tradnl"/>
        </w:rPr>
        <w:t>CND</w:t>
      </w:r>
      <w:r w:rsidRPr="0096658B">
        <w:rPr>
          <w:rFonts w:ascii="Times New Roman" w:hAnsi="Times New Roman" w:cs="Times New Roman"/>
          <w:color w:val="000000" w:themeColor="text1"/>
          <w:lang w:val="es-ES_tradnl"/>
        </w:rPr>
        <w:t>, así como en la participación en eventos internacionales</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son disposiciones neutras en lo que respecta a la remuneración salarial y la cantidad de servidores públicos involucrados en dichas actividades. Igualmente, en </w:t>
      </w:r>
      <w:r w:rsidRPr="0096658B">
        <w:rPr>
          <w:rFonts w:ascii="Times New Roman" w:hAnsi="Times New Roman" w:cs="Times New Roman"/>
          <w:color w:val="000000" w:themeColor="text1"/>
          <w:lang w:val="es-ES_tradnl"/>
        </w:rPr>
        <w:t>relación con el</w:t>
      </w:r>
      <w:r w:rsidRPr="0096658B">
        <w:rPr>
          <w:rFonts w:ascii="Times New Roman" w:hAnsi="Times New Roman" w:cs="Times New Roman"/>
          <w:color w:val="000000" w:themeColor="text1"/>
          <w:lang w:val="es-ES_tradnl"/>
        </w:rPr>
        <w:t xml:space="preserve"> artículo 3º, la fijación de reglas sobre paridad en las listas para corporacion</w:t>
      </w:r>
      <w:r w:rsidRPr="0096658B">
        <w:rPr>
          <w:rFonts w:ascii="Times New Roman" w:hAnsi="Times New Roman" w:cs="Times New Roman"/>
          <w:color w:val="000000" w:themeColor="text1"/>
          <w:lang w:val="es-ES_tradnl"/>
        </w:rPr>
        <w:t xml:space="preserve">es públicas no </w:t>
      </w:r>
      <w:r w:rsidRPr="0096658B">
        <w:rPr>
          <w:rFonts w:ascii="Times New Roman" w:hAnsi="Times New Roman" w:cs="Times New Roman"/>
          <w:color w:val="000000" w:themeColor="text1"/>
          <w:lang w:val="es-ES_tradnl"/>
        </w:rPr>
        <w:t>involucra mayores esfuerzos fiscales o beneficios en lo que respecta a la responsabilidad fiscal para el apoyo a partidos o movimientos políticos, ni tampoco para la realización de certámenes electorales. En consecuencia, la C</w:t>
      </w:r>
      <w:r w:rsidRPr="0096658B">
        <w:rPr>
          <w:rFonts w:ascii="Times New Roman" w:hAnsi="Times New Roman" w:cs="Times New Roman"/>
          <w:color w:val="000000" w:themeColor="text1"/>
          <w:lang w:val="es-ES_tradnl"/>
        </w:rPr>
        <w:t xml:space="preserve">orte concuerda </w:t>
      </w:r>
      <w:r w:rsidRPr="0096658B">
        <w:rPr>
          <w:rFonts w:ascii="Times New Roman" w:hAnsi="Times New Roman" w:cs="Times New Roman"/>
          <w:color w:val="000000" w:themeColor="text1"/>
          <w:lang w:val="es-ES_tradnl"/>
        </w:rPr>
        <w:t xml:space="preserve">con la intervención formulada por el Ministerio de Hacienda y Crédito Público, en el sentido de que para el presente caso la exigencia orgánica analizada no resultaba predicable. </w:t>
      </w:r>
    </w:p>
    <w:p w:rsidR="00382747" w:rsidRPr="0096658B" w:rsidRDefault="0096658B" w:rsidP="00382747">
      <w:pPr>
        <w:pStyle w:val="Prrafodelista"/>
        <w:rPr>
          <w:rFonts w:ascii="Times New Roman" w:hAnsi="Times New Roman" w:cs="Times New Roman"/>
          <w:color w:val="000000" w:themeColor="text1"/>
          <w:lang w:val="es-ES_tradnl"/>
        </w:rPr>
      </w:pPr>
    </w:p>
    <w:p w:rsidR="00382747"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iCs/>
          <w:color w:val="000000" w:themeColor="text1"/>
          <w:lang w:val="es-ES_tradnl"/>
        </w:rPr>
        <w:t xml:space="preserve">Consulta previa. </w:t>
      </w:r>
      <w:r w:rsidRPr="0096658B">
        <w:rPr>
          <w:rFonts w:ascii="Times New Roman" w:hAnsi="Times New Roman" w:cs="Times New Roman"/>
          <w:color w:val="000000" w:themeColor="text1"/>
          <w:lang w:val="es-ES_tradnl"/>
        </w:rPr>
        <w:t>La jurisprudencia constitucional</w:t>
      </w:r>
      <w:r w:rsidRPr="0096658B">
        <w:rPr>
          <w:rStyle w:val="Refdenotaalpie"/>
          <w:rFonts w:ascii="Times New Roman" w:hAnsi="Times New Roman"/>
          <w:color w:val="000000" w:themeColor="text1"/>
          <w:lang w:val="es-ES_tradnl"/>
        </w:rPr>
        <w:footnoteReference w:id="82"/>
      </w:r>
      <w:r w:rsidRPr="0096658B">
        <w:rPr>
          <w:rFonts w:ascii="Times New Roman" w:hAnsi="Times New Roman" w:cs="Times New Roman"/>
          <w:color w:val="000000" w:themeColor="text1"/>
          <w:lang w:val="es-ES_tradnl"/>
        </w:rPr>
        <w:t xml:space="preserve"> ha identificado la exist</w:t>
      </w:r>
      <w:r w:rsidRPr="0096658B">
        <w:rPr>
          <w:rFonts w:ascii="Times New Roman" w:hAnsi="Times New Roman" w:cs="Times New Roman"/>
          <w:color w:val="000000" w:themeColor="text1"/>
          <w:lang w:val="es-ES_tradnl"/>
        </w:rPr>
        <w:t>encia en el orden jurídico colombiano de un derecho fundamental a la consulta previa del que son titulares las comunidades étnicas. Este derecho se deriva de los mandatos constitucionales de</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reconocimiento del carácter participativo y pluralista del Estado</w:t>
      </w:r>
      <w:r w:rsidRPr="0096658B">
        <w:rPr>
          <w:rFonts w:ascii="Times New Roman" w:hAnsi="Times New Roman" w:cs="Times New Roman"/>
          <w:color w:val="000000" w:themeColor="text1"/>
          <w:lang w:val="es-ES_tradnl"/>
        </w:rPr>
        <w:t xml:space="preserve">, el deber de las autoridades de proteger y respetar la diversidad étnica y cultural de la Nación, el principio de igualdad y la necesidad de proteger el derecho de participación de las comunidades étnicas en las decisiones que los afectan. En particular, </w:t>
      </w:r>
      <w:r w:rsidRPr="0096658B">
        <w:rPr>
          <w:rFonts w:ascii="Times New Roman" w:hAnsi="Times New Roman" w:cs="Times New Roman"/>
          <w:color w:val="000000" w:themeColor="text1"/>
          <w:lang w:val="es-ES_tradnl"/>
        </w:rPr>
        <w:t xml:space="preserve">la consulta previa se funda en previsiones específicas, contenidas en el artículo 6º del Convenio 169 de la OIT, disposición integrante del derecho internacional de los derechos humanos y que, al </w:t>
      </w:r>
      <w:r w:rsidRPr="0096658B">
        <w:rPr>
          <w:rFonts w:ascii="Times New Roman" w:hAnsi="Times New Roman" w:cs="Times New Roman"/>
          <w:color w:val="000000" w:themeColor="text1"/>
          <w:lang w:val="es-ES_tradnl"/>
        </w:rPr>
        <w:t xml:space="preserve">haber </w:t>
      </w:r>
      <w:r w:rsidRPr="0096658B">
        <w:rPr>
          <w:rFonts w:ascii="Times New Roman" w:hAnsi="Times New Roman" w:cs="Times New Roman"/>
          <w:color w:val="000000" w:themeColor="text1"/>
          <w:lang w:val="es-ES_tradnl"/>
        </w:rPr>
        <w:t>sido ratificada por el Estado colombiano, integra el b</w:t>
      </w:r>
      <w:r w:rsidRPr="0096658B">
        <w:rPr>
          <w:rFonts w:ascii="Times New Roman" w:hAnsi="Times New Roman" w:cs="Times New Roman"/>
          <w:color w:val="000000" w:themeColor="text1"/>
          <w:lang w:val="es-ES_tradnl"/>
        </w:rPr>
        <w:t xml:space="preserve">loque de constitucionalidad. </w:t>
      </w:r>
    </w:p>
    <w:p w:rsidR="005C64D0" w:rsidRPr="0096658B" w:rsidRDefault="0096658B" w:rsidP="005C64D0">
      <w:pPr>
        <w:pStyle w:val="Prrafodelista"/>
        <w:rPr>
          <w:rFonts w:ascii="Times New Roman" w:hAnsi="Times New Roman" w:cs="Times New Roman"/>
          <w:color w:val="000000" w:themeColor="text1"/>
          <w:lang w:val="es-ES_tradnl"/>
        </w:rPr>
      </w:pPr>
    </w:p>
    <w:p w:rsidR="004C56B0"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En lo que respecta a las medidas legislativas, la norma internacional mencionada dispone la obligación de los Estados de consultar aquellas que los afecten directamente. La Corte identifica conceptualmente a la afectación </w:t>
      </w:r>
      <w:r w:rsidRPr="0096658B">
        <w:rPr>
          <w:rFonts w:ascii="Times New Roman" w:hAnsi="Times New Roman" w:cs="Times New Roman"/>
          <w:color w:val="000000" w:themeColor="text1"/>
          <w:lang w:val="es-ES_tradnl"/>
        </w:rPr>
        <w:t>directa como “</w:t>
      </w:r>
      <w:r w:rsidRPr="0096658B">
        <w:rPr>
          <w:rFonts w:ascii="Times New Roman" w:hAnsi="Times New Roman" w:cs="Times New Roman"/>
          <w:color w:val="000000" w:themeColor="text1"/>
          <w:lang w:val="es-ES_tradnl"/>
        </w:rPr>
        <w:t>el impacto positivo o negativo que pueda tener una medida sobre las condiciones sociales, económicas, ambientales o culturales que constituyen la base de la cohesión social de una determinada comunidad étnica”</w:t>
      </w:r>
      <w:r w:rsidRPr="0096658B">
        <w:rPr>
          <w:rStyle w:val="Refdenotaalpie"/>
          <w:rFonts w:ascii="Times New Roman" w:hAnsi="Times New Roman"/>
          <w:color w:val="000000" w:themeColor="text1"/>
          <w:lang w:val="es-ES_tradnl"/>
        </w:rPr>
        <w:footnoteReference w:id="83"/>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En tal sentido, las medidas le</w:t>
      </w:r>
      <w:r w:rsidRPr="0096658B">
        <w:rPr>
          <w:rFonts w:ascii="Times New Roman" w:hAnsi="Times New Roman" w:cs="Times New Roman"/>
          <w:color w:val="000000" w:themeColor="text1"/>
          <w:lang w:val="es-ES_tradnl"/>
        </w:rPr>
        <w:t>gislativa</w:t>
      </w:r>
      <w:r w:rsidRPr="0096658B">
        <w:rPr>
          <w:rFonts w:ascii="Times New Roman" w:hAnsi="Times New Roman" w:cs="Times New Roman"/>
          <w:color w:val="000000" w:themeColor="text1"/>
          <w:lang w:val="es-ES_tradnl"/>
        </w:rPr>
        <w:t>s</w:t>
      </w:r>
      <w:r w:rsidRPr="0096658B">
        <w:rPr>
          <w:rFonts w:ascii="Times New Roman" w:hAnsi="Times New Roman" w:cs="Times New Roman"/>
          <w:color w:val="000000" w:themeColor="text1"/>
          <w:lang w:val="es-ES_tradnl"/>
        </w:rPr>
        <w:t xml:space="preserve"> respecto de las cuales se exige la consulta previa son aquellas</w:t>
      </w:r>
      <w:r w:rsidRPr="0096658B">
        <w:rPr>
          <w:rFonts w:ascii="Times New Roman" w:hAnsi="Times New Roman" w:cs="Times New Roman"/>
          <w:color w:val="000000" w:themeColor="text1"/>
          <w:lang w:val="es-ES_tradnl"/>
        </w:rPr>
        <w:t xml:space="preserve"> “susceptibles de generar un impacto directo, particular y concreto sobre las comunidades tradicionales”</w:t>
      </w:r>
      <w:r w:rsidRPr="0096658B">
        <w:rPr>
          <w:rStyle w:val="Refdenotaalpie"/>
          <w:rFonts w:ascii="Times New Roman" w:hAnsi="Times New Roman"/>
          <w:color w:val="000000" w:themeColor="text1"/>
          <w:lang w:val="es-ES_tradnl"/>
        </w:rPr>
        <w:footnoteReference w:id="84"/>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Por ende, de forma correlativa, aquellas medidas que se aplican de manera u</w:t>
      </w:r>
      <w:r w:rsidRPr="0096658B">
        <w:rPr>
          <w:rFonts w:ascii="Times New Roman" w:hAnsi="Times New Roman" w:cs="Times New Roman"/>
          <w:color w:val="000000" w:themeColor="text1"/>
          <w:lang w:val="es-ES_tradnl"/>
        </w:rPr>
        <w:t xml:space="preserve">niforme para la generalidad </w:t>
      </w:r>
      <w:r w:rsidRPr="0096658B">
        <w:rPr>
          <w:rFonts w:ascii="Times New Roman" w:hAnsi="Times New Roman" w:cs="Times New Roman"/>
          <w:color w:val="000000" w:themeColor="text1"/>
          <w:lang w:val="es-ES_tradnl"/>
        </w:rPr>
        <w:t>de los colombianos no están sometidas al requisito de consulta previa.</w:t>
      </w:r>
    </w:p>
    <w:p w:rsidR="004C56B0" w:rsidRPr="0096658B" w:rsidRDefault="0096658B" w:rsidP="004C56B0">
      <w:pPr>
        <w:pStyle w:val="Prrafodelista"/>
        <w:rPr>
          <w:rFonts w:ascii="Times New Roman" w:hAnsi="Times New Roman" w:cs="Times New Roman"/>
          <w:color w:val="000000" w:themeColor="text1"/>
          <w:lang w:val="es-ES_tradnl"/>
        </w:rPr>
      </w:pPr>
    </w:p>
    <w:p w:rsidR="004C56B0"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Con base en las condiciones expuestas, la Sala advierte que las medidas contenidas en el PLE no están sometidas al requisito de consulta previa debido a que</w:t>
      </w:r>
      <w:r w:rsidRPr="0096658B">
        <w:rPr>
          <w:rFonts w:ascii="Times New Roman" w:hAnsi="Times New Roman" w:cs="Times New Roman"/>
          <w:color w:val="000000" w:themeColor="text1"/>
          <w:lang w:val="es-ES_tradnl"/>
        </w:rPr>
        <w:t xml:space="preserve"> no generan una afectación directa a las comunidades étnicas. En efecto, la paridad en los cargos decisorios del poder público y en la participación en eventos internacionales no incide en asuntos propios de la identidad de las comunidades diferenciadas. A</w:t>
      </w:r>
      <w:r w:rsidRPr="0096658B">
        <w:rPr>
          <w:rFonts w:ascii="Times New Roman" w:hAnsi="Times New Roman" w:cs="Times New Roman"/>
          <w:color w:val="000000" w:themeColor="text1"/>
          <w:lang w:val="es-ES_tradnl"/>
        </w:rPr>
        <w:t xml:space="preserve">demás, su aplicación en uno y otro caso no riñe en lo absoluto con la posibilidad de que, en dichos escenarios, participen personas integrantes de las comunidades étnicas. De allí que esas medidas resulten neutras para los pueblos tradicionales. </w:t>
      </w:r>
    </w:p>
    <w:p w:rsidR="004C56B0" w:rsidRPr="0096658B" w:rsidRDefault="0096658B" w:rsidP="004C56B0">
      <w:pPr>
        <w:pStyle w:val="Prrafodelista"/>
        <w:rPr>
          <w:rFonts w:ascii="Times New Roman" w:hAnsi="Times New Roman" w:cs="Times New Roman"/>
          <w:color w:val="000000" w:themeColor="text1"/>
          <w:lang w:val="es-ES_tradnl"/>
        </w:rPr>
      </w:pPr>
    </w:p>
    <w:p w:rsidR="00C75B28"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Ahora bi</w:t>
      </w:r>
      <w:r w:rsidRPr="0096658B">
        <w:rPr>
          <w:rFonts w:ascii="Times New Roman" w:hAnsi="Times New Roman" w:cs="Times New Roman"/>
          <w:color w:val="000000" w:themeColor="text1"/>
          <w:lang w:val="es-ES_tradnl"/>
        </w:rPr>
        <w:t xml:space="preserve">en, en relación con el artículo 3º podría pensarse que la medida que exige </w:t>
      </w:r>
      <w:r w:rsidRPr="0096658B">
        <w:rPr>
          <w:rFonts w:ascii="Times New Roman" w:hAnsi="Times New Roman" w:cs="Times New Roman"/>
          <w:color w:val="000000" w:themeColor="text1"/>
          <w:lang w:val="es-ES_tradnl"/>
        </w:rPr>
        <w:t xml:space="preserve">en la inclusión de al menos una mujer </w:t>
      </w:r>
      <w:r w:rsidRPr="0096658B">
        <w:rPr>
          <w:rFonts w:ascii="Times New Roman" w:hAnsi="Times New Roman" w:cs="Times New Roman"/>
          <w:color w:val="000000" w:themeColor="text1"/>
          <w:lang w:val="es-ES_tradnl"/>
        </w:rPr>
        <w:t>en las listas para corporaciones públicas sí afectaría directamente a las comunidades étnicas, en la medida en que los artículos 171 y 176 de l</w:t>
      </w:r>
      <w:r w:rsidRPr="0096658B">
        <w:rPr>
          <w:rFonts w:ascii="Times New Roman" w:hAnsi="Times New Roman" w:cs="Times New Roman"/>
          <w:color w:val="000000" w:themeColor="text1"/>
          <w:lang w:val="es-ES_tradnl"/>
        </w:rPr>
        <w:t>a Constitución consagran circunscripciones especiales a su favor tanto en el Senado como en la Cámara de Representantes, respectivamente. De allí que el mandato de paridad y la inclusión de cuando menos una mujer en las listas que elijan menos de cinco cur</w:t>
      </w:r>
      <w:r w:rsidRPr="0096658B">
        <w:rPr>
          <w:rFonts w:ascii="Times New Roman" w:hAnsi="Times New Roman" w:cs="Times New Roman"/>
          <w:color w:val="000000" w:themeColor="text1"/>
          <w:lang w:val="es-ES_tradnl"/>
        </w:rPr>
        <w:t xml:space="preserve">ules, incide en la composición de las candidaturas para </w:t>
      </w:r>
      <w:r w:rsidRPr="0096658B">
        <w:rPr>
          <w:rFonts w:ascii="Times New Roman" w:hAnsi="Times New Roman" w:cs="Times New Roman"/>
          <w:color w:val="000000" w:themeColor="text1"/>
          <w:lang w:val="es-ES_tradnl"/>
        </w:rPr>
        <w:t xml:space="preserve">dichos escaños en el Congreso. </w:t>
      </w:r>
    </w:p>
    <w:p w:rsidR="00C75B28" w:rsidRPr="0096658B" w:rsidRDefault="0096658B" w:rsidP="00C75B28">
      <w:pPr>
        <w:pStyle w:val="Prrafodelista"/>
        <w:rPr>
          <w:rFonts w:ascii="Times New Roman" w:hAnsi="Times New Roman" w:cs="Times New Roman"/>
          <w:color w:val="000000" w:themeColor="text1"/>
          <w:lang w:val="es-ES_tradnl"/>
        </w:rPr>
      </w:pPr>
    </w:p>
    <w:p w:rsidR="005C64D0"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No obstante, la Corte también advierte que esa consecuencia no es predicable frente a las circunscripciones especiales de las comunidades étnicas. En efecto, el artícu</w:t>
      </w:r>
      <w:r w:rsidRPr="0096658B">
        <w:rPr>
          <w:rFonts w:ascii="Times New Roman" w:hAnsi="Times New Roman" w:cs="Times New Roman"/>
          <w:color w:val="000000" w:themeColor="text1"/>
          <w:lang w:val="es-ES_tradnl"/>
        </w:rPr>
        <w:t>lo 28 de la Ley 1475 de 2011, disposición adicionada por el artículo 3º del PLE, tiene por objeto regular la inscripción de candidatos por parte de partidos y movimientos políticos con personería jurídica. Asimismo, el inciso segundo de esa previsión legal</w:t>
      </w:r>
      <w:r w:rsidRPr="0096658B">
        <w:rPr>
          <w:rFonts w:ascii="Times New Roman" w:hAnsi="Times New Roman" w:cs="Times New Roman"/>
          <w:color w:val="000000" w:themeColor="text1"/>
          <w:lang w:val="es-ES_tradnl"/>
        </w:rPr>
        <w:t xml:space="preserve"> determina que dichas agrupaciones “podrán inscribir candidatos y listas para toda clase de cargos y corporaciones de elección popular, excepto para la elección de congresistas por las circunscripciones especiales de minorías étnicas”. </w:t>
      </w:r>
      <w:r w:rsidRPr="0096658B">
        <w:rPr>
          <w:rFonts w:ascii="Times New Roman" w:hAnsi="Times New Roman" w:cs="Times New Roman"/>
          <w:color w:val="000000" w:themeColor="text1"/>
          <w:lang w:val="es-ES_tradnl"/>
        </w:rPr>
        <w:t>Esto quiere</w:t>
      </w:r>
      <w:r w:rsidRPr="0096658B">
        <w:rPr>
          <w:rFonts w:ascii="Times New Roman" w:hAnsi="Times New Roman" w:cs="Times New Roman"/>
          <w:color w:val="000000" w:themeColor="text1"/>
          <w:lang w:val="es-ES_tradnl"/>
        </w:rPr>
        <w:t xml:space="preserve"> decir qu</w:t>
      </w:r>
      <w:r w:rsidRPr="0096658B">
        <w:rPr>
          <w:rFonts w:ascii="Times New Roman" w:hAnsi="Times New Roman" w:cs="Times New Roman"/>
          <w:color w:val="000000" w:themeColor="text1"/>
          <w:lang w:val="es-ES_tradnl"/>
        </w:rPr>
        <w:t>e el artículo en mención no regula la inscripción de candidatos a dichas circunscripciones especiales y, por lo tanto, tal asunto deberá regularse por aquellas disposiciones específicas y distintas a las reglas predicables para los partidos y movimientos p</w:t>
      </w:r>
      <w:r w:rsidRPr="0096658B">
        <w:rPr>
          <w:rFonts w:ascii="Times New Roman" w:hAnsi="Times New Roman" w:cs="Times New Roman"/>
          <w:color w:val="000000" w:themeColor="text1"/>
          <w:lang w:val="es-ES_tradnl"/>
        </w:rPr>
        <w:t>olíticos</w:t>
      </w:r>
      <w:r w:rsidRPr="0096658B">
        <w:rPr>
          <w:rStyle w:val="Refdenotaalpie"/>
          <w:rFonts w:ascii="Times New Roman" w:hAnsi="Times New Roman"/>
          <w:color w:val="000000" w:themeColor="text1"/>
          <w:lang w:val="es-ES_tradnl"/>
        </w:rPr>
        <w:footnoteReference w:id="85"/>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Esta fue, además, la comprensión que de esa exclusión tuvo la Corte al momento de adelantar el control previo de constitucionalidad de la Ley 1475 de 2011</w:t>
      </w:r>
      <w:r w:rsidRPr="0096658B">
        <w:rPr>
          <w:rStyle w:val="Refdenotaalpie"/>
          <w:rFonts w:ascii="Times New Roman" w:hAnsi="Times New Roman"/>
          <w:color w:val="000000" w:themeColor="text1"/>
          <w:lang w:val="es-ES_tradnl"/>
        </w:rPr>
        <w:footnoteReference w:id="86"/>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 xml:space="preserve">En ese orden de ideas, al no hacer parte de la </w:t>
      </w:r>
      <w:r w:rsidRPr="0096658B">
        <w:rPr>
          <w:rFonts w:ascii="Times New Roman" w:hAnsi="Times New Roman" w:cs="Times New Roman"/>
          <w:i/>
          <w:iCs/>
          <w:color w:val="000000" w:themeColor="text1"/>
          <w:lang w:val="es-ES_tradnl"/>
        </w:rPr>
        <w:t xml:space="preserve">ratio iuris </w:t>
      </w:r>
      <w:r w:rsidRPr="0096658B">
        <w:rPr>
          <w:rFonts w:ascii="Times New Roman" w:hAnsi="Times New Roman" w:cs="Times New Roman"/>
          <w:color w:val="000000" w:themeColor="text1"/>
          <w:lang w:val="es-ES_tradnl"/>
        </w:rPr>
        <w:t xml:space="preserve">de la disposición en comento el modo de inscripción de los candidatos a las circunscripciones </w:t>
      </w:r>
      <w:r w:rsidRPr="0096658B">
        <w:rPr>
          <w:rFonts w:ascii="Times New Roman" w:hAnsi="Times New Roman" w:cs="Times New Roman"/>
          <w:color w:val="000000" w:themeColor="text1"/>
          <w:lang w:val="es-ES_tradnl"/>
        </w:rPr>
        <w:t>especiales</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no concurre la afectación directa que es presupuesto para la exigibilidad del derecho a la consulta previa. </w:t>
      </w:r>
    </w:p>
    <w:p w:rsidR="00C75B28" w:rsidRPr="0096658B" w:rsidRDefault="0096658B" w:rsidP="00C75B28">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color w:val="000000" w:themeColor="text1"/>
          <w:lang w:val="es-ES_tradnl"/>
        </w:rPr>
      </w:pPr>
    </w:p>
    <w:p w:rsidR="00C75B28"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Con base en lo expuesto, la Corte conclu</w:t>
      </w:r>
      <w:r w:rsidRPr="0096658B">
        <w:rPr>
          <w:rFonts w:ascii="Times New Roman" w:hAnsi="Times New Roman" w:cs="Times New Roman"/>
          <w:color w:val="000000" w:themeColor="text1"/>
          <w:lang w:val="es-ES_tradnl"/>
        </w:rPr>
        <w:t xml:space="preserve">ye que el Proyecto de Ley fue aprobado por el Congreso bajo el cumplimiento de los requisitos constitucionales del trámite legislativo propio de las leyes estatutarias. </w:t>
      </w:r>
    </w:p>
    <w:p w:rsidR="00853B24" w:rsidRPr="0096658B" w:rsidRDefault="0096658B" w:rsidP="00853B24">
      <w:pPr>
        <w:pStyle w:val="Prrafodelista"/>
        <w:rPr>
          <w:rFonts w:ascii="Times New Roman" w:hAnsi="Times New Roman" w:cs="Times New Roman"/>
          <w:color w:val="000000" w:themeColor="text1"/>
          <w:lang w:val="es-ES_tradnl"/>
        </w:rPr>
      </w:pPr>
    </w:p>
    <w:p w:rsidR="00853B24" w:rsidRPr="0096658B" w:rsidRDefault="0096658B" w:rsidP="00853B24">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b/>
          <w:bCs/>
          <w:color w:val="000000" w:themeColor="text1"/>
          <w:lang w:val="es-ES_tradnl"/>
        </w:rPr>
      </w:pPr>
      <w:r w:rsidRPr="0096658B">
        <w:rPr>
          <w:rFonts w:ascii="Times New Roman" w:hAnsi="Times New Roman" w:cs="Times New Roman"/>
          <w:b/>
          <w:bCs/>
          <w:color w:val="000000" w:themeColor="text1"/>
          <w:lang w:val="es-ES_tradnl"/>
        </w:rPr>
        <w:t>Análisis material del proyecto de ley estatutaria</w:t>
      </w:r>
    </w:p>
    <w:p w:rsidR="00853B24" w:rsidRPr="0096658B" w:rsidRDefault="0096658B" w:rsidP="00853B24">
      <w:pPr>
        <w:pStyle w:val="Prrafodelista"/>
        <w:rPr>
          <w:rFonts w:ascii="Times New Roman" w:hAnsi="Times New Roman" w:cs="Times New Roman"/>
          <w:color w:val="000000" w:themeColor="text1"/>
          <w:lang w:val="es-ES_tradnl"/>
        </w:rPr>
      </w:pPr>
    </w:p>
    <w:p w:rsidR="00D84B86"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De conformidad con lo explicado al describir la metodología de esta sentencia, la Corte dividirá el estudio sobre la constitucionalidad del articulado del PLE en dos secciones. La primera se ocupará de hacer algunas consideraciones sobre </w:t>
      </w:r>
      <w:r w:rsidRPr="0096658B">
        <w:rPr>
          <w:rFonts w:ascii="Times New Roman" w:hAnsi="Times New Roman" w:cs="Times New Roman"/>
          <w:color w:val="000000" w:themeColor="text1"/>
          <w:lang w:val="es-ES_tradnl"/>
        </w:rPr>
        <w:t>materias generales</w:t>
      </w:r>
      <w:r w:rsidRPr="0096658B">
        <w:rPr>
          <w:rFonts w:ascii="Times New Roman" w:hAnsi="Times New Roman" w:cs="Times New Roman"/>
          <w:color w:val="000000" w:themeColor="text1"/>
          <w:lang w:val="es-ES_tradnl"/>
        </w:rPr>
        <w:t xml:space="preserve"> y transversales a la iniciativa, a saber, </w:t>
      </w:r>
      <w:r w:rsidRPr="0096658B">
        <w:rPr>
          <w:rFonts w:ascii="Times New Roman" w:hAnsi="Times New Roman" w:cs="Times New Roman"/>
          <w:i/>
          <w:iCs/>
          <w:color w:val="000000" w:themeColor="text1"/>
          <w:lang w:val="es-ES_tradnl"/>
        </w:rPr>
        <w:t>(i)</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 xml:space="preserve">la importancia de la garantía de la participación de las mujeres en la democracia constitucional; </w:t>
      </w:r>
      <w:r w:rsidRPr="0096658B">
        <w:rPr>
          <w:rFonts w:ascii="Times New Roman" w:hAnsi="Times New Roman" w:cs="Times New Roman"/>
          <w:i/>
          <w:iCs/>
          <w:color w:val="000000" w:themeColor="text1"/>
          <w:lang w:val="es-ES_tradnl"/>
        </w:rPr>
        <w:t>(ii)</w:t>
      </w:r>
      <w:r w:rsidRPr="0096658B">
        <w:rPr>
          <w:rFonts w:ascii="Times New Roman" w:hAnsi="Times New Roman" w:cs="Times New Roman"/>
          <w:color w:val="000000" w:themeColor="text1"/>
          <w:lang w:val="es-ES_tradnl"/>
        </w:rPr>
        <w:t xml:space="preserve"> el marco de protección del derecho a la participación de las mujeres en el bloque de constitucionalidad y,</w:t>
      </w:r>
      <w:r w:rsidRPr="0096658B">
        <w:rPr>
          <w:rFonts w:ascii="Times New Roman" w:hAnsi="Times New Roman" w:cs="Times New Roman"/>
          <w:color w:val="000000" w:themeColor="text1"/>
          <w:lang w:val="es-ES_tradnl"/>
        </w:rPr>
        <w:t xml:space="preserve"> en especial, el derecho internacional de los derechos humanos; </w:t>
      </w:r>
      <w:r w:rsidRPr="0096658B">
        <w:rPr>
          <w:rFonts w:ascii="Times New Roman" w:hAnsi="Times New Roman" w:cs="Times New Roman"/>
          <w:i/>
          <w:iCs/>
          <w:color w:val="000000" w:themeColor="text1"/>
          <w:lang w:val="es-ES_tradnl"/>
        </w:rPr>
        <w:t>(iii)</w:t>
      </w:r>
      <w:r w:rsidRPr="0096658B">
        <w:rPr>
          <w:rFonts w:ascii="Times New Roman" w:hAnsi="Times New Roman" w:cs="Times New Roman"/>
          <w:color w:val="000000" w:themeColor="text1"/>
          <w:lang w:val="es-ES_tradnl"/>
        </w:rPr>
        <w:t xml:space="preserve"> la doctrina constitucional sobre las acciones afirmativas, particularmente aquellas a favor de las mujeres; </w:t>
      </w:r>
      <w:r w:rsidRPr="0096658B">
        <w:rPr>
          <w:rFonts w:ascii="Times New Roman" w:hAnsi="Times New Roman" w:cs="Times New Roman"/>
          <w:i/>
          <w:iCs/>
          <w:color w:val="000000" w:themeColor="text1"/>
          <w:lang w:val="es-ES_tradnl"/>
        </w:rPr>
        <w:t>(iv)</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el balance sobre la eficacia de las medidas de cuota de mujeres en el cas</w:t>
      </w:r>
      <w:r w:rsidRPr="0096658B">
        <w:rPr>
          <w:rFonts w:ascii="Times New Roman" w:hAnsi="Times New Roman" w:cs="Times New Roman"/>
          <w:color w:val="000000" w:themeColor="text1"/>
          <w:lang w:val="es-ES_tradnl"/>
        </w:rPr>
        <w:t xml:space="preserve">o colombiano; </w:t>
      </w:r>
      <w:r w:rsidRPr="0096658B">
        <w:rPr>
          <w:rFonts w:ascii="Times New Roman" w:hAnsi="Times New Roman" w:cs="Times New Roman"/>
          <w:i/>
          <w:iCs/>
          <w:color w:val="000000" w:themeColor="text1"/>
          <w:lang w:val="es-ES_tradnl"/>
        </w:rPr>
        <w:t>(v)</w:t>
      </w:r>
      <w:r w:rsidRPr="0096658B">
        <w:rPr>
          <w:rFonts w:ascii="Times New Roman" w:hAnsi="Times New Roman" w:cs="Times New Roman"/>
          <w:color w:val="000000" w:themeColor="text1"/>
          <w:lang w:val="es-ES_tradnl"/>
        </w:rPr>
        <w:t xml:space="preserve"> los límites de las medidas de cuota; </w:t>
      </w:r>
      <w:r w:rsidRPr="0096658B">
        <w:rPr>
          <w:rFonts w:ascii="Times New Roman" w:hAnsi="Times New Roman" w:cs="Times New Roman"/>
          <w:color w:val="000000" w:themeColor="text1"/>
          <w:lang w:val="es-ES_tradnl"/>
        </w:rPr>
        <w:t>y</w:t>
      </w:r>
      <w:r w:rsidRPr="0096658B">
        <w:rPr>
          <w:rFonts w:ascii="Times New Roman" w:hAnsi="Times New Roman" w:cs="Times New Roman"/>
          <w:i/>
          <w:iCs/>
          <w:color w:val="000000" w:themeColor="text1"/>
          <w:lang w:val="es-ES_tradnl"/>
        </w:rPr>
        <w:t xml:space="preserve"> </w:t>
      </w:r>
      <w:r w:rsidRPr="0096658B">
        <w:rPr>
          <w:rFonts w:ascii="Times New Roman" w:hAnsi="Times New Roman" w:cs="Times New Roman"/>
          <w:i/>
          <w:iCs/>
          <w:color w:val="000000" w:themeColor="text1"/>
          <w:lang w:val="es-ES_tradnl"/>
        </w:rPr>
        <w:t>(vi)</w:t>
      </w:r>
      <w:r w:rsidRPr="0096658B">
        <w:rPr>
          <w:rFonts w:ascii="Times New Roman" w:hAnsi="Times New Roman" w:cs="Times New Roman"/>
          <w:color w:val="000000" w:themeColor="text1"/>
          <w:lang w:val="es-ES_tradnl"/>
        </w:rPr>
        <w:t xml:space="preserve"> el alcance del carácter temporal de las medidas de cuota</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La segunda, que estudiará, en específico, la constitucionalidad de los cuatro artículos que conforman la iniciativa y conforme a la deli</w:t>
      </w:r>
      <w:r w:rsidRPr="0096658B">
        <w:rPr>
          <w:rFonts w:ascii="Times New Roman" w:hAnsi="Times New Roman" w:cs="Times New Roman"/>
          <w:color w:val="000000" w:themeColor="text1"/>
          <w:lang w:val="es-ES_tradnl"/>
        </w:rPr>
        <w:t xml:space="preserve">mitación temática realizada al inicio de esta decisión. </w:t>
      </w:r>
    </w:p>
    <w:p w:rsidR="00D84B86" w:rsidRPr="0096658B" w:rsidRDefault="0096658B" w:rsidP="00D84B86">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color w:val="000000" w:themeColor="text1"/>
          <w:lang w:val="es-ES_tradnl"/>
        </w:rPr>
      </w:pPr>
    </w:p>
    <w:p w:rsidR="00D84B86" w:rsidRPr="0096658B" w:rsidRDefault="0096658B" w:rsidP="00D84B86">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b/>
          <w:bCs/>
          <w:color w:val="000000" w:themeColor="text1"/>
          <w:lang w:val="es-ES_tradnl"/>
        </w:rPr>
      </w:pPr>
      <w:r w:rsidRPr="0096658B">
        <w:rPr>
          <w:rFonts w:ascii="Times New Roman" w:hAnsi="Times New Roman" w:cs="Times New Roman"/>
          <w:b/>
          <w:bCs/>
          <w:color w:val="000000" w:themeColor="text1"/>
          <w:lang w:val="es-ES_tradnl"/>
        </w:rPr>
        <w:t>La participación de la</w:t>
      </w:r>
      <w:r w:rsidRPr="0096658B">
        <w:rPr>
          <w:rFonts w:ascii="Times New Roman" w:hAnsi="Times New Roman" w:cs="Times New Roman"/>
          <w:b/>
          <w:bCs/>
          <w:color w:val="000000" w:themeColor="text1"/>
          <w:lang w:val="es-ES_tradnl"/>
        </w:rPr>
        <w:t>s</w:t>
      </w:r>
      <w:r w:rsidRPr="0096658B">
        <w:rPr>
          <w:rFonts w:ascii="Times New Roman" w:hAnsi="Times New Roman" w:cs="Times New Roman"/>
          <w:b/>
          <w:bCs/>
          <w:color w:val="000000" w:themeColor="text1"/>
          <w:lang w:val="es-ES_tradnl"/>
        </w:rPr>
        <w:t xml:space="preserve"> mujer</w:t>
      </w:r>
      <w:r w:rsidRPr="0096658B">
        <w:rPr>
          <w:rFonts w:ascii="Times New Roman" w:hAnsi="Times New Roman" w:cs="Times New Roman"/>
          <w:b/>
          <w:bCs/>
          <w:color w:val="000000" w:themeColor="text1"/>
          <w:lang w:val="es-ES_tradnl"/>
        </w:rPr>
        <w:t>es</w:t>
      </w:r>
      <w:r w:rsidRPr="0096658B">
        <w:rPr>
          <w:rFonts w:ascii="Times New Roman" w:hAnsi="Times New Roman" w:cs="Times New Roman"/>
          <w:b/>
          <w:bCs/>
          <w:color w:val="000000" w:themeColor="text1"/>
          <w:lang w:val="es-ES_tradnl"/>
        </w:rPr>
        <w:t xml:space="preserve"> en la democracia constitucional </w:t>
      </w:r>
    </w:p>
    <w:p w:rsidR="0042618B" w:rsidRPr="0096658B" w:rsidRDefault="0096658B" w:rsidP="00D84B86">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b/>
          <w:bCs/>
          <w:color w:val="000000" w:themeColor="text1"/>
          <w:lang w:val="es-ES_tradnl"/>
        </w:rPr>
      </w:pPr>
    </w:p>
    <w:p w:rsidR="00853B24"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iCs/>
          <w:color w:val="000000" w:themeColor="text1"/>
          <w:lang w:val="es-ES_tradnl"/>
        </w:rPr>
        <w:t xml:space="preserve">La naturaleza esencial de la participación pluralista. </w:t>
      </w:r>
      <w:r w:rsidRPr="0096658B">
        <w:rPr>
          <w:rFonts w:ascii="Times New Roman" w:hAnsi="Times New Roman" w:cs="Times New Roman"/>
          <w:color w:val="000000" w:themeColor="text1"/>
          <w:lang w:val="es-ES_tradnl"/>
        </w:rPr>
        <w:t xml:space="preserve">Uno de los componentes que otorga identidad al modelo del Estado Social y </w:t>
      </w:r>
      <w:r w:rsidRPr="0096658B">
        <w:rPr>
          <w:rFonts w:ascii="Times New Roman" w:hAnsi="Times New Roman" w:cs="Times New Roman"/>
          <w:color w:val="000000" w:themeColor="text1"/>
          <w:lang w:val="es-ES_tradnl"/>
        </w:rPr>
        <w:t>Democrático de Derecho es la participación de las personas en las decisiones que las afectan. Esta conclusión se deriva tanto de la inclusión de la democracia participativa y pluralista en la definición del Estado colombiano (</w:t>
      </w:r>
      <w:r w:rsidRPr="0096658B">
        <w:rPr>
          <w:rFonts w:ascii="Times New Roman" w:hAnsi="Times New Roman" w:cs="Times New Roman"/>
          <w:color w:val="000000" w:themeColor="text1"/>
          <w:lang w:val="es-ES_tradnl"/>
        </w:rPr>
        <w:t>a</w:t>
      </w:r>
      <w:r w:rsidRPr="0096658B">
        <w:rPr>
          <w:rFonts w:ascii="Times New Roman" w:hAnsi="Times New Roman" w:cs="Times New Roman"/>
          <w:color w:val="000000" w:themeColor="text1"/>
          <w:lang w:val="es-ES_tradnl"/>
        </w:rPr>
        <w:t>rtículo 1º de la Constitución</w:t>
      </w:r>
      <w:r w:rsidRPr="0096658B">
        <w:rPr>
          <w:rFonts w:ascii="Times New Roman" w:hAnsi="Times New Roman" w:cs="Times New Roman"/>
          <w:color w:val="000000" w:themeColor="text1"/>
          <w:lang w:val="es-ES_tradnl"/>
        </w:rPr>
        <w:t xml:space="preserve">), como </w:t>
      </w:r>
      <w:r w:rsidRPr="0096658B">
        <w:rPr>
          <w:rFonts w:ascii="Times New Roman" w:hAnsi="Times New Roman" w:cs="Times New Roman"/>
          <w:color w:val="000000" w:themeColor="text1"/>
          <w:lang w:val="es-ES_tradnl"/>
        </w:rPr>
        <w:t xml:space="preserve">de </w:t>
      </w:r>
      <w:r w:rsidRPr="0096658B">
        <w:rPr>
          <w:rFonts w:ascii="Times New Roman" w:hAnsi="Times New Roman" w:cs="Times New Roman"/>
          <w:color w:val="000000" w:themeColor="text1"/>
          <w:lang w:val="es-ES_tradnl"/>
        </w:rPr>
        <w:t xml:space="preserve">la consagración </w:t>
      </w:r>
      <w:r w:rsidRPr="0096658B">
        <w:rPr>
          <w:rFonts w:ascii="Times New Roman" w:hAnsi="Times New Roman" w:cs="Times New Roman"/>
          <w:color w:val="000000" w:themeColor="text1"/>
          <w:lang w:val="es-ES_tradnl"/>
        </w:rPr>
        <w:t>del objetivo de facilitar la participación de todos en las decisiones que los afectan y en la vida económica, política, administrativa y cultural de la Nación (</w:t>
      </w:r>
      <w:r w:rsidRPr="0096658B">
        <w:rPr>
          <w:rFonts w:ascii="Times New Roman" w:hAnsi="Times New Roman" w:cs="Times New Roman"/>
          <w:color w:val="000000" w:themeColor="text1"/>
          <w:lang w:val="es-ES_tradnl"/>
        </w:rPr>
        <w:t>a</w:t>
      </w:r>
      <w:r w:rsidRPr="0096658B">
        <w:rPr>
          <w:rFonts w:ascii="Times New Roman" w:hAnsi="Times New Roman" w:cs="Times New Roman"/>
          <w:color w:val="000000" w:themeColor="text1"/>
          <w:lang w:val="es-ES_tradnl"/>
        </w:rPr>
        <w:t xml:space="preserve">rtículo 2º de la Constitución). </w:t>
      </w:r>
      <w:r w:rsidRPr="0096658B">
        <w:rPr>
          <w:rFonts w:ascii="Times New Roman" w:hAnsi="Times New Roman" w:cs="Times New Roman"/>
          <w:color w:val="000000" w:themeColor="text1"/>
          <w:lang w:val="es-ES_tradnl"/>
        </w:rPr>
        <w:t xml:space="preserve">Por esta razón, </w:t>
      </w:r>
      <w:r w:rsidRPr="0096658B">
        <w:rPr>
          <w:rFonts w:ascii="Times New Roman" w:hAnsi="Times New Roman" w:cs="Times New Roman"/>
          <w:color w:val="000000" w:themeColor="text1"/>
          <w:lang w:val="es-ES_tradnl"/>
        </w:rPr>
        <w:t>la jurisprudencia ha</w:t>
      </w:r>
      <w:r w:rsidRPr="0096658B">
        <w:rPr>
          <w:rFonts w:ascii="Times New Roman" w:hAnsi="Times New Roman" w:cs="Times New Roman"/>
          <w:color w:val="000000" w:themeColor="text1"/>
          <w:lang w:val="es-ES_tradnl"/>
        </w:rPr>
        <w:t xml:space="preserve"> otorgado a la participación el doble carácter de elemento estructural de la Constitución y condición definitoria del modelo del Estado</w:t>
      </w:r>
      <w:r w:rsidRPr="0096658B">
        <w:rPr>
          <w:rStyle w:val="Refdenotaalpie"/>
          <w:rFonts w:ascii="Times New Roman" w:hAnsi="Times New Roman"/>
          <w:color w:val="000000" w:themeColor="text1"/>
          <w:lang w:val="es-ES_tradnl"/>
        </w:rPr>
        <w:footnoteReference w:id="87"/>
      </w:r>
      <w:r w:rsidRPr="0096658B">
        <w:rPr>
          <w:rFonts w:ascii="Times New Roman" w:hAnsi="Times New Roman" w:cs="Times New Roman"/>
          <w:color w:val="000000" w:themeColor="text1"/>
          <w:lang w:val="es-ES_tradnl"/>
        </w:rPr>
        <w:t>, dotado de un carácter general y expansivo</w:t>
      </w:r>
      <w:r w:rsidRPr="0096658B">
        <w:rPr>
          <w:rStyle w:val="Refdenotaalpie"/>
          <w:rFonts w:ascii="Times New Roman" w:hAnsi="Times New Roman"/>
          <w:color w:val="000000" w:themeColor="text1"/>
          <w:lang w:val="es-ES_tradnl"/>
        </w:rPr>
        <w:footnoteReference w:id="88"/>
      </w:r>
      <w:r w:rsidRPr="0096658B">
        <w:rPr>
          <w:rFonts w:ascii="Times New Roman" w:hAnsi="Times New Roman" w:cs="Times New Roman"/>
          <w:color w:val="000000" w:themeColor="text1"/>
          <w:lang w:val="es-ES_tradnl"/>
        </w:rPr>
        <w:t>.</w:t>
      </w:r>
    </w:p>
    <w:p w:rsidR="001D65CA" w:rsidRPr="0096658B" w:rsidRDefault="0096658B" w:rsidP="001D65CA">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color w:val="000000" w:themeColor="text1"/>
          <w:lang w:val="es-ES_tradnl"/>
        </w:rPr>
      </w:pPr>
    </w:p>
    <w:p w:rsidR="001D65CA"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No obstante, esta naturaleza esencial de la participación no puede </w:t>
      </w:r>
      <w:r w:rsidRPr="0096658B">
        <w:rPr>
          <w:rFonts w:ascii="Times New Roman" w:hAnsi="Times New Roman" w:cs="Times New Roman"/>
          <w:color w:val="000000" w:themeColor="text1"/>
          <w:lang w:val="es-ES_tradnl"/>
        </w:rPr>
        <w:t>escindirse de dos principios también centrales para el Estado constitucional y que actúan de consuno con aquel: el pluralismo y la igualdad. En cuanto a</w:t>
      </w:r>
      <w:r w:rsidRPr="0096658B">
        <w:rPr>
          <w:rFonts w:ascii="Times New Roman" w:hAnsi="Times New Roman" w:cs="Times New Roman"/>
          <w:color w:val="000000" w:themeColor="text1"/>
          <w:lang w:val="es-ES_tradnl"/>
        </w:rPr>
        <w:t>l</w:t>
      </w:r>
      <w:r w:rsidRPr="0096658B">
        <w:rPr>
          <w:rFonts w:ascii="Times New Roman" w:hAnsi="Times New Roman" w:cs="Times New Roman"/>
          <w:color w:val="000000" w:themeColor="text1"/>
          <w:lang w:val="es-ES_tradnl"/>
        </w:rPr>
        <w:t xml:space="preserve"> primero, la definición de Estado antes mencionada refiere al principio de </w:t>
      </w:r>
      <w:r w:rsidRPr="0096658B">
        <w:rPr>
          <w:rFonts w:ascii="Times New Roman" w:hAnsi="Times New Roman" w:cs="Times New Roman"/>
          <w:color w:val="000000" w:themeColor="text1"/>
          <w:lang w:val="es-ES_tradnl"/>
        </w:rPr>
        <w:t xml:space="preserve">la </w:t>
      </w:r>
      <w:r w:rsidRPr="0096658B">
        <w:rPr>
          <w:rFonts w:ascii="Times New Roman" w:hAnsi="Times New Roman" w:cs="Times New Roman"/>
          <w:color w:val="000000" w:themeColor="text1"/>
          <w:lang w:val="es-ES_tradnl"/>
        </w:rPr>
        <w:t>democracia pluralista, lo</w:t>
      </w:r>
      <w:r w:rsidRPr="0096658B">
        <w:rPr>
          <w:rFonts w:ascii="Times New Roman" w:hAnsi="Times New Roman" w:cs="Times New Roman"/>
          <w:color w:val="000000" w:themeColor="text1"/>
          <w:lang w:val="es-ES_tradnl"/>
        </w:rPr>
        <w:t xml:space="preserve"> cual supone la superación de las formas tradicionales de participación del Estado liberal basadas en una visión homogénea</w:t>
      </w:r>
      <w:r w:rsidRPr="0096658B">
        <w:rPr>
          <w:rFonts w:ascii="Times New Roman" w:hAnsi="Times New Roman" w:cs="Times New Roman"/>
          <w:color w:val="000000" w:themeColor="text1"/>
          <w:lang w:val="es-ES_tradnl"/>
        </w:rPr>
        <w:t xml:space="preserve"> e idealizada del sujeto de derecho que participa en la esfera pública</w:t>
      </w:r>
      <w:r w:rsidRPr="0096658B">
        <w:rPr>
          <w:rFonts w:ascii="Times New Roman" w:hAnsi="Times New Roman" w:cs="Times New Roman"/>
          <w:color w:val="000000" w:themeColor="text1"/>
          <w:lang w:val="es-ES_tradnl"/>
        </w:rPr>
        <w:t>. En cambio, el actual modelo de Estado propugna decididamente p</w:t>
      </w:r>
      <w:r w:rsidRPr="0096658B">
        <w:rPr>
          <w:rFonts w:ascii="Times New Roman" w:hAnsi="Times New Roman" w:cs="Times New Roman"/>
          <w:color w:val="000000" w:themeColor="text1"/>
          <w:lang w:val="es-ES_tradnl"/>
        </w:rPr>
        <w:t>or el reconocimiento</w:t>
      </w:r>
      <w:r w:rsidRPr="0096658B">
        <w:rPr>
          <w:rFonts w:ascii="Times New Roman" w:hAnsi="Times New Roman" w:cs="Times New Roman"/>
          <w:color w:val="000000" w:themeColor="text1"/>
          <w:lang w:val="es-ES_tradnl"/>
        </w:rPr>
        <w:t xml:space="preserve"> equitativ</w:t>
      </w:r>
      <w:r w:rsidRPr="0096658B">
        <w:rPr>
          <w:rFonts w:ascii="Times New Roman" w:hAnsi="Times New Roman" w:cs="Times New Roman"/>
          <w:color w:val="000000" w:themeColor="text1"/>
          <w:lang w:val="es-ES_tradnl"/>
        </w:rPr>
        <w:t>o</w:t>
      </w:r>
      <w:r w:rsidRPr="0096658B">
        <w:rPr>
          <w:rFonts w:ascii="Times New Roman" w:hAnsi="Times New Roman" w:cs="Times New Roman"/>
          <w:color w:val="000000" w:themeColor="text1"/>
          <w:lang w:val="es-ES_tradnl"/>
        </w:rPr>
        <w:t xml:space="preserve"> de las diferentes perspectivas</w:t>
      </w:r>
      <w:r w:rsidRPr="0096658B">
        <w:rPr>
          <w:rFonts w:ascii="Times New Roman" w:hAnsi="Times New Roman" w:cs="Times New Roman"/>
          <w:color w:val="000000" w:themeColor="text1"/>
          <w:lang w:val="es-ES_tradnl"/>
        </w:rPr>
        <w:t xml:space="preserve"> éticas y filosóficas, identidades y proyectos de vida individual y colectiva</w:t>
      </w:r>
      <w:r w:rsidRPr="0096658B">
        <w:rPr>
          <w:rStyle w:val="Refdenotaalpie"/>
          <w:rFonts w:ascii="Times New Roman" w:hAnsi="Times New Roman"/>
          <w:color w:val="000000" w:themeColor="text1"/>
          <w:lang w:val="es-ES_tradnl"/>
        </w:rPr>
        <w:footnoteReference w:id="89"/>
      </w:r>
      <w:r w:rsidRPr="0096658B">
        <w:rPr>
          <w:rFonts w:ascii="Times New Roman" w:hAnsi="Times New Roman" w:cs="Times New Roman"/>
          <w:color w:val="000000" w:themeColor="text1"/>
          <w:lang w:val="es-ES_tradnl"/>
        </w:rPr>
        <w:t>.</w:t>
      </w:r>
    </w:p>
    <w:p w:rsidR="0058573B" w:rsidRPr="0096658B" w:rsidRDefault="0096658B" w:rsidP="0058573B">
      <w:pPr>
        <w:pStyle w:val="Prrafodelista"/>
        <w:rPr>
          <w:rFonts w:ascii="Times New Roman" w:hAnsi="Times New Roman" w:cs="Times New Roman"/>
          <w:color w:val="000000" w:themeColor="text1"/>
          <w:lang w:val="es-ES_tradnl"/>
        </w:rPr>
      </w:pPr>
    </w:p>
    <w:p w:rsidR="0058573B"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Respecto de lo segundo, la mencionada superación de la versión liberal clásica del sujeto de derecho exige, cuand</w:t>
      </w:r>
      <w:r w:rsidRPr="0096658B">
        <w:rPr>
          <w:rFonts w:ascii="Times New Roman" w:hAnsi="Times New Roman" w:cs="Times New Roman"/>
          <w:color w:val="000000" w:themeColor="text1"/>
          <w:lang w:val="es-ES_tradnl"/>
        </w:rPr>
        <w:t xml:space="preserve">o menos, </w:t>
      </w:r>
      <w:r w:rsidRPr="0096658B">
        <w:rPr>
          <w:rFonts w:ascii="Times New Roman" w:hAnsi="Times New Roman" w:cs="Times New Roman"/>
          <w:i/>
          <w:iCs/>
          <w:color w:val="000000" w:themeColor="text1"/>
          <w:lang w:val="es-ES_tradnl"/>
        </w:rPr>
        <w:t>(i)</w:t>
      </w:r>
      <w:r w:rsidRPr="0096658B">
        <w:rPr>
          <w:rFonts w:ascii="Times New Roman" w:hAnsi="Times New Roman" w:cs="Times New Roman"/>
          <w:color w:val="000000" w:themeColor="text1"/>
          <w:lang w:val="es-ES_tradnl"/>
        </w:rPr>
        <w:t xml:space="preserve"> que todas las personas puedan acceder en condiciones equitativas a las instancias participativas </w:t>
      </w:r>
      <w:r w:rsidRPr="0096658B">
        <w:rPr>
          <w:rFonts w:ascii="Times New Roman" w:hAnsi="Times New Roman" w:cs="Times New Roman"/>
          <w:color w:val="000000" w:themeColor="text1"/>
          <w:lang w:val="es-ES_tradnl"/>
        </w:rPr>
        <w:t xml:space="preserve">en las que </w:t>
      </w:r>
      <w:r w:rsidRPr="0096658B">
        <w:rPr>
          <w:rFonts w:ascii="Times New Roman" w:hAnsi="Times New Roman" w:cs="Times New Roman"/>
          <w:color w:val="000000" w:themeColor="text1"/>
          <w:lang w:val="es-ES_tradnl"/>
        </w:rPr>
        <w:t>se adopten decisiones que los afecten, siendo una de esas instancias, por antonomasia, l</w:t>
      </w:r>
      <w:r w:rsidRPr="0096658B">
        <w:rPr>
          <w:rFonts w:ascii="Times New Roman" w:hAnsi="Times New Roman" w:cs="Times New Roman"/>
          <w:color w:val="000000" w:themeColor="text1"/>
          <w:lang w:val="es-ES_tradnl"/>
        </w:rPr>
        <w:t>os cargos decisorios y representativos del Esta</w:t>
      </w:r>
      <w:r w:rsidRPr="0096658B">
        <w:rPr>
          <w:rFonts w:ascii="Times New Roman" w:hAnsi="Times New Roman" w:cs="Times New Roman"/>
          <w:color w:val="000000" w:themeColor="text1"/>
          <w:lang w:val="es-ES_tradnl"/>
        </w:rPr>
        <w:t>do</w:t>
      </w:r>
      <w:r w:rsidRPr="0096658B">
        <w:rPr>
          <w:rStyle w:val="Refdenotaalpie"/>
          <w:rFonts w:ascii="Times New Roman" w:hAnsi="Times New Roman"/>
          <w:color w:val="000000" w:themeColor="text1"/>
          <w:lang w:val="es-ES_tradnl"/>
        </w:rPr>
        <w:footnoteReference w:id="90"/>
      </w:r>
      <w:r w:rsidRPr="0096658B">
        <w:rPr>
          <w:rFonts w:ascii="Times New Roman" w:hAnsi="Times New Roman" w:cs="Times New Roman"/>
          <w:color w:val="000000" w:themeColor="text1"/>
          <w:lang w:val="es-ES_tradnl"/>
        </w:rPr>
        <w:t xml:space="preserve">; y </w:t>
      </w:r>
      <w:r w:rsidRPr="0096658B">
        <w:rPr>
          <w:rFonts w:ascii="Times New Roman" w:hAnsi="Times New Roman" w:cs="Times New Roman"/>
          <w:i/>
          <w:iCs/>
          <w:color w:val="000000" w:themeColor="text1"/>
          <w:lang w:val="es-ES_tradnl"/>
        </w:rPr>
        <w:t>(ii)</w:t>
      </w:r>
      <w:r w:rsidRPr="0096658B">
        <w:rPr>
          <w:rFonts w:ascii="Times New Roman" w:hAnsi="Times New Roman" w:cs="Times New Roman"/>
          <w:color w:val="000000" w:themeColor="text1"/>
          <w:lang w:val="es-ES_tradnl"/>
        </w:rPr>
        <w:t xml:space="preserve"> que aquellas personas que, en razón de sus condiciones particulares o su pertenencia a minorías históricamente discriminadas, sufran barreras para la participación, sean promovidas mediante acciones estatales concretas y en virtud de la eficacia del derec</w:t>
      </w:r>
      <w:r w:rsidRPr="0096658B">
        <w:rPr>
          <w:rFonts w:ascii="Times New Roman" w:hAnsi="Times New Roman" w:cs="Times New Roman"/>
          <w:color w:val="000000" w:themeColor="text1"/>
          <w:lang w:val="es-ES_tradnl"/>
        </w:rPr>
        <w:t>ho a la igualdad de oportunidades</w:t>
      </w:r>
      <w:r w:rsidRPr="0096658B">
        <w:rPr>
          <w:rStyle w:val="Refdenotaalpie"/>
          <w:rFonts w:ascii="Times New Roman" w:hAnsi="Times New Roman"/>
          <w:color w:val="000000" w:themeColor="text1"/>
          <w:lang w:val="es-ES_tradnl"/>
        </w:rPr>
        <w:footnoteReference w:id="91"/>
      </w:r>
      <w:r w:rsidRPr="0096658B">
        <w:rPr>
          <w:rFonts w:ascii="Times New Roman" w:hAnsi="Times New Roman" w:cs="Times New Roman"/>
          <w:color w:val="000000" w:themeColor="text1"/>
          <w:lang w:val="es-ES_tradnl"/>
        </w:rPr>
        <w:t xml:space="preserve">. </w:t>
      </w:r>
    </w:p>
    <w:p w:rsidR="008E5087" w:rsidRPr="0096658B" w:rsidRDefault="0096658B" w:rsidP="008E5087">
      <w:pPr>
        <w:pStyle w:val="Prrafodelista"/>
        <w:rPr>
          <w:rFonts w:ascii="Times New Roman" w:hAnsi="Times New Roman" w:cs="Times New Roman"/>
          <w:color w:val="000000" w:themeColor="text1"/>
          <w:lang w:val="es-ES_tradnl"/>
        </w:rPr>
      </w:pPr>
    </w:p>
    <w:p w:rsidR="008E5087" w:rsidRPr="0096658B" w:rsidRDefault="0096658B" w:rsidP="000B514A">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iCs/>
          <w:color w:val="000000" w:themeColor="text1"/>
          <w:lang w:val="es-ES_tradnl"/>
        </w:rPr>
        <w:t xml:space="preserve">Los instrumentos de participación a favor de las mujeres. </w:t>
      </w:r>
      <w:r w:rsidRPr="0096658B">
        <w:rPr>
          <w:rFonts w:ascii="Times New Roman" w:hAnsi="Times New Roman" w:cs="Times New Roman"/>
          <w:color w:val="000000" w:themeColor="text1"/>
          <w:lang w:val="es-ES_tradnl"/>
        </w:rPr>
        <w:t xml:space="preserve">Bajo este marco, </w:t>
      </w:r>
      <w:r w:rsidRPr="0096658B">
        <w:rPr>
          <w:rFonts w:ascii="Times New Roman" w:hAnsi="Times New Roman" w:cs="Times New Roman"/>
          <w:color w:val="000000" w:themeColor="text1"/>
          <w:lang w:val="es-ES_tradnl"/>
        </w:rPr>
        <w:t xml:space="preserve">además de las consecuencias jurídicas propias del principio de igualdad, </w:t>
      </w:r>
      <w:r w:rsidRPr="0096658B">
        <w:rPr>
          <w:rFonts w:ascii="Times New Roman" w:hAnsi="Times New Roman" w:cs="Times New Roman"/>
          <w:color w:val="000000" w:themeColor="text1"/>
          <w:lang w:val="es-ES_tradnl"/>
        </w:rPr>
        <w:t xml:space="preserve">son múltiples las fuentes constitucionales que imponen el deber estatal de promoción de </w:t>
      </w:r>
      <w:r w:rsidRPr="0096658B">
        <w:rPr>
          <w:rFonts w:ascii="Times New Roman" w:hAnsi="Times New Roman" w:cs="Times New Roman"/>
          <w:color w:val="000000" w:themeColor="text1"/>
          <w:lang w:val="es-ES_tradnl"/>
        </w:rPr>
        <w:t xml:space="preserve">la </w:t>
      </w:r>
      <w:r w:rsidRPr="0096658B">
        <w:rPr>
          <w:rFonts w:ascii="Times New Roman" w:hAnsi="Times New Roman" w:cs="Times New Roman"/>
          <w:color w:val="000000" w:themeColor="text1"/>
          <w:lang w:val="es-ES_tradnl"/>
        </w:rPr>
        <w:t>participación de las mujeres</w:t>
      </w:r>
      <w:r w:rsidRPr="0096658B">
        <w:rPr>
          <w:rFonts w:ascii="Times New Roman" w:hAnsi="Times New Roman" w:cs="Times New Roman"/>
          <w:color w:val="000000" w:themeColor="text1"/>
          <w:lang w:val="es-ES_tradnl"/>
        </w:rPr>
        <w:t xml:space="preserve"> en los diferentes escenarios de la vida social y, para lo que interesa al presente análisis, en la esfera del ejercicio del poder políti</w:t>
      </w:r>
      <w:r w:rsidRPr="0096658B">
        <w:rPr>
          <w:rFonts w:ascii="Times New Roman" w:hAnsi="Times New Roman" w:cs="Times New Roman"/>
          <w:color w:val="000000" w:themeColor="text1"/>
          <w:lang w:val="es-ES_tradnl"/>
        </w:rPr>
        <w:t>co y las más altas decisiones en el Estado. En efecto, el artículo 40 de la Constitución confiere a todos los ciudadanos los derechos a, entre otros asuntos, elegir y ser elegido, al igual que</w:t>
      </w:r>
      <w:r w:rsidRPr="0096658B">
        <w:rPr>
          <w:rFonts w:ascii="Times New Roman" w:hAnsi="Times New Roman" w:cs="Times New Roman"/>
          <w:color w:val="000000" w:themeColor="text1"/>
          <w:lang w:val="es-ES_tradnl"/>
        </w:rPr>
        <w:t xml:space="preserve"> a</w:t>
      </w:r>
      <w:r w:rsidRPr="0096658B">
        <w:rPr>
          <w:rFonts w:ascii="Times New Roman" w:hAnsi="Times New Roman" w:cs="Times New Roman"/>
          <w:color w:val="000000" w:themeColor="text1"/>
          <w:lang w:val="es-ES_tradnl"/>
        </w:rPr>
        <w:t xml:space="preserve"> acceder al desempeño de funciones y cargos públicos con las e</w:t>
      </w:r>
      <w:r w:rsidRPr="0096658B">
        <w:rPr>
          <w:rFonts w:ascii="Times New Roman" w:hAnsi="Times New Roman" w:cs="Times New Roman"/>
          <w:color w:val="000000" w:themeColor="text1"/>
          <w:lang w:val="es-ES_tradnl"/>
        </w:rPr>
        <w:t xml:space="preserve">xcepciones allí previstas. Estos mandatos deben, a su turno, interpretarse de manera sistemática con lo previsto </w:t>
      </w:r>
      <w:r w:rsidRPr="0096658B">
        <w:rPr>
          <w:rFonts w:ascii="Times New Roman" w:hAnsi="Times New Roman" w:cs="Times New Roman"/>
          <w:color w:val="000000" w:themeColor="text1"/>
          <w:lang w:val="es-ES_tradnl"/>
        </w:rPr>
        <w:t xml:space="preserve">por </w:t>
      </w:r>
      <w:r w:rsidRPr="0096658B">
        <w:rPr>
          <w:rFonts w:ascii="Times New Roman" w:hAnsi="Times New Roman" w:cs="Times New Roman"/>
          <w:color w:val="000000" w:themeColor="text1"/>
          <w:lang w:val="es-ES_tradnl"/>
        </w:rPr>
        <w:t>el artículo 43 superior, disposición que determina que la mujer y el hombre tienen iguales derechos y oportunidades</w:t>
      </w:r>
      <w:r w:rsidRPr="0096658B">
        <w:rPr>
          <w:rFonts w:ascii="Times New Roman" w:hAnsi="Times New Roman" w:cs="Times New Roman"/>
          <w:color w:val="000000" w:themeColor="text1"/>
          <w:lang w:val="es-ES_tradnl"/>
        </w:rPr>
        <w:t>, y que aquella no podrá</w:t>
      </w:r>
      <w:r w:rsidRPr="0096658B">
        <w:rPr>
          <w:rFonts w:ascii="Times New Roman" w:hAnsi="Times New Roman" w:cs="Times New Roman"/>
          <w:color w:val="000000" w:themeColor="text1"/>
          <w:lang w:val="es-ES_tradnl"/>
        </w:rPr>
        <w:t xml:space="preserve"> ser sometida a ninguna clase de discriminación. A estas previsiones se suma lo previsto </w:t>
      </w:r>
      <w:r w:rsidRPr="0096658B">
        <w:rPr>
          <w:rFonts w:ascii="Times New Roman" w:hAnsi="Times New Roman" w:cs="Times New Roman"/>
          <w:color w:val="000000" w:themeColor="text1"/>
          <w:lang w:val="es-ES_tradnl"/>
        </w:rPr>
        <w:t xml:space="preserve">por </w:t>
      </w:r>
      <w:r w:rsidRPr="0096658B">
        <w:rPr>
          <w:rFonts w:ascii="Times New Roman" w:hAnsi="Times New Roman" w:cs="Times New Roman"/>
          <w:color w:val="000000" w:themeColor="text1"/>
          <w:lang w:val="es-ES_tradnl"/>
        </w:rPr>
        <w:t>el artículo 107 de la Constitución, según el texto modificado por el Acto Legislativo 1º de 2009</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 xml:space="preserve">según el cual, </w:t>
      </w:r>
      <w:r w:rsidRPr="0096658B">
        <w:rPr>
          <w:rFonts w:ascii="Times New Roman" w:hAnsi="Times New Roman" w:cs="Times New Roman"/>
          <w:color w:val="000000" w:themeColor="text1"/>
          <w:lang w:val="es-ES_tradnl"/>
        </w:rPr>
        <w:t xml:space="preserve">la equidad de género </w:t>
      </w:r>
      <w:r w:rsidRPr="0096658B">
        <w:rPr>
          <w:rFonts w:ascii="Times New Roman" w:hAnsi="Times New Roman" w:cs="Times New Roman"/>
          <w:color w:val="000000" w:themeColor="text1"/>
          <w:lang w:val="es-ES_tradnl"/>
        </w:rPr>
        <w:t xml:space="preserve">es uno </w:t>
      </w:r>
      <w:r w:rsidRPr="0096658B">
        <w:rPr>
          <w:rFonts w:ascii="Times New Roman" w:hAnsi="Times New Roman" w:cs="Times New Roman"/>
          <w:color w:val="000000" w:themeColor="text1"/>
          <w:lang w:val="es-ES_tradnl"/>
        </w:rPr>
        <w:t>de los principios rect</w:t>
      </w:r>
      <w:r w:rsidRPr="0096658B">
        <w:rPr>
          <w:rFonts w:ascii="Times New Roman" w:hAnsi="Times New Roman" w:cs="Times New Roman"/>
          <w:color w:val="000000" w:themeColor="text1"/>
          <w:lang w:val="es-ES_tradnl"/>
        </w:rPr>
        <w:t>ores para la organización democrática de los partidos y movimientos políticos</w:t>
      </w:r>
      <w:r w:rsidRPr="0096658B">
        <w:rPr>
          <w:rStyle w:val="Refdenotaalpie"/>
          <w:rFonts w:ascii="Times New Roman" w:hAnsi="Times New Roman"/>
          <w:color w:val="000000" w:themeColor="text1"/>
          <w:lang w:val="es-ES_tradnl"/>
        </w:rPr>
        <w:footnoteReference w:id="92"/>
      </w:r>
      <w:r w:rsidRPr="0096658B">
        <w:rPr>
          <w:rFonts w:ascii="Times New Roman" w:hAnsi="Times New Roman" w:cs="Times New Roman"/>
          <w:color w:val="000000" w:themeColor="text1"/>
          <w:lang w:val="es-ES_tradnl"/>
        </w:rPr>
        <w:t xml:space="preserve">. </w:t>
      </w:r>
    </w:p>
    <w:p w:rsidR="00794019" w:rsidRPr="0096658B" w:rsidRDefault="0096658B" w:rsidP="00794019">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color w:val="000000" w:themeColor="text1"/>
          <w:lang w:val="es-ES_tradnl"/>
        </w:rPr>
      </w:pPr>
    </w:p>
    <w:p w:rsidR="00C75B28" w:rsidRPr="0096658B" w:rsidRDefault="0096658B" w:rsidP="002843A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Ahora bien, si se parte de la base de que la participación democrática es pluralista y equitativa, entonces debe tener</w:t>
      </w:r>
      <w:r w:rsidRPr="0096658B">
        <w:rPr>
          <w:rFonts w:ascii="Times New Roman" w:hAnsi="Times New Roman" w:cs="Times New Roman"/>
          <w:color w:val="000000" w:themeColor="text1"/>
          <w:lang w:val="es-ES_tradnl"/>
        </w:rPr>
        <w:t>se</w:t>
      </w:r>
      <w:r w:rsidRPr="0096658B">
        <w:rPr>
          <w:rFonts w:ascii="Times New Roman" w:hAnsi="Times New Roman" w:cs="Times New Roman"/>
          <w:color w:val="000000" w:themeColor="text1"/>
          <w:lang w:val="es-ES_tradnl"/>
        </w:rPr>
        <w:t xml:space="preserve"> en cuenta la necesidad de establecer medidas de promoción a favor de las minorías históricamente discriminadas, entre las cuales tienen un lugar central las mujeres</w:t>
      </w:r>
      <w:r w:rsidRPr="0096658B">
        <w:rPr>
          <w:rStyle w:val="Refdenotaalpie"/>
          <w:rFonts w:ascii="Times New Roman" w:hAnsi="Times New Roman"/>
          <w:color w:val="000000" w:themeColor="text1"/>
          <w:lang w:val="es-ES_tradnl"/>
        </w:rPr>
        <w:footnoteReference w:id="93"/>
      </w:r>
      <w:r w:rsidRPr="0096658B">
        <w:rPr>
          <w:rFonts w:ascii="Times New Roman" w:hAnsi="Times New Roman" w:cs="Times New Roman"/>
          <w:color w:val="000000" w:themeColor="text1"/>
          <w:lang w:val="es-ES_tradnl"/>
        </w:rPr>
        <w:t>. Aunque en apartado posterior de esta sentencia se hará un estudio específico sobre las a</w:t>
      </w:r>
      <w:r w:rsidRPr="0096658B">
        <w:rPr>
          <w:rFonts w:ascii="Times New Roman" w:hAnsi="Times New Roman" w:cs="Times New Roman"/>
          <w:color w:val="000000" w:themeColor="text1"/>
          <w:lang w:val="es-ES_tradnl"/>
        </w:rPr>
        <w:t xml:space="preserve">cciones afirmativas a favor de las mujeres, preliminarmente debe hacerse hincapié en que </w:t>
      </w:r>
      <w:r w:rsidRPr="0096658B">
        <w:rPr>
          <w:rFonts w:ascii="Times New Roman" w:hAnsi="Times New Roman" w:cs="Times New Roman"/>
          <w:color w:val="000000" w:themeColor="text1"/>
          <w:lang w:val="es-ES_tradnl"/>
        </w:rPr>
        <w:t xml:space="preserve">el principio de igualdad </w:t>
      </w:r>
      <w:r w:rsidRPr="0096658B">
        <w:rPr>
          <w:rFonts w:ascii="Times New Roman" w:hAnsi="Times New Roman" w:cs="Times New Roman"/>
          <w:color w:val="000000" w:themeColor="text1"/>
          <w:lang w:val="es-ES_tradnl"/>
        </w:rPr>
        <w:t>resulta optimizado en sus dos facetas, la de carácter formal y la naturaleza material, vinculada estre</w:t>
      </w:r>
      <w:r w:rsidRPr="0096658B">
        <w:rPr>
          <w:rFonts w:ascii="Times New Roman" w:hAnsi="Times New Roman" w:cs="Times New Roman"/>
          <w:color w:val="000000" w:themeColor="text1"/>
          <w:lang w:val="es-ES_tradnl"/>
        </w:rPr>
        <w:t xml:space="preserve">chamente </w:t>
      </w:r>
      <w:r w:rsidRPr="0096658B">
        <w:rPr>
          <w:rFonts w:ascii="Times New Roman" w:hAnsi="Times New Roman" w:cs="Times New Roman"/>
          <w:color w:val="000000" w:themeColor="text1"/>
          <w:lang w:val="es-ES_tradnl"/>
        </w:rPr>
        <w:t>con la noción del enfoque de gé</w:t>
      </w:r>
      <w:r w:rsidRPr="0096658B">
        <w:rPr>
          <w:rFonts w:ascii="Times New Roman" w:hAnsi="Times New Roman" w:cs="Times New Roman"/>
          <w:color w:val="000000" w:themeColor="text1"/>
          <w:lang w:val="es-ES_tradnl"/>
        </w:rPr>
        <w:t xml:space="preserve">nero. </w:t>
      </w:r>
    </w:p>
    <w:p w:rsidR="005C675A" w:rsidRPr="0096658B" w:rsidRDefault="0096658B" w:rsidP="005C675A">
      <w:pPr>
        <w:pStyle w:val="Prrafodelista"/>
        <w:rPr>
          <w:rFonts w:ascii="Times New Roman" w:hAnsi="Times New Roman" w:cs="Times New Roman"/>
          <w:color w:val="000000" w:themeColor="text1"/>
          <w:lang w:val="es-ES_tradnl"/>
        </w:rPr>
      </w:pPr>
    </w:p>
    <w:p w:rsidR="005C675A" w:rsidRPr="0096658B" w:rsidRDefault="0096658B" w:rsidP="002843A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bookmarkStart w:id="1" w:name="OLE_LINK1"/>
      <w:bookmarkStart w:id="2" w:name="OLE_LINK2"/>
      <w:r w:rsidRPr="0096658B">
        <w:rPr>
          <w:rFonts w:ascii="Times New Roman" w:hAnsi="Times New Roman" w:cs="Times New Roman"/>
          <w:color w:val="000000" w:themeColor="text1"/>
          <w:lang w:val="es-ES_tradnl"/>
        </w:rPr>
        <w:t>En lo que respecta a la perspectiva formal del principio de igualdad, los hombres y las mujeres tiene</w:t>
      </w:r>
      <w:r w:rsidRPr="0096658B">
        <w:rPr>
          <w:rFonts w:ascii="Times New Roman" w:hAnsi="Times New Roman" w:cs="Times New Roman"/>
          <w:color w:val="000000" w:themeColor="text1"/>
          <w:lang w:val="es-ES_tradnl"/>
        </w:rPr>
        <w:t>n</w:t>
      </w:r>
      <w:r w:rsidRPr="0096658B">
        <w:rPr>
          <w:rFonts w:ascii="Times New Roman" w:hAnsi="Times New Roman" w:cs="Times New Roman"/>
          <w:color w:val="000000" w:themeColor="text1"/>
          <w:lang w:val="es-ES_tradnl"/>
        </w:rPr>
        <w:t xml:space="preserve"> derecho a acceder, en condiciones equitativas, tanto a los cargos de elección popular como a los</w:t>
      </w:r>
      <w:r w:rsidRPr="0096658B">
        <w:rPr>
          <w:rFonts w:ascii="Times New Roman" w:hAnsi="Times New Roman" w:cs="Times New Roman"/>
          <w:color w:val="000000" w:themeColor="text1"/>
          <w:lang w:val="es-ES_tradnl"/>
        </w:rPr>
        <w:t xml:space="preserve"> demás</w:t>
      </w:r>
      <w:r w:rsidRPr="0096658B">
        <w:rPr>
          <w:rFonts w:ascii="Times New Roman" w:hAnsi="Times New Roman" w:cs="Times New Roman"/>
          <w:color w:val="000000" w:themeColor="text1"/>
          <w:lang w:val="es-ES_tradnl"/>
        </w:rPr>
        <w:t xml:space="preserve"> cargos del Estado -en este caso aplicándos</w:t>
      </w:r>
      <w:r w:rsidRPr="0096658B">
        <w:rPr>
          <w:rFonts w:ascii="Times New Roman" w:hAnsi="Times New Roman" w:cs="Times New Roman"/>
          <w:color w:val="000000" w:themeColor="text1"/>
          <w:lang w:val="es-ES_tradnl"/>
        </w:rPr>
        <w:t>e también un criterio de mérito-, puesto</w:t>
      </w:r>
      <w:r w:rsidRPr="0096658B">
        <w:rPr>
          <w:rFonts w:ascii="Times New Roman" w:hAnsi="Times New Roman" w:cs="Times New Roman"/>
          <w:color w:val="000000" w:themeColor="text1"/>
          <w:lang w:val="es-ES_tradnl"/>
        </w:rPr>
        <w:t xml:space="preserve"> que ese mandato</w:t>
      </w:r>
      <w:r w:rsidRPr="0096658B">
        <w:rPr>
          <w:rFonts w:ascii="Times New Roman" w:hAnsi="Times New Roman" w:cs="Times New Roman"/>
          <w:color w:val="000000" w:themeColor="text1"/>
          <w:lang w:val="es-ES_tradnl"/>
        </w:rPr>
        <w:t xml:space="preserve"> se deriva de las disposiciones constitucionales enunciadas y, a su vez, se infiere del mandato de trato igual ante la ley. En ese orden de ideas, si se parte de considerar que el acceso a dichas resp</w:t>
      </w:r>
      <w:r w:rsidRPr="0096658B">
        <w:rPr>
          <w:rFonts w:ascii="Times New Roman" w:hAnsi="Times New Roman" w:cs="Times New Roman"/>
          <w:color w:val="000000" w:themeColor="text1"/>
          <w:lang w:val="es-ES_tradnl"/>
        </w:rPr>
        <w:t xml:space="preserve">onsabilidades está mediada por reglas jurídicas, entonces el mandato de igualdad ante la ley exige el acceso equitativo entre hombres y mujeres. </w:t>
      </w:r>
    </w:p>
    <w:p w:rsidR="006873B3" w:rsidRPr="0096658B" w:rsidRDefault="0096658B" w:rsidP="006873B3">
      <w:pPr>
        <w:pStyle w:val="Prrafodelista"/>
        <w:rPr>
          <w:rFonts w:ascii="Times New Roman" w:hAnsi="Times New Roman" w:cs="Times New Roman"/>
          <w:color w:val="000000" w:themeColor="text1"/>
          <w:lang w:val="es-ES_tradnl"/>
        </w:rPr>
      </w:pPr>
    </w:p>
    <w:p w:rsidR="006873B3" w:rsidRPr="0096658B" w:rsidRDefault="0096658B" w:rsidP="002843A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La faceta material del principio de igualdad, en el caso analizado, se refleja en la necesidad </w:t>
      </w:r>
      <w:r w:rsidRPr="0096658B">
        <w:rPr>
          <w:rFonts w:ascii="Times New Roman" w:hAnsi="Times New Roman" w:cs="Times New Roman"/>
          <w:color w:val="000000" w:themeColor="text1"/>
          <w:lang w:val="es-ES_tradnl"/>
        </w:rPr>
        <w:t xml:space="preserve">de </w:t>
      </w:r>
      <w:r w:rsidRPr="0096658B">
        <w:rPr>
          <w:rFonts w:ascii="Times New Roman" w:hAnsi="Times New Roman" w:cs="Times New Roman"/>
          <w:color w:val="000000" w:themeColor="text1"/>
          <w:lang w:val="es-ES_tradnl"/>
        </w:rPr>
        <w:t xml:space="preserve">que los mecanismos de participación </w:t>
      </w:r>
      <w:r w:rsidRPr="0096658B">
        <w:rPr>
          <w:rFonts w:ascii="Times New Roman" w:hAnsi="Times New Roman" w:cs="Times New Roman"/>
          <w:color w:val="000000" w:themeColor="text1"/>
          <w:lang w:val="es-ES_tradnl"/>
        </w:rPr>
        <w:t>en el ejercicio del poder político y la administración del Estado tengan en cuenta los estereotipos sociales, prejuicios e inequidad en las cargas vinculadas a las labores de cuidado</w:t>
      </w:r>
      <w:r w:rsidRPr="0096658B">
        <w:rPr>
          <w:rStyle w:val="Refdenotaalpie"/>
          <w:rFonts w:ascii="Times New Roman" w:hAnsi="Times New Roman"/>
          <w:color w:val="000000" w:themeColor="text1"/>
          <w:lang w:val="es-ES_tradnl"/>
        </w:rPr>
        <w:footnoteReference w:id="94"/>
      </w:r>
      <w:r w:rsidRPr="0096658B">
        <w:rPr>
          <w:rFonts w:ascii="Times New Roman" w:hAnsi="Times New Roman" w:cs="Times New Roman"/>
          <w:color w:val="000000" w:themeColor="text1"/>
          <w:lang w:val="es-ES_tradnl"/>
        </w:rPr>
        <w:t xml:space="preserve"> que afectan a las mujeres. En otras </w:t>
      </w:r>
      <w:r w:rsidRPr="0096658B">
        <w:rPr>
          <w:rFonts w:ascii="Times New Roman" w:hAnsi="Times New Roman" w:cs="Times New Roman"/>
          <w:color w:val="000000" w:themeColor="text1"/>
          <w:lang w:val="es-ES_tradnl"/>
        </w:rPr>
        <w:t xml:space="preserve">palabras, la protección del derecho a la participación no solo se logra a través de previsiones legales que determinen nominalmente el acceso a los cargos del Estado, sino también </w:t>
      </w:r>
      <w:r w:rsidRPr="0096658B">
        <w:rPr>
          <w:rFonts w:ascii="Times New Roman" w:hAnsi="Times New Roman" w:cs="Times New Roman"/>
          <w:color w:val="000000" w:themeColor="text1"/>
          <w:lang w:val="es-ES_tradnl"/>
        </w:rPr>
        <w:t xml:space="preserve">mediante </w:t>
      </w:r>
      <w:r w:rsidRPr="0096658B">
        <w:rPr>
          <w:rFonts w:ascii="Times New Roman" w:hAnsi="Times New Roman" w:cs="Times New Roman"/>
          <w:color w:val="000000" w:themeColor="text1"/>
          <w:lang w:val="es-ES_tradnl"/>
        </w:rPr>
        <w:t>medidas específicas que reconozcan que la efectividad de ese acceso</w:t>
      </w:r>
      <w:r w:rsidRPr="0096658B">
        <w:rPr>
          <w:rFonts w:ascii="Times New Roman" w:hAnsi="Times New Roman" w:cs="Times New Roman"/>
          <w:color w:val="000000" w:themeColor="text1"/>
          <w:lang w:val="es-ES_tradnl"/>
        </w:rPr>
        <w:t xml:space="preserve"> s</w:t>
      </w:r>
      <w:r w:rsidRPr="0096658B">
        <w:rPr>
          <w:rFonts w:ascii="Times New Roman" w:hAnsi="Times New Roman" w:cs="Times New Roman"/>
          <w:color w:val="000000" w:themeColor="text1"/>
          <w:lang w:val="es-ES_tradnl"/>
        </w:rPr>
        <w:t>ó</w:t>
      </w:r>
      <w:r w:rsidRPr="0096658B">
        <w:rPr>
          <w:rFonts w:ascii="Times New Roman" w:hAnsi="Times New Roman" w:cs="Times New Roman"/>
          <w:color w:val="000000" w:themeColor="text1"/>
          <w:lang w:val="es-ES_tradnl"/>
        </w:rPr>
        <w:t xml:space="preserve">lo es posible si se acoge una perspectiva de género. </w:t>
      </w:r>
    </w:p>
    <w:p w:rsidR="00D454EA" w:rsidRPr="0096658B" w:rsidRDefault="0096658B" w:rsidP="00D454EA">
      <w:pPr>
        <w:pStyle w:val="Prrafodelista"/>
        <w:rPr>
          <w:rFonts w:ascii="Times New Roman" w:hAnsi="Times New Roman" w:cs="Times New Roman"/>
          <w:color w:val="000000" w:themeColor="text1"/>
          <w:lang w:val="es-ES_tradnl"/>
        </w:rPr>
      </w:pPr>
    </w:p>
    <w:p w:rsidR="00D454EA" w:rsidRPr="0096658B" w:rsidRDefault="0096658B" w:rsidP="002843A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Esto quiere decir que la garantía sustantiva de los derechos de participación de las mujeres debe advertir que sus condiciones de acceso a las responsabilidad</w:t>
      </w:r>
      <w:r w:rsidRPr="0096658B">
        <w:rPr>
          <w:rFonts w:ascii="Times New Roman" w:hAnsi="Times New Roman" w:cs="Times New Roman"/>
          <w:color w:val="000000" w:themeColor="text1"/>
          <w:lang w:val="es-ES_tradnl"/>
        </w:rPr>
        <w:t>es</w:t>
      </w:r>
      <w:r w:rsidRPr="0096658B">
        <w:rPr>
          <w:rFonts w:ascii="Times New Roman" w:hAnsi="Times New Roman" w:cs="Times New Roman"/>
          <w:color w:val="000000" w:themeColor="text1"/>
          <w:lang w:val="es-ES_tradnl"/>
        </w:rPr>
        <w:t xml:space="preserve"> estatales, en especial a las más alta</w:t>
      </w:r>
      <w:r w:rsidRPr="0096658B">
        <w:rPr>
          <w:rFonts w:ascii="Times New Roman" w:hAnsi="Times New Roman" w:cs="Times New Roman"/>
          <w:color w:val="000000" w:themeColor="text1"/>
          <w:lang w:val="es-ES_tradnl"/>
        </w:rPr>
        <w:t xml:space="preserve">s, generalmente resultan mediadas por, cuando menos, dos tipos de barreras. La primera, fundada en el estereotipo acerca de que los hombres están mejor calificados para ejercer </w:t>
      </w:r>
      <w:r w:rsidRPr="0096658B">
        <w:rPr>
          <w:rFonts w:ascii="Times New Roman" w:hAnsi="Times New Roman" w:cs="Times New Roman"/>
          <w:color w:val="000000" w:themeColor="text1"/>
          <w:lang w:val="es-ES_tradnl"/>
        </w:rPr>
        <w:t>cargos de dirección que las mujeres y en virtud de una supuesta diferencia -car</w:t>
      </w:r>
      <w:r w:rsidRPr="0096658B">
        <w:rPr>
          <w:rFonts w:ascii="Times New Roman" w:hAnsi="Times New Roman" w:cs="Times New Roman"/>
          <w:color w:val="000000" w:themeColor="text1"/>
          <w:lang w:val="es-ES_tradnl"/>
        </w:rPr>
        <w:t>ente de cualquier sustento- en las capacidades de liderazgo entre hombres y mujeres</w:t>
      </w:r>
      <w:r w:rsidRPr="0096658B">
        <w:rPr>
          <w:rStyle w:val="Refdenotaalpie"/>
          <w:rFonts w:ascii="Times New Roman" w:hAnsi="Times New Roman"/>
          <w:color w:val="000000" w:themeColor="text1"/>
          <w:lang w:val="es-ES_tradnl"/>
        </w:rPr>
        <w:footnoteReference w:id="95"/>
      </w:r>
      <w:r w:rsidRPr="0096658B">
        <w:rPr>
          <w:rFonts w:ascii="Times New Roman" w:hAnsi="Times New Roman" w:cs="Times New Roman"/>
          <w:color w:val="000000" w:themeColor="text1"/>
          <w:lang w:val="es-ES_tradnl"/>
        </w:rPr>
        <w:t xml:space="preserve">. La segunda, vinculada a que las labores </w:t>
      </w:r>
      <w:r w:rsidRPr="0096658B">
        <w:rPr>
          <w:rFonts w:ascii="Times New Roman" w:hAnsi="Times New Roman" w:cs="Times New Roman"/>
          <w:color w:val="000000" w:themeColor="text1"/>
          <w:lang w:val="es-ES_tradnl"/>
        </w:rPr>
        <w:t xml:space="preserve">de </w:t>
      </w:r>
      <w:r w:rsidRPr="0096658B">
        <w:rPr>
          <w:rFonts w:ascii="Times New Roman" w:hAnsi="Times New Roman" w:cs="Times New Roman"/>
          <w:color w:val="000000" w:themeColor="text1"/>
          <w:lang w:val="es-ES_tradnl"/>
        </w:rPr>
        <w:t xml:space="preserve">cuidado, esto es, la atención de niños, enfermos o adultos </w:t>
      </w:r>
      <w:r w:rsidRPr="0096658B">
        <w:rPr>
          <w:rFonts w:ascii="Times New Roman" w:hAnsi="Times New Roman" w:cs="Times New Roman"/>
          <w:color w:val="000000" w:themeColor="text1"/>
          <w:lang w:val="es-ES_tradnl"/>
        </w:rPr>
        <w:t>mayores</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aún es asignada casi exclusivamente a las mujeres</w:t>
      </w:r>
      <w:r w:rsidRPr="0096658B">
        <w:rPr>
          <w:rStyle w:val="Refdenotaalpie"/>
          <w:rFonts w:ascii="Times New Roman" w:hAnsi="Times New Roman"/>
          <w:color w:val="000000" w:themeColor="text1"/>
          <w:lang w:val="es-ES_tradnl"/>
        </w:rPr>
        <w:footnoteReference w:id="96"/>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inequid</w:t>
      </w:r>
      <w:r w:rsidRPr="0096658B">
        <w:rPr>
          <w:rFonts w:ascii="Times New Roman" w:hAnsi="Times New Roman" w:cs="Times New Roman"/>
          <w:color w:val="000000" w:themeColor="text1"/>
          <w:lang w:val="es-ES_tradnl"/>
        </w:rPr>
        <w:t>ad que</w:t>
      </w:r>
      <w:r w:rsidRPr="0096658B">
        <w:rPr>
          <w:rFonts w:ascii="Times New Roman" w:hAnsi="Times New Roman" w:cs="Times New Roman"/>
          <w:color w:val="000000" w:themeColor="text1"/>
          <w:lang w:val="es-ES_tradnl"/>
        </w:rPr>
        <w:t xml:space="preserve"> implica la urgente necesidad </w:t>
      </w:r>
      <w:r w:rsidRPr="0096658B">
        <w:rPr>
          <w:rFonts w:ascii="Times New Roman" w:hAnsi="Times New Roman" w:cs="Times New Roman"/>
          <w:color w:val="000000" w:themeColor="text1"/>
          <w:lang w:val="es-ES_tradnl"/>
        </w:rPr>
        <w:t xml:space="preserve">de </w:t>
      </w:r>
      <w:r w:rsidRPr="0096658B">
        <w:rPr>
          <w:rFonts w:ascii="Times New Roman" w:hAnsi="Times New Roman" w:cs="Times New Roman"/>
          <w:color w:val="000000" w:themeColor="text1"/>
          <w:lang w:val="es-ES_tradnl"/>
        </w:rPr>
        <w:t>que los mecanismos de ingreso y permanencia en dichas responsabilidad</w:t>
      </w:r>
      <w:r w:rsidRPr="0096658B">
        <w:rPr>
          <w:rFonts w:ascii="Times New Roman" w:hAnsi="Times New Roman" w:cs="Times New Roman"/>
          <w:color w:val="000000" w:themeColor="text1"/>
          <w:lang w:val="es-ES_tradnl"/>
        </w:rPr>
        <w:t>es</w:t>
      </w:r>
      <w:r w:rsidRPr="0096658B">
        <w:rPr>
          <w:rFonts w:ascii="Times New Roman" w:hAnsi="Times New Roman" w:cs="Times New Roman"/>
          <w:color w:val="000000" w:themeColor="text1"/>
          <w:lang w:val="es-ES_tradnl"/>
        </w:rPr>
        <w:t xml:space="preserve"> estatales reconozcan esas circunstancias y </w:t>
      </w:r>
      <w:r w:rsidRPr="0096658B">
        <w:rPr>
          <w:rFonts w:ascii="Times New Roman" w:hAnsi="Times New Roman" w:cs="Times New Roman"/>
          <w:color w:val="000000" w:themeColor="text1"/>
          <w:lang w:val="es-ES_tradnl"/>
        </w:rPr>
        <w:t>con el objeto</w:t>
      </w:r>
      <w:r w:rsidRPr="0096658B">
        <w:rPr>
          <w:rFonts w:ascii="Times New Roman" w:hAnsi="Times New Roman" w:cs="Times New Roman"/>
          <w:color w:val="000000" w:themeColor="text1"/>
          <w:lang w:val="es-ES_tradnl"/>
        </w:rPr>
        <w:t xml:space="preserve"> de garantizar dicha participación efectiva. </w:t>
      </w:r>
    </w:p>
    <w:p w:rsidR="0056629B" w:rsidRPr="0096658B" w:rsidRDefault="0096658B" w:rsidP="0056629B">
      <w:pPr>
        <w:pStyle w:val="Prrafodelista"/>
        <w:rPr>
          <w:rFonts w:ascii="Times New Roman" w:hAnsi="Times New Roman" w:cs="Times New Roman"/>
          <w:color w:val="000000" w:themeColor="text1"/>
          <w:lang w:val="es-ES_tradnl"/>
        </w:rPr>
      </w:pPr>
    </w:p>
    <w:p w:rsidR="0056629B" w:rsidRPr="0096658B" w:rsidRDefault="0096658B" w:rsidP="002843A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El legislador estatutario ha previsto dos tipos de medidas sobre la equidad en la participación de las mujeres que, de manera general, se insertan en la faceta formal del principio de igualdad. </w:t>
      </w:r>
      <w:r w:rsidRPr="0096658B">
        <w:rPr>
          <w:rFonts w:ascii="Times New Roman" w:hAnsi="Times New Roman" w:cs="Times New Roman"/>
          <w:color w:val="000000" w:themeColor="text1"/>
          <w:lang w:val="es-ES_tradnl"/>
        </w:rPr>
        <w:t>La primera está contenida en la Ley 581 de 2000, tradicionalme</w:t>
      </w:r>
      <w:r w:rsidRPr="0096658B">
        <w:rPr>
          <w:rFonts w:ascii="Times New Roman" w:hAnsi="Times New Roman" w:cs="Times New Roman"/>
          <w:color w:val="000000" w:themeColor="text1"/>
          <w:lang w:val="es-ES_tradnl"/>
        </w:rPr>
        <w:t xml:space="preserve">nte conocida como </w:t>
      </w:r>
      <w:r w:rsidRPr="0096658B">
        <w:rPr>
          <w:rFonts w:ascii="Times New Roman" w:hAnsi="Times New Roman" w:cs="Times New Roman"/>
          <w:i/>
          <w:iCs/>
          <w:color w:val="000000" w:themeColor="text1"/>
          <w:lang w:val="es-ES_tradnl"/>
        </w:rPr>
        <w:t>Ley de Cuotas</w:t>
      </w:r>
      <w:r w:rsidRPr="0096658B">
        <w:rPr>
          <w:rFonts w:ascii="Times New Roman" w:hAnsi="Times New Roman" w:cs="Times New Roman"/>
          <w:color w:val="000000" w:themeColor="text1"/>
          <w:lang w:val="es-ES_tradnl"/>
        </w:rPr>
        <w:t xml:space="preserve">. Esta disposición prevé varias medidas dirigidas a </w:t>
      </w:r>
      <w:r w:rsidRPr="0096658B">
        <w:rPr>
          <w:rFonts w:ascii="Times New Roman" w:hAnsi="Times New Roman" w:cs="Times New Roman"/>
          <w:color w:val="000000" w:themeColor="text1"/>
          <w:lang w:val="es-ES_tradnl"/>
        </w:rPr>
        <w:t>garantizar la adecuada y efectiva participación de la</w:t>
      </w:r>
      <w:r w:rsidRPr="0096658B">
        <w:rPr>
          <w:rFonts w:ascii="Times New Roman" w:hAnsi="Times New Roman" w:cs="Times New Roman"/>
          <w:color w:val="000000" w:themeColor="text1"/>
          <w:lang w:val="es-ES_tradnl"/>
        </w:rPr>
        <w:t>s</w:t>
      </w:r>
      <w:r w:rsidRPr="0096658B">
        <w:rPr>
          <w:rFonts w:ascii="Times New Roman" w:hAnsi="Times New Roman" w:cs="Times New Roman"/>
          <w:color w:val="000000" w:themeColor="text1"/>
          <w:lang w:val="es-ES_tradnl"/>
        </w:rPr>
        <w:t xml:space="preserve"> mujer</w:t>
      </w:r>
      <w:r w:rsidRPr="0096658B">
        <w:rPr>
          <w:rFonts w:ascii="Times New Roman" w:hAnsi="Times New Roman" w:cs="Times New Roman"/>
          <w:color w:val="000000" w:themeColor="text1"/>
          <w:lang w:val="es-ES_tradnl"/>
        </w:rPr>
        <w:t>es</w:t>
      </w:r>
      <w:r w:rsidRPr="0096658B">
        <w:rPr>
          <w:rFonts w:ascii="Times New Roman" w:hAnsi="Times New Roman" w:cs="Times New Roman"/>
          <w:color w:val="000000" w:themeColor="text1"/>
          <w:lang w:val="es-ES_tradnl"/>
        </w:rPr>
        <w:t xml:space="preserve"> en los niveles decisiones de las diferentes ramas y órganos del poder público, entre ellas </w:t>
      </w:r>
      <w:r w:rsidRPr="0096658B">
        <w:rPr>
          <w:rFonts w:ascii="Times New Roman" w:hAnsi="Times New Roman" w:cs="Times New Roman"/>
          <w:i/>
          <w:iCs/>
          <w:color w:val="000000" w:themeColor="text1"/>
          <w:lang w:val="es-ES_tradnl"/>
        </w:rPr>
        <w:t>(i)</w:t>
      </w:r>
      <w:r w:rsidRPr="0096658B">
        <w:rPr>
          <w:rFonts w:ascii="Times New Roman" w:hAnsi="Times New Roman" w:cs="Times New Roman"/>
          <w:color w:val="000000" w:themeColor="text1"/>
          <w:lang w:val="es-ES_tradnl"/>
        </w:rPr>
        <w:t xml:space="preserve"> la fijación de </w:t>
      </w:r>
      <w:r w:rsidRPr="0096658B">
        <w:rPr>
          <w:rFonts w:ascii="Times New Roman" w:hAnsi="Times New Roman" w:cs="Times New Roman"/>
          <w:color w:val="000000" w:themeColor="text1"/>
          <w:lang w:val="es-ES_tradnl"/>
        </w:rPr>
        <w:t>la cuota mínima de participación de las mujeres del 30% en los CMND y de CND</w:t>
      </w:r>
      <w:r w:rsidRPr="0096658B">
        <w:rPr>
          <w:rFonts w:ascii="Times New Roman" w:hAnsi="Times New Roman" w:cs="Times New Roman"/>
          <w:color w:val="000000" w:themeColor="text1"/>
          <w:lang w:val="es-ES_tradnl"/>
        </w:rPr>
        <w:t>, con las excepciones prevista</w:t>
      </w:r>
      <w:r w:rsidRPr="0096658B">
        <w:rPr>
          <w:rFonts w:ascii="Times New Roman" w:hAnsi="Times New Roman" w:cs="Times New Roman"/>
          <w:color w:val="000000" w:themeColor="text1"/>
          <w:lang w:val="es-ES_tradnl"/>
        </w:rPr>
        <w:t>s</w:t>
      </w:r>
      <w:r w:rsidRPr="0096658B">
        <w:rPr>
          <w:rFonts w:ascii="Times New Roman" w:hAnsi="Times New Roman" w:cs="Times New Roman"/>
          <w:color w:val="000000" w:themeColor="text1"/>
          <w:lang w:val="es-ES_tradnl"/>
        </w:rPr>
        <w:t xml:space="preserve"> en dicha normatividad; </w:t>
      </w:r>
      <w:r w:rsidRPr="0096658B">
        <w:rPr>
          <w:rFonts w:ascii="Times New Roman" w:hAnsi="Times New Roman" w:cs="Times New Roman"/>
          <w:i/>
          <w:iCs/>
          <w:color w:val="000000" w:themeColor="text1"/>
          <w:lang w:val="es-ES_tradnl"/>
        </w:rPr>
        <w:t>(ii)</w:t>
      </w:r>
      <w:r w:rsidRPr="0096658B">
        <w:rPr>
          <w:rFonts w:ascii="Times New Roman" w:hAnsi="Times New Roman" w:cs="Times New Roman"/>
          <w:color w:val="000000" w:themeColor="text1"/>
          <w:lang w:val="es-ES_tradnl"/>
        </w:rPr>
        <w:t xml:space="preserve"> la obligación de inclusión de cuando menos una mujer en las ternas para</w:t>
      </w:r>
      <w:r w:rsidRPr="0096658B">
        <w:rPr>
          <w:rFonts w:ascii="Times New Roman" w:hAnsi="Times New Roman" w:cs="Times New Roman"/>
          <w:color w:val="000000" w:themeColor="text1"/>
          <w:lang w:val="es-ES_tradnl"/>
        </w:rPr>
        <w:t xml:space="preserve"> los cargos así provistos, así como la paridad en</w:t>
      </w:r>
      <w:r w:rsidRPr="0096658B">
        <w:rPr>
          <w:rFonts w:ascii="Times New Roman" w:hAnsi="Times New Roman" w:cs="Times New Roman"/>
          <w:color w:val="000000" w:themeColor="text1"/>
          <w:lang w:val="es-ES_tradnl"/>
        </w:rPr>
        <w:t xml:space="preserve"> las listas confeccionadas también para la provisión de cargos;</w:t>
      </w:r>
      <w:r w:rsidRPr="0096658B">
        <w:rPr>
          <w:rFonts w:ascii="Times New Roman" w:hAnsi="Times New Roman" w:cs="Times New Roman"/>
          <w:color w:val="000000" w:themeColor="text1"/>
          <w:lang w:val="es-ES_tradnl"/>
        </w:rPr>
        <w:t xml:space="preserve"> y</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i/>
          <w:iCs/>
          <w:color w:val="000000" w:themeColor="text1"/>
          <w:lang w:val="es-ES_tradnl"/>
        </w:rPr>
        <w:t>(iii)</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 xml:space="preserve">la paridad en la participación en los procesos de selección para el ingreso y ascenso en la carrera administrativa y en los sistemas especiales de carrera. </w:t>
      </w:r>
    </w:p>
    <w:p w:rsidR="004D47BC" w:rsidRPr="0096658B" w:rsidRDefault="0096658B" w:rsidP="004D47BC">
      <w:pPr>
        <w:pStyle w:val="Prrafodelista"/>
        <w:rPr>
          <w:rFonts w:ascii="Times New Roman" w:hAnsi="Times New Roman" w:cs="Times New Roman"/>
          <w:color w:val="000000" w:themeColor="text1"/>
          <w:lang w:val="es-ES_tradnl"/>
        </w:rPr>
      </w:pPr>
    </w:p>
    <w:p w:rsidR="004D47BC" w:rsidRPr="0096658B" w:rsidRDefault="0096658B" w:rsidP="002843A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La segunda es la estipulación prevista en el </w:t>
      </w:r>
      <w:r w:rsidRPr="0096658B">
        <w:rPr>
          <w:rFonts w:ascii="Times New Roman" w:hAnsi="Times New Roman" w:cs="Times New Roman"/>
          <w:color w:val="000000" w:themeColor="text1"/>
          <w:lang w:val="es-ES_tradnl"/>
        </w:rPr>
        <w:t>artículo 28 de la Ley 1475 de 2011, disposición que obliga a que las listas que conformen partidos y movimientos políticos para la provisión de más de cinco curules en corporaciones públicas cuenten con</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cuando </w:t>
      </w:r>
      <w:r w:rsidRPr="0096658B">
        <w:rPr>
          <w:rFonts w:ascii="Times New Roman" w:hAnsi="Times New Roman" w:cs="Times New Roman"/>
          <w:color w:val="000000" w:themeColor="text1"/>
          <w:lang w:val="es-ES_tradnl"/>
        </w:rPr>
        <w:t>menos</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el 30% de candidatas. </w:t>
      </w:r>
    </w:p>
    <w:p w:rsidR="00B34F82" w:rsidRPr="0096658B" w:rsidRDefault="0096658B" w:rsidP="00B34F82">
      <w:pPr>
        <w:pStyle w:val="Prrafodelista"/>
        <w:rPr>
          <w:rFonts w:ascii="Times New Roman" w:hAnsi="Times New Roman" w:cs="Times New Roman"/>
          <w:color w:val="000000" w:themeColor="text1"/>
          <w:lang w:val="es-ES_tradnl"/>
        </w:rPr>
      </w:pPr>
    </w:p>
    <w:p w:rsidR="00AF115C" w:rsidRPr="0096658B" w:rsidRDefault="0096658B" w:rsidP="002843A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Como se observa, estas medidas fijan cuotas nominales obligatorias de participación, las cuales operan como instrumentos para la promoción del acceso de las mujeres a las responsabilidades del Estado. Aunque, como se ha indicado, tales medidas se insertan </w:t>
      </w:r>
      <w:r w:rsidRPr="0096658B">
        <w:rPr>
          <w:rFonts w:ascii="Times New Roman" w:hAnsi="Times New Roman" w:cs="Times New Roman"/>
          <w:color w:val="000000" w:themeColor="text1"/>
          <w:lang w:val="es-ES_tradnl"/>
        </w:rPr>
        <w:t xml:space="preserve">en el ámbito formal del derecho a la igualdad, existe consenso acerca de su utilidad para reducir las brechas de género en la esfera pública. Así por ejemplo, la jurisprudencia constitucional </w:t>
      </w:r>
      <w:r w:rsidRPr="0096658B">
        <w:rPr>
          <w:rFonts w:ascii="Times New Roman" w:hAnsi="Times New Roman" w:cs="Times New Roman"/>
          <w:color w:val="000000" w:themeColor="text1"/>
          <w:lang w:val="es-ES_tradnl"/>
        </w:rPr>
        <w:t xml:space="preserve">ha considerado que, de manera general, las medidas de cuota son </w:t>
      </w:r>
      <w:r w:rsidRPr="0096658B">
        <w:rPr>
          <w:rFonts w:ascii="Times New Roman" w:hAnsi="Times New Roman" w:cs="Times New Roman"/>
          <w:color w:val="000000" w:themeColor="text1"/>
          <w:lang w:val="es-ES_tradnl"/>
        </w:rPr>
        <w:t xml:space="preserve">desarrollos válidos del derecho a la igualdad de las mujeres, en </w:t>
      </w:r>
      <w:r w:rsidRPr="0096658B">
        <w:rPr>
          <w:rFonts w:ascii="Times New Roman" w:hAnsi="Times New Roman" w:cs="Times New Roman"/>
          <w:color w:val="000000" w:themeColor="text1"/>
          <w:lang w:val="es-ES_tradnl"/>
        </w:rPr>
        <w:t>tanto</w:t>
      </w:r>
      <w:r w:rsidRPr="0096658B">
        <w:rPr>
          <w:rFonts w:ascii="Times New Roman" w:hAnsi="Times New Roman" w:cs="Times New Roman"/>
          <w:color w:val="000000" w:themeColor="text1"/>
          <w:lang w:val="es-ES_tradnl"/>
        </w:rPr>
        <w:t xml:space="preserve"> permiten remover las barreras existentes para su participación en condiciones equitativas</w:t>
      </w:r>
      <w:r w:rsidRPr="0096658B">
        <w:rPr>
          <w:rFonts w:ascii="Times New Roman" w:hAnsi="Times New Roman" w:cs="Times New Roman"/>
          <w:color w:val="000000" w:themeColor="text1"/>
          <w:lang w:val="es-ES_tradnl"/>
        </w:rPr>
        <w:t xml:space="preserve"> y, a su vez, optimiza</w:t>
      </w:r>
      <w:r w:rsidRPr="0096658B">
        <w:rPr>
          <w:rFonts w:ascii="Times New Roman" w:hAnsi="Times New Roman" w:cs="Times New Roman"/>
          <w:color w:val="000000" w:themeColor="text1"/>
          <w:lang w:val="es-ES_tradnl"/>
        </w:rPr>
        <w:t>n</w:t>
      </w:r>
      <w:r w:rsidRPr="0096658B">
        <w:rPr>
          <w:rFonts w:ascii="Times New Roman" w:hAnsi="Times New Roman" w:cs="Times New Roman"/>
          <w:color w:val="000000" w:themeColor="text1"/>
          <w:lang w:val="es-ES_tradnl"/>
        </w:rPr>
        <w:t xml:space="preserve"> el valor constitucional del pluralismo</w:t>
      </w:r>
      <w:r w:rsidRPr="0096658B">
        <w:rPr>
          <w:rStyle w:val="Refdenotaalpie"/>
          <w:rFonts w:ascii="Times New Roman" w:hAnsi="Times New Roman"/>
          <w:color w:val="000000" w:themeColor="text1"/>
          <w:lang w:val="es-ES_tradnl"/>
        </w:rPr>
        <w:footnoteReference w:id="97"/>
      </w:r>
      <w:r w:rsidRPr="0096658B">
        <w:rPr>
          <w:rFonts w:ascii="Times New Roman" w:hAnsi="Times New Roman" w:cs="Times New Roman"/>
          <w:color w:val="000000" w:themeColor="text1"/>
          <w:lang w:val="es-ES_tradnl"/>
        </w:rPr>
        <w:t>. Esa perspectiva, entonces, se f</w:t>
      </w:r>
      <w:r w:rsidRPr="0096658B">
        <w:rPr>
          <w:rFonts w:ascii="Times New Roman" w:hAnsi="Times New Roman" w:cs="Times New Roman"/>
          <w:color w:val="000000" w:themeColor="text1"/>
          <w:lang w:val="es-ES_tradnl"/>
        </w:rPr>
        <w:t xml:space="preserve">unda en reconocer que la inclusión de las mujeres en las instancias decisorias y representativas </w:t>
      </w:r>
      <w:r w:rsidRPr="0096658B">
        <w:rPr>
          <w:rFonts w:ascii="Times New Roman" w:hAnsi="Times New Roman" w:cs="Times New Roman"/>
          <w:color w:val="000000" w:themeColor="text1"/>
          <w:lang w:val="es-ES_tradnl"/>
        </w:rPr>
        <w:t>no solo encuentra justificación en la vigencia del principio de igualdad, sino que, en sí misma, enriquece el debate público y democrático.</w:t>
      </w:r>
    </w:p>
    <w:p w:rsidR="00AF115C" w:rsidRPr="0096658B" w:rsidRDefault="0096658B" w:rsidP="00AF115C">
      <w:pPr>
        <w:pStyle w:val="Prrafodelista"/>
        <w:rPr>
          <w:rFonts w:ascii="Times New Roman" w:hAnsi="Times New Roman" w:cs="Times New Roman"/>
          <w:color w:val="000000" w:themeColor="text1"/>
          <w:lang w:val="es-ES_tradnl"/>
        </w:rPr>
      </w:pPr>
    </w:p>
    <w:p w:rsidR="00B34F82" w:rsidRPr="0096658B" w:rsidRDefault="0096658B" w:rsidP="002843A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Asimismo, desde la</w:t>
      </w:r>
      <w:r w:rsidRPr="0096658B">
        <w:rPr>
          <w:rFonts w:ascii="Times New Roman" w:hAnsi="Times New Roman" w:cs="Times New Roman"/>
          <w:color w:val="000000" w:themeColor="text1"/>
          <w:lang w:val="es-ES_tradnl"/>
        </w:rPr>
        <w:t xml:space="preserve"> doctrina comparada reciente se ha considerado que las medidas de cuota no solo logran una mayor participación de las mujeres desde la mencionada perspectiva nominal</w:t>
      </w:r>
      <w:r w:rsidRPr="0096658B">
        <w:rPr>
          <w:rStyle w:val="Refdenotaalpie"/>
          <w:rFonts w:ascii="Times New Roman" w:hAnsi="Times New Roman"/>
          <w:color w:val="000000" w:themeColor="text1"/>
          <w:lang w:val="es-ES_tradnl"/>
        </w:rPr>
        <w:footnoteReference w:id="98"/>
      </w:r>
      <w:r w:rsidRPr="0096658B">
        <w:rPr>
          <w:rFonts w:ascii="Times New Roman" w:hAnsi="Times New Roman" w:cs="Times New Roman"/>
          <w:color w:val="000000" w:themeColor="text1"/>
          <w:lang w:val="es-ES_tradnl"/>
        </w:rPr>
        <w:t>, sino que también</w:t>
      </w:r>
      <w:r w:rsidRPr="0096658B">
        <w:rPr>
          <w:rFonts w:ascii="Times New Roman" w:hAnsi="Times New Roman" w:cs="Times New Roman"/>
          <w:i/>
          <w:iCs/>
          <w:color w:val="000000" w:themeColor="text1"/>
          <w:lang w:val="es-ES_tradnl"/>
        </w:rPr>
        <w:t xml:space="preserve"> (i)</w:t>
      </w:r>
      <w:r w:rsidRPr="0096658B">
        <w:rPr>
          <w:rFonts w:ascii="Times New Roman" w:hAnsi="Times New Roman" w:cs="Times New Roman"/>
          <w:color w:val="000000" w:themeColor="text1"/>
          <w:lang w:val="es-ES_tradnl"/>
        </w:rPr>
        <w:t xml:space="preserve"> intensifican los procesos de inclusión de las demandas sociales de las mujeres en la agenda pública y en los niveles deci</w:t>
      </w:r>
      <w:r w:rsidRPr="0096658B">
        <w:rPr>
          <w:rFonts w:ascii="Times New Roman" w:hAnsi="Times New Roman" w:cs="Times New Roman"/>
          <w:color w:val="000000" w:themeColor="text1"/>
          <w:lang w:val="es-ES_tradnl"/>
        </w:rPr>
        <w:t xml:space="preserve">sorios del Estado; y </w:t>
      </w:r>
      <w:r w:rsidRPr="0096658B">
        <w:rPr>
          <w:rFonts w:ascii="Times New Roman" w:hAnsi="Times New Roman" w:cs="Times New Roman"/>
          <w:i/>
          <w:iCs/>
          <w:color w:val="000000" w:themeColor="text1"/>
          <w:lang w:val="es-ES_tradnl"/>
        </w:rPr>
        <w:t>(ii)</w:t>
      </w:r>
      <w:r w:rsidRPr="0096658B">
        <w:rPr>
          <w:rFonts w:ascii="Times New Roman" w:hAnsi="Times New Roman" w:cs="Times New Roman"/>
          <w:color w:val="000000" w:themeColor="text1"/>
          <w:lang w:val="es-ES_tradnl"/>
        </w:rPr>
        <w:t xml:space="preserve"> sirven de vehículo para crear nuevos mecanismos de inclusión de las mujeres en diferentes ámbitos y reforzar</w:t>
      </w:r>
      <w:r w:rsidRPr="0096658B">
        <w:rPr>
          <w:rFonts w:ascii="Times New Roman" w:hAnsi="Times New Roman" w:cs="Times New Roman"/>
          <w:color w:val="000000" w:themeColor="text1"/>
          <w:lang w:val="es-ES_tradnl"/>
        </w:rPr>
        <w:t xml:space="preserve"> los existentes</w:t>
      </w:r>
      <w:r w:rsidRPr="0096658B">
        <w:rPr>
          <w:rStyle w:val="Refdenotaalpie"/>
          <w:rFonts w:ascii="Times New Roman" w:hAnsi="Times New Roman"/>
          <w:color w:val="000000" w:themeColor="text1"/>
          <w:lang w:val="es-ES_tradnl"/>
        </w:rPr>
        <w:footnoteReference w:id="99"/>
      </w:r>
      <w:r w:rsidRPr="0096658B">
        <w:rPr>
          <w:rFonts w:ascii="Times New Roman" w:hAnsi="Times New Roman" w:cs="Times New Roman"/>
          <w:color w:val="000000" w:themeColor="text1"/>
          <w:lang w:val="es-ES_tradnl"/>
        </w:rPr>
        <w:t>.</w:t>
      </w:r>
    </w:p>
    <w:p w:rsidR="002C335A" w:rsidRPr="0096658B" w:rsidRDefault="0096658B" w:rsidP="002C335A">
      <w:pPr>
        <w:pStyle w:val="Prrafodelista"/>
        <w:rPr>
          <w:rFonts w:ascii="Times New Roman" w:hAnsi="Times New Roman" w:cs="Times New Roman"/>
          <w:color w:val="000000" w:themeColor="text1"/>
          <w:lang w:val="es-ES_tradnl"/>
        </w:rPr>
      </w:pPr>
    </w:p>
    <w:p w:rsidR="002C335A" w:rsidRPr="0096658B" w:rsidRDefault="0096658B" w:rsidP="002843A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En conclusión, </w:t>
      </w:r>
      <w:r w:rsidRPr="0096658B">
        <w:rPr>
          <w:rFonts w:ascii="Times New Roman" w:hAnsi="Times New Roman" w:cs="Times New Roman"/>
          <w:color w:val="000000" w:themeColor="text1"/>
          <w:lang w:val="es-ES_tradnl"/>
        </w:rPr>
        <w:t>la participación de las mujeres en la esfera pública, en particular en los niveles decisorios del Estado, es una consecuencia necesaria de la satisfacción del derecho a la igualdad y el perfeccionamiento del valor constitu</w:t>
      </w:r>
      <w:r w:rsidRPr="0096658B">
        <w:rPr>
          <w:rFonts w:ascii="Times New Roman" w:hAnsi="Times New Roman" w:cs="Times New Roman"/>
          <w:color w:val="000000" w:themeColor="text1"/>
          <w:lang w:val="es-ES_tradnl"/>
        </w:rPr>
        <w:t>cional del pluralismo. Así, el logro de una participación equitativa entre los géneros, que responda a la composición demográfica de la sociedad y la necesidad de garantizar la remoción de barreras en contra de las minorías históricamente discriminadas, es</w:t>
      </w:r>
      <w:r w:rsidRPr="0096658B">
        <w:rPr>
          <w:rFonts w:ascii="Times New Roman" w:hAnsi="Times New Roman" w:cs="Times New Roman"/>
          <w:color w:val="000000" w:themeColor="text1"/>
          <w:lang w:val="es-ES_tradnl"/>
        </w:rPr>
        <w:t xml:space="preserve"> un objetivo central y permanente del Estado. Uno de los instrumentos, aunque por supuesto no el único, para lograr ese objetivo es la previsión de disposiciones que establezcan cuotas mínimas de participación. Con todo, estos mecanismos deben ser necesari</w:t>
      </w:r>
      <w:r w:rsidRPr="0096658B">
        <w:rPr>
          <w:rFonts w:ascii="Times New Roman" w:hAnsi="Times New Roman" w:cs="Times New Roman"/>
          <w:color w:val="000000" w:themeColor="text1"/>
          <w:lang w:val="es-ES_tradnl"/>
        </w:rPr>
        <w:t xml:space="preserve">amente complementados por otros </w:t>
      </w:r>
      <w:r w:rsidRPr="0096658B">
        <w:rPr>
          <w:rFonts w:ascii="Times New Roman" w:hAnsi="Times New Roman" w:cs="Times New Roman"/>
          <w:color w:val="000000" w:themeColor="text1"/>
          <w:lang w:val="es-ES_tradnl"/>
        </w:rPr>
        <w:t xml:space="preserve">que </w:t>
      </w:r>
      <w:r w:rsidRPr="0096658B">
        <w:rPr>
          <w:rFonts w:ascii="Times New Roman" w:hAnsi="Times New Roman" w:cs="Times New Roman"/>
          <w:color w:val="000000" w:themeColor="text1"/>
          <w:lang w:val="es-ES_tradnl"/>
        </w:rPr>
        <w:t>adicione</w:t>
      </w:r>
      <w:r w:rsidRPr="0096658B">
        <w:rPr>
          <w:rFonts w:ascii="Times New Roman" w:hAnsi="Times New Roman" w:cs="Times New Roman"/>
          <w:color w:val="000000" w:themeColor="text1"/>
          <w:lang w:val="es-ES_tradnl"/>
        </w:rPr>
        <w:t xml:space="preserve">n la faceta material del derecho a la igualdad </w:t>
      </w:r>
      <w:r w:rsidRPr="0096658B">
        <w:rPr>
          <w:rFonts w:ascii="Times New Roman" w:hAnsi="Times New Roman" w:cs="Times New Roman"/>
          <w:color w:val="000000" w:themeColor="text1"/>
          <w:lang w:val="es-ES_tradnl"/>
        </w:rPr>
        <w:t>mediante</w:t>
      </w:r>
      <w:r w:rsidRPr="0096658B">
        <w:rPr>
          <w:rFonts w:ascii="Times New Roman" w:hAnsi="Times New Roman" w:cs="Times New Roman"/>
          <w:color w:val="000000" w:themeColor="text1"/>
          <w:lang w:val="es-ES_tradnl"/>
        </w:rPr>
        <w:t xml:space="preserve"> la adopción de un enfoque de género. </w:t>
      </w:r>
    </w:p>
    <w:p w:rsidR="00B71B99" w:rsidRPr="0096658B" w:rsidRDefault="0096658B" w:rsidP="00B71B99">
      <w:pPr>
        <w:pStyle w:val="Prrafodelista"/>
        <w:rPr>
          <w:rFonts w:ascii="Times New Roman" w:hAnsi="Times New Roman" w:cs="Times New Roman"/>
          <w:color w:val="000000" w:themeColor="text1"/>
          <w:lang w:val="es-ES_tradnl"/>
        </w:rPr>
      </w:pPr>
    </w:p>
    <w:p w:rsidR="00B71B99" w:rsidRPr="0096658B" w:rsidRDefault="0096658B" w:rsidP="00B71B99">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b/>
          <w:bCs/>
          <w:color w:val="000000" w:themeColor="text1"/>
          <w:lang w:val="es-ES_tradnl"/>
        </w:rPr>
      </w:pPr>
      <w:r w:rsidRPr="0096658B">
        <w:rPr>
          <w:rFonts w:ascii="Times New Roman" w:hAnsi="Times New Roman" w:cs="Times New Roman"/>
          <w:b/>
          <w:bCs/>
          <w:color w:val="000000" w:themeColor="text1"/>
          <w:lang w:val="es-ES_tradnl"/>
        </w:rPr>
        <w:t xml:space="preserve">Normas del derecho internacional </w:t>
      </w:r>
      <w:r w:rsidRPr="0096658B">
        <w:rPr>
          <w:rFonts w:ascii="Times New Roman" w:hAnsi="Times New Roman" w:cs="Times New Roman"/>
          <w:b/>
          <w:bCs/>
          <w:color w:val="000000" w:themeColor="text1"/>
          <w:lang w:val="es-ES_tradnl"/>
        </w:rPr>
        <w:t>de los derechos humanos</w:t>
      </w:r>
      <w:r w:rsidRPr="0096658B">
        <w:rPr>
          <w:rFonts w:ascii="Times New Roman" w:hAnsi="Times New Roman" w:cs="Times New Roman"/>
          <w:b/>
          <w:bCs/>
          <w:color w:val="000000" w:themeColor="text1"/>
          <w:lang w:val="es-ES_tradnl"/>
        </w:rPr>
        <w:t xml:space="preserve"> que prevén la paridad de género en el ejercicio del poder político</w:t>
      </w:r>
    </w:p>
    <w:p w:rsidR="00B71B99" w:rsidRPr="0096658B" w:rsidRDefault="0096658B" w:rsidP="00B71B99">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b/>
          <w:bCs/>
          <w:color w:val="000000" w:themeColor="text1"/>
          <w:lang w:val="es-ES_tradnl"/>
        </w:rPr>
      </w:pPr>
    </w:p>
    <w:p w:rsidR="00B71B99" w:rsidRPr="0096658B" w:rsidRDefault="0096658B" w:rsidP="002843A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Además de las previsiones constitucionales antes explicadas, existe un robusto grupo de disposiciones del derecho internacional de los derechos humanos, </w:t>
      </w:r>
      <w:r w:rsidRPr="0096658B">
        <w:rPr>
          <w:rFonts w:ascii="Times New Roman" w:hAnsi="Times New Roman" w:cs="Times New Roman"/>
          <w:color w:val="000000" w:themeColor="text1"/>
          <w:lang w:val="es-ES_tradnl"/>
        </w:rPr>
        <w:t xml:space="preserve">que establecen reglas específicas </w:t>
      </w:r>
      <w:r w:rsidRPr="0096658B">
        <w:rPr>
          <w:rFonts w:ascii="Times New Roman" w:hAnsi="Times New Roman" w:cs="Times New Roman"/>
          <w:color w:val="000000" w:themeColor="text1"/>
          <w:lang w:val="es-ES_tradnl"/>
        </w:rPr>
        <w:t>sobre la obligación de los Estados de promover y garantizar la equidad de género en los cargos de representación política y, en particular, de la dirección del Estado. Estas disposiciones, al estar contenidas en instrumentos internacionales ratificados por</w:t>
      </w:r>
      <w:r w:rsidRPr="0096658B">
        <w:rPr>
          <w:rFonts w:ascii="Times New Roman" w:hAnsi="Times New Roman" w:cs="Times New Roman"/>
          <w:color w:val="000000" w:themeColor="text1"/>
          <w:lang w:val="es-ES_tradnl"/>
        </w:rPr>
        <w:t xml:space="preserve"> Colombia, hacen parte del bloque de constitucionalidad y, en consecuencia, integran el parámetro de control judicial de las disposiciones del PLE. </w:t>
      </w:r>
    </w:p>
    <w:p w:rsidR="00946CFA" w:rsidRPr="0096658B" w:rsidRDefault="0096658B" w:rsidP="00946CFA">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color w:val="000000" w:themeColor="text1"/>
          <w:lang w:val="es-ES_tradnl"/>
        </w:rPr>
      </w:pPr>
    </w:p>
    <w:p w:rsidR="00946CFA" w:rsidRPr="0096658B" w:rsidRDefault="0096658B" w:rsidP="002843A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iCs/>
          <w:color w:val="000000" w:themeColor="text1"/>
          <w:lang w:val="es-ES_tradnl"/>
        </w:rPr>
        <w:t xml:space="preserve">Provisiones generales. </w:t>
      </w:r>
      <w:r w:rsidRPr="0096658B">
        <w:rPr>
          <w:rFonts w:ascii="Times New Roman" w:hAnsi="Times New Roman" w:cs="Times New Roman"/>
          <w:color w:val="000000" w:themeColor="text1"/>
          <w:lang w:val="es-ES_tradnl"/>
        </w:rPr>
        <w:t xml:space="preserve">El artículo 25 del Pacto Internacional de Derechos Civiles y Políticos </w:t>
      </w:r>
      <w:r w:rsidRPr="0096658B">
        <w:rPr>
          <w:rFonts w:ascii="Times New Roman" w:hAnsi="Times New Roman" w:cs="Times New Roman"/>
          <w:color w:val="000000" w:themeColor="text1"/>
          <w:lang w:val="es-ES_tradnl"/>
        </w:rPr>
        <w:t xml:space="preserve">(PIDCP) </w:t>
      </w:r>
      <w:r w:rsidRPr="0096658B">
        <w:rPr>
          <w:rFonts w:ascii="Times New Roman" w:hAnsi="Times New Roman" w:cs="Times New Roman"/>
          <w:color w:val="000000" w:themeColor="text1"/>
          <w:lang w:val="es-ES_tradnl"/>
        </w:rPr>
        <w:t>esta</w:t>
      </w:r>
      <w:r w:rsidRPr="0096658B">
        <w:rPr>
          <w:rFonts w:ascii="Times New Roman" w:hAnsi="Times New Roman" w:cs="Times New Roman"/>
          <w:color w:val="000000" w:themeColor="text1"/>
          <w:lang w:val="es-ES_tradnl"/>
        </w:rPr>
        <w:t xml:space="preserve">blece que todos los ciudadanos gozarán, sin ninguna distinción de, entre otros criterios, su sexo, de los derechos y oportunidades a </w:t>
      </w:r>
      <w:r w:rsidRPr="0096658B">
        <w:rPr>
          <w:rFonts w:ascii="Times New Roman" w:hAnsi="Times New Roman" w:cs="Times New Roman"/>
          <w:i/>
          <w:iCs/>
          <w:color w:val="000000" w:themeColor="text1"/>
          <w:lang w:val="es-ES_tradnl"/>
        </w:rPr>
        <w:t>(i)</w:t>
      </w:r>
      <w:r w:rsidRPr="0096658B">
        <w:rPr>
          <w:rFonts w:ascii="Times New Roman" w:hAnsi="Times New Roman" w:cs="Times New Roman"/>
          <w:color w:val="000000" w:themeColor="text1"/>
          <w:lang w:val="es-ES_tradnl"/>
        </w:rPr>
        <w:t xml:space="preserve"> participar en la dirección de los asuntos públicos, directamente o por medio de representantes libremente elegidos; </w:t>
      </w:r>
      <w:r w:rsidRPr="0096658B">
        <w:rPr>
          <w:rFonts w:ascii="Times New Roman" w:hAnsi="Times New Roman" w:cs="Times New Roman"/>
          <w:i/>
          <w:iCs/>
          <w:color w:val="000000" w:themeColor="text1"/>
          <w:lang w:val="es-ES_tradnl"/>
        </w:rPr>
        <w:t>(ii</w:t>
      </w:r>
      <w:r w:rsidRPr="0096658B">
        <w:rPr>
          <w:rFonts w:ascii="Times New Roman" w:hAnsi="Times New Roman" w:cs="Times New Roman"/>
          <w:i/>
          <w:iCs/>
          <w:color w:val="000000" w:themeColor="text1"/>
          <w:lang w:val="es-ES_tradnl"/>
        </w:rPr>
        <w:t>)</w:t>
      </w:r>
      <w:r w:rsidRPr="0096658B">
        <w:rPr>
          <w:rFonts w:ascii="Times New Roman" w:hAnsi="Times New Roman" w:cs="Times New Roman"/>
          <w:color w:val="000000" w:themeColor="text1"/>
          <w:lang w:val="es-ES_tradnl"/>
        </w:rPr>
        <w:t xml:space="preserve"> votar y ser elegidos en elecciones periódicas, auténticas, realizadas por sufragio universal e igual y por voto secreto que garantice la libre expresión </w:t>
      </w:r>
      <w:r w:rsidRPr="0096658B">
        <w:rPr>
          <w:rFonts w:ascii="Times New Roman" w:hAnsi="Times New Roman" w:cs="Times New Roman"/>
          <w:color w:val="000000" w:themeColor="text1"/>
          <w:lang w:val="es-ES_tradnl"/>
        </w:rPr>
        <w:t xml:space="preserve">de la voluntad de los electores; y </w:t>
      </w:r>
      <w:r w:rsidRPr="0096658B">
        <w:rPr>
          <w:rFonts w:ascii="Times New Roman" w:hAnsi="Times New Roman" w:cs="Times New Roman"/>
          <w:i/>
          <w:iCs/>
          <w:color w:val="000000" w:themeColor="text1"/>
          <w:lang w:val="es-ES_tradnl"/>
        </w:rPr>
        <w:t>(iii)</w:t>
      </w:r>
      <w:r w:rsidRPr="0096658B">
        <w:rPr>
          <w:rFonts w:ascii="Times New Roman" w:hAnsi="Times New Roman" w:cs="Times New Roman"/>
          <w:color w:val="000000" w:themeColor="text1"/>
          <w:lang w:val="es-ES_tradnl"/>
        </w:rPr>
        <w:t xml:space="preserve"> acceder, en condiciones generales de igualdad, a las funcion</w:t>
      </w:r>
      <w:r w:rsidRPr="0096658B">
        <w:rPr>
          <w:rFonts w:ascii="Times New Roman" w:hAnsi="Times New Roman" w:cs="Times New Roman"/>
          <w:color w:val="000000" w:themeColor="text1"/>
          <w:lang w:val="es-ES_tradnl"/>
        </w:rPr>
        <w:t xml:space="preserve">es públicas en su país. </w:t>
      </w:r>
    </w:p>
    <w:p w:rsidR="006D0888" w:rsidRPr="0096658B" w:rsidRDefault="0096658B" w:rsidP="006D0888">
      <w:pPr>
        <w:pStyle w:val="Prrafodelista"/>
        <w:rPr>
          <w:rFonts w:ascii="Times New Roman" w:hAnsi="Times New Roman" w:cs="Times New Roman"/>
          <w:color w:val="000000" w:themeColor="text1"/>
          <w:lang w:val="es-ES_tradnl"/>
        </w:rPr>
      </w:pPr>
    </w:p>
    <w:p w:rsidR="006D0888" w:rsidRPr="0096658B" w:rsidRDefault="0096658B" w:rsidP="002843A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Una disposición de similares características está </w:t>
      </w:r>
      <w:r w:rsidRPr="0096658B">
        <w:rPr>
          <w:rFonts w:ascii="Times New Roman" w:hAnsi="Times New Roman" w:cs="Times New Roman"/>
          <w:color w:val="000000" w:themeColor="text1"/>
          <w:lang w:val="es-ES_tradnl"/>
        </w:rPr>
        <w:t>contenida en el artículo 23 de la Convención Americana sobre Derechos Humanos</w:t>
      </w:r>
      <w:r w:rsidRPr="0096658B">
        <w:rPr>
          <w:rFonts w:ascii="Times New Roman" w:hAnsi="Times New Roman" w:cs="Times New Roman"/>
          <w:color w:val="000000" w:themeColor="text1"/>
          <w:lang w:val="es-ES_tradnl"/>
        </w:rPr>
        <w:t xml:space="preserve"> (CADH)</w:t>
      </w:r>
      <w:r w:rsidRPr="0096658B">
        <w:rPr>
          <w:rStyle w:val="Refdenotaalpie"/>
          <w:rFonts w:ascii="Times New Roman" w:hAnsi="Times New Roman"/>
          <w:color w:val="000000" w:themeColor="text1"/>
          <w:lang w:val="es-ES_tradnl"/>
        </w:rPr>
        <w:footnoteReference w:id="100"/>
      </w:r>
      <w:r w:rsidRPr="0096658B">
        <w:rPr>
          <w:rFonts w:ascii="Times New Roman" w:hAnsi="Times New Roman" w:cs="Times New Roman"/>
          <w:color w:val="000000" w:themeColor="text1"/>
          <w:lang w:val="es-ES_tradnl"/>
        </w:rPr>
        <w:t>. Con todo,</w:t>
      </w:r>
      <w:r w:rsidRPr="0096658B">
        <w:rPr>
          <w:rFonts w:ascii="Times New Roman" w:hAnsi="Times New Roman" w:cs="Times New Roman"/>
          <w:color w:val="000000" w:themeColor="text1"/>
          <w:lang w:val="es-ES_tradnl"/>
        </w:rPr>
        <w:t xml:space="preserve"> debe destacarse que esta </w:t>
      </w:r>
      <w:r w:rsidRPr="0096658B">
        <w:rPr>
          <w:rFonts w:ascii="Times New Roman" w:hAnsi="Times New Roman" w:cs="Times New Roman"/>
          <w:color w:val="000000" w:themeColor="text1"/>
          <w:lang w:val="es-ES_tradnl"/>
        </w:rPr>
        <w:t>disposición</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señala la posibilidad</w:t>
      </w:r>
      <w:r w:rsidRPr="0096658B">
        <w:rPr>
          <w:rFonts w:ascii="Times New Roman" w:hAnsi="Times New Roman" w:cs="Times New Roman"/>
          <w:color w:val="000000" w:themeColor="text1"/>
          <w:lang w:val="es-ES_tradnl"/>
        </w:rPr>
        <w:t xml:space="preserve"> de</w:t>
      </w:r>
      <w:r w:rsidRPr="0096658B">
        <w:rPr>
          <w:rFonts w:ascii="Times New Roman" w:hAnsi="Times New Roman" w:cs="Times New Roman"/>
          <w:color w:val="000000" w:themeColor="text1"/>
          <w:lang w:val="es-ES_tradnl"/>
        </w:rPr>
        <w:t xml:space="preserve"> que la ley reglamente el ejercicio de los mencionados derechos y oportunidades exclusivamente por </w:t>
      </w:r>
      <w:r w:rsidRPr="0096658B">
        <w:rPr>
          <w:rFonts w:ascii="Times New Roman" w:hAnsi="Times New Roman" w:cs="Times New Roman"/>
          <w:color w:val="000000" w:themeColor="text1"/>
          <w:lang w:val="es-ES_tradnl"/>
        </w:rPr>
        <w:t>razones</w:t>
      </w:r>
      <w:r w:rsidRPr="0096658B">
        <w:rPr>
          <w:rFonts w:ascii="Times New Roman" w:hAnsi="Times New Roman" w:cs="Times New Roman"/>
          <w:color w:val="000000" w:themeColor="text1"/>
          <w:lang w:val="es-ES_tradnl"/>
        </w:rPr>
        <w:t xml:space="preserve"> de edad, nacionalidad, residencia, idioma, instrucción, capacidad civil o mental o por condena por juez competente en proceso penal. Nótese que se ex</w:t>
      </w:r>
      <w:r w:rsidRPr="0096658B">
        <w:rPr>
          <w:rFonts w:ascii="Times New Roman" w:hAnsi="Times New Roman" w:cs="Times New Roman"/>
          <w:color w:val="000000" w:themeColor="text1"/>
          <w:lang w:val="es-ES_tradnl"/>
        </w:rPr>
        <w:t>cluye la posibilidad de distinguir</w:t>
      </w:r>
      <w:r w:rsidRPr="0096658B">
        <w:rPr>
          <w:rFonts w:ascii="Times New Roman" w:hAnsi="Times New Roman" w:cs="Times New Roman"/>
          <w:color w:val="000000" w:themeColor="text1"/>
          <w:lang w:val="es-ES_tradnl"/>
        </w:rPr>
        <w:t xml:space="preserve"> en el ejercicio de los derechos políticos en razón del sexo</w:t>
      </w:r>
      <w:r w:rsidRPr="0096658B">
        <w:rPr>
          <w:rFonts w:ascii="Times New Roman" w:hAnsi="Times New Roman" w:cs="Times New Roman"/>
          <w:color w:val="000000" w:themeColor="text1"/>
          <w:lang w:val="es-ES_tradnl"/>
        </w:rPr>
        <w:t>, lo cual otorga carácter inalienable a la participación equitativa de las mujeres en l</w:t>
      </w:r>
      <w:r w:rsidRPr="0096658B">
        <w:rPr>
          <w:rFonts w:ascii="Times New Roman" w:hAnsi="Times New Roman" w:cs="Times New Roman"/>
          <w:color w:val="000000" w:themeColor="text1"/>
          <w:lang w:val="es-ES_tradnl"/>
        </w:rPr>
        <w:t>o</w:t>
      </w:r>
      <w:r w:rsidRPr="0096658B">
        <w:rPr>
          <w:rFonts w:ascii="Times New Roman" w:hAnsi="Times New Roman" w:cs="Times New Roman"/>
          <w:color w:val="000000" w:themeColor="text1"/>
          <w:lang w:val="es-ES_tradnl"/>
        </w:rPr>
        <w:t xml:space="preserve">s cargos de elección y de dirección de los asuntos públicos. </w:t>
      </w:r>
    </w:p>
    <w:p w:rsidR="006D0888" w:rsidRPr="0096658B" w:rsidRDefault="0096658B" w:rsidP="006D0888">
      <w:pPr>
        <w:pStyle w:val="Prrafodelista"/>
        <w:rPr>
          <w:rFonts w:ascii="Times New Roman" w:hAnsi="Times New Roman" w:cs="Times New Roman"/>
          <w:color w:val="000000" w:themeColor="text1"/>
          <w:lang w:val="es-ES_tradnl"/>
        </w:rPr>
      </w:pPr>
    </w:p>
    <w:p w:rsidR="009B22CE" w:rsidRPr="0096658B" w:rsidRDefault="0096658B" w:rsidP="002843A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iCs/>
          <w:color w:val="000000" w:themeColor="text1"/>
          <w:lang w:val="es-ES_tradnl"/>
        </w:rPr>
        <w:t xml:space="preserve">Provisiones específicas. </w:t>
      </w:r>
      <w:r w:rsidRPr="0096658B">
        <w:rPr>
          <w:rFonts w:ascii="Times New Roman" w:hAnsi="Times New Roman" w:cs="Times New Roman"/>
          <w:color w:val="000000" w:themeColor="text1"/>
          <w:lang w:val="es-ES_tradnl"/>
        </w:rPr>
        <w:t xml:space="preserve">En lo que respecta a </w:t>
      </w:r>
      <w:r w:rsidRPr="0096658B">
        <w:rPr>
          <w:rFonts w:ascii="Times New Roman" w:hAnsi="Times New Roman" w:cs="Times New Roman"/>
          <w:color w:val="000000" w:themeColor="text1"/>
          <w:lang w:val="es-ES_tradnl"/>
        </w:rPr>
        <w:t xml:space="preserve">disposiciones </w:t>
      </w:r>
      <w:r w:rsidRPr="0096658B">
        <w:rPr>
          <w:rFonts w:ascii="Times New Roman" w:hAnsi="Times New Roman" w:cs="Times New Roman"/>
          <w:color w:val="000000" w:themeColor="text1"/>
          <w:lang w:val="es-ES_tradnl"/>
        </w:rPr>
        <w:t xml:space="preserve">específicas sobre los derechos humanos de las mujeres, </w:t>
      </w:r>
      <w:r w:rsidRPr="0096658B">
        <w:rPr>
          <w:rFonts w:ascii="Times New Roman" w:hAnsi="Times New Roman" w:cs="Times New Roman"/>
          <w:color w:val="000000" w:themeColor="text1"/>
          <w:lang w:val="es-ES_tradnl"/>
        </w:rPr>
        <w:t xml:space="preserve">el artículo 7º de la CEDAW define la obligación de los Estados de adoptar las medidas apropiadas para garantizar a las mujeres, “en igualdad </w:t>
      </w:r>
      <w:r w:rsidRPr="0096658B">
        <w:rPr>
          <w:rFonts w:ascii="Times New Roman" w:hAnsi="Times New Roman" w:cs="Times New Roman"/>
          <w:color w:val="000000" w:themeColor="text1"/>
          <w:lang w:val="es-ES_tradnl"/>
        </w:rPr>
        <w:t xml:space="preserve">de condiciones con los hombres” el derecho a </w:t>
      </w:r>
      <w:r w:rsidRPr="0096658B">
        <w:rPr>
          <w:rFonts w:ascii="Times New Roman" w:hAnsi="Times New Roman" w:cs="Times New Roman"/>
          <w:i/>
          <w:iCs/>
          <w:color w:val="000000" w:themeColor="text1"/>
          <w:lang w:val="es-ES_tradnl"/>
        </w:rPr>
        <w:t>(i)</w:t>
      </w:r>
      <w:r w:rsidRPr="0096658B">
        <w:rPr>
          <w:rFonts w:ascii="Times New Roman" w:hAnsi="Times New Roman" w:cs="Times New Roman"/>
          <w:color w:val="000000" w:themeColor="text1"/>
          <w:lang w:val="es-ES_tradnl"/>
        </w:rPr>
        <w:t xml:space="preserve"> votar en todas las elecciones y referendos públicos y ser elegibles para todos los organismos cuyos miembros sean objeto de elecci</w:t>
      </w:r>
      <w:r w:rsidRPr="0096658B">
        <w:rPr>
          <w:rFonts w:ascii="Times New Roman" w:hAnsi="Times New Roman" w:cs="Times New Roman"/>
          <w:color w:val="000000" w:themeColor="text1"/>
          <w:lang w:val="es-ES_tradnl"/>
        </w:rPr>
        <w:t xml:space="preserve">ones públicas; </w:t>
      </w:r>
      <w:r w:rsidRPr="0096658B">
        <w:rPr>
          <w:rFonts w:ascii="Times New Roman" w:hAnsi="Times New Roman" w:cs="Times New Roman"/>
          <w:i/>
          <w:iCs/>
          <w:color w:val="000000" w:themeColor="text1"/>
          <w:lang w:val="es-ES_tradnl"/>
        </w:rPr>
        <w:t>(ii)</w:t>
      </w:r>
      <w:r w:rsidRPr="0096658B">
        <w:rPr>
          <w:rFonts w:ascii="Times New Roman" w:hAnsi="Times New Roman" w:cs="Times New Roman"/>
          <w:color w:val="000000" w:themeColor="text1"/>
          <w:lang w:val="es-ES_tradnl"/>
        </w:rPr>
        <w:t xml:space="preserve"> participar en la formulación de las políticas gubernamentales y en la ejecución de éstas, y ocupar cargos públicos y ejercer todas las funciones públicas en todos los planos gubernamentales; y </w:t>
      </w:r>
      <w:r w:rsidRPr="0096658B">
        <w:rPr>
          <w:rFonts w:ascii="Times New Roman" w:hAnsi="Times New Roman" w:cs="Times New Roman"/>
          <w:i/>
          <w:iCs/>
          <w:color w:val="000000" w:themeColor="text1"/>
          <w:lang w:val="es-ES_tradnl"/>
        </w:rPr>
        <w:t>(iii)</w:t>
      </w:r>
      <w:r w:rsidRPr="0096658B">
        <w:rPr>
          <w:rFonts w:ascii="Times New Roman" w:hAnsi="Times New Roman" w:cs="Times New Roman"/>
          <w:color w:val="000000" w:themeColor="text1"/>
          <w:lang w:val="es-ES_tradnl"/>
        </w:rPr>
        <w:t xml:space="preserve"> participar en organizaciones no gubernamentales que se o</w:t>
      </w:r>
      <w:r w:rsidRPr="0096658B">
        <w:rPr>
          <w:rFonts w:ascii="Times New Roman" w:hAnsi="Times New Roman" w:cs="Times New Roman"/>
          <w:color w:val="000000" w:themeColor="text1"/>
          <w:lang w:val="es-ES_tradnl"/>
        </w:rPr>
        <w:t>cupen de la vida pública y política del país. A su turno y de manera similar, el artículo 8º de la CEDAW determina la obligación de los Estados de garantizar a las mujeres, en igualdad de condiciones con el hombre y sin discriminación alguna, la oportunida</w:t>
      </w:r>
      <w:r w:rsidRPr="0096658B">
        <w:rPr>
          <w:rFonts w:ascii="Times New Roman" w:hAnsi="Times New Roman" w:cs="Times New Roman"/>
          <w:color w:val="000000" w:themeColor="text1"/>
          <w:lang w:val="es-ES_tradnl"/>
        </w:rPr>
        <w:t xml:space="preserve">d de representar a su gobierno en el plano internacional y de participar </w:t>
      </w:r>
      <w:r w:rsidRPr="0096658B">
        <w:rPr>
          <w:rFonts w:ascii="Times New Roman" w:hAnsi="Times New Roman" w:cs="Times New Roman"/>
          <w:color w:val="000000" w:themeColor="text1"/>
          <w:lang w:val="es-ES_tradnl"/>
        </w:rPr>
        <w:t xml:space="preserve">en la labor de las organizaciones internacionales. </w:t>
      </w:r>
    </w:p>
    <w:p w:rsidR="00530B1C" w:rsidRPr="0096658B" w:rsidRDefault="0096658B" w:rsidP="00530B1C">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color w:val="000000" w:themeColor="text1"/>
          <w:lang w:val="es-ES_tradnl"/>
        </w:rPr>
      </w:pPr>
    </w:p>
    <w:p w:rsidR="00530B1C" w:rsidRPr="0096658B" w:rsidRDefault="0096658B" w:rsidP="002843A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Las </w:t>
      </w:r>
      <w:r w:rsidRPr="0096658B">
        <w:rPr>
          <w:rFonts w:ascii="Times New Roman" w:hAnsi="Times New Roman" w:cs="Times New Roman"/>
          <w:color w:val="000000" w:themeColor="text1"/>
          <w:lang w:val="es-ES_tradnl"/>
        </w:rPr>
        <w:t xml:space="preserve">normas </w:t>
      </w:r>
      <w:r w:rsidRPr="0096658B">
        <w:rPr>
          <w:rFonts w:ascii="Times New Roman" w:hAnsi="Times New Roman" w:cs="Times New Roman"/>
          <w:color w:val="000000" w:themeColor="text1"/>
          <w:lang w:val="es-ES_tradnl"/>
        </w:rPr>
        <w:t>del artículo 4º de la CEDAW resultan particularmente importantes para el control de constitucionalidad del PLE. En efec</w:t>
      </w:r>
      <w:r w:rsidRPr="0096658B">
        <w:rPr>
          <w:rFonts w:ascii="Times New Roman" w:hAnsi="Times New Roman" w:cs="Times New Roman"/>
          <w:color w:val="000000" w:themeColor="text1"/>
          <w:lang w:val="es-ES_tradnl"/>
        </w:rPr>
        <w:t>to, de acuerdo con esta disposición “la adopción por los Estados Partes de medi</w:t>
      </w:r>
      <w:r w:rsidRPr="0096658B">
        <w:rPr>
          <w:rFonts w:ascii="Times New Roman" w:hAnsi="Times New Roman" w:cs="Times New Roman"/>
          <w:color w:val="000000" w:themeColor="text1"/>
          <w:lang w:val="es-ES_tradnl"/>
        </w:rPr>
        <w:t>d</w:t>
      </w:r>
      <w:r w:rsidRPr="0096658B">
        <w:rPr>
          <w:rFonts w:ascii="Times New Roman" w:hAnsi="Times New Roman" w:cs="Times New Roman"/>
          <w:color w:val="000000" w:themeColor="text1"/>
          <w:lang w:val="es-ES_tradnl"/>
        </w:rPr>
        <w:t>as especiales de carácter temporal encaminadas a acelerar la igualdad de facto entre el hombre y la mujer no se considerará discriminación de la forma definida en esta Convenci</w:t>
      </w:r>
      <w:r w:rsidRPr="0096658B">
        <w:rPr>
          <w:rFonts w:ascii="Times New Roman" w:hAnsi="Times New Roman" w:cs="Times New Roman"/>
          <w:color w:val="000000" w:themeColor="text1"/>
          <w:lang w:val="es-ES_tradnl"/>
        </w:rPr>
        <w:t>ón</w:t>
      </w:r>
      <w:r w:rsidRPr="0096658B">
        <w:rPr>
          <w:rStyle w:val="Refdenotaalpie"/>
          <w:rFonts w:ascii="Times New Roman" w:hAnsi="Times New Roman"/>
          <w:color w:val="000000" w:themeColor="text1"/>
          <w:lang w:val="es-ES_tradnl"/>
        </w:rPr>
        <w:footnoteReference w:id="101"/>
      </w:r>
      <w:r w:rsidRPr="0096658B">
        <w:rPr>
          <w:rFonts w:ascii="Times New Roman" w:hAnsi="Times New Roman" w:cs="Times New Roman"/>
          <w:color w:val="000000" w:themeColor="text1"/>
          <w:lang w:val="es-ES_tradnl"/>
        </w:rPr>
        <w:t>, de ningún modo entrañará, como consecuencia, el mantenimiento de normas desiguales o separadas; estas medidas cesarán cuando se hayan alcanzado los objetivos de igualdad de oportunidad y trato</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w:t>
      </w:r>
    </w:p>
    <w:p w:rsidR="00237A74" w:rsidRPr="0096658B" w:rsidRDefault="0096658B" w:rsidP="00237A74">
      <w:pPr>
        <w:pStyle w:val="Prrafodelista"/>
        <w:rPr>
          <w:rFonts w:ascii="Times New Roman" w:hAnsi="Times New Roman" w:cs="Times New Roman"/>
          <w:color w:val="000000" w:themeColor="text1"/>
          <w:lang w:val="es-ES_tradnl"/>
        </w:rPr>
      </w:pPr>
    </w:p>
    <w:p w:rsidR="00237A74" w:rsidRPr="0096658B" w:rsidRDefault="0096658B" w:rsidP="002843A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Como se observa, medidas diferenciadas de promoción de </w:t>
      </w:r>
      <w:r w:rsidRPr="0096658B">
        <w:rPr>
          <w:rFonts w:ascii="Times New Roman" w:hAnsi="Times New Roman" w:cs="Times New Roman"/>
          <w:color w:val="000000" w:themeColor="text1"/>
          <w:lang w:val="es-ES_tradnl"/>
        </w:rPr>
        <w:t>los derechos de las mujeres, entre ellas las de cuota, resultan de suyo compatibles con el principio de igualdad y el correlativo mandato de no discriminación en contra de las mujeres. No obstante, debe analizarse el tema vinculado a la temporalidad de dic</w:t>
      </w:r>
      <w:r w:rsidRPr="0096658B">
        <w:rPr>
          <w:rFonts w:ascii="Times New Roman" w:hAnsi="Times New Roman" w:cs="Times New Roman"/>
          <w:color w:val="000000" w:themeColor="text1"/>
          <w:lang w:val="es-ES_tradnl"/>
        </w:rPr>
        <w:t xml:space="preserve">has medidas de acción afirmativa, asunto que será asumido en acápite separado de esta decisión. </w:t>
      </w:r>
    </w:p>
    <w:p w:rsidR="00237A74" w:rsidRPr="0096658B" w:rsidRDefault="0096658B" w:rsidP="00237A74">
      <w:pPr>
        <w:pStyle w:val="Prrafodelista"/>
        <w:rPr>
          <w:rFonts w:ascii="Times New Roman" w:hAnsi="Times New Roman" w:cs="Times New Roman"/>
          <w:color w:val="000000" w:themeColor="text1"/>
          <w:lang w:val="es-ES_tradnl"/>
        </w:rPr>
      </w:pPr>
    </w:p>
    <w:p w:rsidR="00237A74" w:rsidRPr="0096658B" w:rsidRDefault="0096658B" w:rsidP="002843A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Igualmente, el artículo </w:t>
      </w:r>
      <w:r w:rsidRPr="0096658B">
        <w:rPr>
          <w:rFonts w:ascii="Times New Roman" w:hAnsi="Times New Roman" w:cs="Times New Roman"/>
          <w:color w:val="000000" w:themeColor="text1"/>
          <w:lang w:val="es-ES_tradnl"/>
        </w:rPr>
        <w:t xml:space="preserve">4° </w:t>
      </w:r>
      <w:r w:rsidRPr="0096658B">
        <w:rPr>
          <w:rFonts w:ascii="Times New Roman" w:hAnsi="Times New Roman" w:cs="Times New Roman"/>
          <w:color w:val="000000" w:themeColor="text1"/>
          <w:lang w:val="es-ES_tradnl"/>
        </w:rPr>
        <w:t xml:space="preserve">de la Convención Interamericana para Prevenir, Sancionar y Erradicar la Violencia contra Mujer o Convención de Belem do Pará </w:t>
      </w:r>
      <w:r w:rsidRPr="0096658B">
        <w:rPr>
          <w:rFonts w:ascii="Times New Roman" w:hAnsi="Times New Roman" w:cs="Times New Roman"/>
          <w:color w:val="000000" w:themeColor="text1"/>
          <w:lang w:val="es-ES_tradnl"/>
        </w:rPr>
        <w:t>establ</w:t>
      </w:r>
      <w:r w:rsidRPr="0096658B">
        <w:rPr>
          <w:rFonts w:ascii="Times New Roman" w:hAnsi="Times New Roman" w:cs="Times New Roman"/>
          <w:color w:val="000000" w:themeColor="text1"/>
          <w:lang w:val="es-ES_tradnl"/>
        </w:rPr>
        <w:t>ece que toda mujer tiene derecho al reconocimiento, goce y ejercicio y protección de todos los derechos humanos y las libertades consagradas por los instrumentos regionales o internacionales sobre derechos humanos. Entre estos derechos se encuentra el de “</w:t>
      </w:r>
      <w:r w:rsidRPr="0096658B">
        <w:rPr>
          <w:rFonts w:ascii="Times New Roman" w:hAnsi="Times New Roman" w:cs="Times New Roman"/>
          <w:color w:val="000000" w:themeColor="text1"/>
          <w:lang w:val="es-ES_tradnl"/>
        </w:rPr>
        <w:t>tener igualdad de acceso a las funciones públicas de su país y a participar en los asuntos públicos, incluyendo la toma de decisiones”.</w:t>
      </w:r>
      <w:r w:rsidRPr="0096658B">
        <w:rPr>
          <w:rFonts w:ascii="Times New Roman" w:hAnsi="Times New Roman" w:cs="Times New Roman"/>
          <w:color w:val="000000" w:themeColor="text1"/>
          <w:lang w:val="es-ES_tradnl"/>
        </w:rPr>
        <w:t xml:space="preserve"> Esta disposición debe leerse en consonancia con la cláusula general contenida en el artículo 6º de la Convención</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i/>
          <w:iCs/>
          <w:color w:val="000000" w:themeColor="text1"/>
          <w:lang w:val="es-ES_tradnl"/>
        </w:rPr>
        <w:t>ibidem</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según el cual,</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 xml:space="preserve">el derecho de toda mujer a una vida libre de violencia incluye, entre otros </w:t>
      </w:r>
      <w:r w:rsidRPr="0096658B">
        <w:rPr>
          <w:rFonts w:ascii="Times New Roman" w:hAnsi="Times New Roman" w:cs="Times New Roman"/>
          <w:i/>
          <w:iCs/>
          <w:color w:val="000000" w:themeColor="text1"/>
          <w:lang w:val="es-ES_tradnl"/>
        </w:rPr>
        <w:t>(i)</w:t>
      </w:r>
      <w:r w:rsidRPr="0096658B">
        <w:rPr>
          <w:rFonts w:ascii="Times New Roman" w:hAnsi="Times New Roman" w:cs="Times New Roman"/>
          <w:color w:val="000000" w:themeColor="text1"/>
          <w:lang w:val="es-ES_tradnl"/>
        </w:rPr>
        <w:t xml:space="preserve"> el derecho de la mujer a ser libre de toda forma de discriminación</w:t>
      </w:r>
      <w:r w:rsidRPr="0096658B">
        <w:rPr>
          <w:rFonts w:ascii="Times New Roman" w:hAnsi="Times New Roman" w:cs="Times New Roman"/>
          <w:color w:val="000000" w:themeColor="text1"/>
          <w:lang w:val="es-ES_tradnl"/>
        </w:rPr>
        <w:t>, así como</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i/>
          <w:iCs/>
          <w:color w:val="000000" w:themeColor="text1"/>
          <w:lang w:val="es-ES_tradnl"/>
        </w:rPr>
        <w:t>(ii)</w:t>
      </w:r>
      <w:r w:rsidRPr="0096658B">
        <w:rPr>
          <w:rFonts w:ascii="Times New Roman" w:hAnsi="Times New Roman" w:cs="Times New Roman"/>
          <w:color w:val="000000" w:themeColor="text1"/>
          <w:lang w:val="es-ES_tradnl"/>
        </w:rPr>
        <w:t xml:space="preserve"> el derecho de la mujer a ser valorada y educada libre de patrones estereotipad</w:t>
      </w:r>
      <w:r w:rsidRPr="0096658B">
        <w:rPr>
          <w:rFonts w:ascii="Times New Roman" w:hAnsi="Times New Roman" w:cs="Times New Roman"/>
          <w:color w:val="000000" w:themeColor="text1"/>
          <w:lang w:val="es-ES_tradnl"/>
        </w:rPr>
        <w:t xml:space="preserve">os de comportamiento y prácticas sociales y culturales basadas en conceptos de inferioridad y subordinación. </w:t>
      </w:r>
    </w:p>
    <w:p w:rsidR="003040EE" w:rsidRPr="0096658B" w:rsidRDefault="0096658B" w:rsidP="003040EE">
      <w:pPr>
        <w:pStyle w:val="Prrafodelista"/>
        <w:rPr>
          <w:rFonts w:ascii="Times New Roman" w:hAnsi="Times New Roman" w:cs="Times New Roman"/>
          <w:color w:val="000000" w:themeColor="text1"/>
          <w:lang w:val="es-ES_tradnl"/>
        </w:rPr>
      </w:pPr>
    </w:p>
    <w:p w:rsidR="003040EE" w:rsidRPr="0096658B" w:rsidRDefault="0096658B" w:rsidP="002843A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La Corte resalta que el contenido y alcance de estas obligaciones resulta ilustrado, desde el punto de vista de </w:t>
      </w:r>
      <w:r w:rsidRPr="0096658B">
        <w:rPr>
          <w:rFonts w:ascii="Times New Roman" w:hAnsi="Times New Roman" w:cs="Times New Roman"/>
          <w:color w:val="000000" w:themeColor="text1"/>
          <w:lang w:val="es-ES_tradnl"/>
        </w:rPr>
        <w:t>otros criterios hermenéuticos int</w:t>
      </w:r>
      <w:r w:rsidRPr="0096658B">
        <w:rPr>
          <w:rFonts w:ascii="Times New Roman" w:hAnsi="Times New Roman" w:cs="Times New Roman"/>
          <w:color w:val="000000" w:themeColor="text1"/>
          <w:lang w:val="es-ES_tradnl"/>
        </w:rPr>
        <w:t>ernacionales</w:t>
      </w:r>
      <w:r w:rsidRPr="0096658B">
        <w:rPr>
          <w:rStyle w:val="Refdenotaalpie"/>
          <w:rFonts w:ascii="Times New Roman" w:hAnsi="Times New Roman"/>
          <w:color w:val="000000" w:themeColor="text1"/>
          <w:lang w:val="es-ES_tradnl"/>
        </w:rPr>
        <w:footnoteReference w:id="102"/>
      </w:r>
      <w:r w:rsidRPr="0096658B">
        <w:rPr>
          <w:rFonts w:ascii="Times New Roman" w:hAnsi="Times New Roman" w:cs="Times New Roman"/>
          <w:color w:val="000000" w:themeColor="text1"/>
          <w:lang w:val="es-ES_tradnl"/>
        </w:rPr>
        <w:t xml:space="preserve">, por la </w:t>
      </w:r>
      <w:r w:rsidRPr="0096658B">
        <w:rPr>
          <w:rFonts w:ascii="Times New Roman" w:hAnsi="Times New Roman" w:cs="Times New Roman"/>
          <w:color w:val="000000" w:themeColor="text1"/>
          <w:lang w:val="es-ES_tradnl"/>
        </w:rPr>
        <w:t>Recomendación general No. 23</w:t>
      </w:r>
      <w:r w:rsidRPr="0096658B">
        <w:rPr>
          <w:rStyle w:val="Refdenotaalpie"/>
          <w:rFonts w:ascii="Times New Roman" w:hAnsi="Times New Roman"/>
          <w:color w:val="000000" w:themeColor="text1"/>
          <w:lang w:val="es-ES_tradnl"/>
        </w:rPr>
        <w:footnoteReference w:id="103"/>
      </w:r>
      <w:r w:rsidRPr="0096658B">
        <w:rPr>
          <w:rFonts w:ascii="Times New Roman" w:hAnsi="Times New Roman" w:cs="Times New Roman"/>
          <w:color w:val="000000" w:themeColor="text1"/>
          <w:lang w:val="es-ES_tradnl"/>
        </w:rPr>
        <w:t xml:space="preserve"> - </w:t>
      </w:r>
      <w:r w:rsidRPr="0096658B">
        <w:rPr>
          <w:rFonts w:ascii="Times New Roman" w:hAnsi="Times New Roman" w:cs="Times New Roman"/>
          <w:i/>
          <w:iCs/>
          <w:color w:val="000000" w:themeColor="text1"/>
          <w:lang w:val="es-ES_tradnl"/>
        </w:rPr>
        <w:t>Vida política y pública</w:t>
      </w:r>
      <w:r w:rsidRPr="0096658B">
        <w:rPr>
          <w:rFonts w:ascii="Times New Roman" w:hAnsi="Times New Roman" w:cs="Times New Roman"/>
          <w:color w:val="000000" w:themeColor="text1"/>
          <w:lang w:val="es-ES_tradnl"/>
        </w:rPr>
        <w:t xml:space="preserve"> del Comité para la Eliminación de la Discriminación con la Mujer, órgano creado por la CEDAW</w:t>
      </w:r>
      <w:r w:rsidRPr="0096658B">
        <w:rPr>
          <w:rFonts w:ascii="Times New Roman" w:hAnsi="Times New Roman" w:cs="Times New Roman"/>
          <w:color w:val="000000" w:themeColor="text1"/>
          <w:lang w:val="es-ES_tradnl"/>
        </w:rPr>
        <w:t xml:space="preserve">. Este documento pone de presente que, en virtud de lo ordenado por el artículo 7º de la CEDAW, concurre un deber concreto de asegurar la participación de las mujeres, en igualdad con los hombres en la vida política y pública, comprendida como un concepto </w:t>
      </w:r>
      <w:r w:rsidRPr="0096658B">
        <w:rPr>
          <w:rFonts w:ascii="Times New Roman" w:hAnsi="Times New Roman" w:cs="Times New Roman"/>
          <w:color w:val="000000" w:themeColor="text1"/>
          <w:lang w:val="es-ES_tradnl"/>
        </w:rPr>
        <w:t xml:space="preserve">amplio. </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Se refiere al ejercicio del poder político, en particular el ejercicio de los poderes legislativo, judicial, ejecutivo y administrativo. El término abarca todos los aspectos de la administración pública y la formulación y ejecución de la política </w:t>
      </w:r>
      <w:r w:rsidRPr="0096658B">
        <w:rPr>
          <w:rFonts w:ascii="Times New Roman" w:hAnsi="Times New Roman" w:cs="Times New Roman"/>
          <w:color w:val="000000" w:themeColor="text1"/>
          <w:lang w:val="es-ES_tradnl"/>
        </w:rPr>
        <w:t>a los niveles internacional</w:t>
      </w:r>
      <w:r w:rsidRPr="0096658B">
        <w:rPr>
          <w:rFonts w:ascii="Times New Roman" w:hAnsi="Times New Roman" w:cs="Times New Roman"/>
          <w:color w:val="000000" w:themeColor="text1"/>
          <w:lang w:val="es-ES_tradnl"/>
        </w:rPr>
        <w:t>, nacional, regional y local”</w:t>
      </w:r>
      <w:r w:rsidRPr="0096658B">
        <w:rPr>
          <w:rStyle w:val="Refdenotaalpie"/>
          <w:rFonts w:ascii="Times New Roman" w:hAnsi="Times New Roman"/>
          <w:color w:val="000000" w:themeColor="text1"/>
          <w:lang w:val="es-ES_tradnl"/>
        </w:rPr>
        <w:footnoteReference w:id="104"/>
      </w:r>
      <w:r w:rsidRPr="0096658B">
        <w:rPr>
          <w:rFonts w:ascii="Times New Roman" w:hAnsi="Times New Roman" w:cs="Times New Roman"/>
          <w:color w:val="000000" w:themeColor="text1"/>
          <w:lang w:val="es-ES_tradnl"/>
        </w:rPr>
        <w:t>.</w:t>
      </w:r>
    </w:p>
    <w:p w:rsidR="000849AD" w:rsidRPr="0096658B" w:rsidRDefault="0096658B" w:rsidP="000849AD">
      <w:pPr>
        <w:pStyle w:val="Prrafodelista"/>
        <w:rPr>
          <w:rFonts w:ascii="Times New Roman" w:hAnsi="Times New Roman" w:cs="Times New Roman"/>
          <w:color w:val="000000" w:themeColor="text1"/>
          <w:lang w:val="es-ES_tradnl"/>
        </w:rPr>
      </w:pPr>
    </w:p>
    <w:p w:rsidR="000849AD" w:rsidRPr="0096658B" w:rsidRDefault="0096658B" w:rsidP="002843A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La recomendación en comento insiste, como lo ha expuesto la Corte en fundamentos jurídicos anteriores, </w:t>
      </w:r>
      <w:r w:rsidRPr="0096658B">
        <w:rPr>
          <w:rFonts w:ascii="Times New Roman" w:hAnsi="Times New Roman" w:cs="Times New Roman"/>
          <w:color w:val="000000" w:themeColor="text1"/>
          <w:lang w:val="es-ES_tradnl"/>
        </w:rPr>
        <w:t xml:space="preserve">en </w:t>
      </w:r>
      <w:r w:rsidRPr="0096658B">
        <w:rPr>
          <w:rFonts w:ascii="Times New Roman" w:hAnsi="Times New Roman" w:cs="Times New Roman"/>
          <w:color w:val="000000" w:themeColor="text1"/>
          <w:lang w:val="es-ES_tradnl"/>
        </w:rPr>
        <w:t>que la participación de las mujeres en la vida pública ha estado mediada por barreras fund</w:t>
      </w:r>
      <w:r w:rsidRPr="0096658B">
        <w:rPr>
          <w:rFonts w:ascii="Times New Roman" w:hAnsi="Times New Roman" w:cs="Times New Roman"/>
          <w:color w:val="000000" w:themeColor="text1"/>
          <w:lang w:val="es-ES_tradnl"/>
        </w:rPr>
        <w:t>adas tanto en prácticas culturales y sociales que han confinado a las mujeres al ámbito privado, así como</w:t>
      </w:r>
      <w:r w:rsidRPr="0096658B">
        <w:rPr>
          <w:rFonts w:ascii="Times New Roman" w:hAnsi="Times New Roman" w:cs="Times New Roman"/>
          <w:color w:val="000000" w:themeColor="text1"/>
          <w:lang w:val="es-ES_tradnl"/>
        </w:rPr>
        <w:t xml:space="preserve"> en</w:t>
      </w:r>
      <w:r w:rsidRPr="0096658B">
        <w:rPr>
          <w:rFonts w:ascii="Times New Roman" w:hAnsi="Times New Roman" w:cs="Times New Roman"/>
          <w:color w:val="000000" w:themeColor="text1"/>
          <w:lang w:val="es-ES_tradnl"/>
        </w:rPr>
        <w:t xml:space="preserve"> la inequitativa concurrencia de hombres y mujeres en la crianza y cuidado de los hijos</w:t>
      </w:r>
      <w:r w:rsidRPr="0096658B">
        <w:rPr>
          <w:rStyle w:val="Refdenotaalpie"/>
          <w:rFonts w:ascii="Times New Roman" w:hAnsi="Times New Roman"/>
          <w:color w:val="000000" w:themeColor="text1"/>
          <w:lang w:val="es-ES_tradnl"/>
        </w:rPr>
        <w:footnoteReference w:id="105"/>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Sobre tales estereotipos, el Comité de la CEDAW </w:t>
      </w:r>
      <w:r w:rsidRPr="0096658B">
        <w:rPr>
          <w:rFonts w:ascii="Times New Roman" w:hAnsi="Times New Roman" w:cs="Times New Roman"/>
          <w:color w:val="000000" w:themeColor="text1"/>
          <w:lang w:val="es-ES_tradnl"/>
        </w:rPr>
        <w:t xml:space="preserve">enfatiza </w:t>
      </w:r>
      <w:r w:rsidRPr="0096658B">
        <w:rPr>
          <w:rFonts w:ascii="Times New Roman" w:hAnsi="Times New Roman" w:cs="Times New Roman"/>
          <w:color w:val="000000" w:themeColor="text1"/>
          <w:lang w:val="es-ES_tradnl"/>
        </w:rPr>
        <w:t>e</w:t>
      </w:r>
      <w:r w:rsidRPr="0096658B">
        <w:rPr>
          <w:rFonts w:ascii="Times New Roman" w:hAnsi="Times New Roman" w:cs="Times New Roman"/>
          <w:color w:val="000000" w:themeColor="text1"/>
          <w:lang w:val="es-ES_tradnl"/>
        </w:rPr>
        <w:t xml:space="preserve">n que su creación social “hasta en los medios de información, limita la vida política </w:t>
      </w:r>
      <w:r w:rsidRPr="0096658B">
        <w:rPr>
          <w:rFonts w:ascii="Times New Roman" w:hAnsi="Times New Roman" w:cs="Times New Roman"/>
          <w:color w:val="000000" w:themeColor="text1"/>
          <w:lang w:val="es-ES_tradnl"/>
        </w:rPr>
        <w:t>de la mujer a cuestiones como el medio ambiente, la infancia y la salud y la excluye de responsabilidades en materia de finanzas, control presupuestario y solución de con</w:t>
      </w:r>
      <w:r w:rsidRPr="0096658B">
        <w:rPr>
          <w:rFonts w:ascii="Times New Roman" w:hAnsi="Times New Roman" w:cs="Times New Roman"/>
          <w:color w:val="000000" w:themeColor="text1"/>
          <w:lang w:val="es-ES_tradnl"/>
        </w:rPr>
        <w:t>flictos”</w:t>
      </w:r>
      <w:r w:rsidRPr="0096658B">
        <w:rPr>
          <w:rStyle w:val="Refdenotaalpie"/>
          <w:rFonts w:ascii="Times New Roman" w:hAnsi="Times New Roman"/>
          <w:color w:val="000000" w:themeColor="text1"/>
          <w:lang w:val="es-ES_tradnl"/>
        </w:rPr>
        <w:footnoteReference w:id="106"/>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 xml:space="preserve">Superar las barreras analizadas, a juicio del Comité, implica la adopción </w:t>
      </w:r>
      <w:r w:rsidRPr="0096658B">
        <w:rPr>
          <w:rFonts w:ascii="Times New Roman" w:hAnsi="Times New Roman" w:cs="Times New Roman"/>
          <w:color w:val="000000" w:themeColor="text1"/>
          <w:lang w:val="es-ES_tradnl"/>
        </w:rPr>
        <w:t xml:space="preserve">de </w:t>
      </w:r>
      <w:r w:rsidRPr="0096658B">
        <w:rPr>
          <w:rFonts w:ascii="Times New Roman" w:hAnsi="Times New Roman" w:cs="Times New Roman"/>
          <w:color w:val="000000" w:themeColor="text1"/>
          <w:lang w:val="es-ES_tradnl"/>
        </w:rPr>
        <w:t>la</w:t>
      </w:r>
      <w:r w:rsidRPr="0096658B">
        <w:rPr>
          <w:rFonts w:ascii="Times New Roman" w:hAnsi="Times New Roman" w:cs="Times New Roman"/>
          <w:color w:val="000000" w:themeColor="text1"/>
          <w:lang w:val="es-ES_tradnl"/>
        </w:rPr>
        <w:t>s</w:t>
      </w:r>
      <w:r w:rsidRPr="0096658B">
        <w:rPr>
          <w:rFonts w:ascii="Times New Roman" w:hAnsi="Times New Roman" w:cs="Times New Roman"/>
          <w:color w:val="000000" w:themeColor="text1"/>
          <w:lang w:val="es-ES_tradnl"/>
        </w:rPr>
        <w:t xml:space="preserve"> “estrategias efectivas de carácter temporal”</w:t>
      </w:r>
      <w:r w:rsidRPr="0096658B">
        <w:rPr>
          <w:rStyle w:val="Refdenotaalpie"/>
          <w:rFonts w:ascii="Times New Roman" w:hAnsi="Times New Roman"/>
          <w:color w:val="000000" w:themeColor="text1"/>
          <w:lang w:val="es-ES_tradnl"/>
        </w:rPr>
        <w:footnoteReference w:id="107"/>
      </w:r>
      <w:r w:rsidRPr="0096658B">
        <w:rPr>
          <w:rFonts w:ascii="Times New Roman" w:hAnsi="Times New Roman" w:cs="Times New Roman"/>
          <w:color w:val="000000" w:themeColor="text1"/>
          <w:lang w:val="es-ES_tradnl"/>
        </w:rPr>
        <w:t>, entre las que se encuentra la fijación de metas en cifras y cupos en los cargos ejercidos por mujeres. Estas medidas,</w:t>
      </w:r>
      <w:r w:rsidRPr="0096658B">
        <w:rPr>
          <w:rFonts w:ascii="Times New Roman" w:hAnsi="Times New Roman" w:cs="Times New Roman"/>
          <w:color w:val="000000" w:themeColor="text1"/>
          <w:lang w:val="es-ES_tradnl"/>
        </w:rPr>
        <w:t xml:space="preserve"> que se fundan en la necesidad de estimular la participación de las mujeres ante “siglos de dominación masculina en la vida pública”</w:t>
      </w:r>
      <w:r w:rsidRPr="0096658B">
        <w:rPr>
          <w:rStyle w:val="Refdenotaalpie"/>
          <w:rFonts w:ascii="Times New Roman" w:hAnsi="Times New Roman"/>
          <w:color w:val="000000" w:themeColor="text1"/>
          <w:lang w:val="es-ES_tradnl"/>
        </w:rPr>
        <w:footnoteReference w:id="108"/>
      </w:r>
      <w:r w:rsidRPr="0096658B">
        <w:rPr>
          <w:rFonts w:ascii="Times New Roman" w:hAnsi="Times New Roman" w:cs="Times New Roman"/>
          <w:color w:val="000000" w:themeColor="text1"/>
          <w:lang w:val="es-ES_tradnl"/>
        </w:rPr>
        <w:t xml:space="preserve">, deben en todo caso fundarse en el cumplimiento de “los principios </w:t>
      </w:r>
      <w:r w:rsidRPr="0096658B">
        <w:rPr>
          <w:rFonts w:ascii="Times New Roman" w:hAnsi="Times New Roman" w:cs="Times New Roman"/>
          <w:color w:val="000000" w:themeColor="text1"/>
          <w:lang w:val="es-ES_tradnl"/>
        </w:rPr>
        <w:t>constitucionales que garantizan la igualdad de todos lo</w:t>
      </w:r>
      <w:r w:rsidRPr="0096658B">
        <w:rPr>
          <w:rFonts w:ascii="Times New Roman" w:hAnsi="Times New Roman" w:cs="Times New Roman"/>
          <w:color w:val="000000" w:themeColor="text1"/>
          <w:lang w:val="es-ES_tradnl"/>
        </w:rPr>
        <w:t>s ciudadanos”</w:t>
      </w:r>
      <w:r w:rsidRPr="0096658B">
        <w:rPr>
          <w:rStyle w:val="Refdenotaalpie"/>
          <w:rFonts w:ascii="Times New Roman" w:hAnsi="Times New Roman"/>
          <w:color w:val="000000" w:themeColor="text1"/>
          <w:lang w:val="es-ES_tradnl"/>
        </w:rPr>
        <w:footnoteReference w:id="109"/>
      </w:r>
      <w:r w:rsidRPr="0096658B">
        <w:rPr>
          <w:rFonts w:ascii="Times New Roman" w:hAnsi="Times New Roman" w:cs="Times New Roman"/>
          <w:color w:val="000000" w:themeColor="text1"/>
          <w:lang w:val="es-ES_tradnl"/>
        </w:rPr>
        <w:t>.</w:t>
      </w:r>
    </w:p>
    <w:p w:rsidR="001C5A89" w:rsidRPr="0096658B" w:rsidRDefault="0096658B" w:rsidP="001C5A89">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color w:val="000000" w:themeColor="text1"/>
          <w:lang w:val="es-ES_tradnl"/>
        </w:rPr>
      </w:pPr>
    </w:p>
    <w:p w:rsidR="001C5A89" w:rsidRPr="0096658B" w:rsidRDefault="0096658B" w:rsidP="002843A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Por último, en lo que refiere a las obligaciones concretas de los Estados para dar cumplimiento a</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l</w:t>
      </w:r>
      <w:r w:rsidRPr="0096658B">
        <w:rPr>
          <w:rFonts w:ascii="Times New Roman" w:hAnsi="Times New Roman" w:cs="Times New Roman"/>
          <w:color w:val="000000" w:themeColor="text1"/>
          <w:lang w:val="es-ES_tradnl"/>
        </w:rPr>
        <w:t>os</w:t>
      </w:r>
      <w:r w:rsidRPr="0096658B">
        <w:rPr>
          <w:rFonts w:ascii="Times New Roman" w:hAnsi="Times New Roman" w:cs="Times New Roman"/>
          <w:color w:val="000000" w:themeColor="text1"/>
          <w:lang w:val="es-ES_tradnl"/>
        </w:rPr>
        <w:t xml:space="preserve"> artículo 7º</w:t>
      </w:r>
      <w:r w:rsidRPr="0096658B">
        <w:rPr>
          <w:rFonts w:ascii="Times New Roman" w:hAnsi="Times New Roman" w:cs="Times New Roman"/>
          <w:color w:val="000000" w:themeColor="text1"/>
          <w:lang w:val="es-ES_tradnl"/>
        </w:rPr>
        <w:t xml:space="preserve"> y 8º</w:t>
      </w:r>
      <w:r w:rsidRPr="0096658B">
        <w:rPr>
          <w:rFonts w:ascii="Times New Roman" w:hAnsi="Times New Roman" w:cs="Times New Roman"/>
          <w:color w:val="000000" w:themeColor="text1"/>
          <w:lang w:val="es-ES_tradnl"/>
        </w:rPr>
        <w:t xml:space="preserve"> de la CEDAW</w:t>
      </w:r>
      <w:r w:rsidRPr="0096658B">
        <w:rPr>
          <w:rFonts w:ascii="Times New Roman" w:hAnsi="Times New Roman" w:cs="Times New Roman"/>
          <w:color w:val="000000" w:themeColor="text1"/>
          <w:lang w:val="es-ES_tradnl"/>
        </w:rPr>
        <w:t xml:space="preserve">, la recomendación insiste en que </w:t>
      </w:r>
      <w:r w:rsidRPr="0096658B">
        <w:rPr>
          <w:rFonts w:ascii="Times New Roman" w:hAnsi="Times New Roman" w:cs="Times New Roman"/>
          <w:i/>
          <w:iCs/>
          <w:color w:val="000000" w:themeColor="text1"/>
          <w:lang w:val="es-ES_tradnl"/>
        </w:rPr>
        <w:t>(i)</w:t>
      </w:r>
      <w:r w:rsidRPr="0096658B">
        <w:rPr>
          <w:rFonts w:ascii="Times New Roman" w:hAnsi="Times New Roman" w:cs="Times New Roman"/>
          <w:color w:val="000000" w:themeColor="text1"/>
          <w:lang w:val="es-ES_tradnl"/>
        </w:rPr>
        <w:t xml:space="preserve"> los Estados “tienen la responsabilidad, dentro del límite de sus posibi</w:t>
      </w:r>
      <w:r w:rsidRPr="0096658B">
        <w:rPr>
          <w:rFonts w:ascii="Times New Roman" w:hAnsi="Times New Roman" w:cs="Times New Roman"/>
          <w:color w:val="000000" w:themeColor="text1"/>
          <w:lang w:val="es-ES_tradnl"/>
        </w:rPr>
        <w:t>lidades, de nombrar a mujeres en cargos ejecutivos superiores”</w:t>
      </w:r>
      <w:r w:rsidRPr="0096658B">
        <w:rPr>
          <w:rStyle w:val="Refdenotaalpie"/>
          <w:rFonts w:ascii="Times New Roman" w:hAnsi="Times New Roman"/>
          <w:color w:val="000000" w:themeColor="text1"/>
          <w:lang w:val="es-ES_tradnl"/>
        </w:rPr>
        <w:footnoteReference w:id="110"/>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i/>
          <w:iCs/>
          <w:color w:val="000000" w:themeColor="text1"/>
          <w:lang w:val="es-ES_tradnl"/>
        </w:rPr>
        <w:t>(ii)</w:t>
      </w:r>
      <w:r w:rsidRPr="0096658B">
        <w:rPr>
          <w:rFonts w:ascii="Times New Roman" w:hAnsi="Times New Roman" w:cs="Times New Roman"/>
          <w:color w:val="000000" w:themeColor="text1"/>
          <w:lang w:val="es-ES_tradnl"/>
        </w:rPr>
        <w:t xml:space="preserve"> los partidos políticos </w:t>
      </w:r>
      <w:r w:rsidRPr="0096658B">
        <w:rPr>
          <w:rFonts w:ascii="Times New Roman" w:hAnsi="Times New Roman" w:cs="Times New Roman"/>
          <w:color w:val="000000" w:themeColor="text1"/>
          <w:lang w:val="es-ES_tradnl"/>
        </w:rPr>
        <w:t xml:space="preserve">“por su parte, también tienen la responsabilidad de garantizar que sean incluidas en las listas partidistas y se propongan candidatas a elecciones en distritos en </w:t>
      </w:r>
      <w:r w:rsidRPr="0096658B">
        <w:rPr>
          <w:rFonts w:ascii="Times New Roman" w:hAnsi="Times New Roman" w:cs="Times New Roman"/>
          <w:color w:val="000000" w:themeColor="text1"/>
          <w:lang w:val="es-ES_tradnl"/>
        </w:rPr>
        <w:t>donde tengan posibilidades de ser elegidas”</w:t>
      </w:r>
      <w:r w:rsidRPr="0096658B">
        <w:rPr>
          <w:rStyle w:val="Refdenotaalpie"/>
          <w:rFonts w:ascii="Times New Roman" w:hAnsi="Times New Roman"/>
          <w:color w:val="000000" w:themeColor="text1"/>
          <w:lang w:val="es-ES_tradnl"/>
        </w:rPr>
        <w:footnoteReference w:id="111"/>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 xml:space="preserve">y </w:t>
      </w:r>
      <w:r w:rsidRPr="0096658B">
        <w:rPr>
          <w:rFonts w:ascii="Times New Roman" w:hAnsi="Times New Roman" w:cs="Times New Roman"/>
          <w:i/>
          <w:iCs/>
          <w:color w:val="000000" w:themeColor="text1"/>
          <w:lang w:val="es-ES_tradnl"/>
        </w:rPr>
        <w:t>(iii)</w:t>
      </w:r>
      <w:r w:rsidRPr="0096658B">
        <w:rPr>
          <w:rFonts w:ascii="Times New Roman" w:hAnsi="Times New Roman" w:cs="Times New Roman"/>
          <w:color w:val="000000" w:themeColor="text1"/>
          <w:lang w:val="es-ES_tradnl"/>
        </w:rPr>
        <w:t xml:space="preserve"> los gobiernos están llamados a garantizar la presencia de las mujeres en las diferentes instancias internacionales, lo que implica su inclusión en “la representación </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 xml:space="preserve">de su gobierno en cuestiones económicas y militares, en la diplomacia bilateral </w:t>
      </w:r>
      <w:r w:rsidRPr="0096658B">
        <w:rPr>
          <w:rFonts w:ascii="Times New Roman" w:hAnsi="Times New Roman" w:cs="Times New Roman"/>
          <w:color w:val="000000" w:themeColor="text1"/>
          <w:lang w:val="es-ES_tradnl"/>
        </w:rPr>
        <w:t xml:space="preserve">y multilateral y en las delegaciones oficiales </w:t>
      </w:r>
      <w:r w:rsidRPr="0096658B">
        <w:rPr>
          <w:rFonts w:ascii="Times New Roman" w:hAnsi="Times New Roman" w:cs="Times New Roman"/>
          <w:color w:val="000000" w:themeColor="text1"/>
          <w:lang w:val="es-ES_tradnl"/>
        </w:rPr>
        <w:t>que asisten a conferencias regionales e internacionales”</w:t>
      </w:r>
      <w:r w:rsidRPr="0096658B">
        <w:rPr>
          <w:rStyle w:val="Refdenotaalpie"/>
          <w:rFonts w:ascii="Times New Roman" w:hAnsi="Times New Roman"/>
          <w:color w:val="000000" w:themeColor="text1"/>
          <w:lang w:val="es-ES_tradnl"/>
        </w:rPr>
        <w:footnoteReference w:id="112"/>
      </w:r>
      <w:r w:rsidRPr="0096658B">
        <w:rPr>
          <w:rFonts w:ascii="Times New Roman" w:hAnsi="Times New Roman" w:cs="Times New Roman"/>
          <w:color w:val="000000" w:themeColor="text1"/>
          <w:lang w:val="es-ES_tradnl"/>
        </w:rPr>
        <w:t>. Esto sobre la base que “el fenómeno actual de la mundialización hace q</w:t>
      </w:r>
      <w:r w:rsidRPr="0096658B">
        <w:rPr>
          <w:rFonts w:ascii="Times New Roman" w:hAnsi="Times New Roman" w:cs="Times New Roman"/>
          <w:color w:val="000000" w:themeColor="text1"/>
          <w:lang w:val="es-ES_tradnl"/>
        </w:rPr>
        <w:t>ue la inclusión de la mujer y su participación en las organizaciones internacionales, en igualdad de condiciones con el hombre, sea cada vez más importante”</w:t>
      </w:r>
      <w:r w:rsidRPr="0096658B">
        <w:rPr>
          <w:rStyle w:val="Refdenotaalpie"/>
          <w:rFonts w:ascii="Times New Roman" w:hAnsi="Times New Roman"/>
          <w:color w:val="000000" w:themeColor="text1"/>
          <w:lang w:val="es-ES_tradnl"/>
        </w:rPr>
        <w:footnoteReference w:id="113"/>
      </w:r>
      <w:r w:rsidRPr="0096658B">
        <w:rPr>
          <w:rFonts w:ascii="Times New Roman" w:hAnsi="Times New Roman" w:cs="Times New Roman"/>
          <w:color w:val="000000" w:themeColor="text1"/>
          <w:lang w:val="es-ES_tradnl"/>
        </w:rPr>
        <w:t>.</w:t>
      </w:r>
    </w:p>
    <w:p w:rsidR="000B171E" w:rsidRPr="0096658B" w:rsidRDefault="0096658B" w:rsidP="000B171E">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color w:val="000000" w:themeColor="text1"/>
          <w:lang w:val="es-ES_tradnl"/>
        </w:rPr>
      </w:pPr>
    </w:p>
    <w:p w:rsidR="000B171E" w:rsidRPr="0096658B" w:rsidRDefault="0096658B" w:rsidP="002843A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En conclusión, </w:t>
      </w:r>
      <w:r w:rsidRPr="0096658B">
        <w:rPr>
          <w:rFonts w:ascii="Times New Roman" w:hAnsi="Times New Roman" w:cs="Times New Roman"/>
          <w:color w:val="000000" w:themeColor="text1"/>
          <w:lang w:val="es-ES_tradnl"/>
        </w:rPr>
        <w:t xml:space="preserve">las disposiciones del derecho internacional de los derechos humanos son coincidentes en prever garantías para la participación de las mujeres en la esfera pública, en especial en los cargos de </w:t>
      </w:r>
      <w:r w:rsidRPr="0096658B">
        <w:rPr>
          <w:rFonts w:ascii="Times New Roman" w:hAnsi="Times New Roman" w:cs="Times New Roman"/>
          <w:color w:val="000000" w:themeColor="text1"/>
          <w:lang w:val="es-ES_tradnl"/>
        </w:rPr>
        <w:t>elección popular y en las posiciones de dirección y liderazgo e</w:t>
      </w:r>
      <w:r w:rsidRPr="0096658B">
        <w:rPr>
          <w:rFonts w:ascii="Times New Roman" w:hAnsi="Times New Roman" w:cs="Times New Roman"/>
          <w:color w:val="000000" w:themeColor="text1"/>
          <w:lang w:val="es-ES_tradnl"/>
        </w:rPr>
        <w:t>n el Estado. Para ello, establecen mandatos específicos para la remoción de las barreras de acceso a las mujeres a esas instancias, entre ellas aquellas medidas temporales de cuotas, como algunas de las contenidas en el PLE. Sin embargo, es importante resa</w:t>
      </w:r>
      <w:r w:rsidRPr="0096658B">
        <w:rPr>
          <w:rFonts w:ascii="Times New Roman" w:hAnsi="Times New Roman" w:cs="Times New Roman"/>
          <w:color w:val="000000" w:themeColor="text1"/>
          <w:lang w:val="es-ES_tradnl"/>
        </w:rPr>
        <w:t>ltar que estos in</w:t>
      </w:r>
      <w:r w:rsidRPr="0096658B">
        <w:rPr>
          <w:rFonts w:ascii="Times New Roman" w:hAnsi="Times New Roman" w:cs="Times New Roman"/>
          <w:color w:val="000000" w:themeColor="text1"/>
          <w:lang w:val="es-ES_tradnl"/>
        </w:rPr>
        <w:t xml:space="preserve">strumentos hacen parte de una perspectiva más amplia, esta sí de carácter permanente, la cual </w:t>
      </w:r>
      <w:r w:rsidRPr="0096658B">
        <w:rPr>
          <w:rFonts w:ascii="Times New Roman" w:hAnsi="Times New Roman" w:cs="Times New Roman"/>
          <w:color w:val="000000" w:themeColor="text1"/>
          <w:lang w:val="es-ES_tradnl"/>
        </w:rPr>
        <w:t xml:space="preserve">propugna por la paridad entre hombres y mujeres en el ejercicio de las referidas posiciones y, en general, en el ejercicio del poder político. </w:t>
      </w:r>
    </w:p>
    <w:p w:rsidR="005A5044" w:rsidRPr="0096658B" w:rsidRDefault="0096658B" w:rsidP="005A5044">
      <w:pPr>
        <w:pStyle w:val="Prrafodelista"/>
        <w:rPr>
          <w:rFonts w:ascii="Times New Roman" w:hAnsi="Times New Roman" w:cs="Times New Roman"/>
          <w:color w:val="000000" w:themeColor="text1"/>
          <w:lang w:val="es-ES_tradnl"/>
        </w:rPr>
      </w:pPr>
    </w:p>
    <w:p w:rsidR="005A5044" w:rsidRPr="0096658B" w:rsidRDefault="0096658B" w:rsidP="005A5044">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b/>
          <w:bCs/>
          <w:color w:val="000000" w:themeColor="text1"/>
          <w:lang w:val="es-ES_tradnl"/>
        </w:rPr>
      </w:pPr>
      <w:r w:rsidRPr="0096658B">
        <w:rPr>
          <w:rFonts w:ascii="Times New Roman" w:hAnsi="Times New Roman" w:cs="Times New Roman"/>
          <w:b/>
          <w:bCs/>
          <w:color w:val="000000" w:themeColor="text1"/>
          <w:lang w:val="es-ES_tradnl"/>
        </w:rPr>
        <w:t>Las medidas afirmativas y su aplicación para el caso de las mujeres</w:t>
      </w:r>
      <w:r w:rsidRPr="0096658B">
        <w:rPr>
          <w:rFonts w:ascii="Times New Roman" w:hAnsi="Times New Roman" w:cs="Times New Roman"/>
          <w:b/>
          <w:bCs/>
          <w:color w:val="000000" w:themeColor="text1"/>
          <w:lang w:val="es-ES_tradnl"/>
        </w:rPr>
        <w:t xml:space="preserve"> en el ordenamiento colombiano</w:t>
      </w:r>
    </w:p>
    <w:p w:rsidR="005A5044" w:rsidRPr="0096658B" w:rsidRDefault="0096658B" w:rsidP="005A5044">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b/>
          <w:bCs/>
          <w:color w:val="000000" w:themeColor="text1"/>
          <w:lang w:val="es-ES_tradnl"/>
        </w:rPr>
      </w:pPr>
    </w:p>
    <w:p w:rsidR="00B53BBE" w:rsidRPr="0096658B" w:rsidRDefault="0096658B" w:rsidP="00B53BBE">
      <w:pPr>
        <w:widowControl w:val="0"/>
        <w:numPr>
          <w:ilvl w:val="0"/>
          <w:numId w:val="5"/>
        </w:numPr>
        <w:shd w:val="clear" w:color="auto" w:fill="FFFFFF"/>
        <w:autoSpaceDE w:val="0"/>
        <w:autoSpaceDN w:val="0"/>
        <w:adjustRightInd w:val="0"/>
        <w:ind w:left="0" w:firstLine="0"/>
        <w:jc w:val="both"/>
        <w:rPr>
          <w:rFonts w:ascii="Times New Roman" w:hAnsi="Times New Roman" w:cs="Times New Roman"/>
          <w:color w:val="000000" w:themeColor="text1"/>
          <w:sz w:val="28"/>
          <w:lang w:val="es-ES_tradnl"/>
        </w:rPr>
      </w:pPr>
      <w:r w:rsidRPr="0096658B">
        <w:rPr>
          <w:rFonts w:ascii="Times New Roman" w:hAnsi="Times New Roman" w:cs="Times New Roman"/>
          <w:i/>
          <w:iCs/>
          <w:color w:val="000000" w:themeColor="text1"/>
          <w:sz w:val="28"/>
          <w:szCs w:val="28"/>
          <w:lang w:val="es-ES_tradnl"/>
        </w:rPr>
        <w:t>Regulación constitucional del principio de igualdad.</w:t>
      </w:r>
      <w:r w:rsidRPr="0096658B">
        <w:rPr>
          <w:rFonts w:ascii="Times New Roman" w:hAnsi="Times New Roman" w:cs="Times New Roman"/>
          <w:color w:val="000000" w:themeColor="text1"/>
          <w:sz w:val="28"/>
          <w:szCs w:val="28"/>
          <w:lang w:val="es-ES_tradnl"/>
        </w:rPr>
        <w:t xml:space="preserve"> </w:t>
      </w:r>
      <w:r w:rsidRPr="0096658B">
        <w:rPr>
          <w:rFonts w:ascii="Times New Roman" w:hAnsi="Times New Roman" w:cs="Times New Roman"/>
          <w:bCs/>
          <w:iCs/>
          <w:color w:val="000000" w:themeColor="text1"/>
          <w:sz w:val="28"/>
          <w:szCs w:val="28"/>
          <w:bdr w:val="none" w:sz="0" w:space="0" w:color="auto" w:frame="1"/>
          <w:lang w:val="es-ES_tradnl"/>
        </w:rPr>
        <w:t xml:space="preserve">El principio de igualdad está previsto por el artículo 13 de la Constitución Política. El inciso primero </w:t>
      </w:r>
      <w:r w:rsidRPr="0096658B">
        <w:rPr>
          <w:rFonts w:ascii="Times New Roman" w:hAnsi="Times New Roman" w:cs="Times New Roman"/>
          <w:bCs/>
          <w:i/>
          <w:color w:val="000000" w:themeColor="text1"/>
          <w:sz w:val="28"/>
          <w:szCs w:val="28"/>
          <w:bdr w:val="none" w:sz="0" w:space="0" w:color="auto" w:frame="1"/>
          <w:lang w:val="es-ES_tradnl"/>
        </w:rPr>
        <w:t xml:space="preserve">ibidem </w:t>
      </w:r>
      <w:r w:rsidRPr="0096658B">
        <w:rPr>
          <w:rFonts w:ascii="Times New Roman" w:hAnsi="Times New Roman" w:cs="Times New Roman"/>
          <w:bCs/>
          <w:iCs/>
          <w:color w:val="000000" w:themeColor="text1"/>
          <w:sz w:val="28"/>
          <w:szCs w:val="28"/>
          <w:bdr w:val="none" w:sz="0" w:space="0" w:color="auto" w:frame="1"/>
          <w:lang w:val="es-ES_tradnl"/>
        </w:rPr>
        <w:t xml:space="preserve">dispone que todas las </w:t>
      </w:r>
      <w:r w:rsidRPr="0096658B">
        <w:rPr>
          <w:rFonts w:ascii="Times New Roman" w:hAnsi="Times New Roman" w:cs="Times New Roman"/>
          <w:bCs/>
          <w:iCs/>
          <w:color w:val="000000" w:themeColor="text1"/>
          <w:sz w:val="28"/>
          <w:szCs w:val="28"/>
          <w:bdr w:val="none" w:sz="0" w:space="0" w:color="auto" w:frame="1"/>
          <w:shd w:val="clear" w:color="auto" w:fill="FFFFFF"/>
          <w:lang w:val="es-ES_tradnl"/>
        </w:rPr>
        <w:t>personas “recibirán la misma protección y trato de las autoridades y gozarán de los mismos derechos, libertades y oportuni</w:t>
      </w:r>
      <w:r w:rsidRPr="0096658B">
        <w:rPr>
          <w:rFonts w:ascii="Times New Roman" w:hAnsi="Times New Roman" w:cs="Times New Roman"/>
          <w:bCs/>
          <w:iCs/>
          <w:color w:val="000000" w:themeColor="text1"/>
          <w:sz w:val="28"/>
          <w:szCs w:val="28"/>
          <w:bdr w:val="none" w:sz="0" w:space="0" w:color="auto" w:frame="1"/>
          <w:shd w:val="clear" w:color="auto" w:fill="FFFFFF"/>
          <w:lang w:val="es-ES_tradnl"/>
        </w:rPr>
        <w:t xml:space="preserve">dades”. Asimismo, prohíbe la discriminación “por razones de sexo, raza, origen nacional o familiar, lengua, religión, opinión política o filosófica”. Los incisos segundo y tercero </w:t>
      </w:r>
      <w:r w:rsidRPr="0096658B">
        <w:rPr>
          <w:rFonts w:ascii="Times New Roman" w:hAnsi="Times New Roman" w:cs="Times New Roman"/>
          <w:bCs/>
          <w:i/>
          <w:color w:val="000000" w:themeColor="text1"/>
          <w:sz w:val="28"/>
          <w:szCs w:val="28"/>
          <w:bdr w:val="none" w:sz="0" w:space="0" w:color="auto" w:frame="1"/>
          <w:shd w:val="clear" w:color="auto" w:fill="FFFFFF"/>
          <w:lang w:val="es-ES_tradnl"/>
        </w:rPr>
        <w:t>ibidem</w:t>
      </w:r>
      <w:r w:rsidRPr="0096658B">
        <w:rPr>
          <w:rFonts w:ascii="Times New Roman" w:hAnsi="Times New Roman" w:cs="Times New Roman"/>
          <w:bCs/>
          <w:iCs/>
          <w:color w:val="000000" w:themeColor="text1"/>
          <w:sz w:val="28"/>
          <w:szCs w:val="28"/>
          <w:bdr w:val="none" w:sz="0" w:space="0" w:color="auto" w:frame="1"/>
          <w:shd w:val="clear" w:color="auto" w:fill="FFFFFF"/>
          <w:lang w:val="es-ES_tradnl"/>
        </w:rPr>
        <w:t xml:space="preserve"> instituyen que el Estado deberá</w:t>
      </w:r>
      <w:r w:rsidRPr="0096658B">
        <w:rPr>
          <w:rFonts w:ascii="Times New Roman" w:hAnsi="Times New Roman" w:cs="Times New Roman"/>
          <w:bCs/>
          <w:i/>
          <w:color w:val="000000" w:themeColor="text1"/>
          <w:sz w:val="28"/>
          <w:szCs w:val="28"/>
          <w:bdr w:val="none" w:sz="0" w:space="0" w:color="auto" w:frame="1"/>
          <w:shd w:val="clear" w:color="auto" w:fill="FFFFFF"/>
          <w:lang w:val="es-ES_tradnl"/>
        </w:rPr>
        <w:t xml:space="preserve"> (i)</w:t>
      </w:r>
      <w:r w:rsidRPr="0096658B">
        <w:rPr>
          <w:rFonts w:ascii="Times New Roman" w:hAnsi="Times New Roman" w:cs="Times New Roman"/>
          <w:bCs/>
          <w:iCs/>
          <w:color w:val="000000" w:themeColor="text1"/>
          <w:sz w:val="28"/>
          <w:szCs w:val="28"/>
          <w:bdr w:val="none" w:sz="0" w:space="0" w:color="auto" w:frame="1"/>
          <w:shd w:val="clear" w:color="auto" w:fill="FFFFFF"/>
          <w:lang w:val="es-ES_tradnl"/>
        </w:rPr>
        <w:t xml:space="preserve"> promover las condiciones para que “la igualdad sea real y efectiva” y </w:t>
      </w:r>
      <w:r w:rsidRPr="0096658B">
        <w:rPr>
          <w:rFonts w:ascii="Times New Roman" w:hAnsi="Times New Roman" w:cs="Times New Roman"/>
          <w:bCs/>
          <w:i/>
          <w:color w:val="000000" w:themeColor="text1"/>
          <w:sz w:val="28"/>
          <w:szCs w:val="28"/>
          <w:bdr w:val="none" w:sz="0" w:space="0" w:color="auto" w:frame="1"/>
          <w:shd w:val="clear" w:color="auto" w:fill="FFFFFF"/>
          <w:lang w:val="es-ES_tradnl"/>
        </w:rPr>
        <w:t xml:space="preserve">(ii) </w:t>
      </w:r>
      <w:r w:rsidRPr="0096658B">
        <w:rPr>
          <w:rFonts w:ascii="Times New Roman" w:hAnsi="Times New Roman" w:cs="Times New Roman"/>
          <w:bCs/>
          <w:iCs/>
          <w:color w:val="000000" w:themeColor="text1"/>
          <w:sz w:val="28"/>
          <w:szCs w:val="28"/>
          <w:bdr w:val="none" w:sz="0" w:space="0" w:color="auto" w:frame="1"/>
          <w:shd w:val="clear" w:color="auto" w:fill="FFFFFF"/>
          <w:lang w:val="es-ES_tradnl"/>
        </w:rPr>
        <w:t xml:space="preserve">proteger de manera especial a las “personas que, por su condición económica, física o mental, se encuentren en circunstancia de debilidad manifiesta”. </w:t>
      </w:r>
    </w:p>
    <w:p w:rsidR="00B53BBE" w:rsidRPr="0096658B" w:rsidRDefault="0096658B" w:rsidP="00B53BBE">
      <w:pPr>
        <w:widowControl w:val="0"/>
        <w:shd w:val="clear" w:color="auto" w:fill="FFFFFF"/>
        <w:autoSpaceDE w:val="0"/>
        <w:autoSpaceDN w:val="0"/>
        <w:adjustRightInd w:val="0"/>
        <w:jc w:val="both"/>
        <w:rPr>
          <w:rFonts w:ascii="Times New Roman" w:hAnsi="Times New Roman" w:cs="Times New Roman"/>
          <w:color w:val="000000" w:themeColor="text1"/>
          <w:sz w:val="28"/>
          <w:lang w:val="es-ES_tradnl"/>
        </w:rPr>
      </w:pPr>
    </w:p>
    <w:p w:rsidR="00B53BBE" w:rsidRPr="0096658B" w:rsidRDefault="0096658B" w:rsidP="00B53BBE">
      <w:pPr>
        <w:pStyle w:val="Prrafodelista"/>
        <w:widowControl w:val="0"/>
        <w:numPr>
          <w:ilvl w:val="0"/>
          <w:numId w:val="5"/>
        </w:numPr>
        <w:shd w:val="clear" w:color="auto" w:fill="FFFFFF"/>
        <w:autoSpaceDE w:val="0"/>
        <w:autoSpaceDN w:val="0"/>
        <w:adjustRightInd w:val="0"/>
        <w:ind w:left="0" w:firstLine="0"/>
        <w:jc w:val="both"/>
        <w:rPr>
          <w:rFonts w:ascii="Times New Roman" w:hAnsi="Times New Roman" w:cs="Times New Roman"/>
          <w:color w:val="000000" w:themeColor="text1"/>
          <w:szCs w:val="22"/>
          <w:lang w:val="es-ES_tradnl" w:eastAsia="es-CO"/>
        </w:rPr>
      </w:pPr>
      <w:r w:rsidRPr="0096658B">
        <w:rPr>
          <w:rFonts w:ascii="Times New Roman" w:hAnsi="Times New Roman" w:cs="Times New Roman"/>
          <w:i/>
          <w:iCs/>
          <w:color w:val="000000" w:themeColor="text1"/>
          <w:lang w:val="es-ES_tradnl" w:eastAsia="es-CO"/>
        </w:rPr>
        <w:t xml:space="preserve">Carácter relacional y contenido del principio de igualdad. </w:t>
      </w:r>
      <w:r w:rsidRPr="0096658B">
        <w:rPr>
          <w:rFonts w:ascii="Times New Roman" w:hAnsi="Times New Roman" w:cs="Times New Roman"/>
          <w:bCs/>
          <w:color w:val="000000" w:themeColor="text1"/>
          <w:bdr w:val="none" w:sz="0" w:space="0" w:color="auto" w:frame="1"/>
          <w:shd w:val="clear" w:color="auto" w:fill="FFFFFF"/>
          <w:lang w:val="es-ES_tradnl"/>
        </w:rPr>
        <w:t>La igualdad es un concepto de “carácter relacional”</w:t>
      </w:r>
      <w:r w:rsidRPr="0096658B">
        <w:rPr>
          <w:rStyle w:val="Refdenotaalpie"/>
          <w:rFonts w:ascii="Times New Roman" w:hAnsi="Times New Roman"/>
          <w:color w:val="000000" w:themeColor="text1"/>
          <w:bdr w:val="none" w:sz="0" w:space="0" w:color="auto" w:frame="1"/>
          <w:shd w:val="clear" w:color="auto" w:fill="FFFFFF"/>
          <w:lang w:val="es-ES_tradnl"/>
        </w:rPr>
        <w:footnoteReference w:id="114"/>
      </w:r>
      <w:r w:rsidRPr="0096658B">
        <w:rPr>
          <w:rFonts w:ascii="Times New Roman" w:hAnsi="Times New Roman" w:cs="Times New Roman"/>
          <w:bCs/>
          <w:color w:val="000000" w:themeColor="text1"/>
          <w:bdr w:val="none" w:sz="0" w:space="0" w:color="auto" w:frame="1"/>
          <w:shd w:val="clear" w:color="auto" w:fill="FFFFFF"/>
          <w:lang w:val="es-ES_tradnl"/>
        </w:rPr>
        <w:t>, por lo que “presupone una comparación entre personas, grupos de personas”</w:t>
      </w:r>
      <w:r w:rsidRPr="0096658B">
        <w:rPr>
          <w:rStyle w:val="Refdenotaalpie"/>
          <w:rFonts w:ascii="Times New Roman" w:hAnsi="Times New Roman"/>
          <w:color w:val="000000" w:themeColor="text1"/>
          <w:bdr w:val="none" w:sz="0" w:space="0" w:color="auto" w:frame="1"/>
          <w:shd w:val="clear" w:color="auto" w:fill="FFFFFF"/>
          <w:lang w:val="es-ES_tradnl"/>
        </w:rPr>
        <w:footnoteReference w:id="115"/>
      </w:r>
      <w:r w:rsidRPr="0096658B">
        <w:rPr>
          <w:rFonts w:ascii="Times New Roman" w:hAnsi="Times New Roman" w:cs="Times New Roman"/>
          <w:bCs/>
          <w:color w:val="000000" w:themeColor="text1"/>
          <w:bdr w:val="none" w:sz="0" w:space="0" w:color="auto" w:frame="1"/>
          <w:shd w:val="clear" w:color="auto" w:fill="FFFFFF"/>
          <w:lang w:val="es-ES_tradnl"/>
        </w:rPr>
        <w:t xml:space="preserve"> o supuestos, a partir de un determinado criterio de comparación</w:t>
      </w:r>
      <w:r w:rsidRPr="0096658B">
        <w:rPr>
          <w:rStyle w:val="Refdenotaalpie"/>
          <w:rFonts w:ascii="Times New Roman" w:hAnsi="Times New Roman"/>
          <w:color w:val="000000" w:themeColor="text1"/>
          <w:bdr w:val="none" w:sz="0" w:space="0" w:color="auto" w:frame="1"/>
          <w:shd w:val="clear" w:color="auto" w:fill="FFFFFF"/>
          <w:lang w:val="es-ES_tradnl"/>
        </w:rPr>
        <w:footnoteReference w:id="116"/>
      </w:r>
      <w:r w:rsidRPr="0096658B">
        <w:rPr>
          <w:rFonts w:ascii="Times New Roman" w:hAnsi="Times New Roman" w:cs="Times New Roman"/>
          <w:bCs/>
          <w:color w:val="000000" w:themeColor="text1"/>
          <w:bdr w:val="none" w:sz="0" w:space="0" w:color="auto" w:frame="1"/>
          <w:shd w:val="clear" w:color="auto" w:fill="FFFFFF"/>
          <w:lang w:val="es-ES_tradnl"/>
        </w:rPr>
        <w:t>. La</w:t>
      </w:r>
      <w:r w:rsidRPr="0096658B">
        <w:rPr>
          <w:rFonts w:ascii="Times New Roman" w:hAnsi="Times New Roman" w:cs="Times New Roman"/>
          <w:bCs/>
          <w:color w:val="000000" w:themeColor="text1"/>
          <w:bdr w:val="none" w:sz="0" w:space="0" w:color="auto" w:frame="1"/>
          <w:shd w:val="clear" w:color="auto" w:fill="FFFFFF"/>
          <w:lang w:val="es-ES_tradnl"/>
        </w:rPr>
        <w:t>s situaciones de igualdad o de desigualdad entre las personas o los supuestos</w:t>
      </w:r>
      <w:r w:rsidRPr="0096658B">
        <w:rPr>
          <w:rFonts w:ascii="Times New Roman" w:hAnsi="Times New Roman" w:cs="Times New Roman"/>
          <w:bCs/>
          <w:i/>
          <w:iCs/>
          <w:color w:val="000000" w:themeColor="text1"/>
          <w:bdr w:val="none" w:sz="0" w:space="0" w:color="auto" w:frame="1"/>
          <w:shd w:val="clear" w:color="auto" w:fill="FFFFFF"/>
          <w:lang w:val="es-ES_tradnl"/>
        </w:rPr>
        <w:t xml:space="preserve"> </w:t>
      </w:r>
      <w:r w:rsidRPr="0096658B">
        <w:rPr>
          <w:rFonts w:ascii="Times New Roman" w:hAnsi="Times New Roman" w:cs="Times New Roman"/>
          <w:bCs/>
          <w:color w:val="000000" w:themeColor="text1"/>
          <w:bdr w:val="none" w:sz="0" w:space="0" w:color="auto" w:frame="1"/>
          <w:shd w:val="clear" w:color="auto" w:fill="FFFFFF"/>
          <w:lang w:val="es-ES_tradnl"/>
        </w:rPr>
        <w:t>“no son nunca absolutas sino siempre parciales, esto es, desigualdades o igualdades desde cierto punto de vista”</w:t>
      </w:r>
      <w:r w:rsidRPr="0096658B">
        <w:rPr>
          <w:rStyle w:val="Refdenotaalpie"/>
          <w:rFonts w:ascii="Times New Roman" w:hAnsi="Times New Roman"/>
          <w:color w:val="000000" w:themeColor="text1"/>
          <w:bdr w:val="none" w:sz="0" w:space="0" w:color="auto" w:frame="1"/>
          <w:shd w:val="clear" w:color="auto" w:fill="FFFFFF"/>
          <w:lang w:val="es-ES_tradnl"/>
        </w:rPr>
        <w:footnoteReference w:id="117"/>
      </w:r>
      <w:r w:rsidRPr="0096658B">
        <w:rPr>
          <w:rFonts w:ascii="Times New Roman" w:hAnsi="Times New Roman" w:cs="Times New Roman"/>
          <w:bCs/>
          <w:color w:val="000000" w:themeColor="text1"/>
          <w:bdr w:val="none" w:sz="0" w:space="0" w:color="auto" w:frame="1"/>
          <w:shd w:val="clear" w:color="auto" w:fill="FFFFFF"/>
          <w:lang w:val="es-ES_tradnl"/>
        </w:rPr>
        <w:t xml:space="preserve">. En este sentido, del principio de igualdad se derivan los </w:t>
      </w:r>
      <w:r w:rsidRPr="0096658B">
        <w:rPr>
          <w:rFonts w:ascii="Times New Roman" w:hAnsi="Times New Roman" w:cs="Times New Roman"/>
          <w:bCs/>
          <w:color w:val="000000" w:themeColor="text1"/>
          <w:bdr w:val="none" w:sz="0" w:space="0" w:color="auto" w:frame="1"/>
          <w:shd w:val="clear" w:color="auto" w:fill="FFFFFF"/>
          <w:lang w:val="es-ES_tradnl"/>
        </w:rPr>
        <w:t>siguientes cuatro mandatos:</w:t>
      </w:r>
      <w:r w:rsidRPr="0096658B">
        <w:rPr>
          <w:rFonts w:ascii="Times New Roman" w:hAnsi="Times New Roman" w:cs="Times New Roman"/>
          <w:bCs/>
          <w:iCs/>
          <w:color w:val="000000" w:themeColor="text1"/>
          <w:bdr w:val="none" w:sz="0" w:space="0" w:color="auto" w:frame="1"/>
          <w:lang w:val="es-ES_tradnl" w:eastAsia="es-CO"/>
        </w:rPr>
        <w:t xml:space="preserve"> </w:t>
      </w:r>
      <w:r w:rsidRPr="0096658B">
        <w:rPr>
          <w:rFonts w:ascii="Times New Roman" w:hAnsi="Times New Roman" w:cs="Times New Roman"/>
          <w:bCs/>
          <w:i/>
          <w:iCs/>
          <w:color w:val="000000" w:themeColor="text1"/>
          <w:bdr w:val="none" w:sz="0" w:space="0" w:color="auto" w:frame="1"/>
          <w:shd w:val="clear" w:color="auto" w:fill="FFFFFF"/>
          <w:lang w:val="es-ES_tradnl"/>
        </w:rPr>
        <w:t xml:space="preserve">(i) </w:t>
      </w:r>
      <w:r w:rsidRPr="0096658B">
        <w:rPr>
          <w:rFonts w:ascii="Times New Roman" w:hAnsi="Times New Roman" w:cs="Times New Roman"/>
          <w:bCs/>
          <w:color w:val="000000" w:themeColor="text1"/>
          <w:bdr w:val="none" w:sz="0" w:space="0" w:color="auto" w:frame="1"/>
          <w:shd w:val="clear" w:color="auto" w:fill="FFFFFF"/>
          <w:lang w:val="es-ES_tradnl"/>
        </w:rPr>
        <w:t xml:space="preserve">un </w:t>
      </w:r>
      <w:r w:rsidRPr="0096658B">
        <w:rPr>
          <w:rFonts w:ascii="Times New Roman" w:hAnsi="Times New Roman" w:cs="Times New Roman"/>
          <w:bCs/>
          <w:i/>
          <w:iCs/>
          <w:color w:val="000000" w:themeColor="text1"/>
          <w:bdr w:val="none" w:sz="0" w:space="0" w:color="auto" w:frame="1"/>
          <w:shd w:val="clear" w:color="auto" w:fill="FFFFFF"/>
          <w:lang w:val="es-ES_tradnl"/>
        </w:rPr>
        <w:t xml:space="preserve">mandato de trato idéntico </w:t>
      </w:r>
      <w:r w:rsidRPr="0096658B">
        <w:rPr>
          <w:rFonts w:ascii="Times New Roman" w:hAnsi="Times New Roman" w:cs="Times New Roman"/>
          <w:bCs/>
          <w:color w:val="000000" w:themeColor="text1"/>
          <w:bdr w:val="none" w:sz="0" w:space="0" w:color="auto" w:frame="1"/>
          <w:shd w:val="clear" w:color="auto" w:fill="FFFFFF"/>
          <w:lang w:val="es-ES_tradnl"/>
        </w:rPr>
        <w:t>a destinatarios que</w:t>
      </w:r>
      <w:r w:rsidRPr="0096658B">
        <w:rPr>
          <w:rFonts w:ascii="Times New Roman" w:hAnsi="Times New Roman" w:cs="Times New Roman"/>
          <w:bCs/>
          <w:i/>
          <w:iCs/>
          <w:color w:val="000000" w:themeColor="text1"/>
          <w:bdr w:val="none" w:sz="0" w:space="0" w:color="auto" w:frame="1"/>
          <w:shd w:val="clear" w:color="auto" w:fill="FFFFFF"/>
          <w:lang w:val="es-ES_tradnl"/>
        </w:rPr>
        <w:t xml:space="preserve"> </w:t>
      </w:r>
      <w:r w:rsidRPr="0096658B">
        <w:rPr>
          <w:rFonts w:ascii="Times New Roman" w:hAnsi="Times New Roman" w:cs="Times New Roman"/>
          <w:bCs/>
          <w:color w:val="000000" w:themeColor="text1"/>
          <w:bdr w:val="none" w:sz="0" w:space="0" w:color="auto" w:frame="1"/>
          <w:shd w:val="clear" w:color="auto" w:fill="FFFFFF"/>
          <w:lang w:val="es-ES_tradnl"/>
        </w:rPr>
        <w:t>“se encuentren en circunstancias idénticas”</w:t>
      </w:r>
      <w:r w:rsidRPr="0096658B">
        <w:rPr>
          <w:rFonts w:ascii="Times New Roman" w:hAnsi="Times New Roman" w:cs="Times New Roman"/>
          <w:color w:val="000000" w:themeColor="text1"/>
          <w:bdr w:val="none" w:sz="0" w:space="0" w:color="auto" w:frame="1"/>
          <w:shd w:val="clear" w:color="auto" w:fill="FFFFFF"/>
          <w:vertAlign w:val="superscript"/>
          <w:lang w:val="es-ES_tradnl"/>
        </w:rPr>
        <w:footnoteReference w:id="118"/>
      </w:r>
      <w:r w:rsidRPr="0096658B">
        <w:rPr>
          <w:rFonts w:ascii="Times New Roman" w:hAnsi="Times New Roman" w:cs="Times New Roman"/>
          <w:bCs/>
          <w:color w:val="000000" w:themeColor="text1"/>
          <w:bdr w:val="none" w:sz="0" w:space="0" w:color="auto" w:frame="1"/>
          <w:shd w:val="clear" w:color="auto" w:fill="FFFFFF"/>
          <w:lang w:val="es-ES_tradnl"/>
        </w:rPr>
        <w:t>;</w:t>
      </w:r>
      <w:r w:rsidRPr="0096658B">
        <w:rPr>
          <w:rFonts w:ascii="Times New Roman" w:hAnsi="Times New Roman" w:cs="Times New Roman"/>
          <w:bCs/>
          <w:i/>
          <w:iCs/>
          <w:color w:val="000000" w:themeColor="text1"/>
          <w:bdr w:val="none" w:sz="0" w:space="0" w:color="auto" w:frame="1"/>
          <w:shd w:val="clear" w:color="auto" w:fill="FFFFFF"/>
          <w:lang w:val="es-ES_tradnl"/>
        </w:rPr>
        <w:t xml:space="preserve"> (ii) </w:t>
      </w:r>
      <w:r w:rsidRPr="0096658B">
        <w:rPr>
          <w:rFonts w:ascii="Times New Roman" w:hAnsi="Times New Roman" w:cs="Times New Roman"/>
          <w:bCs/>
          <w:color w:val="000000" w:themeColor="text1"/>
          <w:bdr w:val="none" w:sz="0" w:space="0" w:color="auto" w:frame="1"/>
          <w:shd w:val="clear" w:color="auto" w:fill="FFFFFF"/>
          <w:lang w:val="es-ES_tradnl"/>
        </w:rPr>
        <w:t xml:space="preserve">un </w:t>
      </w:r>
      <w:r w:rsidRPr="0096658B">
        <w:rPr>
          <w:rFonts w:ascii="Times New Roman" w:hAnsi="Times New Roman" w:cs="Times New Roman"/>
          <w:bCs/>
          <w:i/>
          <w:iCs/>
          <w:color w:val="000000" w:themeColor="text1"/>
          <w:bdr w:val="none" w:sz="0" w:space="0" w:color="auto" w:frame="1"/>
          <w:shd w:val="clear" w:color="auto" w:fill="FFFFFF"/>
          <w:lang w:val="es-ES_tradnl"/>
        </w:rPr>
        <w:t xml:space="preserve">mandato de trato diferente </w:t>
      </w:r>
      <w:r w:rsidRPr="0096658B">
        <w:rPr>
          <w:rFonts w:ascii="Times New Roman" w:hAnsi="Times New Roman" w:cs="Times New Roman"/>
          <w:bCs/>
          <w:color w:val="000000" w:themeColor="text1"/>
          <w:bdr w:val="none" w:sz="0" w:space="0" w:color="auto" w:frame="1"/>
          <w:shd w:val="clear" w:color="auto" w:fill="FFFFFF"/>
          <w:lang w:val="es-ES_tradnl"/>
        </w:rPr>
        <w:t>a destinatarios</w:t>
      </w:r>
      <w:r w:rsidRPr="0096658B">
        <w:rPr>
          <w:rFonts w:ascii="Times New Roman" w:hAnsi="Times New Roman" w:cs="Times New Roman"/>
          <w:bCs/>
          <w:i/>
          <w:iCs/>
          <w:color w:val="000000" w:themeColor="text1"/>
          <w:bdr w:val="none" w:sz="0" w:space="0" w:color="auto" w:frame="1"/>
          <w:shd w:val="clear" w:color="auto" w:fill="FFFFFF"/>
          <w:lang w:val="es-ES_tradnl"/>
        </w:rPr>
        <w:t xml:space="preserve"> </w:t>
      </w:r>
      <w:r w:rsidRPr="0096658B">
        <w:rPr>
          <w:rFonts w:ascii="Times New Roman" w:hAnsi="Times New Roman" w:cs="Times New Roman"/>
          <w:bCs/>
          <w:color w:val="000000" w:themeColor="text1"/>
          <w:bdr w:val="none" w:sz="0" w:space="0" w:color="auto" w:frame="1"/>
          <w:shd w:val="clear" w:color="auto" w:fill="FFFFFF"/>
          <w:lang w:val="es-ES_tradnl"/>
        </w:rPr>
        <w:t>“cuyas situaciones no comparten ningún elemento en común”</w:t>
      </w:r>
      <w:r w:rsidRPr="0096658B">
        <w:rPr>
          <w:rFonts w:ascii="Times New Roman" w:hAnsi="Times New Roman" w:cs="Times New Roman"/>
          <w:color w:val="000000" w:themeColor="text1"/>
          <w:bdr w:val="none" w:sz="0" w:space="0" w:color="auto" w:frame="1"/>
          <w:shd w:val="clear" w:color="auto" w:fill="FFFFFF"/>
          <w:vertAlign w:val="superscript"/>
          <w:lang w:val="es-ES_tradnl"/>
        </w:rPr>
        <w:footnoteReference w:id="119"/>
      </w:r>
      <w:r w:rsidRPr="0096658B">
        <w:rPr>
          <w:rFonts w:ascii="Times New Roman" w:hAnsi="Times New Roman" w:cs="Times New Roman"/>
          <w:bCs/>
          <w:color w:val="000000" w:themeColor="text1"/>
          <w:bdr w:val="none" w:sz="0" w:space="0" w:color="auto" w:frame="1"/>
          <w:shd w:val="clear" w:color="auto" w:fill="FFFFFF"/>
          <w:lang w:val="es-ES_tradnl"/>
        </w:rPr>
        <w:t>;</w:t>
      </w:r>
      <w:r w:rsidRPr="0096658B">
        <w:rPr>
          <w:rFonts w:ascii="Times New Roman" w:hAnsi="Times New Roman" w:cs="Times New Roman"/>
          <w:bCs/>
          <w:i/>
          <w:iCs/>
          <w:color w:val="000000" w:themeColor="text1"/>
          <w:bdr w:val="none" w:sz="0" w:space="0" w:color="auto" w:frame="1"/>
          <w:shd w:val="clear" w:color="auto" w:fill="FFFFFF"/>
          <w:lang w:val="es-ES_tradnl"/>
        </w:rPr>
        <w:t xml:space="preserve"> (iii) </w:t>
      </w:r>
      <w:r w:rsidRPr="0096658B">
        <w:rPr>
          <w:rFonts w:ascii="Times New Roman" w:hAnsi="Times New Roman" w:cs="Times New Roman"/>
          <w:bCs/>
          <w:color w:val="000000" w:themeColor="text1"/>
          <w:bdr w:val="none" w:sz="0" w:space="0" w:color="auto" w:frame="1"/>
          <w:shd w:val="clear" w:color="auto" w:fill="FFFFFF"/>
          <w:lang w:val="es-ES_tradnl"/>
        </w:rPr>
        <w:t xml:space="preserve">un </w:t>
      </w:r>
      <w:r w:rsidRPr="0096658B">
        <w:rPr>
          <w:rFonts w:ascii="Times New Roman" w:hAnsi="Times New Roman" w:cs="Times New Roman"/>
          <w:bCs/>
          <w:i/>
          <w:iCs/>
          <w:color w:val="000000" w:themeColor="text1"/>
          <w:bdr w:val="none" w:sz="0" w:space="0" w:color="auto" w:frame="1"/>
          <w:shd w:val="clear" w:color="auto" w:fill="FFFFFF"/>
          <w:lang w:val="es-ES_tradnl"/>
        </w:rPr>
        <w:t>mandato d</w:t>
      </w:r>
      <w:r w:rsidRPr="0096658B">
        <w:rPr>
          <w:rFonts w:ascii="Times New Roman" w:hAnsi="Times New Roman" w:cs="Times New Roman"/>
          <w:bCs/>
          <w:i/>
          <w:iCs/>
          <w:color w:val="000000" w:themeColor="text1"/>
          <w:bdr w:val="none" w:sz="0" w:space="0" w:color="auto" w:frame="1"/>
          <w:shd w:val="clear" w:color="auto" w:fill="FFFFFF"/>
          <w:lang w:val="es-ES_tradnl"/>
        </w:rPr>
        <w:t>e trato semejante</w:t>
      </w:r>
      <w:r w:rsidRPr="0096658B">
        <w:rPr>
          <w:rFonts w:ascii="Times New Roman" w:hAnsi="Times New Roman" w:cs="Times New Roman"/>
          <w:bCs/>
          <w:color w:val="000000" w:themeColor="text1"/>
          <w:bdr w:val="none" w:sz="0" w:space="0" w:color="auto" w:frame="1"/>
          <w:shd w:val="clear" w:color="auto" w:fill="FFFFFF"/>
          <w:lang w:val="es-ES_tradnl"/>
        </w:rPr>
        <w:t xml:space="preserve"> a destinatarios “cuyas situaciones presenten similitudes y diferencias, pero las similitudes sean más relevantes a pesar de las diferencias”</w:t>
      </w:r>
      <w:r w:rsidRPr="0096658B">
        <w:rPr>
          <w:rFonts w:ascii="Times New Roman" w:hAnsi="Times New Roman" w:cs="Times New Roman"/>
          <w:color w:val="000000" w:themeColor="text1"/>
          <w:bdr w:val="none" w:sz="0" w:space="0" w:color="auto" w:frame="1"/>
          <w:shd w:val="clear" w:color="auto" w:fill="FFFFFF"/>
          <w:vertAlign w:val="superscript"/>
          <w:lang w:val="es-ES_tradnl"/>
        </w:rPr>
        <w:footnoteReference w:id="120"/>
      </w:r>
      <w:r w:rsidRPr="0096658B">
        <w:rPr>
          <w:rFonts w:ascii="Times New Roman" w:hAnsi="Times New Roman" w:cs="Times New Roman"/>
          <w:bCs/>
          <w:color w:val="000000" w:themeColor="text1"/>
          <w:bdr w:val="none" w:sz="0" w:space="0" w:color="auto" w:frame="1"/>
          <w:shd w:val="clear" w:color="auto" w:fill="FFFFFF"/>
          <w:lang w:val="es-ES_tradnl"/>
        </w:rPr>
        <w:t>,</w:t>
      </w:r>
      <w:r w:rsidRPr="0096658B">
        <w:rPr>
          <w:rFonts w:ascii="Times New Roman" w:hAnsi="Times New Roman" w:cs="Times New Roman"/>
          <w:bCs/>
          <w:i/>
          <w:iCs/>
          <w:color w:val="000000" w:themeColor="text1"/>
          <w:bdr w:val="none" w:sz="0" w:space="0" w:color="auto" w:frame="1"/>
          <w:shd w:val="clear" w:color="auto" w:fill="FFFFFF"/>
          <w:lang w:val="es-ES_tradnl"/>
        </w:rPr>
        <w:t xml:space="preserve"> </w:t>
      </w:r>
      <w:r w:rsidRPr="0096658B">
        <w:rPr>
          <w:rFonts w:ascii="Times New Roman" w:hAnsi="Times New Roman" w:cs="Times New Roman"/>
          <w:bCs/>
          <w:color w:val="000000" w:themeColor="text1"/>
          <w:bdr w:val="none" w:sz="0" w:space="0" w:color="auto" w:frame="1"/>
          <w:shd w:val="clear" w:color="auto" w:fill="FFFFFF"/>
          <w:lang w:val="es-ES_tradnl"/>
        </w:rPr>
        <w:t>y</w:t>
      </w:r>
      <w:r w:rsidRPr="0096658B">
        <w:rPr>
          <w:rFonts w:ascii="Times New Roman" w:hAnsi="Times New Roman" w:cs="Times New Roman"/>
          <w:bCs/>
          <w:i/>
          <w:iCs/>
          <w:color w:val="000000" w:themeColor="text1"/>
          <w:bdr w:val="none" w:sz="0" w:space="0" w:color="auto" w:frame="1"/>
          <w:shd w:val="clear" w:color="auto" w:fill="FFFFFF"/>
          <w:lang w:val="es-ES_tradnl"/>
        </w:rPr>
        <w:t xml:space="preserve"> (iv) </w:t>
      </w:r>
      <w:r w:rsidRPr="0096658B">
        <w:rPr>
          <w:rFonts w:ascii="Times New Roman" w:hAnsi="Times New Roman" w:cs="Times New Roman"/>
          <w:bCs/>
          <w:color w:val="000000" w:themeColor="text1"/>
          <w:bdr w:val="none" w:sz="0" w:space="0" w:color="auto" w:frame="1"/>
          <w:shd w:val="clear" w:color="auto" w:fill="FFFFFF"/>
          <w:lang w:val="es-ES_tradnl"/>
        </w:rPr>
        <w:t xml:space="preserve">un mandato de </w:t>
      </w:r>
      <w:r w:rsidRPr="0096658B">
        <w:rPr>
          <w:rFonts w:ascii="Times New Roman" w:hAnsi="Times New Roman" w:cs="Times New Roman"/>
          <w:bCs/>
          <w:i/>
          <w:iCs/>
          <w:color w:val="000000" w:themeColor="text1"/>
          <w:bdr w:val="none" w:sz="0" w:space="0" w:color="auto" w:frame="1"/>
          <w:shd w:val="clear" w:color="auto" w:fill="FFFFFF"/>
          <w:lang w:val="es-ES_tradnl"/>
        </w:rPr>
        <w:t xml:space="preserve">trato diferenciado </w:t>
      </w:r>
      <w:r w:rsidRPr="0096658B">
        <w:rPr>
          <w:rFonts w:ascii="Times New Roman" w:hAnsi="Times New Roman" w:cs="Times New Roman"/>
          <w:bCs/>
          <w:color w:val="000000" w:themeColor="text1"/>
          <w:bdr w:val="none" w:sz="0" w:space="0" w:color="auto" w:frame="1"/>
          <w:shd w:val="clear" w:color="auto" w:fill="FFFFFF"/>
          <w:lang w:val="es-ES_tradnl"/>
        </w:rPr>
        <w:t>a destinatarios que “se encuentren también en una posic</w:t>
      </w:r>
      <w:r w:rsidRPr="0096658B">
        <w:rPr>
          <w:rFonts w:ascii="Times New Roman" w:hAnsi="Times New Roman" w:cs="Times New Roman"/>
          <w:bCs/>
          <w:color w:val="000000" w:themeColor="text1"/>
          <w:bdr w:val="none" w:sz="0" w:space="0" w:color="auto" w:frame="1"/>
          <w:shd w:val="clear" w:color="auto" w:fill="FFFFFF"/>
          <w:lang w:val="es-ES_tradnl"/>
        </w:rPr>
        <w:t>ión en parte similar y en parte diversa, pero en cuyo caso las diferencias sean más relevantes que las similitudes”</w:t>
      </w:r>
      <w:r w:rsidRPr="0096658B">
        <w:rPr>
          <w:rStyle w:val="Refdenotaalpie"/>
          <w:rFonts w:ascii="Times New Roman" w:eastAsia="SimSun" w:hAnsi="Times New Roman"/>
          <w:bCs/>
          <w:color w:val="000000" w:themeColor="text1"/>
          <w:bdr w:val="none" w:sz="0" w:space="0" w:color="auto" w:frame="1"/>
          <w:shd w:val="clear" w:color="auto" w:fill="FFFFFF"/>
          <w:lang w:val="es-ES_tradnl"/>
        </w:rPr>
        <w:footnoteReference w:id="121"/>
      </w:r>
      <w:r w:rsidRPr="0096658B">
        <w:rPr>
          <w:rFonts w:ascii="Times New Roman" w:hAnsi="Times New Roman" w:cs="Times New Roman"/>
          <w:bCs/>
          <w:iCs/>
          <w:color w:val="000000" w:themeColor="text1"/>
          <w:bdr w:val="none" w:sz="0" w:space="0" w:color="auto" w:frame="1"/>
          <w:lang w:val="es-ES_tradnl" w:eastAsia="es-CO"/>
        </w:rPr>
        <w:t>. Conforme a lo anterior, “un trato disímil entre personas no necesariamente es contradictorio a la Constitución. Ello dependerá de que este</w:t>
      </w:r>
      <w:r w:rsidRPr="0096658B">
        <w:rPr>
          <w:rFonts w:ascii="Times New Roman" w:hAnsi="Times New Roman" w:cs="Times New Roman"/>
          <w:bCs/>
          <w:iCs/>
          <w:color w:val="000000" w:themeColor="text1"/>
          <w:bdr w:val="none" w:sz="0" w:space="0" w:color="auto" w:frame="1"/>
          <w:lang w:val="es-ES_tradnl" w:eastAsia="es-CO"/>
        </w:rPr>
        <w:t xml:space="preserve"> sea razonable y proporcional, esto es, de que no suponga ‘una afectación intensa e insoportable de un derecho, garantía o posición jurídica reconocida por la Constitución’”</w:t>
      </w:r>
      <w:r w:rsidRPr="0096658B">
        <w:rPr>
          <w:rStyle w:val="Refdenotaalpie"/>
          <w:rFonts w:ascii="Times New Roman" w:eastAsia="SimSun" w:hAnsi="Times New Roman"/>
          <w:bCs/>
          <w:iCs/>
          <w:color w:val="000000" w:themeColor="text1"/>
          <w:bdr w:val="none" w:sz="0" w:space="0" w:color="auto" w:frame="1"/>
          <w:lang w:val="es-ES_tradnl" w:eastAsia="es-CO"/>
        </w:rPr>
        <w:footnoteReference w:id="122"/>
      </w:r>
      <w:r w:rsidRPr="0096658B">
        <w:rPr>
          <w:rFonts w:ascii="Times New Roman" w:hAnsi="Times New Roman" w:cs="Times New Roman"/>
          <w:bCs/>
          <w:iCs/>
          <w:color w:val="000000" w:themeColor="text1"/>
          <w:bdr w:val="none" w:sz="0" w:space="0" w:color="auto" w:frame="1"/>
          <w:lang w:val="es-ES_tradnl" w:eastAsia="es-CO"/>
        </w:rPr>
        <w:t xml:space="preserve">. Las diferencias de trato o los tratos paritarios </w:t>
      </w:r>
      <w:r w:rsidRPr="0096658B">
        <w:rPr>
          <w:rFonts w:ascii="Times New Roman" w:hAnsi="Times New Roman" w:cs="Times New Roman"/>
          <w:bCs/>
          <w:i/>
          <w:color w:val="000000" w:themeColor="text1"/>
          <w:bdr w:val="none" w:sz="0" w:space="0" w:color="auto" w:frame="1"/>
          <w:lang w:val="es-ES_tradnl" w:eastAsia="es-CO"/>
        </w:rPr>
        <w:t>prima facie</w:t>
      </w:r>
      <w:r w:rsidRPr="0096658B">
        <w:rPr>
          <w:rFonts w:ascii="Times New Roman" w:hAnsi="Times New Roman" w:cs="Times New Roman"/>
          <w:bCs/>
          <w:iCs/>
          <w:color w:val="000000" w:themeColor="text1"/>
          <w:bdr w:val="none" w:sz="0" w:space="0" w:color="auto" w:frame="1"/>
          <w:lang w:val="es-ES_tradnl" w:eastAsia="es-CO"/>
        </w:rPr>
        <w:t xml:space="preserve"> contrarios al artíc</w:t>
      </w:r>
      <w:r w:rsidRPr="0096658B">
        <w:rPr>
          <w:rFonts w:ascii="Times New Roman" w:hAnsi="Times New Roman" w:cs="Times New Roman"/>
          <w:bCs/>
          <w:iCs/>
          <w:color w:val="000000" w:themeColor="text1"/>
          <w:bdr w:val="none" w:sz="0" w:space="0" w:color="auto" w:frame="1"/>
          <w:lang w:val="es-ES_tradnl" w:eastAsia="es-CO"/>
        </w:rPr>
        <w:t>ulo 13 de la Constitución deben analizarse a partir de un juicio integrado de igualdad</w:t>
      </w:r>
      <w:r w:rsidRPr="0096658B">
        <w:rPr>
          <w:rStyle w:val="Refdenotaalpie"/>
          <w:rFonts w:ascii="Times New Roman" w:hAnsi="Times New Roman"/>
          <w:bCs/>
          <w:iCs/>
          <w:color w:val="000000" w:themeColor="text1"/>
          <w:bdr w:val="none" w:sz="0" w:space="0" w:color="auto" w:frame="1"/>
          <w:lang w:val="es-ES_tradnl" w:eastAsia="es-CO"/>
        </w:rPr>
        <w:footnoteReference w:id="123"/>
      </w:r>
      <w:r w:rsidRPr="0096658B">
        <w:rPr>
          <w:rFonts w:ascii="Times New Roman" w:hAnsi="Times New Roman" w:cs="Times New Roman"/>
          <w:bCs/>
          <w:iCs/>
          <w:color w:val="000000" w:themeColor="text1"/>
          <w:bdr w:val="none" w:sz="0" w:space="0" w:color="auto" w:frame="1"/>
          <w:lang w:val="es-ES_tradnl" w:eastAsia="es-CO"/>
        </w:rPr>
        <w:t>.</w:t>
      </w:r>
    </w:p>
    <w:p w:rsidR="00B53BBE" w:rsidRPr="0096658B" w:rsidRDefault="0096658B" w:rsidP="00B53BBE">
      <w:pPr>
        <w:widowControl w:val="0"/>
        <w:shd w:val="clear" w:color="auto" w:fill="FFFFFF"/>
        <w:autoSpaceDE w:val="0"/>
        <w:autoSpaceDN w:val="0"/>
        <w:adjustRightInd w:val="0"/>
        <w:jc w:val="both"/>
        <w:rPr>
          <w:rFonts w:ascii="Times New Roman" w:hAnsi="Times New Roman" w:cs="Times New Roman"/>
          <w:color w:val="000000" w:themeColor="text1"/>
          <w:sz w:val="28"/>
          <w:lang w:val="es-ES_tradnl"/>
        </w:rPr>
      </w:pPr>
      <w:r w:rsidRPr="0096658B">
        <w:rPr>
          <w:rFonts w:ascii="Times New Roman" w:hAnsi="Times New Roman" w:cs="Times New Roman"/>
          <w:color w:val="000000" w:themeColor="text1"/>
          <w:sz w:val="28"/>
          <w:lang w:val="es-ES_tradnl"/>
        </w:rPr>
        <w:t xml:space="preserve"> </w:t>
      </w:r>
    </w:p>
    <w:p w:rsidR="00B53BBE" w:rsidRPr="0096658B" w:rsidRDefault="0096658B" w:rsidP="00B53BBE">
      <w:pPr>
        <w:widowControl w:val="0"/>
        <w:numPr>
          <w:ilvl w:val="0"/>
          <w:numId w:val="5"/>
        </w:numPr>
        <w:shd w:val="clear" w:color="auto" w:fill="FFFFFF"/>
        <w:autoSpaceDE w:val="0"/>
        <w:autoSpaceDN w:val="0"/>
        <w:adjustRightInd w:val="0"/>
        <w:ind w:left="0" w:firstLine="0"/>
        <w:jc w:val="both"/>
        <w:rPr>
          <w:rFonts w:ascii="Times New Roman" w:hAnsi="Times New Roman" w:cs="Times New Roman"/>
          <w:color w:val="000000" w:themeColor="text1"/>
          <w:sz w:val="28"/>
          <w:lang w:val="es-ES_tradnl"/>
        </w:rPr>
      </w:pPr>
      <w:r w:rsidRPr="0096658B">
        <w:rPr>
          <w:rFonts w:ascii="Times New Roman" w:hAnsi="Times New Roman" w:cs="Times New Roman"/>
          <w:i/>
          <w:iCs/>
          <w:color w:val="000000" w:themeColor="text1"/>
          <w:sz w:val="28"/>
          <w:szCs w:val="28"/>
          <w:lang w:val="es-ES_tradnl"/>
        </w:rPr>
        <w:t xml:space="preserve">Dimensiones del principio de igualdad. </w:t>
      </w:r>
      <w:r w:rsidRPr="0096658B">
        <w:rPr>
          <w:rFonts w:ascii="Times New Roman" w:hAnsi="Times New Roman" w:cs="Times New Roman"/>
          <w:bCs/>
          <w:iCs/>
          <w:color w:val="000000" w:themeColor="text1"/>
          <w:sz w:val="28"/>
          <w:szCs w:val="28"/>
          <w:bdr w:val="none" w:sz="0" w:space="0" w:color="auto" w:frame="1"/>
          <w:shd w:val="clear" w:color="auto" w:fill="FFFFFF"/>
          <w:lang w:val="es-ES_tradnl"/>
        </w:rPr>
        <w:t xml:space="preserve">La Corte Constitucional ha sostenido que este principio tiene dos dimensiones: una </w:t>
      </w:r>
      <w:r w:rsidRPr="0096658B">
        <w:rPr>
          <w:rFonts w:ascii="Times New Roman" w:hAnsi="Times New Roman" w:cs="Times New Roman"/>
          <w:bCs/>
          <w:i/>
          <w:color w:val="000000" w:themeColor="text1"/>
          <w:sz w:val="28"/>
          <w:szCs w:val="28"/>
          <w:bdr w:val="none" w:sz="0" w:space="0" w:color="auto" w:frame="1"/>
          <w:shd w:val="clear" w:color="auto" w:fill="FFFFFF"/>
          <w:lang w:val="es-ES_tradnl"/>
        </w:rPr>
        <w:t>formal</w:t>
      </w:r>
      <w:r w:rsidRPr="0096658B">
        <w:rPr>
          <w:rFonts w:ascii="Times New Roman" w:hAnsi="Times New Roman" w:cs="Times New Roman"/>
          <w:bCs/>
          <w:iCs/>
          <w:color w:val="000000" w:themeColor="text1"/>
          <w:sz w:val="28"/>
          <w:szCs w:val="28"/>
          <w:bdr w:val="none" w:sz="0" w:space="0" w:color="auto" w:frame="1"/>
          <w:shd w:val="clear" w:color="auto" w:fill="FFFFFF"/>
          <w:lang w:val="es-ES_tradnl"/>
        </w:rPr>
        <w:t xml:space="preserve"> y otra </w:t>
      </w:r>
      <w:r w:rsidRPr="0096658B">
        <w:rPr>
          <w:rFonts w:ascii="Times New Roman" w:hAnsi="Times New Roman" w:cs="Times New Roman"/>
          <w:bCs/>
          <w:i/>
          <w:color w:val="000000" w:themeColor="text1"/>
          <w:sz w:val="28"/>
          <w:szCs w:val="28"/>
          <w:bdr w:val="none" w:sz="0" w:space="0" w:color="auto" w:frame="1"/>
          <w:shd w:val="clear" w:color="auto" w:fill="FFFFFF"/>
          <w:lang w:val="es-ES_tradnl"/>
        </w:rPr>
        <w:t>material</w:t>
      </w:r>
      <w:r w:rsidRPr="0096658B">
        <w:rPr>
          <w:rFonts w:ascii="Times New Roman" w:hAnsi="Times New Roman" w:cs="Times New Roman"/>
          <w:bCs/>
          <w:iCs/>
          <w:color w:val="000000" w:themeColor="text1"/>
          <w:sz w:val="28"/>
          <w:szCs w:val="28"/>
          <w:bdr w:val="none" w:sz="0" w:space="0" w:color="auto" w:frame="1"/>
          <w:shd w:val="clear" w:color="auto" w:fill="FFFFFF"/>
          <w:lang w:val="es-ES_tradnl"/>
        </w:rPr>
        <w:t xml:space="preserve">. La dimensión </w:t>
      </w:r>
      <w:r w:rsidRPr="0096658B">
        <w:rPr>
          <w:rFonts w:ascii="Times New Roman" w:hAnsi="Times New Roman" w:cs="Times New Roman"/>
          <w:bCs/>
          <w:i/>
          <w:color w:val="000000" w:themeColor="text1"/>
          <w:sz w:val="28"/>
          <w:szCs w:val="28"/>
          <w:bdr w:val="none" w:sz="0" w:space="0" w:color="auto" w:frame="1"/>
          <w:shd w:val="clear" w:color="auto" w:fill="FFFFFF"/>
          <w:lang w:val="es-ES_tradnl"/>
        </w:rPr>
        <w:t>formal</w:t>
      </w:r>
      <w:r w:rsidRPr="0096658B">
        <w:rPr>
          <w:rFonts w:ascii="Times New Roman" w:hAnsi="Times New Roman" w:cs="Times New Roman"/>
          <w:bCs/>
          <w:iCs/>
          <w:color w:val="000000" w:themeColor="text1"/>
          <w:sz w:val="28"/>
          <w:szCs w:val="28"/>
          <w:bdr w:val="none" w:sz="0" w:space="0" w:color="auto" w:frame="1"/>
          <w:shd w:val="clear" w:color="auto" w:fill="FFFFFF"/>
          <w:lang w:val="es-ES_tradnl"/>
        </w:rPr>
        <w:t xml:space="preserve"> (inc. 1 del art. 13 de la CP) implica que el Estado debe dar “un trato igual ‘ante la ley’ y ‘en la ley’” a todos los individuos</w:t>
      </w:r>
      <w:r w:rsidRPr="0096658B">
        <w:rPr>
          <w:rStyle w:val="Refdenotaalpie"/>
          <w:rFonts w:ascii="Times New Roman" w:eastAsia="SimSun" w:hAnsi="Times New Roman"/>
          <w:bCs/>
          <w:iCs/>
          <w:color w:val="000000" w:themeColor="text1"/>
          <w:sz w:val="28"/>
          <w:szCs w:val="28"/>
          <w:bdr w:val="none" w:sz="0" w:space="0" w:color="auto" w:frame="1"/>
          <w:shd w:val="clear" w:color="auto" w:fill="FFFFFF"/>
          <w:lang w:val="es-ES_tradnl"/>
        </w:rPr>
        <w:footnoteReference w:id="124"/>
      </w:r>
      <w:r w:rsidRPr="0096658B">
        <w:rPr>
          <w:rFonts w:ascii="Times New Roman" w:hAnsi="Times New Roman" w:cs="Times New Roman"/>
          <w:bCs/>
          <w:iCs/>
          <w:color w:val="000000" w:themeColor="text1"/>
          <w:sz w:val="28"/>
          <w:szCs w:val="28"/>
          <w:bdr w:val="none" w:sz="0" w:space="0" w:color="auto" w:frame="1"/>
          <w:shd w:val="clear" w:color="auto" w:fill="FFFFFF"/>
          <w:lang w:val="es-ES_tradnl"/>
        </w:rPr>
        <w:t xml:space="preserve">. Esto supone que la ley debe aplicar </w:t>
      </w:r>
      <w:r w:rsidRPr="0096658B">
        <w:rPr>
          <w:rFonts w:ascii="Times New Roman" w:hAnsi="Times New Roman" w:cs="Times New Roman"/>
          <w:bCs/>
          <w:color w:val="000000" w:themeColor="text1"/>
          <w:sz w:val="28"/>
          <w:szCs w:val="28"/>
          <w:bdr w:val="none" w:sz="0" w:space="0" w:color="auto" w:frame="1"/>
          <w:shd w:val="clear" w:color="auto" w:fill="FFFFFF"/>
          <w:lang w:val="es-ES_tradnl"/>
        </w:rPr>
        <w:t>“</w:t>
      </w:r>
      <w:r w:rsidRPr="0096658B">
        <w:rPr>
          <w:rFonts w:ascii="Times New Roman" w:hAnsi="Times New Roman" w:cs="Times New Roman"/>
          <w:bCs/>
          <w:iCs/>
          <w:color w:val="000000" w:themeColor="text1"/>
          <w:sz w:val="28"/>
          <w:szCs w:val="28"/>
          <w:bdr w:val="none" w:sz="0" w:space="0" w:color="auto" w:frame="1"/>
          <w:shd w:val="clear" w:color="auto" w:fill="FFFFFF"/>
          <w:lang w:val="es-ES_tradnl"/>
        </w:rPr>
        <w:t xml:space="preserve">de forma universal, para todos los destinatarios de la clase cobijada por la norma, en </w:t>
      </w:r>
      <w:r w:rsidRPr="0096658B">
        <w:rPr>
          <w:rFonts w:ascii="Times New Roman" w:hAnsi="Times New Roman" w:cs="Times New Roman"/>
          <w:bCs/>
          <w:iCs/>
          <w:color w:val="000000" w:themeColor="text1"/>
          <w:sz w:val="28"/>
          <w:szCs w:val="28"/>
          <w:bdr w:val="none" w:sz="0" w:space="0" w:color="auto" w:frame="1"/>
          <w:shd w:val="clear" w:color="auto" w:fill="FFFFFF"/>
          <w:lang w:val="es-ES_tradnl"/>
        </w:rPr>
        <w:t>presencia del respectivo supuesto de hecho</w:t>
      </w:r>
      <w:r w:rsidRPr="0096658B">
        <w:rPr>
          <w:rFonts w:ascii="Times New Roman" w:hAnsi="Times New Roman" w:cs="Times New Roman"/>
          <w:bCs/>
          <w:color w:val="000000" w:themeColor="text1"/>
          <w:sz w:val="28"/>
          <w:szCs w:val="28"/>
          <w:bdr w:val="none" w:sz="0" w:space="0" w:color="auto" w:frame="1"/>
          <w:shd w:val="clear" w:color="auto" w:fill="FFFFFF"/>
          <w:lang w:val="es-ES_tradnl"/>
        </w:rPr>
        <w:t>”</w:t>
      </w:r>
      <w:r w:rsidRPr="0096658B">
        <w:rPr>
          <w:rFonts w:ascii="Times New Roman" w:hAnsi="Times New Roman" w:cs="Times New Roman"/>
          <w:bCs/>
          <w:color w:val="000000" w:themeColor="text1"/>
          <w:sz w:val="28"/>
          <w:szCs w:val="28"/>
          <w:bdr w:val="none" w:sz="0" w:space="0" w:color="auto" w:frame="1"/>
          <w:shd w:val="clear" w:color="auto" w:fill="FFFFFF"/>
          <w:vertAlign w:val="superscript"/>
          <w:lang w:val="es-ES_tradnl"/>
        </w:rPr>
        <w:footnoteReference w:id="125"/>
      </w:r>
      <w:r w:rsidRPr="0096658B">
        <w:rPr>
          <w:rFonts w:ascii="Times New Roman" w:hAnsi="Times New Roman" w:cs="Times New Roman"/>
          <w:bCs/>
          <w:color w:val="000000" w:themeColor="text1"/>
          <w:sz w:val="28"/>
          <w:szCs w:val="28"/>
          <w:bdr w:val="none" w:sz="0" w:space="0" w:color="auto" w:frame="1"/>
          <w:shd w:val="clear" w:color="auto" w:fill="FFFFFF"/>
          <w:lang w:val="es-ES_tradnl"/>
        </w:rPr>
        <w:t xml:space="preserve">. La dimensión </w:t>
      </w:r>
      <w:r w:rsidRPr="0096658B">
        <w:rPr>
          <w:rFonts w:ascii="Times New Roman" w:hAnsi="Times New Roman" w:cs="Times New Roman"/>
          <w:bCs/>
          <w:i/>
          <w:iCs/>
          <w:color w:val="000000" w:themeColor="text1"/>
          <w:sz w:val="28"/>
          <w:szCs w:val="28"/>
          <w:bdr w:val="none" w:sz="0" w:space="0" w:color="auto" w:frame="1"/>
          <w:shd w:val="clear" w:color="auto" w:fill="FFFFFF"/>
          <w:lang w:val="es-ES_tradnl"/>
        </w:rPr>
        <w:t xml:space="preserve">material </w:t>
      </w:r>
      <w:r w:rsidRPr="0096658B">
        <w:rPr>
          <w:rFonts w:ascii="Times New Roman" w:hAnsi="Times New Roman" w:cs="Times New Roman"/>
          <w:bCs/>
          <w:color w:val="000000" w:themeColor="text1"/>
          <w:sz w:val="28"/>
          <w:szCs w:val="28"/>
          <w:bdr w:val="none" w:sz="0" w:space="0" w:color="auto" w:frame="1"/>
          <w:shd w:val="clear" w:color="auto" w:fill="FFFFFF"/>
          <w:lang w:val="es-ES_tradnl"/>
        </w:rPr>
        <w:t>(incs. 2 y 3 del art. 13 de la CP) implica un deber para el Estado de garantizar que la igualdad sea real y efectiva</w:t>
      </w:r>
      <w:r w:rsidRPr="0096658B">
        <w:rPr>
          <w:rFonts w:ascii="Times New Roman" w:hAnsi="Times New Roman" w:cs="Times New Roman"/>
          <w:bCs/>
          <w:color w:val="000000" w:themeColor="text1"/>
          <w:sz w:val="28"/>
          <w:bdr w:val="none" w:sz="0" w:space="0" w:color="auto" w:frame="1"/>
          <w:shd w:val="clear" w:color="auto" w:fill="FFFFFF"/>
          <w:vertAlign w:val="superscript"/>
          <w:lang w:val="es-ES_tradnl"/>
        </w:rPr>
        <w:footnoteReference w:id="126"/>
      </w:r>
      <w:r w:rsidRPr="0096658B">
        <w:rPr>
          <w:rFonts w:ascii="Times New Roman" w:hAnsi="Times New Roman" w:cs="Times New Roman"/>
          <w:bCs/>
          <w:color w:val="000000" w:themeColor="text1"/>
          <w:sz w:val="28"/>
          <w:szCs w:val="28"/>
          <w:bdr w:val="none" w:sz="0" w:space="0" w:color="auto" w:frame="1"/>
          <w:shd w:val="clear" w:color="auto" w:fill="FFFFFF"/>
          <w:lang w:val="es-ES_tradnl"/>
        </w:rPr>
        <w:t xml:space="preserve">. Conforme a esta dimensión, el Estado debe adoptar acciones o medidas afirmativas </w:t>
      </w:r>
      <w:r w:rsidRPr="0096658B">
        <w:rPr>
          <w:rFonts w:ascii="Times New Roman" w:hAnsi="Times New Roman" w:cs="Times New Roman"/>
          <w:bCs/>
          <w:iCs/>
          <w:color w:val="000000" w:themeColor="text1"/>
          <w:sz w:val="28"/>
          <w:szCs w:val="28"/>
          <w:bdr w:val="none" w:sz="0" w:space="0" w:color="auto" w:frame="1"/>
          <w:shd w:val="clear" w:color="auto" w:fill="FFFFFF"/>
          <w:lang w:val="es-ES_tradnl"/>
        </w:rPr>
        <w:t>“destinadas a beneficiar a grupos discriminados o marginados de manera sistemática o histórica, a través de prestaciones concretas o cambios en el diseño institucional”</w:t>
      </w:r>
      <w:r w:rsidRPr="0096658B">
        <w:rPr>
          <w:rStyle w:val="Refdenotaalpie"/>
          <w:rFonts w:ascii="Times New Roman" w:eastAsia="SimSun" w:hAnsi="Times New Roman"/>
          <w:bCs/>
          <w:iCs/>
          <w:color w:val="000000" w:themeColor="text1"/>
          <w:sz w:val="28"/>
          <w:bdr w:val="none" w:sz="0" w:space="0" w:color="auto" w:frame="1"/>
          <w:shd w:val="clear" w:color="auto" w:fill="FFFFFF"/>
          <w:lang w:val="es-ES_tradnl"/>
        </w:rPr>
        <w:footnoteReference w:id="127"/>
      </w:r>
      <w:r w:rsidRPr="0096658B">
        <w:rPr>
          <w:rFonts w:ascii="Times New Roman" w:hAnsi="Times New Roman" w:cs="Times New Roman"/>
          <w:bCs/>
          <w:iCs/>
          <w:color w:val="000000" w:themeColor="text1"/>
          <w:sz w:val="28"/>
          <w:szCs w:val="28"/>
          <w:bdr w:val="none" w:sz="0" w:space="0" w:color="auto" w:frame="1"/>
          <w:shd w:val="clear" w:color="auto" w:fill="FFFFFF"/>
          <w:lang w:val="es-ES_tradnl"/>
        </w:rPr>
        <w:t>. En</w:t>
      </w:r>
      <w:r w:rsidRPr="0096658B">
        <w:rPr>
          <w:rFonts w:ascii="Times New Roman" w:hAnsi="Times New Roman" w:cs="Times New Roman"/>
          <w:bCs/>
          <w:iCs/>
          <w:color w:val="000000" w:themeColor="text1"/>
          <w:sz w:val="28"/>
          <w:szCs w:val="28"/>
          <w:bdr w:val="none" w:sz="0" w:space="0" w:color="auto" w:frame="1"/>
          <w:shd w:val="clear" w:color="auto" w:fill="FFFFFF"/>
          <w:lang w:val="es-ES_tradnl"/>
        </w:rPr>
        <w:t xml:space="preserve"> ese sentido, la igualdad sustancial “alude al compromiso de remover los obstáculos que en el plano económico y social configuran efectivas desigualdades de hecho que se oponen al disfrute efectivo del derecho”</w:t>
      </w:r>
      <w:r w:rsidRPr="0096658B">
        <w:rPr>
          <w:rStyle w:val="Refdenotaalpie"/>
          <w:rFonts w:ascii="Times New Roman" w:hAnsi="Times New Roman"/>
          <w:bCs/>
          <w:iCs/>
          <w:color w:val="000000" w:themeColor="text1"/>
          <w:sz w:val="28"/>
          <w:szCs w:val="28"/>
          <w:bdr w:val="none" w:sz="0" w:space="0" w:color="auto" w:frame="1"/>
          <w:shd w:val="clear" w:color="auto" w:fill="FFFFFF"/>
          <w:lang w:val="es-ES_tradnl"/>
        </w:rPr>
        <w:footnoteReference w:id="128"/>
      </w:r>
      <w:r w:rsidRPr="0096658B">
        <w:rPr>
          <w:rFonts w:ascii="Times New Roman" w:hAnsi="Times New Roman" w:cs="Times New Roman"/>
          <w:bCs/>
          <w:iCs/>
          <w:color w:val="000000" w:themeColor="text1"/>
          <w:sz w:val="28"/>
          <w:szCs w:val="28"/>
          <w:bdr w:val="none" w:sz="0" w:space="0" w:color="auto" w:frame="1"/>
          <w:shd w:val="clear" w:color="auto" w:fill="FFFFFF"/>
          <w:lang w:val="es-ES_tradnl"/>
        </w:rPr>
        <w:t xml:space="preserve">. </w:t>
      </w:r>
    </w:p>
    <w:p w:rsidR="00B53BBE" w:rsidRPr="0096658B" w:rsidRDefault="0096658B" w:rsidP="00B53BBE">
      <w:pPr>
        <w:rPr>
          <w:rFonts w:ascii="Times New Roman" w:hAnsi="Times New Roman" w:cs="Times New Roman"/>
          <w:color w:val="000000" w:themeColor="text1"/>
          <w:sz w:val="28"/>
          <w:lang w:val="es-ES_tradnl"/>
        </w:rPr>
      </w:pPr>
    </w:p>
    <w:p w:rsidR="00B53BBE" w:rsidRPr="0096658B" w:rsidRDefault="0096658B" w:rsidP="00B53BBE">
      <w:pPr>
        <w:pStyle w:val="Prrafodelista"/>
        <w:widowControl w:val="0"/>
        <w:numPr>
          <w:ilvl w:val="0"/>
          <w:numId w:val="5"/>
        </w:numPr>
        <w:shd w:val="clear" w:color="auto" w:fill="FFFFFF"/>
        <w:autoSpaceDE w:val="0"/>
        <w:autoSpaceDN w:val="0"/>
        <w:adjustRightInd w:val="0"/>
        <w:ind w:left="0" w:firstLine="0"/>
        <w:jc w:val="both"/>
        <w:rPr>
          <w:rFonts w:ascii="Times New Roman" w:hAnsi="Times New Roman" w:cs="Times New Roman"/>
          <w:color w:val="000000" w:themeColor="text1"/>
          <w:lang w:val="es-ES_tradnl" w:eastAsia="es-CO"/>
        </w:rPr>
      </w:pPr>
      <w:r w:rsidRPr="0096658B">
        <w:rPr>
          <w:rFonts w:ascii="Times New Roman" w:hAnsi="Times New Roman" w:cs="Times New Roman"/>
          <w:i/>
          <w:iCs/>
          <w:color w:val="000000" w:themeColor="text1"/>
          <w:lang w:val="es-ES_tradnl" w:eastAsia="es-CO"/>
        </w:rPr>
        <w:t>Acciones o medidas afirmativas.</w:t>
      </w:r>
      <w:r w:rsidRPr="0096658B">
        <w:rPr>
          <w:rFonts w:ascii="Times New Roman" w:hAnsi="Times New Roman" w:cs="Times New Roman"/>
          <w:color w:val="000000" w:themeColor="text1"/>
          <w:lang w:val="es-ES_tradnl" w:eastAsia="es-CO"/>
        </w:rPr>
        <w:t xml:space="preserve"> La Corte </w:t>
      </w:r>
      <w:r w:rsidRPr="0096658B">
        <w:rPr>
          <w:rFonts w:ascii="Times New Roman" w:hAnsi="Times New Roman" w:cs="Times New Roman"/>
          <w:color w:val="000000" w:themeColor="text1"/>
          <w:lang w:val="es-ES_tradnl" w:eastAsia="es-CO"/>
        </w:rPr>
        <w:t xml:space="preserve">ha señalado </w:t>
      </w:r>
      <w:r w:rsidRPr="0096658B">
        <w:rPr>
          <w:rFonts w:ascii="Times New Roman" w:hAnsi="Times New Roman" w:cs="Times New Roman"/>
          <w:color w:val="000000" w:themeColor="text1"/>
          <w:lang w:val="es-ES_tradnl" w:eastAsia="es-CO"/>
        </w:rPr>
        <w:t xml:space="preserve">que </w:t>
      </w:r>
      <w:r w:rsidRPr="0096658B">
        <w:rPr>
          <w:rFonts w:ascii="Times New Roman" w:hAnsi="Times New Roman" w:cs="Times New Roman"/>
          <w:color w:val="000000" w:themeColor="text1"/>
          <w:lang w:val="es-ES_tradnl" w:eastAsia="es-CO"/>
        </w:rPr>
        <w:t>tales acciones son medidas o políticas “dirigidas a favorecer a determinadas personas o grupos, ya sea con el fin de eliminar o reducir las desigualdades de tipo social, cultural o económico que los afectan, bien de</w:t>
      </w:r>
      <w:r w:rsidRPr="0096658B">
        <w:rPr>
          <w:rFonts w:ascii="Times New Roman" w:hAnsi="Times New Roman" w:cs="Times New Roman"/>
          <w:color w:val="000000" w:themeColor="text1"/>
          <w:lang w:val="es-ES_tradnl" w:eastAsia="es-CO"/>
        </w:rPr>
        <w:t xml:space="preserve"> </w:t>
      </w:r>
      <w:r w:rsidRPr="0096658B">
        <w:rPr>
          <w:rFonts w:ascii="Times New Roman" w:hAnsi="Times New Roman" w:cs="Times New Roman"/>
          <w:color w:val="000000" w:themeColor="text1"/>
          <w:lang w:val="es-ES_tradnl" w:eastAsia="es-CO"/>
        </w:rPr>
        <w:t xml:space="preserve">lograr que los miembros </w:t>
      </w:r>
      <w:r w:rsidRPr="0096658B">
        <w:rPr>
          <w:rFonts w:ascii="Times New Roman" w:hAnsi="Times New Roman" w:cs="Times New Roman"/>
          <w:color w:val="000000" w:themeColor="text1"/>
          <w:lang w:val="es-ES_tradnl" w:eastAsia="es-CO"/>
        </w:rPr>
        <w:t>de un grupo subrepresentado, usualmente un grupo que ha sido discriminado, tengan una mayor representación”</w:t>
      </w:r>
      <w:r w:rsidRPr="0096658B">
        <w:rPr>
          <w:rStyle w:val="Refdenotaalpie"/>
          <w:rFonts w:ascii="Times New Roman" w:hAnsi="Times New Roman"/>
          <w:color w:val="000000" w:themeColor="text1"/>
          <w:lang w:val="es-ES_tradnl" w:eastAsia="es-CO"/>
        </w:rPr>
        <w:footnoteReference w:id="129"/>
      </w:r>
      <w:r w:rsidRPr="0096658B">
        <w:rPr>
          <w:rFonts w:ascii="Times New Roman" w:hAnsi="Times New Roman" w:cs="Times New Roman"/>
          <w:color w:val="000000" w:themeColor="text1"/>
          <w:lang w:val="es-ES_tradnl" w:eastAsia="es-CO"/>
        </w:rPr>
        <w:t>. Estas acciones están autorizadas, de manera expresa, por la Constitución Política</w:t>
      </w:r>
      <w:r w:rsidRPr="0096658B">
        <w:rPr>
          <w:rStyle w:val="Refdenotaalpie"/>
          <w:rFonts w:ascii="Times New Roman" w:hAnsi="Times New Roman"/>
          <w:color w:val="000000" w:themeColor="text1"/>
          <w:lang w:val="es-ES_tradnl" w:eastAsia="es-CO"/>
        </w:rPr>
        <w:footnoteReference w:id="130"/>
      </w:r>
      <w:r w:rsidRPr="0096658B">
        <w:rPr>
          <w:rFonts w:ascii="Times New Roman" w:hAnsi="Times New Roman" w:cs="Times New Roman"/>
          <w:color w:val="000000" w:themeColor="text1"/>
          <w:lang w:val="es-ES_tradnl" w:eastAsia="es-CO"/>
        </w:rPr>
        <w:t>. En esa medida, las autoridades pueden apelar a los criterios s</w:t>
      </w:r>
      <w:r w:rsidRPr="0096658B">
        <w:rPr>
          <w:rFonts w:ascii="Times New Roman" w:hAnsi="Times New Roman" w:cs="Times New Roman"/>
          <w:color w:val="000000" w:themeColor="text1"/>
          <w:lang w:val="es-ES_tradnl" w:eastAsia="es-CO"/>
        </w:rPr>
        <w:t>ospechosos proscritos por el inciso primero del artículo 13 de la Constitución, para “aminorar el efecto nocivo de las prácticas sociales que han ubicado a esas mismas personas o grupos en posiciones desfavorables”</w:t>
      </w:r>
      <w:r w:rsidRPr="0096658B">
        <w:rPr>
          <w:rStyle w:val="Refdenotaalpie"/>
          <w:rFonts w:ascii="Times New Roman" w:hAnsi="Times New Roman"/>
          <w:color w:val="000000" w:themeColor="text1"/>
          <w:lang w:val="es-ES_tradnl" w:eastAsia="es-CO"/>
        </w:rPr>
        <w:footnoteReference w:id="131"/>
      </w:r>
      <w:r w:rsidRPr="0096658B">
        <w:rPr>
          <w:rFonts w:ascii="Times New Roman" w:hAnsi="Times New Roman" w:cs="Times New Roman"/>
          <w:color w:val="000000" w:themeColor="text1"/>
          <w:lang w:val="es-ES_tradnl" w:eastAsia="es-CO"/>
        </w:rPr>
        <w:t xml:space="preserve"> y les “impiden acceder a la igualdad sus</w:t>
      </w:r>
      <w:r w:rsidRPr="0096658B">
        <w:rPr>
          <w:rFonts w:ascii="Times New Roman" w:hAnsi="Times New Roman" w:cs="Times New Roman"/>
          <w:color w:val="000000" w:themeColor="text1"/>
          <w:lang w:val="es-ES_tradnl" w:eastAsia="es-CO"/>
        </w:rPr>
        <w:t>tancial”</w:t>
      </w:r>
      <w:r w:rsidRPr="0096658B">
        <w:rPr>
          <w:rStyle w:val="Refdenotaalpie"/>
          <w:rFonts w:ascii="Times New Roman" w:hAnsi="Times New Roman"/>
          <w:color w:val="000000" w:themeColor="text1"/>
          <w:lang w:val="es-ES_tradnl" w:eastAsia="es-CO"/>
        </w:rPr>
        <w:footnoteReference w:id="132"/>
      </w:r>
      <w:r w:rsidRPr="0096658B">
        <w:rPr>
          <w:rFonts w:ascii="Times New Roman" w:hAnsi="Times New Roman" w:cs="Times New Roman"/>
          <w:color w:val="000000" w:themeColor="text1"/>
          <w:lang w:val="es-ES_tradnl" w:eastAsia="es-CO"/>
        </w:rPr>
        <w:t>. En particular, porque los referidos criterios “muestran mayor propensión al mantenimiento de las situaciones que se busca eliminar”</w:t>
      </w:r>
      <w:r w:rsidRPr="0096658B">
        <w:rPr>
          <w:rStyle w:val="Refdenotaalpie"/>
          <w:rFonts w:ascii="Times New Roman" w:hAnsi="Times New Roman"/>
          <w:color w:val="000000" w:themeColor="text1"/>
          <w:lang w:val="es-ES_tradnl" w:eastAsia="es-CO"/>
        </w:rPr>
        <w:footnoteReference w:id="133"/>
      </w:r>
      <w:r w:rsidRPr="0096658B">
        <w:rPr>
          <w:rFonts w:ascii="Times New Roman" w:hAnsi="Times New Roman" w:cs="Times New Roman"/>
          <w:color w:val="000000" w:themeColor="text1"/>
          <w:lang w:val="es-ES_tradnl" w:eastAsia="es-CO"/>
        </w:rPr>
        <w:t xml:space="preserve">. </w:t>
      </w:r>
    </w:p>
    <w:p w:rsidR="00B53BBE" w:rsidRPr="0096658B" w:rsidRDefault="0096658B" w:rsidP="00B53BBE">
      <w:pPr>
        <w:pStyle w:val="Prrafodelista"/>
        <w:rPr>
          <w:rFonts w:ascii="Times New Roman" w:hAnsi="Times New Roman" w:cs="Times New Roman"/>
          <w:color w:val="000000" w:themeColor="text1"/>
          <w:lang w:val="es-ES_tradnl" w:eastAsia="es-CO"/>
        </w:rPr>
      </w:pPr>
    </w:p>
    <w:p w:rsidR="00B53BBE" w:rsidRPr="0096658B" w:rsidRDefault="0096658B" w:rsidP="00B53BBE">
      <w:pPr>
        <w:pStyle w:val="Prrafodelista"/>
        <w:widowControl w:val="0"/>
        <w:numPr>
          <w:ilvl w:val="0"/>
          <w:numId w:val="5"/>
        </w:numPr>
        <w:shd w:val="clear" w:color="auto" w:fill="FFFFFF"/>
        <w:autoSpaceDE w:val="0"/>
        <w:autoSpaceDN w:val="0"/>
        <w:adjustRightInd w:val="0"/>
        <w:ind w:left="0" w:firstLine="0"/>
        <w:jc w:val="both"/>
        <w:rPr>
          <w:rFonts w:ascii="Times New Roman" w:hAnsi="Times New Roman" w:cs="Times New Roman"/>
          <w:color w:val="000000" w:themeColor="text1"/>
          <w:lang w:val="es-ES_tradnl" w:eastAsia="es-CO"/>
        </w:rPr>
      </w:pPr>
      <w:r w:rsidRPr="0096658B">
        <w:rPr>
          <w:rFonts w:ascii="Times New Roman" w:hAnsi="Times New Roman" w:cs="Times New Roman"/>
          <w:color w:val="000000" w:themeColor="text1"/>
          <w:lang w:val="es-ES_tradnl" w:eastAsia="es-CO"/>
        </w:rPr>
        <w:t xml:space="preserve">De conformidad con la jurisprudencia constitucional, la validez de las medidas afirmativas depende de </w:t>
      </w:r>
      <w:r w:rsidRPr="0096658B">
        <w:rPr>
          <w:rFonts w:ascii="Times New Roman" w:hAnsi="Times New Roman" w:cs="Times New Roman"/>
          <w:i/>
          <w:iCs/>
          <w:color w:val="000000" w:themeColor="text1"/>
          <w:lang w:val="es-ES_tradnl" w:eastAsia="es-CO"/>
        </w:rPr>
        <w:t xml:space="preserve">(i) </w:t>
      </w:r>
      <w:r w:rsidRPr="0096658B">
        <w:rPr>
          <w:rFonts w:ascii="Times New Roman" w:hAnsi="Times New Roman" w:cs="Times New Roman"/>
          <w:color w:val="000000" w:themeColor="text1"/>
          <w:lang w:val="es-ES_tradnl" w:eastAsia="es-CO"/>
        </w:rPr>
        <w:t xml:space="preserve">la </w:t>
      </w:r>
      <w:r w:rsidRPr="0096658B">
        <w:rPr>
          <w:rFonts w:ascii="Times New Roman" w:hAnsi="Times New Roman" w:cs="Times New Roman"/>
          <w:color w:val="000000" w:themeColor="text1"/>
          <w:lang w:val="es-ES_tradnl" w:eastAsia="es-CO"/>
        </w:rPr>
        <w:t>existencia de circunstancias discriminatorias, en tanto que “[n]o basta, por ejemplo, la sola condición femenina para predicar la constitucionalidad de supuestas medidas positivas en favor de las mujeres”</w:t>
      </w:r>
      <w:r w:rsidRPr="0096658B">
        <w:rPr>
          <w:rStyle w:val="Refdenotaalpie"/>
          <w:rFonts w:ascii="Times New Roman" w:hAnsi="Times New Roman"/>
          <w:color w:val="000000" w:themeColor="text1"/>
          <w:lang w:val="es-ES_tradnl" w:eastAsia="es-CO"/>
        </w:rPr>
        <w:footnoteReference w:id="134"/>
      </w:r>
      <w:r w:rsidRPr="0096658B">
        <w:rPr>
          <w:rFonts w:ascii="Times New Roman" w:hAnsi="Times New Roman" w:cs="Times New Roman"/>
          <w:color w:val="000000" w:themeColor="text1"/>
          <w:lang w:val="es-ES_tradnl" w:eastAsia="es-CO"/>
        </w:rPr>
        <w:t xml:space="preserve">; </w:t>
      </w:r>
      <w:r w:rsidRPr="0096658B">
        <w:rPr>
          <w:rFonts w:ascii="Times New Roman" w:hAnsi="Times New Roman" w:cs="Times New Roman"/>
          <w:i/>
          <w:iCs/>
          <w:color w:val="000000" w:themeColor="text1"/>
          <w:lang w:val="es-ES_tradnl" w:eastAsia="es-CO"/>
        </w:rPr>
        <w:t>(ii)</w:t>
      </w:r>
      <w:r w:rsidRPr="0096658B">
        <w:rPr>
          <w:rFonts w:ascii="Times New Roman" w:hAnsi="Times New Roman" w:cs="Times New Roman"/>
          <w:color w:val="000000" w:themeColor="text1"/>
          <w:lang w:val="es-ES_tradnl" w:eastAsia="es-CO"/>
        </w:rPr>
        <w:t xml:space="preserve"> la razonabilidad y proporcionalidad de la di</w:t>
      </w:r>
      <w:r w:rsidRPr="0096658B">
        <w:rPr>
          <w:rFonts w:ascii="Times New Roman" w:hAnsi="Times New Roman" w:cs="Times New Roman"/>
          <w:color w:val="000000" w:themeColor="text1"/>
          <w:lang w:val="es-ES_tradnl" w:eastAsia="es-CO"/>
        </w:rPr>
        <w:t xml:space="preserve">ferencia de trato, y </w:t>
      </w:r>
      <w:r w:rsidRPr="0096658B">
        <w:rPr>
          <w:rFonts w:ascii="Times New Roman" w:hAnsi="Times New Roman" w:cs="Times New Roman"/>
          <w:i/>
          <w:iCs/>
          <w:color w:val="000000" w:themeColor="text1"/>
          <w:lang w:val="es-ES_tradnl" w:eastAsia="es-CO"/>
        </w:rPr>
        <w:t>(iii)</w:t>
      </w:r>
      <w:r w:rsidRPr="0096658B">
        <w:rPr>
          <w:rFonts w:ascii="Times New Roman" w:hAnsi="Times New Roman" w:cs="Times New Roman"/>
          <w:color w:val="000000" w:themeColor="text1"/>
          <w:lang w:val="es-ES_tradnl" w:eastAsia="es-CO"/>
        </w:rPr>
        <w:t xml:space="preserve"> la temporalidad de la acción. Esto porque, una vez alcanzada la “igualdad real y efectiva”, la medida pierde su razón de ser</w:t>
      </w:r>
      <w:r w:rsidRPr="0096658B">
        <w:rPr>
          <w:rStyle w:val="Refdenotaalpie"/>
          <w:rFonts w:ascii="Times New Roman" w:hAnsi="Times New Roman"/>
          <w:color w:val="000000" w:themeColor="text1"/>
          <w:lang w:val="es-ES_tradnl" w:eastAsia="es-CO"/>
        </w:rPr>
        <w:footnoteReference w:id="135"/>
      </w:r>
      <w:r w:rsidRPr="0096658B">
        <w:rPr>
          <w:rFonts w:ascii="Times New Roman" w:hAnsi="Times New Roman" w:cs="Times New Roman"/>
          <w:color w:val="000000" w:themeColor="text1"/>
          <w:lang w:val="es-ES_tradnl" w:eastAsia="es-CO"/>
        </w:rPr>
        <w:t xml:space="preserve">. En ese sentido, </w:t>
      </w:r>
      <w:r w:rsidRPr="0096658B">
        <w:rPr>
          <w:rFonts w:ascii="Times New Roman" w:hAnsi="Times New Roman" w:cs="Times New Roman"/>
          <w:color w:val="000000" w:themeColor="text1"/>
          <w:lang w:val="es-ES_tradnl" w:eastAsia="es-CO"/>
        </w:rPr>
        <w:t>como se</w:t>
      </w:r>
      <w:r w:rsidRPr="0096658B">
        <w:rPr>
          <w:rFonts w:ascii="Times New Roman" w:hAnsi="Times New Roman" w:cs="Times New Roman"/>
          <w:color w:val="000000" w:themeColor="text1"/>
          <w:lang w:val="es-ES_tradnl" w:eastAsia="es-CO"/>
        </w:rPr>
        <w:t xml:space="preserve"> indicó en precedencia, </w:t>
      </w:r>
      <w:r w:rsidRPr="0096658B">
        <w:rPr>
          <w:rFonts w:ascii="Times New Roman" w:hAnsi="Times New Roman" w:cs="Times New Roman"/>
          <w:color w:val="000000" w:themeColor="text1"/>
          <w:lang w:val="es-ES_tradnl" w:eastAsia="es-CO"/>
        </w:rPr>
        <w:t>el artículo 4.1 de la CEDAW prevé la temporalidad de la</w:t>
      </w:r>
      <w:r w:rsidRPr="0096658B">
        <w:rPr>
          <w:rFonts w:ascii="Times New Roman" w:hAnsi="Times New Roman" w:cs="Times New Roman"/>
          <w:color w:val="000000" w:themeColor="text1"/>
          <w:lang w:val="es-ES_tradnl" w:eastAsia="es-CO"/>
        </w:rPr>
        <w:t>s medidas que adopten los Estados para “asegurar la igualdad de facto entre el hombre y la mujer”. Al respecto, dispone que dichas medidas “cesarán cuando se hayan alcanzado los objetivos de igualdad de oportunidad y trato”</w:t>
      </w:r>
      <w:r w:rsidRPr="0096658B">
        <w:rPr>
          <w:rStyle w:val="Refdenotaalpie"/>
          <w:rFonts w:ascii="Times New Roman" w:hAnsi="Times New Roman"/>
          <w:color w:val="000000" w:themeColor="text1"/>
          <w:lang w:val="es-ES_tradnl" w:eastAsia="es-CO"/>
        </w:rPr>
        <w:footnoteReference w:id="136"/>
      </w:r>
      <w:r w:rsidRPr="0096658B">
        <w:rPr>
          <w:rFonts w:ascii="Times New Roman" w:hAnsi="Times New Roman" w:cs="Times New Roman"/>
          <w:color w:val="000000" w:themeColor="text1"/>
          <w:lang w:val="es-ES_tradnl" w:eastAsia="es-CO"/>
        </w:rPr>
        <w:t xml:space="preserve">. </w:t>
      </w:r>
    </w:p>
    <w:p w:rsidR="00B53BBE" w:rsidRPr="0096658B" w:rsidRDefault="0096658B" w:rsidP="00B53BBE">
      <w:pPr>
        <w:pStyle w:val="Prrafodelista"/>
        <w:widowControl w:val="0"/>
        <w:shd w:val="clear" w:color="auto" w:fill="FFFFFF"/>
        <w:autoSpaceDE w:val="0"/>
        <w:autoSpaceDN w:val="0"/>
        <w:adjustRightInd w:val="0"/>
        <w:ind w:left="0"/>
        <w:jc w:val="both"/>
        <w:rPr>
          <w:rFonts w:ascii="Times New Roman" w:hAnsi="Times New Roman" w:cs="Times New Roman"/>
          <w:color w:val="000000" w:themeColor="text1"/>
          <w:lang w:val="es-ES_tradnl" w:eastAsia="es-CO"/>
        </w:rPr>
      </w:pPr>
    </w:p>
    <w:p w:rsidR="00B53BBE" w:rsidRPr="0096658B" w:rsidRDefault="0096658B" w:rsidP="00B53BBE">
      <w:pPr>
        <w:pStyle w:val="Prrafodelista"/>
        <w:widowControl w:val="0"/>
        <w:numPr>
          <w:ilvl w:val="0"/>
          <w:numId w:val="5"/>
        </w:numPr>
        <w:shd w:val="clear" w:color="auto" w:fill="FFFFFF"/>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iCs/>
          <w:color w:val="000000" w:themeColor="text1"/>
          <w:lang w:val="es-ES_tradnl" w:eastAsia="es-CO"/>
        </w:rPr>
        <w:t>Prohibición de discriminació</w:t>
      </w:r>
      <w:r w:rsidRPr="0096658B">
        <w:rPr>
          <w:rFonts w:ascii="Times New Roman" w:hAnsi="Times New Roman" w:cs="Times New Roman"/>
          <w:i/>
          <w:iCs/>
          <w:color w:val="000000" w:themeColor="text1"/>
          <w:lang w:val="es-ES_tradnl" w:eastAsia="es-CO"/>
        </w:rPr>
        <w:t>n</w:t>
      </w:r>
      <w:r w:rsidRPr="0096658B">
        <w:rPr>
          <w:rFonts w:ascii="Times New Roman" w:hAnsi="Times New Roman" w:cs="Times New Roman"/>
          <w:color w:val="000000" w:themeColor="text1"/>
          <w:lang w:val="es-ES_tradnl" w:eastAsia="es-CO"/>
        </w:rPr>
        <w:t xml:space="preserve">. Esta prohibición “es un componente esencial del derecho fundamental a la igualdad y un principio internacional de </w:t>
      </w:r>
      <w:r w:rsidRPr="0096658B">
        <w:rPr>
          <w:rFonts w:ascii="Times New Roman" w:hAnsi="Times New Roman" w:cs="Times New Roman"/>
          <w:i/>
          <w:iCs/>
          <w:color w:val="000000" w:themeColor="text1"/>
          <w:lang w:val="es-ES_tradnl" w:eastAsia="es-CO"/>
        </w:rPr>
        <w:t>ius cogens</w:t>
      </w:r>
      <w:r w:rsidRPr="0096658B">
        <w:rPr>
          <w:rFonts w:ascii="Times New Roman" w:hAnsi="Times New Roman" w:cs="Times New Roman"/>
          <w:color w:val="000000" w:themeColor="text1"/>
          <w:lang w:val="es-ES_tradnl" w:eastAsia="es-CO"/>
        </w:rPr>
        <w:t>”</w:t>
      </w:r>
      <w:r w:rsidRPr="0096658B">
        <w:rPr>
          <w:rStyle w:val="Refdenotaalpie"/>
          <w:rFonts w:ascii="Times New Roman" w:hAnsi="Times New Roman"/>
          <w:color w:val="000000" w:themeColor="text1"/>
          <w:lang w:val="es-ES_tradnl" w:eastAsia="es-CO"/>
        </w:rPr>
        <w:footnoteReference w:id="137"/>
      </w:r>
      <w:r w:rsidRPr="0096658B">
        <w:rPr>
          <w:rFonts w:ascii="Times New Roman" w:hAnsi="Times New Roman" w:cs="Times New Roman"/>
          <w:color w:val="000000" w:themeColor="text1"/>
          <w:lang w:val="es-ES_tradnl" w:eastAsia="es-CO"/>
        </w:rPr>
        <w:t xml:space="preserve">. Según esta prohibición, el Estado y los particulares no pueden </w:t>
      </w:r>
      <w:r w:rsidRPr="0096658B">
        <w:rPr>
          <w:rFonts w:ascii="Times New Roman" w:hAnsi="Times New Roman" w:cs="Times New Roman"/>
          <w:bCs/>
          <w:iCs/>
          <w:color w:val="000000" w:themeColor="text1"/>
          <w:bdr w:val="none" w:sz="0" w:space="0" w:color="auto" w:frame="1"/>
          <w:lang w:val="es-ES_tradnl" w:eastAsia="es-CO"/>
        </w:rPr>
        <w:t>“aplicar un trato discriminatorio a partir de criterios sospec</w:t>
      </w:r>
      <w:r w:rsidRPr="0096658B">
        <w:rPr>
          <w:rFonts w:ascii="Times New Roman" w:hAnsi="Times New Roman" w:cs="Times New Roman"/>
          <w:bCs/>
          <w:iCs/>
          <w:color w:val="000000" w:themeColor="text1"/>
          <w:bdr w:val="none" w:sz="0" w:space="0" w:color="auto" w:frame="1"/>
          <w:lang w:val="es-ES_tradnl" w:eastAsia="es-CO"/>
        </w:rPr>
        <w:t>hosos”</w:t>
      </w:r>
      <w:r w:rsidRPr="0096658B">
        <w:rPr>
          <w:rFonts w:ascii="Times New Roman" w:hAnsi="Times New Roman" w:cs="Times New Roman"/>
          <w:iCs/>
          <w:color w:val="000000" w:themeColor="text1"/>
          <w:vertAlign w:val="superscript"/>
          <w:lang w:val="es-ES_tradnl"/>
        </w:rPr>
        <w:footnoteReference w:id="138"/>
      </w:r>
      <w:r w:rsidRPr="0096658B">
        <w:rPr>
          <w:rFonts w:ascii="Times New Roman" w:hAnsi="Times New Roman" w:cs="Times New Roman"/>
          <w:bCs/>
          <w:iCs/>
          <w:color w:val="000000" w:themeColor="text1"/>
          <w:bdr w:val="none" w:sz="0" w:space="0" w:color="auto" w:frame="1"/>
          <w:lang w:val="es-ES_tradnl" w:eastAsia="es-CO"/>
        </w:rPr>
        <w:t>, como el sexo o la identidad de género</w:t>
      </w:r>
      <w:r w:rsidRPr="0096658B">
        <w:rPr>
          <w:rStyle w:val="Refdenotaalpie"/>
          <w:rFonts w:ascii="Times New Roman" w:hAnsi="Times New Roman"/>
          <w:bCs/>
          <w:iCs/>
          <w:color w:val="000000" w:themeColor="text1"/>
          <w:bdr w:val="none" w:sz="0" w:space="0" w:color="auto" w:frame="1"/>
          <w:lang w:val="es-ES_tradnl" w:eastAsia="es-CO"/>
        </w:rPr>
        <w:footnoteReference w:id="139"/>
      </w:r>
      <w:r w:rsidRPr="0096658B">
        <w:rPr>
          <w:rFonts w:ascii="Times New Roman" w:hAnsi="Times New Roman" w:cs="Times New Roman"/>
          <w:bCs/>
          <w:iCs/>
          <w:color w:val="000000" w:themeColor="text1"/>
          <w:bdr w:val="none" w:sz="0" w:space="0" w:color="auto" w:frame="1"/>
          <w:lang w:val="es-ES_tradnl" w:eastAsia="es-CO"/>
        </w:rPr>
        <w:t>. Para la Corte, estos criterios dan cuenta de “una advertencia acerca de frecuentes e históricas causas generadoras de desigualdad”</w:t>
      </w:r>
      <w:r w:rsidRPr="0096658B">
        <w:rPr>
          <w:rStyle w:val="Refdenotaalpie"/>
          <w:rFonts w:ascii="Times New Roman" w:hAnsi="Times New Roman"/>
          <w:bCs/>
          <w:iCs/>
          <w:color w:val="000000" w:themeColor="text1"/>
          <w:bdr w:val="none" w:sz="0" w:space="0" w:color="auto" w:frame="1"/>
          <w:lang w:val="es-ES_tradnl" w:eastAsia="es-CO"/>
        </w:rPr>
        <w:footnoteReference w:id="140"/>
      </w:r>
      <w:r w:rsidRPr="0096658B">
        <w:rPr>
          <w:rFonts w:ascii="Times New Roman" w:hAnsi="Times New Roman" w:cs="Times New Roman"/>
          <w:bCs/>
          <w:iCs/>
          <w:color w:val="000000" w:themeColor="text1"/>
          <w:bdr w:val="none" w:sz="0" w:space="0" w:color="auto" w:frame="1"/>
          <w:lang w:val="es-ES_tradnl" w:eastAsia="es-CO"/>
        </w:rPr>
        <w:t xml:space="preserve"> y son “potencialmente discriminatorios”</w:t>
      </w:r>
      <w:r w:rsidRPr="0096658B">
        <w:rPr>
          <w:rStyle w:val="Refdenotaalpie"/>
          <w:rFonts w:ascii="Times New Roman" w:eastAsia="SimSun" w:hAnsi="Times New Roman"/>
          <w:bCs/>
          <w:iCs/>
          <w:color w:val="000000" w:themeColor="text1"/>
          <w:bdr w:val="none" w:sz="0" w:space="0" w:color="auto" w:frame="1"/>
          <w:lang w:val="es-ES_tradnl" w:eastAsia="es-CO"/>
        </w:rPr>
        <w:footnoteReference w:id="141"/>
      </w:r>
      <w:r w:rsidRPr="0096658B">
        <w:rPr>
          <w:rFonts w:ascii="Times New Roman" w:hAnsi="Times New Roman" w:cs="Times New Roman"/>
          <w:bCs/>
          <w:iCs/>
          <w:color w:val="000000" w:themeColor="text1"/>
          <w:bdr w:val="none" w:sz="0" w:space="0" w:color="auto" w:frame="1"/>
          <w:lang w:val="es-ES_tradnl" w:eastAsia="es-CO"/>
        </w:rPr>
        <w:t>. Por esto,</w:t>
      </w:r>
      <w:r w:rsidRPr="0096658B">
        <w:rPr>
          <w:rFonts w:ascii="Times New Roman" w:hAnsi="Times New Roman" w:cs="Times New Roman"/>
          <w:bCs/>
          <w:iCs/>
          <w:color w:val="000000" w:themeColor="text1"/>
          <w:bdr w:val="none" w:sz="0" w:space="0" w:color="auto" w:frame="1"/>
          <w:lang w:val="es-ES_tradnl" w:eastAsia="es-CO"/>
        </w:rPr>
        <w:t xml:space="preserve"> en principio</w:t>
      </w:r>
      <w:r w:rsidRPr="0096658B">
        <w:rPr>
          <w:rFonts w:ascii="Times New Roman" w:hAnsi="Times New Roman" w:cs="Times New Roman"/>
          <w:bCs/>
          <w:iCs/>
          <w:color w:val="000000" w:themeColor="text1"/>
          <w:bdr w:val="none" w:sz="0" w:space="0" w:color="auto" w:frame="1"/>
          <w:lang w:val="es-ES_tradnl" w:eastAsia="es-CO"/>
        </w:rPr>
        <w:t xml:space="preserve"> “están constitucionalmente prohibidos”</w:t>
      </w:r>
      <w:r w:rsidRPr="0096658B">
        <w:rPr>
          <w:rStyle w:val="Refdenotaalpie"/>
          <w:rFonts w:ascii="Times New Roman" w:eastAsia="SimSun" w:hAnsi="Times New Roman"/>
          <w:bCs/>
          <w:iCs/>
          <w:color w:val="000000" w:themeColor="text1"/>
          <w:bdr w:val="none" w:sz="0" w:space="0" w:color="auto" w:frame="1"/>
          <w:lang w:val="es-ES_tradnl" w:eastAsia="es-CO"/>
        </w:rPr>
        <w:footnoteReference w:id="142"/>
      </w:r>
      <w:r w:rsidRPr="0096658B">
        <w:rPr>
          <w:rFonts w:ascii="Times New Roman" w:hAnsi="Times New Roman" w:cs="Times New Roman"/>
          <w:bCs/>
          <w:iCs/>
          <w:color w:val="000000" w:themeColor="text1"/>
          <w:bdr w:val="none" w:sz="0" w:space="0" w:color="auto" w:frame="1"/>
          <w:lang w:val="es-ES_tradnl" w:eastAsia="es-CO"/>
        </w:rPr>
        <w:t xml:space="preserve">. Los actos discriminatorios proscritos son </w:t>
      </w:r>
      <w:r w:rsidRPr="0096658B">
        <w:rPr>
          <w:rFonts w:ascii="Times New Roman" w:hAnsi="Times New Roman" w:cs="Times New Roman"/>
          <w:color w:val="000000" w:themeColor="text1"/>
          <w:lang w:val="es-ES_tradnl"/>
        </w:rPr>
        <w:t>aquellos tratos diferentes o paritarios injustificados que tienen “por objeto o por resultado anular o menoscabar de forma desproporcionada el reconocimiento, goce o ejerci</w:t>
      </w:r>
      <w:r w:rsidRPr="0096658B">
        <w:rPr>
          <w:rFonts w:ascii="Times New Roman" w:hAnsi="Times New Roman" w:cs="Times New Roman"/>
          <w:color w:val="000000" w:themeColor="text1"/>
          <w:lang w:val="es-ES_tradnl"/>
        </w:rPr>
        <w:t>cio de los derechos fundamentales en condiciones de igualdad”</w:t>
      </w:r>
      <w:r w:rsidRPr="0096658B">
        <w:rPr>
          <w:rStyle w:val="Refdenotaalpie"/>
          <w:rFonts w:ascii="Times New Roman" w:hAnsi="Times New Roman"/>
          <w:color w:val="000000" w:themeColor="text1"/>
          <w:lang w:val="es-ES_tradnl"/>
        </w:rPr>
        <w:footnoteReference w:id="143"/>
      </w:r>
      <w:r w:rsidRPr="0096658B">
        <w:rPr>
          <w:rFonts w:ascii="Times New Roman" w:hAnsi="Times New Roman" w:cs="Times New Roman"/>
          <w:color w:val="000000" w:themeColor="text1"/>
          <w:lang w:val="es-ES_tradnl"/>
        </w:rPr>
        <w:t>. En concreto, el artículo 1.1. de la CEDAW define la discriminación en contra de la mujer como “</w:t>
      </w:r>
      <w:r w:rsidRPr="0096658B">
        <w:rPr>
          <w:rFonts w:ascii="Times New Roman" w:hAnsi="Times New Roman" w:cs="Times New Roman"/>
          <w:color w:val="000000" w:themeColor="text1"/>
          <w:shd w:val="clear" w:color="auto" w:fill="FFFFFF"/>
          <w:lang w:val="es-ES_tradnl"/>
        </w:rPr>
        <w:t>toda distinción, exclusión o restricción basada en el sexo que tenga por objeto o resultado menos</w:t>
      </w:r>
      <w:r w:rsidRPr="0096658B">
        <w:rPr>
          <w:rFonts w:ascii="Times New Roman" w:hAnsi="Times New Roman" w:cs="Times New Roman"/>
          <w:color w:val="000000" w:themeColor="text1"/>
          <w:shd w:val="clear" w:color="auto" w:fill="FFFFFF"/>
          <w:lang w:val="es-ES_tradnl"/>
        </w:rPr>
        <w:t>cabar o anular el reconocimiento, goce o ejercicio por la mujer, independientemente de su estado civil, sobre la base de la igualdad del hombre y la mujer, de los derechos humanos y las libertades fundamentales en las esferas política, económica, social, c</w:t>
      </w:r>
      <w:r w:rsidRPr="0096658B">
        <w:rPr>
          <w:rFonts w:ascii="Times New Roman" w:hAnsi="Times New Roman" w:cs="Times New Roman"/>
          <w:color w:val="000000" w:themeColor="text1"/>
          <w:shd w:val="clear" w:color="auto" w:fill="FFFFFF"/>
          <w:lang w:val="es-ES_tradnl"/>
        </w:rPr>
        <w:t>ultural y civil o en cualquier otra esfera”</w:t>
      </w:r>
      <w:r w:rsidRPr="0096658B">
        <w:rPr>
          <w:rStyle w:val="Refdenotaalpie"/>
          <w:rFonts w:ascii="Times New Roman" w:hAnsi="Times New Roman"/>
          <w:color w:val="000000" w:themeColor="text1"/>
          <w:shd w:val="clear" w:color="auto" w:fill="FFFFFF"/>
          <w:lang w:val="es-ES_tradnl"/>
        </w:rPr>
        <w:footnoteReference w:id="144"/>
      </w:r>
      <w:r w:rsidRPr="0096658B">
        <w:rPr>
          <w:rFonts w:ascii="Times New Roman" w:hAnsi="Times New Roman" w:cs="Times New Roman"/>
          <w:color w:val="000000" w:themeColor="text1"/>
          <w:shd w:val="clear" w:color="auto" w:fill="FFFFFF"/>
          <w:lang w:val="es-ES_tradnl"/>
        </w:rPr>
        <w:t>.</w:t>
      </w:r>
    </w:p>
    <w:p w:rsidR="00B53BBE" w:rsidRPr="0096658B" w:rsidRDefault="0096658B" w:rsidP="00B53BBE">
      <w:pPr>
        <w:widowControl w:val="0"/>
        <w:shd w:val="clear" w:color="auto" w:fill="FFFFFF"/>
        <w:autoSpaceDE w:val="0"/>
        <w:autoSpaceDN w:val="0"/>
        <w:adjustRightInd w:val="0"/>
        <w:jc w:val="both"/>
        <w:rPr>
          <w:rFonts w:ascii="Times New Roman" w:hAnsi="Times New Roman" w:cs="Times New Roman"/>
          <w:color w:val="000000" w:themeColor="text1"/>
          <w:sz w:val="28"/>
          <w:szCs w:val="28"/>
          <w:lang w:val="es-ES_tradnl"/>
        </w:rPr>
      </w:pPr>
    </w:p>
    <w:p w:rsidR="00B53BBE" w:rsidRPr="0096658B" w:rsidRDefault="0096658B" w:rsidP="00B53BBE">
      <w:pPr>
        <w:widowControl w:val="0"/>
        <w:numPr>
          <w:ilvl w:val="0"/>
          <w:numId w:val="5"/>
        </w:numPr>
        <w:shd w:val="clear" w:color="auto" w:fill="FFFFFF"/>
        <w:autoSpaceDE w:val="0"/>
        <w:autoSpaceDN w:val="0"/>
        <w:adjustRightInd w:val="0"/>
        <w:ind w:left="0" w:firstLine="0"/>
        <w:jc w:val="both"/>
        <w:rPr>
          <w:rFonts w:ascii="Times New Roman" w:hAnsi="Times New Roman" w:cs="Times New Roman"/>
          <w:color w:val="000000" w:themeColor="text1"/>
          <w:sz w:val="28"/>
          <w:szCs w:val="28"/>
          <w:lang w:val="es-ES_tradnl"/>
        </w:rPr>
      </w:pPr>
      <w:r w:rsidRPr="0096658B">
        <w:rPr>
          <w:rFonts w:ascii="Times New Roman" w:hAnsi="Times New Roman" w:cs="Times New Roman"/>
          <w:i/>
          <w:iCs/>
          <w:color w:val="000000" w:themeColor="text1"/>
          <w:sz w:val="28"/>
          <w:szCs w:val="28"/>
          <w:lang w:val="es-ES_tradnl"/>
        </w:rPr>
        <w:t>Reconocimiento de la discriminación histórica de la mujer</w:t>
      </w:r>
      <w:r w:rsidRPr="0096658B">
        <w:rPr>
          <w:rFonts w:ascii="Times New Roman" w:hAnsi="Times New Roman" w:cs="Times New Roman"/>
          <w:color w:val="000000" w:themeColor="text1"/>
          <w:sz w:val="28"/>
          <w:szCs w:val="28"/>
          <w:lang w:val="es-ES_tradnl"/>
        </w:rPr>
        <w:t>. La jurisprudencia constitucional da cuenta de la discriminación histórica de la que han sido víctimas las mujeres</w:t>
      </w:r>
      <w:r w:rsidRPr="0096658B">
        <w:rPr>
          <w:rStyle w:val="Refdenotaalpie"/>
          <w:rFonts w:ascii="Times New Roman" w:hAnsi="Times New Roman"/>
          <w:color w:val="000000" w:themeColor="text1"/>
          <w:sz w:val="28"/>
          <w:szCs w:val="28"/>
          <w:lang w:val="es-ES_tradnl"/>
        </w:rPr>
        <w:footnoteReference w:id="145"/>
      </w:r>
      <w:r w:rsidRPr="0096658B">
        <w:rPr>
          <w:rFonts w:ascii="Times New Roman" w:hAnsi="Times New Roman" w:cs="Times New Roman"/>
          <w:color w:val="000000" w:themeColor="text1"/>
          <w:sz w:val="28"/>
          <w:szCs w:val="28"/>
          <w:lang w:val="es-ES_tradnl"/>
        </w:rPr>
        <w:t xml:space="preserve"> en distintos ámbitos como el laboral, el económico y en el acceso a cargos públicos. Esto, con la finalidad de “poner de manifiesto la invisibilización de las mujeres en diversos sectores de la sociedad, evidenciar la discriminación producto de la asignac</w:t>
      </w:r>
      <w:r w:rsidRPr="0096658B">
        <w:rPr>
          <w:rFonts w:ascii="Times New Roman" w:hAnsi="Times New Roman" w:cs="Times New Roman"/>
          <w:color w:val="000000" w:themeColor="text1"/>
          <w:sz w:val="28"/>
          <w:szCs w:val="28"/>
          <w:lang w:val="es-ES_tradnl"/>
        </w:rPr>
        <w:t>ión de roles a las mujeres, […] desmontar la imagen devaluada que ha sido erróneamente construida en torno a ellas”</w:t>
      </w:r>
      <w:r w:rsidRPr="0096658B">
        <w:rPr>
          <w:rStyle w:val="Refdenotaalpie"/>
          <w:rFonts w:ascii="Times New Roman" w:hAnsi="Times New Roman"/>
          <w:color w:val="000000" w:themeColor="text1"/>
          <w:sz w:val="28"/>
          <w:szCs w:val="28"/>
          <w:lang w:val="es-ES_tradnl"/>
        </w:rPr>
        <w:footnoteReference w:id="146"/>
      </w:r>
      <w:r w:rsidRPr="0096658B">
        <w:rPr>
          <w:rFonts w:ascii="Times New Roman" w:hAnsi="Times New Roman" w:cs="Times New Roman"/>
          <w:color w:val="000000" w:themeColor="text1"/>
          <w:sz w:val="28"/>
          <w:szCs w:val="28"/>
          <w:lang w:val="es-ES_tradnl"/>
        </w:rPr>
        <w:t>, así como “remover las barreras sociales, culturales y económicas que les impiden el ejercicio y disfrute de sus derechos”</w:t>
      </w:r>
      <w:r w:rsidRPr="0096658B">
        <w:rPr>
          <w:rStyle w:val="Refdenotaalpie"/>
          <w:rFonts w:ascii="Times New Roman" w:hAnsi="Times New Roman"/>
          <w:color w:val="000000" w:themeColor="text1"/>
          <w:sz w:val="28"/>
          <w:szCs w:val="28"/>
          <w:lang w:val="es-ES_tradnl"/>
        </w:rPr>
        <w:footnoteReference w:id="147"/>
      </w:r>
      <w:r w:rsidRPr="0096658B">
        <w:rPr>
          <w:rFonts w:ascii="Times New Roman" w:hAnsi="Times New Roman" w:cs="Times New Roman"/>
          <w:color w:val="000000" w:themeColor="text1"/>
          <w:sz w:val="28"/>
          <w:szCs w:val="28"/>
          <w:lang w:val="es-ES_tradnl"/>
        </w:rPr>
        <w:t xml:space="preserve">. En efecto, la </w:t>
      </w:r>
      <w:r w:rsidRPr="0096658B">
        <w:rPr>
          <w:rFonts w:ascii="Times New Roman" w:hAnsi="Times New Roman" w:cs="Times New Roman"/>
          <w:color w:val="000000" w:themeColor="text1"/>
          <w:sz w:val="28"/>
          <w:szCs w:val="28"/>
          <w:lang w:val="es-ES_tradnl"/>
        </w:rPr>
        <w:t>Corte ha sido consciente de que las mujeres han reivindicado sus derechos, con la finalidad de acceder a espacios reales de participación en actividades de las que han sido históricamente excluidas y relegadas</w:t>
      </w:r>
      <w:r w:rsidRPr="0096658B">
        <w:rPr>
          <w:rStyle w:val="Refdenotaalpie"/>
          <w:rFonts w:ascii="Times New Roman" w:hAnsi="Times New Roman"/>
          <w:color w:val="000000" w:themeColor="text1"/>
          <w:sz w:val="28"/>
          <w:szCs w:val="28"/>
          <w:lang w:val="es-ES_tradnl"/>
        </w:rPr>
        <w:footnoteReference w:id="148"/>
      </w:r>
      <w:r w:rsidRPr="0096658B">
        <w:rPr>
          <w:rFonts w:ascii="Times New Roman" w:hAnsi="Times New Roman" w:cs="Times New Roman"/>
          <w:color w:val="000000" w:themeColor="text1"/>
          <w:sz w:val="28"/>
          <w:szCs w:val="28"/>
          <w:lang w:val="es-ES_tradnl"/>
        </w:rPr>
        <w:t xml:space="preserve">. Esto, en el marco de un contexto patriarcal </w:t>
      </w:r>
      <w:r w:rsidRPr="0096658B">
        <w:rPr>
          <w:rFonts w:ascii="Times New Roman" w:hAnsi="Times New Roman" w:cs="Times New Roman"/>
          <w:color w:val="000000" w:themeColor="text1"/>
          <w:sz w:val="28"/>
          <w:szCs w:val="28"/>
          <w:lang w:val="es-ES_tradnl"/>
        </w:rPr>
        <w:t>en el que los hombres han asumido “el poder decisorio en el terreno en el que se definen los asuntos privados y públicos que les conciernen” a ellas</w:t>
      </w:r>
      <w:r w:rsidRPr="0096658B">
        <w:rPr>
          <w:rStyle w:val="Refdenotaalpie"/>
          <w:rFonts w:ascii="Times New Roman" w:hAnsi="Times New Roman"/>
          <w:color w:val="000000" w:themeColor="text1"/>
          <w:sz w:val="28"/>
          <w:szCs w:val="28"/>
          <w:lang w:val="es-ES_tradnl"/>
        </w:rPr>
        <w:footnoteReference w:id="149"/>
      </w:r>
      <w:r w:rsidRPr="0096658B">
        <w:rPr>
          <w:rFonts w:ascii="Times New Roman" w:hAnsi="Times New Roman" w:cs="Times New Roman"/>
          <w:color w:val="000000" w:themeColor="text1"/>
          <w:sz w:val="28"/>
          <w:szCs w:val="28"/>
          <w:lang w:val="es-ES_tradnl"/>
        </w:rPr>
        <w:t>.</w:t>
      </w:r>
    </w:p>
    <w:p w:rsidR="00B53BBE" w:rsidRPr="0096658B" w:rsidRDefault="0096658B" w:rsidP="00B53BBE">
      <w:pPr>
        <w:pStyle w:val="Prrafodelista"/>
        <w:rPr>
          <w:rFonts w:ascii="Times New Roman" w:hAnsi="Times New Roman" w:cs="Times New Roman"/>
          <w:color w:val="000000" w:themeColor="text1"/>
          <w:lang w:val="es-ES_tradnl" w:eastAsia="es-CO"/>
        </w:rPr>
      </w:pPr>
    </w:p>
    <w:p w:rsidR="00B53BBE" w:rsidRPr="0096658B" w:rsidRDefault="0096658B" w:rsidP="00B53BBE">
      <w:pPr>
        <w:widowControl w:val="0"/>
        <w:numPr>
          <w:ilvl w:val="0"/>
          <w:numId w:val="5"/>
        </w:numPr>
        <w:shd w:val="clear" w:color="auto" w:fill="FFFFFF"/>
        <w:autoSpaceDE w:val="0"/>
        <w:autoSpaceDN w:val="0"/>
        <w:adjustRightInd w:val="0"/>
        <w:ind w:left="0" w:firstLine="0"/>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La Sala Plena ha constatado que las mujeres han sido víctimas de discriminación con fundamento en distin</w:t>
      </w:r>
      <w:r w:rsidRPr="0096658B">
        <w:rPr>
          <w:rFonts w:ascii="Times New Roman" w:hAnsi="Times New Roman" w:cs="Times New Roman"/>
          <w:color w:val="000000" w:themeColor="text1"/>
          <w:sz w:val="28"/>
          <w:szCs w:val="28"/>
          <w:lang w:val="es-ES_tradnl"/>
        </w:rPr>
        <w:t>tos factores y prácticas que responden “</w:t>
      </w:r>
      <w:r w:rsidRPr="0096658B">
        <w:rPr>
          <w:rFonts w:ascii="Times New Roman" w:hAnsi="Times New Roman" w:cs="Times New Roman"/>
          <w:color w:val="000000" w:themeColor="text1"/>
          <w:sz w:val="28"/>
          <w:szCs w:val="28"/>
          <w:shd w:val="clear" w:color="auto" w:fill="FFFFFF"/>
          <w:lang w:val="es-ES_tradnl"/>
        </w:rPr>
        <w:t>al andamiaje cultural que ha exigido de [ellas] el cumplimiento de un rol en la sociedad en línea con estereotipos de género negativos”</w:t>
      </w:r>
      <w:r w:rsidRPr="0096658B">
        <w:rPr>
          <w:rStyle w:val="Refdenotaalpie"/>
          <w:rFonts w:ascii="Times New Roman" w:hAnsi="Times New Roman"/>
          <w:color w:val="000000" w:themeColor="text1"/>
          <w:sz w:val="28"/>
          <w:szCs w:val="28"/>
          <w:shd w:val="clear" w:color="auto" w:fill="FFFFFF"/>
          <w:lang w:val="es-ES_tradnl"/>
        </w:rPr>
        <w:footnoteReference w:id="150"/>
      </w:r>
      <w:r w:rsidRPr="0096658B">
        <w:rPr>
          <w:rFonts w:ascii="Times New Roman" w:hAnsi="Times New Roman" w:cs="Times New Roman"/>
          <w:color w:val="000000" w:themeColor="text1"/>
          <w:sz w:val="28"/>
          <w:szCs w:val="28"/>
          <w:shd w:val="clear" w:color="auto" w:fill="FFFFFF"/>
          <w:lang w:val="es-ES_tradnl"/>
        </w:rPr>
        <w:t>. Por ejemplo, aquellos según los cuales “su lugar es el hogar, el rol exclusiva</w:t>
      </w:r>
      <w:r w:rsidRPr="0096658B">
        <w:rPr>
          <w:rFonts w:ascii="Times New Roman" w:hAnsi="Times New Roman" w:cs="Times New Roman"/>
          <w:color w:val="000000" w:themeColor="text1"/>
          <w:sz w:val="28"/>
          <w:szCs w:val="28"/>
          <w:shd w:val="clear" w:color="auto" w:fill="FFFFFF"/>
          <w:lang w:val="es-ES_tradnl"/>
        </w:rPr>
        <w:t>mente reproductivo y no los espacios públicos o políticos</w:t>
      </w:r>
      <w:r w:rsidRPr="0096658B">
        <w:rPr>
          <w:rFonts w:ascii="Times New Roman" w:hAnsi="Times New Roman" w:cs="Times New Roman"/>
          <w:color w:val="000000" w:themeColor="text1"/>
          <w:sz w:val="28"/>
          <w:szCs w:val="28"/>
          <w:lang w:val="es-ES_tradnl"/>
        </w:rPr>
        <w:t>”</w:t>
      </w:r>
      <w:r w:rsidRPr="0096658B">
        <w:rPr>
          <w:rStyle w:val="Refdenotaalpie"/>
          <w:rFonts w:ascii="Times New Roman" w:hAnsi="Times New Roman"/>
          <w:color w:val="000000" w:themeColor="text1"/>
          <w:sz w:val="28"/>
          <w:szCs w:val="28"/>
          <w:lang w:val="es-ES_tradnl"/>
        </w:rPr>
        <w:footnoteReference w:id="151"/>
      </w:r>
      <w:r w:rsidRPr="0096658B">
        <w:rPr>
          <w:rFonts w:ascii="Times New Roman" w:hAnsi="Times New Roman" w:cs="Times New Roman"/>
          <w:color w:val="000000" w:themeColor="text1"/>
          <w:sz w:val="28"/>
          <w:szCs w:val="28"/>
          <w:lang w:val="es-ES_tradnl"/>
        </w:rPr>
        <w:t>. Si bien estos estereotipos y roles que discriminan a las mujeres han disminuido, entidades nacionales e internacionales han constatado que continúan vigentes. Por ejemplo, en 2020, “38,5% de la p</w:t>
      </w:r>
      <w:r w:rsidRPr="0096658B">
        <w:rPr>
          <w:rFonts w:ascii="Times New Roman" w:hAnsi="Times New Roman" w:cs="Times New Roman"/>
          <w:color w:val="000000" w:themeColor="text1"/>
          <w:sz w:val="28"/>
          <w:szCs w:val="28"/>
          <w:lang w:val="es-ES_tradnl"/>
        </w:rPr>
        <w:t>oblación esta[ba] de acuerdo o muy de acuerdo con que ‘el deber de un hombre e[ra] ganar dinero, y el de una mujer e[ra] cuidar el hogar y la familia’”</w:t>
      </w:r>
      <w:r w:rsidRPr="0096658B">
        <w:rPr>
          <w:rStyle w:val="Refdenotaalpie"/>
          <w:rFonts w:ascii="Times New Roman" w:hAnsi="Times New Roman"/>
          <w:color w:val="000000" w:themeColor="text1"/>
          <w:sz w:val="28"/>
          <w:szCs w:val="28"/>
          <w:lang w:val="es-ES_tradnl"/>
        </w:rPr>
        <w:footnoteReference w:id="152"/>
      </w:r>
      <w:r w:rsidRPr="0096658B">
        <w:rPr>
          <w:rFonts w:ascii="Times New Roman" w:hAnsi="Times New Roman" w:cs="Times New Roman"/>
          <w:color w:val="000000" w:themeColor="text1"/>
          <w:sz w:val="28"/>
          <w:szCs w:val="28"/>
          <w:lang w:val="es-ES_tradnl"/>
        </w:rPr>
        <w:t xml:space="preserve">. A su vez, en 2021, el 29,4%, el 66,7% y el 38% de la población estaba de acuerdo o muy de acuerdo con </w:t>
      </w:r>
      <w:r w:rsidRPr="0096658B">
        <w:rPr>
          <w:rFonts w:ascii="Times New Roman" w:hAnsi="Times New Roman" w:cs="Times New Roman"/>
          <w:color w:val="000000" w:themeColor="text1"/>
          <w:sz w:val="28"/>
          <w:szCs w:val="28"/>
          <w:lang w:val="es-ES_tradnl"/>
        </w:rPr>
        <w:t>las siguientes afirmaciones, respectivamente: “[l]a meta principal de una mujer es casarse y tener hijos/as”, “[l]as mujeres son mejores para el trabajo doméstico que los hombres”, y “[l]a cabeza del hogar debe ser el hombre”</w:t>
      </w:r>
      <w:r w:rsidRPr="0096658B">
        <w:rPr>
          <w:rStyle w:val="Refdenotaalpie"/>
          <w:rFonts w:ascii="Times New Roman" w:hAnsi="Times New Roman"/>
          <w:color w:val="000000" w:themeColor="text1"/>
          <w:sz w:val="28"/>
          <w:szCs w:val="28"/>
          <w:lang w:val="es-ES_tradnl"/>
        </w:rPr>
        <w:footnoteReference w:id="153"/>
      </w:r>
      <w:r w:rsidRPr="0096658B">
        <w:rPr>
          <w:rFonts w:ascii="Times New Roman" w:hAnsi="Times New Roman" w:cs="Times New Roman"/>
          <w:color w:val="000000" w:themeColor="text1"/>
          <w:sz w:val="28"/>
          <w:szCs w:val="28"/>
          <w:lang w:val="es-ES_tradnl"/>
        </w:rPr>
        <w:t xml:space="preserve">. </w:t>
      </w:r>
    </w:p>
    <w:p w:rsidR="00B53BBE" w:rsidRPr="0096658B" w:rsidRDefault="0096658B" w:rsidP="00B53BBE">
      <w:pPr>
        <w:widowControl w:val="0"/>
        <w:shd w:val="clear" w:color="auto" w:fill="FFFFFF"/>
        <w:autoSpaceDE w:val="0"/>
        <w:autoSpaceDN w:val="0"/>
        <w:adjustRightInd w:val="0"/>
        <w:jc w:val="both"/>
        <w:rPr>
          <w:rFonts w:ascii="Times New Roman" w:hAnsi="Times New Roman" w:cs="Times New Roman"/>
          <w:color w:val="000000" w:themeColor="text1"/>
          <w:sz w:val="28"/>
          <w:szCs w:val="28"/>
          <w:lang w:val="es-ES_tradnl"/>
        </w:rPr>
      </w:pPr>
    </w:p>
    <w:p w:rsidR="00B53BBE" w:rsidRPr="0096658B" w:rsidRDefault="0096658B" w:rsidP="00B53BBE">
      <w:pPr>
        <w:widowControl w:val="0"/>
        <w:numPr>
          <w:ilvl w:val="0"/>
          <w:numId w:val="5"/>
        </w:numPr>
        <w:shd w:val="clear" w:color="auto" w:fill="FFFFFF"/>
        <w:autoSpaceDE w:val="0"/>
        <w:autoSpaceDN w:val="0"/>
        <w:adjustRightInd w:val="0"/>
        <w:ind w:left="0" w:firstLine="0"/>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 xml:space="preserve">En ese contexto, la Corte </w:t>
      </w:r>
      <w:r w:rsidRPr="0096658B">
        <w:rPr>
          <w:rFonts w:ascii="Times New Roman" w:hAnsi="Times New Roman" w:cs="Times New Roman"/>
          <w:color w:val="000000" w:themeColor="text1"/>
          <w:sz w:val="28"/>
          <w:szCs w:val="28"/>
          <w:lang w:val="es-ES_tradnl"/>
        </w:rPr>
        <w:t>ha identificado, como situaciones de discriminación en contra de la mujer, la segregación laboral “por el ejercicio de la función reproductiva”</w:t>
      </w:r>
      <w:r w:rsidRPr="0096658B">
        <w:rPr>
          <w:rStyle w:val="Refdenotaalpie"/>
          <w:rFonts w:ascii="Times New Roman" w:hAnsi="Times New Roman"/>
          <w:color w:val="000000" w:themeColor="text1"/>
          <w:sz w:val="28"/>
          <w:szCs w:val="28"/>
          <w:lang w:val="es-ES_tradnl"/>
        </w:rPr>
        <w:footnoteReference w:id="154"/>
      </w:r>
      <w:r w:rsidRPr="0096658B">
        <w:rPr>
          <w:rFonts w:ascii="Times New Roman" w:hAnsi="Times New Roman" w:cs="Times New Roman"/>
          <w:color w:val="000000" w:themeColor="text1"/>
          <w:sz w:val="28"/>
          <w:szCs w:val="28"/>
          <w:lang w:val="es-ES_tradnl"/>
        </w:rPr>
        <w:t>, así como “el desconocimiento del valor y la falta de remuneración por las labores domésticas y su aporte econó</w:t>
      </w:r>
      <w:r w:rsidRPr="0096658B">
        <w:rPr>
          <w:rFonts w:ascii="Times New Roman" w:hAnsi="Times New Roman" w:cs="Times New Roman"/>
          <w:color w:val="000000" w:themeColor="text1"/>
          <w:sz w:val="28"/>
          <w:szCs w:val="28"/>
          <w:lang w:val="es-ES_tradnl"/>
        </w:rPr>
        <w:t>mico al hogar”</w:t>
      </w:r>
      <w:r w:rsidRPr="0096658B">
        <w:rPr>
          <w:rStyle w:val="Refdenotaalpie"/>
          <w:rFonts w:ascii="Times New Roman" w:hAnsi="Times New Roman"/>
          <w:color w:val="000000" w:themeColor="text1"/>
          <w:sz w:val="28"/>
          <w:szCs w:val="28"/>
          <w:lang w:val="es-ES_tradnl"/>
        </w:rPr>
        <w:footnoteReference w:id="155"/>
      </w:r>
      <w:r w:rsidRPr="0096658B">
        <w:rPr>
          <w:rFonts w:ascii="Times New Roman" w:hAnsi="Times New Roman" w:cs="Times New Roman"/>
          <w:color w:val="000000" w:themeColor="text1"/>
          <w:sz w:val="28"/>
          <w:szCs w:val="28"/>
          <w:lang w:val="es-ES_tradnl"/>
        </w:rPr>
        <w:t>. Según la Encuesta Nacional de Uso del Tiempo 2020-2021 del Departamento Administrativo Nacional de Estadística (DANE), entre septiembre de 2020 y agosto de 2021, “el 53,3% de los hombres participaron en actividades de trabajo remunerado, m</w:t>
      </w:r>
      <w:r w:rsidRPr="0096658B">
        <w:rPr>
          <w:rFonts w:ascii="Times New Roman" w:hAnsi="Times New Roman" w:cs="Times New Roman"/>
          <w:color w:val="000000" w:themeColor="text1"/>
          <w:sz w:val="28"/>
          <w:szCs w:val="28"/>
          <w:lang w:val="es-ES_tradnl"/>
        </w:rPr>
        <w:t>ientras que este porcentaje fue de 29,9% para las mujeres”</w:t>
      </w:r>
      <w:r w:rsidRPr="0096658B">
        <w:rPr>
          <w:rStyle w:val="Refdenotaalpie"/>
          <w:rFonts w:ascii="Times New Roman" w:hAnsi="Times New Roman"/>
          <w:color w:val="000000" w:themeColor="text1"/>
          <w:sz w:val="28"/>
          <w:szCs w:val="28"/>
          <w:lang w:val="es-ES_tradnl"/>
        </w:rPr>
        <w:footnoteReference w:id="156"/>
      </w:r>
      <w:r w:rsidRPr="0096658B">
        <w:rPr>
          <w:rFonts w:ascii="Times New Roman" w:hAnsi="Times New Roman" w:cs="Times New Roman"/>
          <w:color w:val="000000" w:themeColor="text1"/>
          <w:sz w:val="28"/>
          <w:szCs w:val="28"/>
          <w:lang w:val="es-ES_tradnl"/>
        </w:rPr>
        <w:t>. En relación con las actividades de trabajo no remunerado, “la participación de las mujeres fue mayor que la de los hombres: 90,3% de las mujeres realizó actividades de trabajo no remunerado, fren</w:t>
      </w:r>
      <w:r w:rsidRPr="0096658B">
        <w:rPr>
          <w:rFonts w:ascii="Times New Roman" w:hAnsi="Times New Roman" w:cs="Times New Roman"/>
          <w:color w:val="000000" w:themeColor="text1"/>
          <w:sz w:val="28"/>
          <w:szCs w:val="28"/>
          <w:lang w:val="es-ES_tradnl"/>
        </w:rPr>
        <w:t>te al 63,0% de hombres”</w:t>
      </w:r>
      <w:r w:rsidRPr="0096658B">
        <w:rPr>
          <w:rStyle w:val="Refdenotaalpie"/>
          <w:rFonts w:ascii="Times New Roman" w:hAnsi="Times New Roman"/>
          <w:color w:val="000000" w:themeColor="text1"/>
          <w:sz w:val="28"/>
          <w:szCs w:val="28"/>
          <w:lang w:val="es-ES_tradnl"/>
        </w:rPr>
        <w:footnoteReference w:id="157"/>
      </w:r>
      <w:r w:rsidRPr="0096658B">
        <w:rPr>
          <w:rFonts w:ascii="Times New Roman" w:hAnsi="Times New Roman" w:cs="Times New Roman"/>
          <w:color w:val="000000" w:themeColor="text1"/>
          <w:sz w:val="28"/>
          <w:szCs w:val="28"/>
          <w:lang w:val="es-ES_tradnl"/>
        </w:rPr>
        <w:t>. Además, la entidad constató que “las mujeres dedican más tiempo, en promedio, a actividades de trabajo no remunerado que los hombres en todas las regiones”</w:t>
      </w:r>
      <w:r w:rsidRPr="0096658B">
        <w:rPr>
          <w:rStyle w:val="Refdenotaalpie"/>
          <w:rFonts w:ascii="Times New Roman" w:hAnsi="Times New Roman"/>
          <w:color w:val="000000" w:themeColor="text1"/>
          <w:sz w:val="28"/>
          <w:szCs w:val="28"/>
          <w:lang w:val="es-ES_tradnl"/>
        </w:rPr>
        <w:footnoteReference w:id="158"/>
      </w:r>
      <w:r w:rsidRPr="0096658B">
        <w:rPr>
          <w:rFonts w:ascii="Times New Roman" w:hAnsi="Times New Roman" w:cs="Times New Roman"/>
          <w:color w:val="000000" w:themeColor="text1"/>
          <w:sz w:val="28"/>
          <w:szCs w:val="28"/>
          <w:lang w:val="es-ES_tradnl"/>
        </w:rPr>
        <w:t>. En promedio, las mujeres dedican 7:44 horas a este tipo de labores y 7:3</w:t>
      </w:r>
      <w:r w:rsidRPr="0096658B">
        <w:rPr>
          <w:rFonts w:ascii="Times New Roman" w:hAnsi="Times New Roman" w:cs="Times New Roman"/>
          <w:color w:val="000000" w:themeColor="text1"/>
          <w:sz w:val="28"/>
          <w:szCs w:val="28"/>
          <w:lang w:val="es-ES_tradnl"/>
        </w:rPr>
        <w:t>7 a trabajos remunerados</w:t>
      </w:r>
      <w:r w:rsidRPr="0096658B">
        <w:rPr>
          <w:rStyle w:val="Refdenotaalpie"/>
          <w:rFonts w:ascii="Times New Roman" w:hAnsi="Times New Roman"/>
          <w:color w:val="000000" w:themeColor="text1"/>
          <w:sz w:val="28"/>
          <w:szCs w:val="28"/>
          <w:lang w:val="es-ES_tradnl"/>
        </w:rPr>
        <w:footnoteReference w:id="159"/>
      </w:r>
      <w:r w:rsidRPr="0096658B">
        <w:rPr>
          <w:rFonts w:ascii="Times New Roman" w:hAnsi="Times New Roman" w:cs="Times New Roman"/>
          <w:color w:val="000000" w:themeColor="text1"/>
          <w:sz w:val="28"/>
          <w:szCs w:val="28"/>
          <w:lang w:val="es-ES_tradnl"/>
        </w:rPr>
        <w:t>. En contraste, los hombres dedican 3:06 horas a las actividades de trabajo no remunerado y 8:57 horas a actividades remuneradas</w:t>
      </w:r>
      <w:r w:rsidRPr="0096658B">
        <w:rPr>
          <w:rStyle w:val="Refdenotaalpie"/>
          <w:rFonts w:ascii="Times New Roman" w:hAnsi="Times New Roman"/>
          <w:color w:val="000000" w:themeColor="text1"/>
          <w:sz w:val="28"/>
          <w:szCs w:val="28"/>
          <w:lang w:val="es-ES_tradnl"/>
        </w:rPr>
        <w:footnoteReference w:id="160"/>
      </w:r>
      <w:r w:rsidRPr="0096658B">
        <w:rPr>
          <w:rFonts w:ascii="Times New Roman" w:hAnsi="Times New Roman" w:cs="Times New Roman"/>
          <w:color w:val="000000" w:themeColor="text1"/>
          <w:sz w:val="28"/>
          <w:szCs w:val="28"/>
          <w:lang w:val="es-ES_tradnl"/>
        </w:rPr>
        <w:t>. Esta participación aumentó en comparación con la encuesta 2016-2017</w:t>
      </w:r>
      <w:r w:rsidRPr="0096658B">
        <w:rPr>
          <w:rStyle w:val="Refdenotaalpie"/>
          <w:rFonts w:ascii="Times New Roman" w:hAnsi="Times New Roman"/>
          <w:color w:val="000000" w:themeColor="text1"/>
          <w:sz w:val="28"/>
          <w:szCs w:val="28"/>
          <w:lang w:val="es-ES_tradnl"/>
        </w:rPr>
        <w:footnoteReference w:id="161"/>
      </w:r>
      <w:r w:rsidRPr="0096658B">
        <w:rPr>
          <w:rFonts w:ascii="Times New Roman" w:hAnsi="Times New Roman" w:cs="Times New Roman"/>
          <w:color w:val="000000" w:themeColor="text1"/>
          <w:sz w:val="28"/>
          <w:szCs w:val="28"/>
          <w:lang w:val="es-ES_tradnl"/>
        </w:rPr>
        <w:t xml:space="preserve">. </w:t>
      </w:r>
    </w:p>
    <w:p w:rsidR="00B53BBE" w:rsidRPr="0096658B" w:rsidRDefault="0096658B" w:rsidP="00B53BBE">
      <w:pPr>
        <w:widowControl w:val="0"/>
        <w:shd w:val="clear" w:color="auto" w:fill="FFFFFF"/>
        <w:autoSpaceDE w:val="0"/>
        <w:autoSpaceDN w:val="0"/>
        <w:adjustRightInd w:val="0"/>
        <w:jc w:val="both"/>
        <w:rPr>
          <w:rFonts w:ascii="Times New Roman" w:hAnsi="Times New Roman" w:cs="Times New Roman"/>
          <w:color w:val="000000" w:themeColor="text1"/>
          <w:sz w:val="28"/>
          <w:szCs w:val="28"/>
          <w:lang w:val="es-ES_tradnl"/>
        </w:rPr>
      </w:pPr>
    </w:p>
    <w:p w:rsidR="00B53BBE" w:rsidRPr="0096658B" w:rsidRDefault="0096658B" w:rsidP="00B53BBE">
      <w:pPr>
        <w:widowControl w:val="0"/>
        <w:numPr>
          <w:ilvl w:val="0"/>
          <w:numId w:val="5"/>
        </w:numPr>
        <w:shd w:val="clear" w:color="auto" w:fill="FFFFFF"/>
        <w:autoSpaceDE w:val="0"/>
        <w:autoSpaceDN w:val="0"/>
        <w:adjustRightInd w:val="0"/>
        <w:ind w:left="0" w:firstLine="0"/>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 xml:space="preserve">Asimismo, el DANE comprobó </w:t>
      </w:r>
      <w:r w:rsidRPr="0096658B">
        <w:rPr>
          <w:rFonts w:ascii="Times New Roman" w:hAnsi="Times New Roman" w:cs="Times New Roman"/>
          <w:color w:val="000000" w:themeColor="text1"/>
          <w:sz w:val="28"/>
          <w:szCs w:val="28"/>
          <w:lang w:val="es-ES_tradnl"/>
        </w:rPr>
        <w:t>que la presencia de menores de edad en los hogares “tiene un impacto significativo en el tiempo que las mujeres dedican” al trabajo doméstico y de cuidado no remunerado</w:t>
      </w:r>
      <w:r w:rsidRPr="0096658B">
        <w:rPr>
          <w:rStyle w:val="Refdenotaalpie"/>
          <w:rFonts w:ascii="Times New Roman" w:hAnsi="Times New Roman"/>
          <w:color w:val="000000" w:themeColor="text1"/>
          <w:sz w:val="28"/>
          <w:szCs w:val="28"/>
          <w:lang w:val="es-ES_tradnl"/>
        </w:rPr>
        <w:footnoteReference w:id="162"/>
      </w:r>
      <w:r w:rsidRPr="0096658B">
        <w:rPr>
          <w:rFonts w:ascii="Times New Roman" w:hAnsi="Times New Roman" w:cs="Times New Roman"/>
          <w:color w:val="000000" w:themeColor="text1"/>
          <w:sz w:val="28"/>
          <w:szCs w:val="28"/>
          <w:lang w:val="es-ES_tradnl"/>
        </w:rPr>
        <w:t>. Este fenómeno impacta, en menor medida, en el tiempo que dedican los hombres a las re</w:t>
      </w:r>
      <w:r w:rsidRPr="0096658B">
        <w:rPr>
          <w:rFonts w:ascii="Times New Roman" w:hAnsi="Times New Roman" w:cs="Times New Roman"/>
          <w:color w:val="000000" w:themeColor="text1"/>
          <w:sz w:val="28"/>
          <w:szCs w:val="28"/>
          <w:lang w:val="es-ES_tradnl"/>
        </w:rPr>
        <w:t>feridas tareas</w:t>
      </w:r>
      <w:r w:rsidRPr="0096658B">
        <w:rPr>
          <w:rStyle w:val="Refdenotaalpie"/>
          <w:rFonts w:ascii="Times New Roman" w:hAnsi="Times New Roman"/>
          <w:color w:val="000000" w:themeColor="text1"/>
          <w:sz w:val="28"/>
          <w:szCs w:val="28"/>
          <w:lang w:val="es-ES_tradnl"/>
        </w:rPr>
        <w:footnoteReference w:id="163"/>
      </w:r>
      <w:r w:rsidRPr="0096658B">
        <w:rPr>
          <w:rFonts w:ascii="Times New Roman" w:hAnsi="Times New Roman" w:cs="Times New Roman"/>
          <w:color w:val="000000" w:themeColor="text1"/>
          <w:sz w:val="28"/>
          <w:szCs w:val="28"/>
          <w:lang w:val="es-ES_tradnl"/>
        </w:rPr>
        <w:t>. Con fundamento en lo anterior, la Corte insiste en que, en Colombia, “la mujer aun es asociada con el papel de cuidadora que la sociedad le asigna”</w:t>
      </w:r>
      <w:r w:rsidRPr="0096658B">
        <w:rPr>
          <w:rStyle w:val="Refdenotaalpie"/>
          <w:rFonts w:ascii="Times New Roman" w:hAnsi="Times New Roman"/>
          <w:color w:val="000000" w:themeColor="text1"/>
          <w:sz w:val="28"/>
          <w:szCs w:val="28"/>
          <w:lang w:val="es-ES_tradnl"/>
        </w:rPr>
        <w:footnoteReference w:id="164"/>
      </w:r>
      <w:r w:rsidRPr="0096658B">
        <w:rPr>
          <w:rFonts w:ascii="Times New Roman" w:hAnsi="Times New Roman" w:cs="Times New Roman"/>
          <w:color w:val="000000" w:themeColor="text1"/>
          <w:sz w:val="28"/>
          <w:szCs w:val="28"/>
          <w:lang w:val="es-ES_tradnl"/>
        </w:rPr>
        <w:t xml:space="preserve">. </w:t>
      </w:r>
    </w:p>
    <w:p w:rsidR="00CB5877" w:rsidRPr="0096658B" w:rsidRDefault="0096658B" w:rsidP="00CB5877">
      <w:pPr>
        <w:pStyle w:val="Prrafodelista"/>
        <w:rPr>
          <w:rFonts w:ascii="Times New Roman" w:hAnsi="Times New Roman" w:cs="Times New Roman"/>
          <w:color w:val="000000" w:themeColor="text1"/>
          <w:lang w:val="es-ES_tradnl" w:eastAsia="es-CO"/>
        </w:rPr>
      </w:pPr>
    </w:p>
    <w:p w:rsidR="00CB5877" w:rsidRPr="0096658B" w:rsidRDefault="0096658B" w:rsidP="00CB5877">
      <w:pPr>
        <w:widowControl w:val="0"/>
        <w:numPr>
          <w:ilvl w:val="0"/>
          <w:numId w:val="5"/>
        </w:numPr>
        <w:shd w:val="clear" w:color="auto" w:fill="FFFFFF"/>
        <w:autoSpaceDE w:val="0"/>
        <w:autoSpaceDN w:val="0"/>
        <w:adjustRightInd w:val="0"/>
        <w:ind w:left="0" w:firstLine="0"/>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 xml:space="preserve">A su vez, la Corte ha reconocido que las mujeres se enfrentan a </w:t>
      </w:r>
      <w:r w:rsidRPr="0096658B">
        <w:rPr>
          <w:rFonts w:ascii="Times New Roman" w:hAnsi="Times New Roman" w:cs="Times New Roman"/>
          <w:i/>
          <w:iCs/>
          <w:color w:val="000000" w:themeColor="text1"/>
          <w:sz w:val="28"/>
          <w:szCs w:val="28"/>
          <w:lang w:val="es-ES_tradnl"/>
        </w:rPr>
        <w:t>techos de cristal</w:t>
      </w:r>
      <w:r w:rsidRPr="0096658B">
        <w:rPr>
          <w:rFonts w:ascii="Times New Roman" w:hAnsi="Times New Roman" w:cs="Times New Roman"/>
          <w:color w:val="000000" w:themeColor="text1"/>
          <w:sz w:val="28"/>
          <w:szCs w:val="28"/>
          <w:lang w:val="es-ES_tradnl"/>
        </w:rPr>
        <w:t xml:space="preserve"> en lo</w:t>
      </w:r>
      <w:r w:rsidRPr="0096658B">
        <w:rPr>
          <w:rFonts w:ascii="Times New Roman" w:hAnsi="Times New Roman" w:cs="Times New Roman"/>
          <w:color w:val="000000" w:themeColor="text1"/>
          <w:sz w:val="28"/>
          <w:szCs w:val="28"/>
          <w:lang w:val="es-ES_tradnl"/>
        </w:rPr>
        <w:t>s escenarios laborales. Esto les impide “participar de altos cargos en el escenario del trabajo”</w:t>
      </w:r>
      <w:r w:rsidRPr="0096658B">
        <w:rPr>
          <w:rStyle w:val="Refdenotaalpie"/>
          <w:rFonts w:ascii="Times New Roman" w:hAnsi="Times New Roman"/>
          <w:color w:val="000000" w:themeColor="text1"/>
          <w:sz w:val="28"/>
          <w:szCs w:val="28"/>
          <w:lang w:val="es-ES_tradnl"/>
        </w:rPr>
        <w:footnoteReference w:id="165"/>
      </w:r>
      <w:r w:rsidRPr="0096658B">
        <w:rPr>
          <w:rFonts w:ascii="Times New Roman" w:hAnsi="Times New Roman" w:cs="Times New Roman"/>
          <w:color w:val="000000" w:themeColor="text1"/>
          <w:sz w:val="28"/>
          <w:szCs w:val="28"/>
          <w:lang w:val="es-ES_tradnl"/>
        </w:rPr>
        <w:t xml:space="preserve">. </w:t>
      </w:r>
      <w:r w:rsidRPr="0096658B">
        <w:rPr>
          <w:rFonts w:ascii="Times New Roman" w:hAnsi="Times New Roman" w:cs="Times New Roman"/>
          <w:color w:val="000000" w:themeColor="text1"/>
          <w:sz w:val="28"/>
          <w:szCs w:val="28"/>
          <w:lang w:val="es-ES_tradnl"/>
        </w:rPr>
        <w:t>En un estudio publicado por el Banco de la República, sus autoras reconocieron que la participación de la mujer en el sector público mejoró con posterioridad</w:t>
      </w:r>
      <w:r w:rsidRPr="0096658B">
        <w:rPr>
          <w:rFonts w:ascii="Times New Roman" w:hAnsi="Times New Roman" w:cs="Times New Roman"/>
          <w:color w:val="000000" w:themeColor="text1"/>
          <w:sz w:val="28"/>
          <w:szCs w:val="28"/>
          <w:lang w:val="es-ES_tradnl"/>
        </w:rPr>
        <w:t xml:space="preserve"> a la expedición de la Ley 581 de 2000. Sin embargo, aseguraron que “el ‘techo de cristal’ sigue existiendo, ya que las mujeres suelen ser nombradas en los ministerios que generalmente coinciden con los estereotipos de género […]”</w:t>
      </w:r>
      <w:r w:rsidRPr="0096658B">
        <w:rPr>
          <w:rFonts w:ascii="Times New Roman" w:hAnsi="Times New Roman" w:cs="Times New Roman"/>
          <w:sz w:val="28"/>
          <w:szCs w:val="28"/>
          <w:vertAlign w:val="superscript"/>
          <w:lang w:val="es-ES_tradnl"/>
        </w:rPr>
        <w:footnoteReference w:id="166"/>
      </w:r>
      <w:r w:rsidRPr="0096658B">
        <w:rPr>
          <w:rFonts w:ascii="Times New Roman" w:hAnsi="Times New Roman" w:cs="Times New Roman"/>
          <w:color w:val="000000" w:themeColor="text1"/>
          <w:sz w:val="28"/>
          <w:szCs w:val="28"/>
          <w:lang w:val="es-ES_tradnl"/>
        </w:rPr>
        <w:t>. En particular, en el ám</w:t>
      </w:r>
      <w:r w:rsidRPr="0096658B">
        <w:rPr>
          <w:rFonts w:ascii="Times New Roman" w:hAnsi="Times New Roman" w:cs="Times New Roman"/>
          <w:color w:val="000000" w:themeColor="text1"/>
          <w:sz w:val="28"/>
          <w:szCs w:val="28"/>
          <w:lang w:val="es-ES_tradnl"/>
        </w:rPr>
        <w:t>bito judicial, la Corte ha constatado que “la presencia de mujeres disminuye a medida que se asciende en la jerarquía judicial”</w:t>
      </w:r>
      <w:r w:rsidRPr="0096658B">
        <w:rPr>
          <w:rFonts w:ascii="Times New Roman" w:hAnsi="Times New Roman" w:cs="Times New Roman"/>
          <w:sz w:val="28"/>
          <w:szCs w:val="28"/>
          <w:vertAlign w:val="superscript"/>
          <w:lang w:val="es-ES_tradnl"/>
        </w:rPr>
        <w:footnoteReference w:id="167"/>
      </w:r>
      <w:r w:rsidRPr="0096658B">
        <w:rPr>
          <w:rFonts w:ascii="Times New Roman" w:hAnsi="Times New Roman" w:cs="Times New Roman"/>
          <w:color w:val="000000" w:themeColor="text1"/>
          <w:sz w:val="28"/>
          <w:szCs w:val="28"/>
          <w:lang w:val="es-ES_tradnl"/>
        </w:rPr>
        <w:t>. De conformidad con los datos suministrados por el Consejo Superior de la Judicatura, la Sala Plena identificó que existían 134</w:t>
      </w:r>
      <w:r w:rsidRPr="0096658B">
        <w:rPr>
          <w:rFonts w:ascii="Times New Roman" w:hAnsi="Times New Roman" w:cs="Times New Roman"/>
          <w:color w:val="000000" w:themeColor="text1"/>
          <w:sz w:val="28"/>
          <w:szCs w:val="28"/>
          <w:lang w:val="es-ES_tradnl"/>
        </w:rPr>
        <w:t>2 juezas municipales, 1100 juezas de circuito y 286 magistradas de tribunal o consejo seccional, pero “la proporción de hombres [era] mayor” en cada una de esas categorías</w:t>
      </w:r>
      <w:r w:rsidRPr="0096658B">
        <w:rPr>
          <w:rFonts w:ascii="Times New Roman" w:hAnsi="Times New Roman" w:cs="Times New Roman"/>
          <w:sz w:val="28"/>
          <w:szCs w:val="28"/>
          <w:vertAlign w:val="superscript"/>
          <w:lang w:val="es-ES_tradnl"/>
        </w:rPr>
        <w:footnoteReference w:id="168"/>
      </w:r>
      <w:r w:rsidRPr="0096658B">
        <w:rPr>
          <w:rFonts w:ascii="Times New Roman" w:hAnsi="Times New Roman" w:cs="Times New Roman"/>
          <w:color w:val="000000" w:themeColor="text1"/>
          <w:sz w:val="28"/>
          <w:szCs w:val="28"/>
          <w:lang w:val="es-ES_tradnl"/>
        </w:rPr>
        <w:t>. Si bien “a nivel municipal, la participación de las mujeres [era] casi paritaria”</w:t>
      </w:r>
      <w:r w:rsidRPr="0096658B">
        <w:rPr>
          <w:rFonts w:ascii="Times New Roman" w:hAnsi="Times New Roman" w:cs="Times New Roman"/>
          <w:sz w:val="28"/>
          <w:szCs w:val="28"/>
          <w:vertAlign w:val="superscript"/>
          <w:lang w:val="es-ES_tradnl"/>
        </w:rPr>
        <w:footnoteReference w:id="169"/>
      </w:r>
      <w:r w:rsidRPr="0096658B">
        <w:rPr>
          <w:rFonts w:ascii="Times New Roman" w:hAnsi="Times New Roman" w:cs="Times New Roman"/>
          <w:color w:val="000000" w:themeColor="text1"/>
          <w:sz w:val="28"/>
          <w:szCs w:val="28"/>
          <w:lang w:val="es-ES_tradnl"/>
        </w:rPr>
        <w:t>, “han sido y continúan siendo minoría en las altas cortes”</w:t>
      </w:r>
      <w:r w:rsidRPr="0096658B">
        <w:rPr>
          <w:rFonts w:ascii="Times New Roman" w:hAnsi="Times New Roman" w:cs="Times New Roman"/>
          <w:sz w:val="28"/>
          <w:szCs w:val="28"/>
          <w:vertAlign w:val="superscript"/>
          <w:lang w:val="es-ES_tradnl"/>
        </w:rPr>
        <w:footnoteReference w:id="170"/>
      </w:r>
      <w:r w:rsidRPr="0096658B">
        <w:rPr>
          <w:rFonts w:ascii="Times New Roman" w:hAnsi="Times New Roman" w:cs="Times New Roman"/>
          <w:color w:val="000000" w:themeColor="text1"/>
          <w:sz w:val="28"/>
          <w:szCs w:val="28"/>
          <w:lang w:val="es-ES_tradnl"/>
        </w:rPr>
        <w:t>. En efecto, para diciembre de 2023, de los 93 magistrados de altas cortes, 66 eran hombres y solo 27 mujeres</w:t>
      </w:r>
      <w:r w:rsidRPr="0096658B">
        <w:rPr>
          <w:rFonts w:ascii="Times New Roman" w:hAnsi="Times New Roman" w:cs="Times New Roman"/>
          <w:sz w:val="28"/>
          <w:szCs w:val="28"/>
          <w:vertAlign w:val="superscript"/>
          <w:lang w:val="es-ES_tradnl"/>
        </w:rPr>
        <w:footnoteReference w:id="171"/>
      </w:r>
      <w:r w:rsidRPr="0096658B">
        <w:rPr>
          <w:rFonts w:ascii="Times New Roman" w:hAnsi="Times New Roman" w:cs="Times New Roman"/>
          <w:color w:val="000000" w:themeColor="text1"/>
          <w:sz w:val="28"/>
          <w:szCs w:val="28"/>
          <w:lang w:val="es-ES_tradnl"/>
        </w:rPr>
        <w:t>. Además, entre 1991 y 2021, las mujeres representaban el 15.1% y el 24.2% de magistra</w:t>
      </w:r>
      <w:r w:rsidRPr="0096658B">
        <w:rPr>
          <w:rFonts w:ascii="Times New Roman" w:hAnsi="Times New Roman" w:cs="Times New Roman"/>
          <w:color w:val="000000" w:themeColor="text1"/>
          <w:sz w:val="28"/>
          <w:szCs w:val="28"/>
          <w:lang w:val="es-ES_tradnl"/>
        </w:rPr>
        <w:t>dos elegidos en la Corte Suprema de Justicia y en el Consejo de Estado, respectivamente</w:t>
      </w:r>
      <w:r w:rsidRPr="0096658B">
        <w:rPr>
          <w:rFonts w:ascii="Times New Roman" w:hAnsi="Times New Roman" w:cs="Times New Roman"/>
          <w:sz w:val="28"/>
          <w:szCs w:val="28"/>
          <w:vertAlign w:val="superscript"/>
          <w:lang w:val="es-ES_tradnl"/>
        </w:rPr>
        <w:footnoteReference w:id="172"/>
      </w:r>
      <w:r w:rsidRPr="0096658B">
        <w:rPr>
          <w:rFonts w:ascii="Times New Roman" w:hAnsi="Times New Roman" w:cs="Times New Roman"/>
          <w:color w:val="000000" w:themeColor="text1"/>
          <w:sz w:val="28"/>
          <w:szCs w:val="28"/>
          <w:lang w:val="es-ES_tradnl"/>
        </w:rPr>
        <w:t>. Este porcentaje correspondía al 28% en la Comisión Nacional de Disciplina Judicial</w:t>
      </w:r>
      <w:r w:rsidRPr="0096658B">
        <w:rPr>
          <w:rFonts w:ascii="Times New Roman" w:hAnsi="Times New Roman" w:cs="Times New Roman"/>
          <w:sz w:val="28"/>
          <w:szCs w:val="28"/>
          <w:vertAlign w:val="superscript"/>
          <w:lang w:val="es-ES_tradnl"/>
        </w:rPr>
        <w:footnoteReference w:id="173"/>
      </w:r>
      <w:r w:rsidRPr="0096658B">
        <w:rPr>
          <w:rFonts w:ascii="Times New Roman" w:hAnsi="Times New Roman" w:cs="Times New Roman"/>
          <w:color w:val="000000" w:themeColor="text1"/>
          <w:sz w:val="28"/>
          <w:szCs w:val="28"/>
          <w:lang w:val="es-ES_tradnl"/>
        </w:rPr>
        <w:t>.</w:t>
      </w:r>
    </w:p>
    <w:p w:rsidR="00CB5877" w:rsidRPr="0096658B" w:rsidRDefault="0096658B" w:rsidP="00CB5877">
      <w:pPr>
        <w:pStyle w:val="Prrafodelista"/>
        <w:ind w:left="0"/>
        <w:rPr>
          <w:rFonts w:ascii="Times New Roman" w:hAnsi="Times New Roman" w:cs="Times New Roman"/>
          <w:color w:val="000000" w:themeColor="text1"/>
          <w:lang w:val="es-ES_tradnl" w:eastAsia="es-CO"/>
        </w:rPr>
      </w:pPr>
    </w:p>
    <w:p w:rsidR="00CB5877" w:rsidRPr="0096658B" w:rsidRDefault="0096658B" w:rsidP="00CB5877">
      <w:pPr>
        <w:pStyle w:val="Prrafodelista"/>
        <w:widowControl w:val="0"/>
        <w:numPr>
          <w:ilvl w:val="0"/>
          <w:numId w:val="5"/>
        </w:numPr>
        <w:shd w:val="clear" w:color="auto" w:fill="FFFFFF"/>
        <w:autoSpaceDE w:val="0"/>
        <w:autoSpaceDN w:val="0"/>
        <w:adjustRightInd w:val="0"/>
        <w:ind w:left="0" w:firstLine="0"/>
        <w:jc w:val="both"/>
        <w:rPr>
          <w:rFonts w:ascii="Times New Roman" w:hAnsi="Times New Roman" w:cs="Times New Roman"/>
          <w:color w:val="000000" w:themeColor="text1"/>
          <w:lang w:val="es-ES_tradnl" w:eastAsia="es-CO"/>
        </w:rPr>
      </w:pPr>
      <w:r w:rsidRPr="0096658B">
        <w:rPr>
          <w:rFonts w:ascii="Times New Roman" w:hAnsi="Times New Roman" w:cs="Times New Roman"/>
          <w:color w:val="000000" w:themeColor="text1"/>
          <w:lang w:val="es-ES_tradnl" w:eastAsia="es-CO"/>
        </w:rPr>
        <w:t>En ese mismo ámbito, la Corte Constitucional ha identificado que “la presencia d</w:t>
      </w:r>
      <w:r w:rsidRPr="0096658B">
        <w:rPr>
          <w:rFonts w:ascii="Times New Roman" w:hAnsi="Times New Roman" w:cs="Times New Roman"/>
          <w:color w:val="000000" w:themeColor="text1"/>
          <w:lang w:val="es-ES_tradnl" w:eastAsia="es-CO"/>
        </w:rPr>
        <w:t>e mujeres en las listas y ternas para acceder a la magistratura” en las altas cortes “no ha resultado en su elección”</w:t>
      </w:r>
      <w:r w:rsidRPr="0096658B">
        <w:rPr>
          <w:rFonts w:ascii="Times New Roman" w:hAnsi="Times New Roman" w:cs="Times New Roman"/>
          <w:color w:val="000000" w:themeColor="text1"/>
          <w:vertAlign w:val="superscript"/>
          <w:lang w:val="es-ES_tradnl" w:eastAsia="es-CO"/>
        </w:rPr>
        <w:footnoteReference w:id="174"/>
      </w:r>
      <w:r w:rsidRPr="0096658B">
        <w:rPr>
          <w:rFonts w:ascii="Times New Roman" w:hAnsi="Times New Roman" w:cs="Times New Roman"/>
          <w:color w:val="000000" w:themeColor="text1"/>
          <w:lang w:val="es-ES_tradnl" w:eastAsia="es-CO"/>
        </w:rPr>
        <w:t>. Entre otras razones, porque “las listas y ternas están principalmente compuestas por hombres”</w:t>
      </w:r>
      <w:r w:rsidRPr="0096658B">
        <w:rPr>
          <w:rFonts w:ascii="Times New Roman" w:hAnsi="Times New Roman" w:cs="Times New Roman"/>
          <w:color w:val="000000" w:themeColor="text1"/>
          <w:vertAlign w:val="superscript"/>
          <w:lang w:val="es-ES_tradnl" w:eastAsia="es-CO"/>
        </w:rPr>
        <w:footnoteReference w:id="175"/>
      </w:r>
      <w:r w:rsidRPr="0096658B">
        <w:rPr>
          <w:rFonts w:ascii="Times New Roman" w:hAnsi="Times New Roman" w:cs="Times New Roman"/>
          <w:color w:val="000000" w:themeColor="text1"/>
          <w:lang w:val="es-ES_tradnl" w:eastAsia="es-CO"/>
        </w:rPr>
        <w:t xml:space="preserve">. De conformidad con la información </w:t>
      </w:r>
      <w:r w:rsidRPr="0096658B">
        <w:rPr>
          <w:rFonts w:ascii="Times New Roman" w:hAnsi="Times New Roman" w:cs="Times New Roman"/>
          <w:color w:val="000000" w:themeColor="text1"/>
          <w:lang w:val="es-ES_tradnl" w:eastAsia="es-CO"/>
        </w:rPr>
        <w:t>recopilada por la Sala Plena</w:t>
      </w:r>
      <w:r w:rsidRPr="0096658B">
        <w:rPr>
          <w:rFonts w:ascii="Times New Roman" w:hAnsi="Times New Roman" w:cs="Times New Roman"/>
          <w:color w:val="000000" w:themeColor="text1"/>
          <w:vertAlign w:val="superscript"/>
          <w:lang w:val="es-ES_tradnl" w:eastAsia="es-CO"/>
        </w:rPr>
        <w:footnoteReference w:id="176"/>
      </w:r>
      <w:r w:rsidRPr="0096658B">
        <w:rPr>
          <w:rFonts w:ascii="Times New Roman" w:hAnsi="Times New Roman" w:cs="Times New Roman"/>
          <w:color w:val="000000" w:themeColor="text1"/>
          <w:lang w:val="es-ES_tradnl" w:eastAsia="es-CO"/>
        </w:rPr>
        <w:t>, entre 1994 y 2020, las mujeres que integraron las listas enviadas por la Sala Administrativa del Consejo Superior de la Judicatura correspondían al 28.9% para la Corte Suprema de Justicia y al 29.8% para el Consejo de Estado.</w:t>
      </w:r>
      <w:r w:rsidRPr="0096658B">
        <w:rPr>
          <w:rFonts w:ascii="Times New Roman" w:hAnsi="Times New Roman" w:cs="Times New Roman"/>
          <w:color w:val="000000" w:themeColor="text1"/>
          <w:lang w:val="es-ES_tradnl" w:eastAsia="es-CO"/>
        </w:rPr>
        <w:t xml:space="preserve"> De las cuatro ternas que conformó la Sala Administrativa para elegir a cuatro de los magistrados de la Comisión Nacional de Disciplina Judicial, seis eran hombres y seis eran mujeres. En las ternas que elaboró el presidente de la República, “de nueve pers</w:t>
      </w:r>
      <w:r w:rsidRPr="0096658B">
        <w:rPr>
          <w:rFonts w:ascii="Times New Roman" w:hAnsi="Times New Roman" w:cs="Times New Roman"/>
          <w:color w:val="000000" w:themeColor="text1"/>
          <w:lang w:val="es-ES_tradnl" w:eastAsia="es-CO"/>
        </w:rPr>
        <w:t>onas que hacían parte de las tres ternas, seis eran hombres y tres mujeres”</w:t>
      </w:r>
      <w:r w:rsidRPr="0096658B">
        <w:rPr>
          <w:rFonts w:ascii="Times New Roman" w:hAnsi="Times New Roman" w:cs="Times New Roman"/>
          <w:color w:val="000000" w:themeColor="text1"/>
          <w:vertAlign w:val="superscript"/>
          <w:lang w:val="es-ES_tradnl" w:eastAsia="es-CO"/>
        </w:rPr>
        <w:footnoteReference w:id="177"/>
      </w:r>
      <w:r w:rsidRPr="0096658B">
        <w:rPr>
          <w:rFonts w:ascii="Times New Roman" w:hAnsi="Times New Roman" w:cs="Times New Roman"/>
          <w:color w:val="000000" w:themeColor="text1"/>
          <w:lang w:val="es-ES_tradnl" w:eastAsia="es-CO"/>
        </w:rPr>
        <w:t xml:space="preserve">. </w:t>
      </w:r>
    </w:p>
    <w:p w:rsidR="00CB5877" w:rsidRPr="0096658B" w:rsidRDefault="0096658B" w:rsidP="00CB5877">
      <w:pPr>
        <w:pStyle w:val="Prrafodelista"/>
        <w:rPr>
          <w:rFonts w:ascii="Times New Roman" w:hAnsi="Times New Roman" w:cs="Times New Roman"/>
          <w:color w:val="000000" w:themeColor="text1"/>
          <w:lang w:val="es-ES_tradnl" w:eastAsia="es-CO"/>
        </w:rPr>
      </w:pPr>
    </w:p>
    <w:p w:rsidR="00CB5877" w:rsidRPr="0096658B" w:rsidRDefault="0096658B" w:rsidP="00CB5877">
      <w:pPr>
        <w:pStyle w:val="Prrafodelista"/>
        <w:widowControl w:val="0"/>
        <w:numPr>
          <w:ilvl w:val="0"/>
          <w:numId w:val="5"/>
        </w:numPr>
        <w:shd w:val="clear" w:color="auto" w:fill="FFFFFF"/>
        <w:autoSpaceDE w:val="0"/>
        <w:autoSpaceDN w:val="0"/>
        <w:adjustRightInd w:val="0"/>
        <w:ind w:left="0" w:firstLine="0"/>
        <w:jc w:val="both"/>
        <w:rPr>
          <w:rFonts w:ascii="Times New Roman" w:hAnsi="Times New Roman" w:cs="Times New Roman"/>
          <w:color w:val="000000" w:themeColor="text1"/>
          <w:lang w:val="es-ES_tradnl" w:eastAsia="es-CO"/>
        </w:rPr>
      </w:pPr>
      <w:r w:rsidRPr="0096658B">
        <w:rPr>
          <w:rFonts w:ascii="Times New Roman" w:hAnsi="Times New Roman" w:cs="Times New Roman"/>
          <w:color w:val="000000" w:themeColor="text1"/>
          <w:lang w:val="es-ES_tradnl" w:eastAsia="es-CO"/>
        </w:rPr>
        <w:t xml:space="preserve">En la sentencia C-134 de 2023, la Corte Constitucional advirtió una segregación de género vertical en el poder judicial que afecta a las mujeres y crea </w:t>
      </w:r>
      <w:r w:rsidRPr="0096658B">
        <w:rPr>
          <w:rFonts w:ascii="Times New Roman" w:hAnsi="Times New Roman" w:cs="Times New Roman"/>
          <w:i/>
          <w:iCs/>
          <w:color w:val="000000" w:themeColor="text1"/>
          <w:lang w:val="es-ES_tradnl" w:eastAsia="es-CO"/>
        </w:rPr>
        <w:t>techos de cristal</w:t>
      </w:r>
      <w:r w:rsidRPr="0096658B">
        <w:rPr>
          <w:rFonts w:ascii="Times New Roman" w:hAnsi="Times New Roman" w:cs="Times New Roman"/>
          <w:color w:val="000000" w:themeColor="text1"/>
          <w:lang w:val="es-ES_tradnl" w:eastAsia="es-CO"/>
        </w:rPr>
        <w:t xml:space="preserve">. Para </w:t>
      </w:r>
      <w:r w:rsidRPr="0096658B">
        <w:rPr>
          <w:rFonts w:ascii="Times New Roman" w:hAnsi="Times New Roman" w:cs="Times New Roman"/>
          <w:color w:val="000000" w:themeColor="text1"/>
          <w:lang w:val="es-ES_tradnl" w:eastAsia="es-CO"/>
        </w:rPr>
        <w:t xml:space="preserve">promover la mayor representatividad de las mujeres en las altas cortes y, en esa medida, la igualdad sustantiva, la Corte incorporó la equidad de género como criterio de selección para elegir a los magistrados del Consejo de Estado, de la Corte Suprema de </w:t>
      </w:r>
      <w:r w:rsidRPr="0096658B">
        <w:rPr>
          <w:rFonts w:ascii="Times New Roman" w:hAnsi="Times New Roman" w:cs="Times New Roman"/>
          <w:color w:val="000000" w:themeColor="text1"/>
          <w:lang w:val="es-ES_tradnl" w:eastAsia="es-CO"/>
        </w:rPr>
        <w:t>Justicia y de la Comisión Nacional de Disciplina Judicial, al analizar el artículo 20 del Proyecto de Ley Estatutaria “[p]or medio de la cual se modifica la [L]ey 270 de 1996 – Estatutaria de la Administración de Justicia”</w:t>
      </w:r>
      <w:r w:rsidRPr="0096658B">
        <w:rPr>
          <w:rFonts w:ascii="Times New Roman" w:hAnsi="Times New Roman" w:cs="Times New Roman"/>
          <w:color w:val="000000" w:themeColor="text1"/>
          <w:vertAlign w:val="superscript"/>
          <w:lang w:val="es-ES_tradnl" w:eastAsia="es-CO"/>
        </w:rPr>
        <w:footnoteReference w:id="178"/>
      </w:r>
      <w:r w:rsidRPr="0096658B">
        <w:rPr>
          <w:rFonts w:ascii="Times New Roman" w:hAnsi="Times New Roman" w:cs="Times New Roman"/>
          <w:color w:val="000000" w:themeColor="text1"/>
          <w:lang w:val="es-ES_tradnl" w:eastAsia="es-CO"/>
        </w:rPr>
        <w:t>. La Sala Plena explicó que la ap</w:t>
      </w:r>
      <w:r w:rsidRPr="0096658B">
        <w:rPr>
          <w:rFonts w:ascii="Times New Roman" w:hAnsi="Times New Roman" w:cs="Times New Roman"/>
          <w:color w:val="000000" w:themeColor="text1"/>
          <w:lang w:val="es-ES_tradnl" w:eastAsia="es-CO"/>
        </w:rPr>
        <w:t>licación del principio de equidad implica garantizar la participación equilibrada entre hombres y mujeres en el acceso a dichas corporaciones. La intensidad de la aplicación de tal principio dependerá de la etapa del proceso de elección. En la primera fase</w:t>
      </w:r>
      <w:r w:rsidRPr="0096658B">
        <w:rPr>
          <w:rFonts w:ascii="Times New Roman" w:hAnsi="Times New Roman" w:cs="Times New Roman"/>
          <w:color w:val="000000" w:themeColor="text1"/>
          <w:lang w:val="es-ES_tradnl" w:eastAsia="es-CO"/>
        </w:rPr>
        <w:t>, que corresponde a la elaboración de las ternas o de las listas para dichas cortes, estas deben “ser paritarias en cuanto a la representación entre hombres y mujeres”</w:t>
      </w:r>
      <w:r w:rsidRPr="0096658B">
        <w:rPr>
          <w:rFonts w:ascii="Times New Roman" w:hAnsi="Times New Roman" w:cs="Times New Roman"/>
          <w:color w:val="000000" w:themeColor="text1"/>
          <w:vertAlign w:val="superscript"/>
          <w:lang w:val="es-ES_tradnl" w:eastAsia="es-CO"/>
        </w:rPr>
        <w:footnoteReference w:id="179"/>
      </w:r>
      <w:r w:rsidRPr="0096658B">
        <w:rPr>
          <w:rFonts w:ascii="Times New Roman" w:hAnsi="Times New Roman" w:cs="Times New Roman"/>
          <w:color w:val="000000" w:themeColor="text1"/>
          <w:lang w:val="es-ES_tradnl" w:eastAsia="es-CO"/>
        </w:rPr>
        <w:t>. En la segunda etapa, que concierne a la elección y designación de los funcionarios, “l</w:t>
      </w:r>
      <w:r w:rsidRPr="0096658B">
        <w:rPr>
          <w:rFonts w:ascii="Times New Roman" w:hAnsi="Times New Roman" w:cs="Times New Roman"/>
          <w:color w:val="000000" w:themeColor="text1"/>
          <w:lang w:val="es-ES_tradnl" w:eastAsia="es-CO"/>
        </w:rPr>
        <w:t>a equidad de género se aplicará de manera gradual y paulatina hasta lograr la paridad entre hombres y mujeres”</w:t>
      </w:r>
      <w:r w:rsidRPr="0096658B">
        <w:rPr>
          <w:rFonts w:ascii="Times New Roman" w:hAnsi="Times New Roman" w:cs="Times New Roman"/>
          <w:color w:val="000000" w:themeColor="text1"/>
          <w:vertAlign w:val="superscript"/>
          <w:lang w:val="es-ES_tradnl" w:eastAsia="es-CO"/>
        </w:rPr>
        <w:footnoteReference w:id="180"/>
      </w:r>
      <w:r w:rsidRPr="0096658B">
        <w:rPr>
          <w:rFonts w:ascii="Times New Roman" w:hAnsi="Times New Roman" w:cs="Times New Roman"/>
          <w:color w:val="000000" w:themeColor="text1"/>
          <w:lang w:val="es-ES_tradnl" w:eastAsia="es-CO"/>
        </w:rPr>
        <w:t>.</w:t>
      </w:r>
    </w:p>
    <w:p w:rsidR="00B53BBE" w:rsidRPr="0096658B" w:rsidRDefault="0096658B" w:rsidP="00CB5877">
      <w:pPr>
        <w:pStyle w:val="Prrafodelista"/>
        <w:widowControl w:val="0"/>
        <w:shd w:val="clear" w:color="auto" w:fill="FFFFFF"/>
        <w:autoSpaceDE w:val="0"/>
        <w:autoSpaceDN w:val="0"/>
        <w:adjustRightInd w:val="0"/>
        <w:ind w:left="0"/>
        <w:jc w:val="both"/>
        <w:rPr>
          <w:rFonts w:ascii="Times New Roman" w:hAnsi="Times New Roman" w:cs="Times New Roman"/>
          <w:color w:val="000000" w:themeColor="text1"/>
          <w:lang w:val="es-ES_tradnl" w:eastAsia="es-CO"/>
        </w:rPr>
      </w:pPr>
    </w:p>
    <w:p w:rsidR="00B53BBE" w:rsidRPr="0096658B" w:rsidRDefault="0096658B" w:rsidP="00B53BBE">
      <w:pPr>
        <w:widowControl w:val="0"/>
        <w:numPr>
          <w:ilvl w:val="0"/>
          <w:numId w:val="5"/>
        </w:numPr>
        <w:shd w:val="clear" w:color="auto" w:fill="FFFFFF"/>
        <w:autoSpaceDE w:val="0"/>
        <w:autoSpaceDN w:val="0"/>
        <w:adjustRightInd w:val="0"/>
        <w:ind w:left="0" w:firstLine="0"/>
        <w:jc w:val="both"/>
        <w:rPr>
          <w:rFonts w:ascii="Times New Roman" w:hAnsi="Times New Roman" w:cs="Times New Roman"/>
          <w:color w:val="000000" w:themeColor="text1"/>
          <w:sz w:val="28"/>
          <w:szCs w:val="28"/>
          <w:lang w:val="es-ES_tradnl"/>
        </w:rPr>
      </w:pPr>
      <w:r w:rsidRPr="0096658B">
        <w:rPr>
          <w:rFonts w:ascii="Times New Roman" w:hAnsi="Times New Roman" w:cs="Times New Roman"/>
          <w:i/>
          <w:iCs/>
          <w:color w:val="000000" w:themeColor="text1"/>
          <w:sz w:val="28"/>
          <w:szCs w:val="28"/>
          <w:lang w:val="es-ES_tradnl"/>
        </w:rPr>
        <w:t xml:space="preserve">Garantía de igualdad entre mujeres y hombres en todas las relaciones sociales. </w:t>
      </w:r>
      <w:r w:rsidRPr="0096658B">
        <w:rPr>
          <w:rFonts w:ascii="Times New Roman" w:hAnsi="Times New Roman" w:cs="Times New Roman"/>
          <w:color w:val="000000" w:themeColor="text1"/>
          <w:sz w:val="28"/>
          <w:szCs w:val="28"/>
          <w:lang w:val="es-ES_tradnl"/>
        </w:rPr>
        <w:t xml:space="preserve">La Constitución Política garantiza la igualdad entre mujeres y </w:t>
      </w:r>
      <w:r w:rsidRPr="0096658B">
        <w:rPr>
          <w:rFonts w:ascii="Times New Roman" w:hAnsi="Times New Roman" w:cs="Times New Roman"/>
          <w:color w:val="000000" w:themeColor="text1"/>
          <w:sz w:val="28"/>
          <w:szCs w:val="28"/>
          <w:lang w:val="es-ES_tradnl"/>
        </w:rPr>
        <w:t>hombres. A su vez, confiere una protección especial a las mujeres, de manera que su derecho a la igualdad “se aplica de manera trasversal en todos los aspectos de las relaciones sociales que a ellas les atañen”</w:t>
      </w:r>
      <w:r w:rsidRPr="0096658B">
        <w:rPr>
          <w:rStyle w:val="Refdenotaalpie"/>
          <w:rFonts w:ascii="Times New Roman" w:hAnsi="Times New Roman"/>
          <w:color w:val="000000" w:themeColor="text1"/>
          <w:sz w:val="28"/>
          <w:szCs w:val="28"/>
          <w:lang w:val="es-ES_tradnl"/>
        </w:rPr>
        <w:footnoteReference w:id="181"/>
      </w:r>
      <w:r w:rsidRPr="0096658B">
        <w:rPr>
          <w:rFonts w:ascii="Times New Roman" w:hAnsi="Times New Roman" w:cs="Times New Roman"/>
          <w:color w:val="000000" w:themeColor="text1"/>
          <w:sz w:val="28"/>
          <w:szCs w:val="28"/>
          <w:lang w:val="es-ES_tradnl"/>
        </w:rPr>
        <w:t xml:space="preserve">. El artículo 13 de la Constitución prevé el </w:t>
      </w:r>
      <w:r w:rsidRPr="0096658B">
        <w:rPr>
          <w:rFonts w:ascii="Times New Roman" w:hAnsi="Times New Roman" w:cs="Times New Roman"/>
          <w:color w:val="000000" w:themeColor="text1"/>
          <w:sz w:val="28"/>
          <w:szCs w:val="28"/>
          <w:lang w:val="es-ES_tradnl"/>
        </w:rPr>
        <w:t>principio de no discriminación y, de manera enunciativa, menciona el sexo como un criterio prohibido de discriminación. Este principio “implica también una advertencia acerca de frecuentes e históricas causas generadores de desigualdad”</w:t>
      </w:r>
      <w:r w:rsidRPr="0096658B">
        <w:rPr>
          <w:rStyle w:val="Refdenotaalpie"/>
          <w:rFonts w:ascii="Times New Roman" w:hAnsi="Times New Roman"/>
          <w:color w:val="000000" w:themeColor="text1"/>
          <w:sz w:val="28"/>
          <w:szCs w:val="28"/>
          <w:lang w:val="es-ES_tradnl"/>
        </w:rPr>
        <w:footnoteReference w:id="182"/>
      </w:r>
      <w:r w:rsidRPr="0096658B">
        <w:rPr>
          <w:rFonts w:ascii="Times New Roman" w:hAnsi="Times New Roman" w:cs="Times New Roman"/>
          <w:color w:val="000000" w:themeColor="text1"/>
          <w:sz w:val="28"/>
          <w:szCs w:val="28"/>
          <w:lang w:val="es-ES_tradnl"/>
        </w:rPr>
        <w:t xml:space="preserve">. Por su parte, el </w:t>
      </w:r>
      <w:r w:rsidRPr="0096658B">
        <w:rPr>
          <w:rFonts w:ascii="Times New Roman" w:hAnsi="Times New Roman" w:cs="Times New Roman"/>
          <w:color w:val="000000" w:themeColor="text1"/>
          <w:sz w:val="28"/>
          <w:szCs w:val="28"/>
          <w:lang w:val="es-ES_tradnl"/>
        </w:rPr>
        <w:t xml:space="preserve">artículo 43 </w:t>
      </w:r>
      <w:r w:rsidRPr="0096658B">
        <w:rPr>
          <w:rFonts w:ascii="Times New Roman" w:hAnsi="Times New Roman" w:cs="Times New Roman"/>
          <w:i/>
          <w:iCs/>
          <w:color w:val="000000" w:themeColor="text1"/>
          <w:sz w:val="28"/>
          <w:szCs w:val="28"/>
          <w:lang w:val="es-ES_tradnl"/>
        </w:rPr>
        <w:t xml:space="preserve">ibidem </w:t>
      </w:r>
      <w:r w:rsidRPr="0096658B">
        <w:rPr>
          <w:rFonts w:ascii="Times New Roman" w:hAnsi="Times New Roman" w:cs="Times New Roman"/>
          <w:color w:val="000000" w:themeColor="text1"/>
          <w:sz w:val="28"/>
          <w:szCs w:val="28"/>
          <w:lang w:val="es-ES_tradnl"/>
        </w:rPr>
        <w:t xml:space="preserve">prescribe, entre otras, que </w:t>
      </w:r>
      <w:r w:rsidRPr="0096658B">
        <w:rPr>
          <w:rFonts w:ascii="Times New Roman" w:hAnsi="Times New Roman" w:cs="Times New Roman"/>
          <w:bCs/>
          <w:color w:val="000000" w:themeColor="text1"/>
          <w:sz w:val="28"/>
          <w:szCs w:val="28"/>
          <w:bdr w:val="none" w:sz="0" w:space="0" w:color="auto" w:frame="1"/>
          <w:shd w:val="clear" w:color="auto" w:fill="FFFFFF"/>
          <w:lang w:val="es-ES_tradnl"/>
        </w:rPr>
        <w:t xml:space="preserve">(i) “[l]a mujer y el hombre tienen iguales derechos y oportunidades”, (ii) la mujer “no podrá ser sometida a ninguna clase de discriminación” y (iii) el “Estado apoyará de manera especial a la mujer cabeza de </w:t>
      </w:r>
      <w:r w:rsidRPr="0096658B">
        <w:rPr>
          <w:rFonts w:ascii="Times New Roman" w:hAnsi="Times New Roman" w:cs="Times New Roman"/>
          <w:bCs/>
          <w:color w:val="000000" w:themeColor="text1"/>
          <w:sz w:val="28"/>
          <w:szCs w:val="28"/>
          <w:bdr w:val="none" w:sz="0" w:space="0" w:color="auto" w:frame="1"/>
          <w:shd w:val="clear" w:color="auto" w:fill="FFFFFF"/>
          <w:lang w:val="es-ES_tradnl"/>
        </w:rPr>
        <w:t>familia”</w:t>
      </w:r>
      <w:r w:rsidRPr="0096658B">
        <w:rPr>
          <w:rFonts w:ascii="Times New Roman" w:hAnsi="Times New Roman" w:cs="Times New Roman"/>
          <w:color w:val="000000" w:themeColor="text1"/>
          <w:sz w:val="28"/>
          <w:szCs w:val="28"/>
          <w:lang w:val="es-ES_tradnl"/>
        </w:rPr>
        <w:t xml:space="preserve">. Además, el artículo 40 </w:t>
      </w:r>
      <w:r w:rsidRPr="0096658B">
        <w:rPr>
          <w:rFonts w:ascii="Times New Roman" w:hAnsi="Times New Roman" w:cs="Times New Roman"/>
          <w:i/>
          <w:iCs/>
          <w:color w:val="000000" w:themeColor="text1"/>
          <w:sz w:val="28"/>
          <w:szCs w:val="28"/>
          <w:lang w:val="es-ES_tradnl"/>
        </w:rPr>
        <w:t>ibidem</w:t>
      </w:r>
      <w:r w:rsidRPr="0096658B">
        <w:rPr>
          <w:rFonts w:ascii="Times New Roman" w:hAnsi="Times New Roman" w:cs="Times New Roman"/>
          <w:color w:val="000000" w:themeColor="text1"/>
          <w:sz w:val="28"/>
          <w:szCs w:val="28"/>
          <w:lang w:val="es-ES_tradnl"/>
        </w:rPr>
        <w:t xml:space="preserve"> instituye que “[l]as autoridades garantizarán la adecuada y efectiva participación de la mujer en los niveles decisorios de la Administración Pública”</w:t>
      </w:r>
      <w:r w:rsidRPr="0096658B">
        <w:rPr>
          <w:rStyle w:val="Refdenotaalpie"/>
          <w:rFonts w:ascii="Times New Roman" w:hAnsi="Times New Roman"/>
          <w:color w:val="000000" w:themeColor="text1"/>
          <w:sz w:val="28"/>
          <w:szCs w:val="28"/>
          <w:lang w:val="es-ES_tradnl"/>
        </w:rPr>
        <w:footnoteReference w:id="183"/>
      </w:r>
      <w:r w:rsidRPr="0096658B">
        <w:rPr>
          <w:rFonts w:ascii="Times New Roman" w:hAnsi="Times New Roman" w:cs="Times New Roman"/>
          <w:color w:val="000000" w:themeColor="text1"/>
          <w:sz w:val="28"/>
          <w:szCs w:val="28"/>
          <w:lang w:val="es-ES_tradnl"/>
        </w:rPr>
        <w:t xml:space="preserve">. </w:t>
      </w:r>
      <w:r w:rsidRPr="0096658B">
        <w:rPr>
          <w:rFonts w:ascii="Times New Roman" w:hAnsi="Times New Roman" w:cs="Times New Roman"/>
          <w:bCs/>
          <w:iCs/>
          <w:color w:val="000000" w:themeColor="text1"/>
          <w:sz w:val="28"/>
          <w:szCs w:val="28"/>
          <w:bdr w:val="none" w:sz="0" w:space="0" w:color="auto" w:frame="1"/>
          <w:shd w:val="clear" w:color="auto" w:fill="FFFFFF"/>
          <w:lang w:val="es-ES_tradnl"/>
        </w:rPr>
        <w:t>A su vez,</w:t>
      </w:r>
      <w:r w:rsidRPr="0096658B">
        <w:rPr>
          <w:rFonts w:ascii="Times New Roman" w:hAnsi="Times New Roman" w:cs="Times New Roman"/>
          <w:bCs/>
          <w:iCs/>
          <w:color w:val="000000" w:themeColor="text1"/>
          <w:sz w:val="28"/>
          <w:szCs w:val="28"/>
          <w:bdr w:val="none" w:sz="0" w:space="0" w:color="auto" w:frame="1"/>
          <w:shd w:val="clear" w:color="auto" w:fill="FFFFFF"/>
          <w:lang w:val="es-ES_tradnl"/>
        </w:rPr>
        <w:t xml:space="preserve"> como</w:t>
      </w:r>
      <w:r w:rsidRPr="0096658B">
        <w:rPr>
          <w:rFonts w:ascii="Times New Roman" w:hAnsi="Times New Roman" w:cs="Times New Roman"/>
          <w:bCs/>
          <w:iCs/>
          <w:color w:val="000000" w:themeColor="text1"/>
          <w:sz w:val="28"/>
          <w:szCs w:val="28"/>
          <w:bdr w:val="none" w:sz="0" w:space="0" w:color="auto" w:frame="1"/>
          <w:shd w:val="clear" w:color="auto" w:fill="FFFFFF"/>
          <w:lang w:val="es-ES_tradnl"/>
        </w:rPr>
        <w:t xml:space="preserve"> se enunció</w:t>
      </w:r>
      <w:r w:rsidRPr="0096658B">
        <w:rPr>
          <w:rFonts w:ascii="Times New Roman" w:hAnsi="Times New Roman" w:cs="Times New Roman"/>
          <w:bCs/>
          <w:iCs/>
          <w:color w:val="000000" w:themeColor="text1"/>
          <w:sz w:val="28"/>
          <w:szCs w:val="28"/>
          <w:bdr w:val="none" w:sz="0" w:space="0" w:color="auto" w:frame="1"/>
          <w:shd w:val="clear" w:color="auto" w:fill="FFFFFF"/>
          <w:lang w:val="es-ES_tradnl"/>
        </w:rPr>
        <w:t xml:space="preserve"> en apartado anterior de esta sentencia,</w:t>
      </w:r>
      <w:r w:rsidRPr="0096658B">
        <w:rPr>
          <w:rFonts w:ascii="Times New Roman" w:hAnsi="Times New Roman" w:cs="Times New Roman"/>
          <w:bCs/>
          <w:iCs/>
          <w:color w:val="000000" w:themeColor="text1"/>
          <w:sz w:val="28"/>
          <w:szCs w:val="28"/>
          <w:bdr w:val="none" w:sz="0" w:space="0" w:color="auto" w:frame="1"/>
          <w:shd w:val="clear" w:color="auto" w:fill="FFFFFF"/>
          <w:lang w:val="es-ES_tradnl"/>
        </w:rPr>
        <w:t xml:space="preserve"> este principio está previsto por instrumentos internacionales que forman parte del bloque de constitucionalidad. </w:t>
      </w:r>
    </w:p>
    <w:p w:rsidR="00B53BBE" w:rsidRPr="0096658B" w:rsidRDefault="0096658B" w:rsidP="00B53BBE">
      <w:pPr>
        <w:widowControl w:val="0"/>
        <w:shd w:val="clear" w:color="auto" w:fill="FFFFFF"/>
        <w:autoSpaceDE w:val="0"/>
        <w:autoSpaceDN w:val="0"/>
        <w:adjustRightInd w:val="0"/>
        <w:jc w:val="both"/>
        <w:rPr>
          <w:rFonts w:ascii="Times New Roman" w:hAnsi="Times New Roman" w:cs="Times New Roman"/>
          <w:color w:val="000000" w:themeColor="text1"/>
          <w:sz w:val="28"/>
          <w:szCs w:val="28"/>
          <w:lang w:val="es-ES_tradnl"/>
        </w:rPr>
      </w:pPr>
    </w:p>
    <w:p w:rsidR="00B53BBE" w:rsidRPr="0096658B" w:rsidRDefault="0096658B" w:rsidP="00B53BBE">
      <w:pPr>
        <w:widowControl w:val="0"/>
        <w:numPr>
          <w:ilvl w:val="0"/>
          <w:numId w:val="5"/>
        </w:numPr>
        <w:shd w:val="clear" w:color="auto" w:fill="FFFFFF"/>
        <w:autoSpaceDE w:val="0"/>
        <w:autoSpaceDN w:val="0"/>
        <w:adjustRightInd w:val="0"/>
        <w:ind w:left="0" w:firstLine="0"/>
        <w:jc w:val="both"/>
        <w:rPr>
          <w:rFonts w:ascii="Times New Roman" w:hAnsi="Times New Roman" w:cs="Times New Roman"/>
          <w:color w:val="000000" w:themeColor="text1"/>
          <w:sz w:val="28"/>
          <w:szCs w:val="28"/>
          <w:lang w:val="es-ES_tradnl"/>
        </w:rPr>
      </w:pPr>
      <w:r w:rsidRPr="0096658B">
        <w:rPr>
          <w:rFonts w:ascii="Times New Roman" w:hAnsi="Times New Roman" w:cs="Times New Roman"/>
          <w:i/>
          <w:iCs/>
          <w:color w:val="000000" w:themeColor="text1"/>
          <w:sz w:val="28"/>
          <w:szCs w:val="28"/>
          <w:lang w:val="es-ES_tradnl"/>
        </w:rPr>
        <w:t>Obligación del Estado de adoptar medidas afirmativas a favor de las mujeres.</w:t>
      </w:r>
      <w:r w:rsidRPr="0096658B">
        <w:rPr>
          <w:rFonts w:ascii="Times New Roman" w:hAnsi="Times New Roman" w:cs="Times New Roman"/>
          <w:color w:val="000000" w:themeColor="text1"/>
          <w:sz w:val="28"/>
          <w:szCs w:val="28"/>
          <w:lang w:val="es-ES_tradnl"/>
        </w:rPr>
        <w:t xml:space="preserve"> La Constitución Polític</w:t>
      </w:r>
      <w:r w:rsidRPr="0096658B">
        <w:rPr>
          <w:rFonts w:ascii="Times New Roman" w:hAnsi="Times New Roman" w:cs="Times New Roman"/>
          <w:color w:val="000000" w:themeColor="text1"/>
          <w:sz w:val="28"/>
          <w:szCs w:val="28"/>
          <w:lang w:val="es-ES_tradnl"/>
        </w:rPr>
        <w:t>a y las normas de derecho internacional que integran el bloque de constitucionalidad imponen al Estado la obligación de garantizar la igualdad de derechos y oportunidades entre hombres y mujeres. De conformidad con los incisos 1º y 2º del artículo 13 de la</w:t>
      </w:r>
      <w:r w:rsidRPr="0096658B">
        <w:rPr>
          <w:rFonts w:ascii="Times New Roman" w:hAnsi="Times New Roman" w:cs="Times New Roman"/>
          <w:color w:val="000000" w:themeColor="text1"/>
          <w:sz w:val="28"/>
          <w:szCs w:val="28"/>
          <w:lang w:val="es-ES_tradnl"/>
        </w:rPr>
        <w:t xml:space="preserve"> Constitución, así como el artículo 4.1 de la CEDAW, el Estado debe adoptar medidas afirmativas para reducir o eliminar los escenarios de discriminación que afecten el ejercicio de los derechos y las libertades fundamentales de las mujeres</w:t>
      </w:r>
      <w:r w:rsidRPr="0096658B">
        <w:rPr>
          <w:rStyle w:val="Refdenotaalpie"/>
          <w:rFonts w:ascii="Times New Roman" w:hAnsi="Times New Roman"/>
          <w:color w:val="000000" w:themeColor="text1"/>
          <w:sz w:val="28"/>
          <w:szCs w:val="28"/>
          <w:lang w:val="es-ES_tradnl"/>
        </w:rPr>
        <w:footnoteReference w:id="184"/>
      </w:r>
      <w:r w:rsidRPr="0096658B">
        <w:rPr>
          <w:rFonts w:ascii="Times New Roman" w:hAnsi="Times New Roman" w:cs="Times New Roman"/>
          <w:color w:val="000000" w:themeColor="text1"/>
          <w:sz w:val="28"/>
          <w:szCs w:val="28"/>
          <w:lang w:val="es-ES_tradnl"/>
        </w:rPr>
        <w:t>. Para la Corte,</w:t>
      </w:r>
      <w:r w:rsidRPr="0096658B">
        <w:rPr>
          <w:rFonts w:ascii="Times New Roman" w:hAnsi="Times New Roman" w:cs="Times New Roman"/>
          <w:color w:val="000000" w:themeColor="text1"/>
          <w:sz w:val="28"/>
          <w:szCs w:val="28"/>
          <w:lang w:val="es-ES_tradnl"/>
        </w:rPr>
        <w:t xml:space="preserve"> “el principio de igualdad entre hombres y mujeres no exige a las autoridades públicas adoptar una posición de neutralidad frente al género”</w:t>
      </w:r>
      <w:r w:rsidRPr="0096658B">
        <w:rPr>
          <w:rStyle w:val="Refdenotaalpie"/>
          <w:rFonts w:ascii="Times New Roman" w:hAnsi="Times New Roman"/>
          <w:color w:val="000000" w:themeColor="text1"/>
          <w:sz w:val="28"/>
          <w:szCs w:val="28"/>
          <w:lang w:val="es-ES_tradnl"/>
        </w:rPr>
        <w:footnoteReference w:id="185"/>
      </w:r>
      <w:r w:rsidRPr="0096658B">
        <w:rPr>
          <w:rFonts w:ascii="Times New Roman" w:hAnsi="Times New Roman" w:cs="Times New Roman"/>
          <w:color w:val="000000" w:themeColor="text1"/>
          <w:sz w:val="28"/>
          <w:szCs w:val="28"/>
          <w:lang w:val="es-ES_tradnl"/>
        </w:rPr>
        <w:t>. Por el contrario, demanda garantizar la igualdad de oportunidades “y que disponga de un entorno que le permita co</w:t>
      </w:r>
      <w:r w:rsidRPr="0096658B">
        <w:rPr>
          <w:rFonts w:ascii="Times New Roman" w:hAnsi="Times New Roman" w:cs="Times New Roman"/>
          <w:color w:val="000000" w:themeColor="text1"/>
          <w:sz w:val="28"/>
          <w:szCs w:val="28"/>
          <w:lang w:val="es-ES_tradnl"/>
        </w:rPr>
        <w:t>nseguir la igualdad de resultados”</w:t>
      </w:r>
      <w:r w:rsidRPr="0096658B">
        <w:rPr>
          <w:rStyle w:val="Refdenotaalpie"/>
          <w:rFonts w:ascii="Times New Roman" w:hAnsi="Times New Roman"/>
          <w:color w:val="000000" w:themeColor="text1"/>
          <w:sz w:val="28"/>
          <w:szCs w:val="28"/>
          <w:lang w:val="es-ES_tradnl"/>
        </w:rPr>
        <w:footnoteReference w:id="186"/>
      </w:r>
      <w:r w:rsidRPr="0096658B">
        <w:rPr>
          <w:rFonts w:ascii="Times New Roman" w:hAnsi="Times New Roman" w:cs="Times New Roman"/>
          <w:color w:val="000000" w:themeColor="text1"/>
          <w:sz w:val="28"/>
          <w:szCs w:val="28"/>
          <w:lang w:val="es-ES_tradnl"/>
        </w:rPr>
        <w:t>. De comprobarse la existencia de barreras para el ejercicio de derechos o libertades fundamentales de la mujer, el Estado debe adoptar medidas que permitan equilibrar las desigualdades respecto de los hombres</w:t>
      </w:r>
      <w:r w:rsidRPr="0096658B">
        <w:rPr>
          <w:rStyle w:val="Refdenotaalpie"/>
          <w:rFonts w:ascii="Times New Roman" w:hAnsi="Times New Roman"/>
          <w:color w:val="000000" w:themeColor="text1"/>
          <w:sz w:val="28"/>
          <w:szCs w:val="28"/>
          <w:lang w:val="es-ES_tradnl"/>
        </w:rPr>
        <w:footnoteReference w:id="187"/>
      </w:r>
      <w:r w:rsidRPr="0096658B">
        <w:rPr>
          <w:rFonts w:ascii="Times New Roman" w:hAnsi="Times New Roman" w:cs="Times New Roman"/>
          <w:color w:val="000000" w:themeColor="text1"/>
          <w:sz w:val="28"/>
          <w:szCs w:val="28"/>
          <w:lang w:val="es-ES_tradnl"/>
        </w:rPr>
        <w:t xml:space="preserve">. Lo </w:t>
      </w:r>
      <w:r w:rsidRPr="0096658B">
        <w:rPr>
          <w:rFonts w:ascii="Times New Roman" w:hAnsi="Times New Roman" w:cs="Times New Roman"/>
          <w:color w:val="000000" w:themeColor="text1"/>
          <w:sz w:val="28"/>
          <w:szCs w:val="28"/>
          <w:lang w:val="es-ES_tradnl"/>
        </w:rPr>
        <w:t>anterior, sin caer en “medidas paternalistas que aparentan proteger a las mujeres, pero en realidad las infravaloran y ponen en circunstancias de desventaja en diferentes ámbitos de la vida […]”</w:t>
      </w:r>
      <w:r w:rsidRPr="0096658B">
        <w:rPr>
          <w:rStyle w:val="Refdenotaalpie"/>
          <w:rFonts w:ascii="Times New Roman" w:hAnsi="Times New Roman"/>
          <w:color w:val="000000" w:themeColor="text1"/>
          <w:sz w:val="28"/>
          <w:szCs w:val="28"/>
          <w:lang w:val="es-ES_tradnl"/>
        </w:rPr>
        <w:footnoteReference w:id="188"/>
      </w:r>
      <w:r w:rsidRPr="0096658B">
        <w:rPr>
          <w:rFonts w:ascii="Times New Roman" w:hAnsi="Times New Roman" w:cs="Times New Roman"/>
          <w:color w:val="000000" w:themeColor="text1"/>
          <w:sz w:val="28"/>
          <w:szCs w:val="28"/>
          <w:lang w:val="es-ES_tradnl"/>
        </w:rPr>
        <w:t>.</w:t>
      </w:r>
    </w:p>
    <w:p w:rsidR="00B53BBE" w:rsidRPr="0096658B" w:rsidRDefault="0096658B" w:rsidP="00B53BBE">
      <w:pPr>
        <w:widowControl w:val="0"/>
        <w:shd w:val="clear" w:color="auto" w:fill="FFFFFF"/>
        <w:autoSpaceDE w:val="0"/>
        <w:autoSpaceDN w:val="0"/>
        <w:adjustRightInd w:val="0"/>
        <w:jc w:val="both"/>
        <w:rPr>
          <w:rFonts w:ascii="Times New Roman" w:hAnsi="Times New Roman" w:cs="Times New Roman"/>
          <w:color w:val="000000" w:themeColor="text1"/>
          <w:sz w:val="28"/>
          <w:szCs w:val="28"/>
          <w:lang w:val="es-ES_tradnl"/>
        </w:rPr>
      </w:pPr>
    </w:p>
    <w:p w:rsidR="00B53BBE" w:rsidRPr="0096658B" w:rsidRDefault="0096658B" w:rsidP="00B53BBE">
      <w:pPr>
        <w:widowControl w:val="0"/>
        <w:numPr>
          <w:ilvl w:val="0"/>
          <w:numId w:val="5"/>
        </w:numPr>
        <w:shd w:val="clear" w:color="auto" w:fill="FFFFFF"/>
        <w:autoSpaceDE w:val="0"/>
        <w:autoSpaceDN w:val="0"/>
        <w:adjustRightInd w:val="0"/>
        <w:ind w:left="0" w:firstLine="0"/>
        <w:jc w:val="both"/>
        <w:rPr>
          <w:rFonts w:ascii="Times New Roman" w:hAnsi="Times New Roman" w:cs="Times New Roman"/>
          <w:color w:val="000000" w:themeColor="text1"/>
          <w:sz w:val="28"/>
          <w:szCs w:val="28"/>
          <w:shd w:val="clear" w:color="auto" w:fill="FFFFFF"/>
          <w:lang w:val="es-ES_tradnl"/>
        </w:rPr>
      </w:pPr>
      <w:r w:rsidRPr="0096658B">
        <w:rPr>
          <w:rFonts w:ascii="Times New Roman" w:hAnsi="Times New Roman" w:cs="Times New Roman"/>
          <w:color w:val="000000" w:themeColor="text1"/>
          <w:sz w:val="28"/>
          <w:szCs w:val="28"/>
          <w:lang w:val="es-ES_tradnl"/>
        </w:rPr>
        <w:t>Por su parte,</w:t>
      </w:r>
      <w:r w:rsidRPr="0096658B">
        <w:rPr>
          <w:rFonts w:ascii="Times New Roman" w:hAnsi="Times New Roman" w:cs="Times New Roman"/>
          <w:color w:val="000000" w:themeColor="text1"/>
          <w:sz w:val="28"/>
          <w:szCs w:val="28"/>
          <w:lang w:val="es-ES_tradnl"/>
        </w:rPr>
        <w:t xml:space="preserve"> de una manera más amplia,</w:t>
      </w:r>
      <w:r w:rsidRPr="0096658B">
        <w:rPr>
          <w:rFonts w:ascii="Times New Roman" w:hAnsi="Times New Roman" w:cs="Times New Roman"/>
          <w:color w:val="000000" w:themeColor="text1"/>
          <w:sz w:val="28"/>
          <w:szCs w:val="28"/>
          <w:lang w:val="es-ES_tradnl"/>
        </w:rPr>
        <w:t xml:space="preserve"> el artículo 5º de </w:t>
      </w:r>
      <w:r w:rsidRPr="0096658B">
        <w:rPr>
          <w:rFonts w:ascii="Times New Roman" w:hAnsi="Times New Roman" w:cs="Times New Roman"/>
          <w:color w:val="000000" w:themeColor="text1"/>
          <w:sz w:val="28"/>
          <w:szCs w:val="28"/>
          <w:lang w:val="es-ES_tradnl"/>
        </w:rPr>
        <w:t xml:space="preserve">la CEDAW prevé que los Estados parte deben adoptar las medidas que consideren apropiadas para </w:t>
      </w:r>
      <w:r w:rsidRPr="0096658B">
        <w:rPr>
          <w:rFonts w:ascii="Times New Roman" w:hAnsi="Times New Roman" w:cs="Times New Roman"/>
          <w:i/>
          <w:color w:val="000000" w:themeColor="text1"/>
          <w:sz w:val="28"/>
          <w:szCs w:val="28"/>
          <w:lang w:val="es-ES_tradnl"/>
        </w:rPr>
        <w:t>(i)</w:t>
      </w:r>
      <w:r w:rsidRPr="0096658B">
        <w:rPr>
          <w:rFonts w:ascii="Times New Roman" w:hAnsi="Times New Roman" w:cs="Times New Roman"/>
          <w:color w:val="000000" w:themeColor="text1"/>
          <w:sz w:val="28"/>
          <w:szCs w:val="28"/>
          <w:lang w:val="es-ES_tradnl"/>
        </w:rPr>
        <w:t xml:space="preserve"> “[m]odificar los patrones socioculturales de conducta de hombres y mujeres, con miras a alcanzar la eliminación de los prejuicios y las prácticas consuetudina</w:t>
      </w:r>
      <w:r w:rsidRPr="0096658B">
        <w:rPr>
          <w:rFonts w:ascii="Times New Roman" w:hAnsi="Times New Roman" w:cs="Times New Roman"/>
          <w:color w:val="000000" w:themeColor="text1"/>
          <w:sz w:val="28"/>
          <w:szCs w:val="28"/>
          <w:lang w:val="es-ES_tradnl"/>
        </w:rPr>
        <w:t xml:space="preserve">rias y de cualquier otra índole que estén basados en la idea de la inferioridad o superioridad de cualquiera de los sexos o en funciones estereotipadas de hombres y mujeres”; así como </w:t>
      </w:r>
      <w:r w:rsidRPr="0096658B">
        <w:rPr>
          <w:rFonts w:ascii="Times New Roman" w:hAnsi="Times New Roman" w:cs="Times New Roman"/>
          <w:i/>
          <w:color w:val="000000" w:themeColor="text1"/>
          <w:sz w:val="28"/>
          <w:szCs w:val="28"/>
          <w:lang w:val="es-ES_tradnl"/>
        </w:rPr>
        <w:t>(ii)</w:t>
      </w:r>
      <w:r w:rsidRPr="0096658B">
        <w:rPr>
          <w:rFonts w:ascii="Times New Roman" w:hAnsi="Times New Roman" w:cs="Times New Roman"/>
          <w:color w:val="000000" w:themeColor="text1"/>
          <w:sz w:val="28"/>
          <w:szCs w:val="28"/>
          <w:lang w:val="es-ES_tradnl"/>
        </w:rPr>
        <w:t xml:space="preserve"> “[g]arantizar </w:t>
      </w:r>
      <w:r w:rsidRPr="0096658B">
        <w:rPr>
          <w:rFonts w:ascii="Times New Roman" w:hAnsi="Times New Roman" w:cs="Times New Roman"/>
          <w:color w:val="000000" w:themeColor="text1"/>
          <w:sz w:val="28"/>
          <w:szCs w:val="28"/>
          <w:lang w:val="es-ES_tradnl"/>
        </w:rPr>
        <w:t>que la educación familiar incluya una comprensión ade</w:t>
      </w:r>
      <w:r w:rsidRPr="0096658B">
        <w:rPr>
          <w:rFonts w:ascii="Times New Roman" w:hAnsi="Times New Roman" w:cs="Times New Roman"/>
          <w:color w:val="000000" w:themeColor="text1"/>
          <w:sz w:val="28"/>
          <w:szCs w:val="28"/>
          <w:lang w:val="es-ES_tradnl"/>
        </w:rPr>
        <w:t>cuada de la maternidad como función social y el reconocimiento de la responsabilidad común de hombres y mujeres en cuanto a la educación y al desarrollo de sus hijos, en la inteligencia de que el interés de los hijos constituirá la consideración primordial</w:t>
      </w:r>
      <w:r w:rsidRPr="0096658B">
        <w:rPr>
          <w:rFonts w:ascii="Times New Roman" w:hAnsi="Times New Roman" w:cs="Times New Roman"/>
          <w:color w:val="000000" w:themeColor="text1"/>
          <w:sz w:val="28"/>
          <w:szCs w:val="28"/>
          <w:lang w:val="es-ES_tradnl"/>
        </w:rPr>
        <w:t xml:space="preserve"> en todos los casos”. En línea con estas obligaciones, e</w:t>
      </w:r>
      <w:r w:rsidRPr="0096658B">
        <w:rPr>
          <w:rFonts w:ascii="Times New Roman" w:hAnsi="Times New Roman" w:cs="Times New Roman"/>
          <w:color w:val="000000" w:themeColor="text1"/>
          <w:sz w:val="28"/>
          <w:szCs w:val="28"/>
          <w:lang w:val="es-ES_tradnl"/>
        </w:rPr>
        <w:t>l Comité de la CEDAW ha precisado que “</w:t>
      </w:r>
      <w:r w:rsidRPr="0096658B">
        <w:rPr>
          <w:rFonts w:ascii="Times New Roman" w:hAnsi="Times New Roman" w:cs="Times New Roman"/>
          <w:color w:val="000000" w:themeColor="text1"/>
          <w:sz w:val="28"/>
          <w:szCs w:val="28"/>
          <w:shd w:val="clear" w:color="auto" w:fill="FFFFFF"/>
          <w:lang w:val="es-ES_tradnl"/>
        </w:rPr>
        <w:t>[n]o es suficiente garantizar a la mujer un trato idéntico al del hombre”</w:t>
      </w:r>
      <w:r w:rsidRPr="0096658B">
        <w:rPr>
          <w:rStyle w:val="Refdenotaalpie"/>
          <w:rFonts w:ascii="Times New Roman" w:hAnsi="Times New Roman"/>
          <w:color w:val="000000" w:themeColor="text1"/>
          <w:sz w:val="28"/>
          <w:szCs w:val="28"/>
          <w:shd w:val="clear" w:color="auto" w:fill="FFFFFF"/>
          <w:lang w:val="es-ES_tradnl"/>
        </w:rPr>
        <w:footnoteReference w:id="189"/>
      </w:r>
      <w:r w:rsidRPr="0096658B">
        <w:rPr>
          <w:rFonts w:ascii="Times New Roman" w:hAnsi="Times New Roman" w:cs="Times New Roman"/>
          <w:color w:val="000000" w:themeColor="text1"/>
          <w:sz w:val="28"/>
          <w:szCs w:val="28"/>
          <w:shd w:val="clear" w:color="auto" w:fill="FFFFFF"/>
          <w:lang w:val="es-ES_tradnl"/>
        </w:rPr>
        <w:t>. A su juicio, deberán existir tratamientos diferenciales en determinadas circunstancia</w:t>
      </w:r>
      <w:r w:rsidRPr="0096658B">
        <w:rPr>
          <w:rFonts w:ascii="Times New Roman" w:hAnsi="Times New Roman" w:cs="Times New Roman"/>
          <w:color w:val="000000" w:themeColor="text1"/>
          <w:sz w:val="28"/>
          <w:szCs w:val="28"/>
          <w:shd w:val="clear" w:color="auto" w:fill="FFFFFF"/>
          <w:lang w:val="es-ES_tradnl"/>
        </w:rPr>
        <w:t>s, “para equilibrar” las diferencias entre hombres y mujeres</w:t>
      </w:r>
      <w:r w:rsidRPr="0096658B">
        <w:rPr>
          <w:rStyle w:val="Refdenotaalpie"/>
          <w:rFonts w:ascii="Times New Roman" w:hAnsi="Times New Roman"/>
          <w:color w:val="000000" w:themeColor="text1"/>
          <w:sz w:val="28"/>
          <w:szCs w:val="28"/>
          <w:shd w:val="clear" w:color="auto" w:fill="FFFFFF"/>
          <w:lang w:val="es-ES_tradnl"/>
        </w:rPr>
        <w:footnoteReference w:id="190"/>
      </w:r>
      <w:r w:rsidRPr="0096658B">
        <w:rPr>
          <w:rFonts w:ascii="Times New Roman" w:hAnsi="Times New Roman" w:cs="Times New Roman"/>
          <w:color w:val="000000" w:themeColor="text1"/>
          <w:sz w:val="28"/>
          <w:szCs w:val="28"/>
          <w:shd w:val="clear" w:color="auto" w:fill="FFFFFF"/>
          <w:lang w:val="es-ES_tradnl"/>
        </w:rPr>
        <w:t>. La “igualdad sustantiva también exige una estrategia eficaz encaminada a corregir la representación insuficiente de la mujer y una redistribución de los recursos y el poder entre el hombre y la</w:t>
      </w:r>
      <w:r w:rsidRPr="0096658B">
        <w:rPr>
          <w:rFonts w:ascii="Times New Roman" w:hAnsi="Times New Roman" w:cs="Times New Roman"/>
          <w:color w:val="000000" w:themeColor="text1"/>
          <w:sz w:val="28"/>
          <w:szCs w:val="28"/>
          <w:shd w:val="clear" w:color="auto" w:fill="FFFFFF"/>
          <w:lang w:val="es-ES_tradnl"/>
        </w:rPr>
        <w:t xml:space="preserve"> mujer”</w:t>
      </w:r>
      <w:r w:rsidRPr="0096658B">
        <w:rPr>
          <w:rStyle w:val="Refdenotaalpie"/>
          <w:rFonts w:ascii="Times New Roman" w:hAnsi="Times New Roman"/>
          <w:color w:val="000000" w:themeColor="text1"/>
          <w:sz w:val="28"/>
          <w:szCs w:val="28"/>
          <w:shd w:val="clear" w:color="auto" w:fill="FFFFFF"/>
          <w:lang w:val="es-ES_tradnl"/>
        </w:rPr>
        <w:footnoteReference w:id="191"/>
      </w:r>
      <w:r w:rsidRPr="0096658B">
        <w:rPr>
          <w:rFonts w:ascii="Times New Roman" w:hAnsi="Times New Roman" w:cs="Times New Roman"/>
          <w:color w:val="000000" w:themeColor="text1"/>
          <w:sz w:val="28"/>
          <w:szCs w:val="28"/>
          <w:shd w:val="clear" w:color="auto" w:fill="FFFFFF"/>
          <w:lang w:val="es-ES_tradnl"/>
        </w:rPr>
        <w:t>.</w:t>
      </w:r>
    </w:p>
    <w:p w:rsidR="00B53BBE" w:rsidRPr="0096658B" w:rsidRDefault="0096658B" w:rsidP="00B53BBE">
      <w:pPr>
        <w:rPr>
          <w:rFonts w:ascii="Times New Roman" w:hAnsi="Times New Roman" w:cs="Times New Roman"/>
          <w:color w:val="000000" w:themeColor="text1"/>
          <w:sz w:val="28"/>
          <w:lang w:val="es-ES_tradnl"/>
        </w:rPr>
      </w:pPr>
    </w:p>
    <w:p w:rsidR="00B53BBE" w:rsidRPr="0096658B" w:rsidRDefault="0096658B" w:rsidP="00B53BBE">
      <w:pPr>
        <w:pStyle w:val="Prrafodelista"/>
        <w:numPr>
          <w:ilvl w:val="0"/>
          <w:numId w:val="5"/>
        </w:numPr>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iCs/>
          <w:color w:val="000000" w:themeColor="text1"/>
          <w:lang w:val="es-ES_tradnl"/>
        </w:rPr>
        <w:t xml:space="preserve">Medidas afirmativas para promover el acceso a cargos públicos de la mujer. </w:t>
      </w:r>
      <w:r w:rsidRPr="0096658B">
        <w:rPr>
          <w:rFonts w:ascii="Times New Roman" w:hAnsi="Times New Roman" w:cs="Times New Roman"/>
          <w:color w:val="000000" w:themeColor="text1"/>
          <w:lang w:val="es-ES_tradnl"/>
        </w:rPr>
        <w:t xml:space="preserve">El Congreso de la República ha adoptado medidas afirmativas a favor de las mujeres en distintos ámbitos y, en particular, en el acceso a las ramas y órganos del poder </w:t>
      </w:r>
      <w:r w:rsidRPr="0096658B">
        <w:rPr>
          <w:rFonts w:ascii="Times New Roman" w:hAnsi="Times New Roman" w:cs="Times New Roman"/>
          <w:color w:val="000000" w:themeColor="text1"/>
          <w:lang w:val="es-ES_tradnl"/>
        </w:rPr>
        <w:t>público. Por su relevancia para el caso concreto, la Sala resalta las sentencias C-371 de 2000 y C-490 de 2011:</w:t>
      </w:r>
    </w:p>
    <w:p w:rsidR="00B53BBE" w:rsidRPr="0096658B" w:rsidRDefault="0096658B" w:rsidP="00B53BBE">
      <w:pPr>
        <w:pStyle w:val="Prrafodelista"/>
        <w:ind w:left="0"/>
        <w:jc w:val="both"/>
        <w:rPr>
          <w:rFonts w:ascii="Times New Roman" w:hAnsi="Times New Roman" w:cs="Times New Roman"/>
          <w:color w:val="000000" w:themeColor="text1"/>
          <w:lang w:val="es-ES_tradnl"/>
        </w:rPr>
      </w:pPr>
    </w:p>
    <w:p w:rsidR="00B53BBE" w:rsidRPr="0096658B" w:rsidRDefault="0096658B" w:rsidP="00B53BBE">
      <w:pPr>
        <w:pStyle w:val="Prrafodelista"/>
        <w:numPr>
          <w:ilvl w:val="0"/>
          <w:numId w:val="5"/>
        </w:numPr>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iCs/>
          <w:color w:val="000000" w:themeColor="text1"/>
          <w:lang w:val="es-ES_tradnl"/>
        </w:rPr>
        <w:t>Sentencia C-371 de 2000.</w:t>
      </w:r>
      <w:r w:rsidRPr="0096658B">
        <w:rPr>
          <w:rFonts w:ascii="Times New Roman" w:hAnsi="Times New Roman" w:cs="Times New Roman"/>
          <w:color w:val="000000" w:themeColor="text1"/>
          <w:lang w:val="es-ES_tradnl"/>
        </w:rPr>
        <w:t xml:space="preserve"> La Corte examinó la constitucionalidad del proyecto de ley estatutaria, “por la cual se reglamenta la adecuada y efect</w:t>
      </w:r>
      <w:r w:rsidRPr="0096658B">
        <w:rPr>
          <w:rFonts w:ascii="Times New Roman" w:hAnsi="Times New Roman" w:cs="Times New Roman"/>
          <w:color w:val="000000" w:themeColor="text1"/>
          <w:lang w:val="es-ES_tradnl"/>
        </w:rPr>
        <w:t>iva participación de la mujer en los niveles decisorios de las diferentes ramas y órganos del poder público, de conformidad con los artículos 13, 40 y 43 de la Constitución Nacional y se dictan otras disposiciones”. La Corte concluyó que la cuota mínima de</w:t>
      </w:r>
      <w:r w:rsidRPr="0096658B">
        <w:rPr>
          <w:rFonts w:ascii="Times New Roman" w:hAnsi="Times New Roman" w:cs="Times New Roman"/>
          <w:color w:val="000000" w:themeColor="text1"/>
          <w:lang w:val="es-ES_tradnl"/>
        </w:rPr>
        <w:t>l 30% para garantizar la participación de las mujeres en los cargos de máximo nivel decisorio y de otros niveles decisorios era razonable y proporcionada. Esto, con fundamento en los argumentos que se sintetizan a continuación:</w:t>
      </w:r>
    </w:p>
    <w:p w:rsidR="00B53BBE" w:rsidRPr="0096658B" w:rsidRDefault="0096658B" w:rsidP="00B53BBE">
      <w:pPr>
        <w:rPr>
          <w:rFonts w:ascii="Times New Roman" w:hAnsi="Times New Roman" w:cs="Times New Roman"/>
          <w:color w:val="000000" w:themeColor="text1"/>
          <w:sz w:val="28"/>
          <w:lang w:val="es-ES_tradnl"/>
        </w:rPr>
      </w:pPr>
    </w:p>
    <w:tbl>
      <w:tblPr>
        <w:tblStyle w:val="Tablaconcuadrcula"/>
        <w:tblW w:w="0" w:type="auto"/>
        <w:tblLook w:val="04A0" w:firstRow="1" w:lastRow="0" w:firstColumn="1" w:lastColumn="0" w:noHBand="0" w:noVBand="1"/>
      </w:tblPr>
      <w:tblGrid>
        <w:gridCol w:w="8828"/>
      </w:tblGrid>
      <w:tr w:rsidR="009F6B08" w:rsidRPr="0096658B" w:rsidTr="00890A63">
        <w:tc>
          <w:tcPr>
            <w:tcW w:w="8828" w:type="dxa"/>
            <w:shd w:val="clear" w:color="auto" w:fill="BFBFBF" w:themeFill="background1" w:themeFillShade="BF"/>
          </w:tcPr>
          <w:p w:rsidR="00B53BBE" w:rsidRPr="0096658B" w:rsidRDefault="0096658B" w:rsidP="00890A63">
            <w:pPr>
              <w:jc w:val="center"/>
              <w:rPr>
                <w:rFonts w:ascii="Times New Roman" w:hAnsi="Times New Roman" w:cs="Times New Roman"/>
                <w:b/>
                <w:bCs/>
                <w:color w:val="000000" w:themeColor="text1"/>
                <w:sz w:val="28"/>
                <w:szCs w:val="20"/>
                <w:lang w:val="es-ES_tradnl"/>
              </w:rPr>
            </w:pPr>
            <w:r w:rsidRPr="0096658B">
              <w:rPr>
                <w:rFonts w:ascii="Times New Roman" w:hAnsi="Times New Roman" w:cs="Times New Roman"/>
                <w:b/>
                <w:bCs/>
                <w:color w:val="000000" w:themeColor="text1"/>
                <w:sz w:val="28"/>
                <w:szCs w:val="20"/>
                <w:lang w:val="es-ES_tradnl"/>
              </w:rPr>
              <w:t>Razonabilidad y proporciona</w:t>
            </w:r>
            <w:r w:rsidRPr="0096658B">
              <w:rPr>
                <w:rFonts w:ascii="Times New Roman" w:hAnsi="Times New Roman" w:cs="Times New Roman"/>
                <w:b/>
                <w:bCs/>
                <w:color w:val="000000" w:themeColor="text1"/>
                <w:sz w:val="28"/>
                <w:szCs w:val="20"/>
                <w:lang w:val="es-ES_tradnl"/>
              </w:rPr>
              <w:t>lidad de la medida</w:t>
            </w:r>
          </w:p>
        </w:tc>
      </w:tr>
      <w:tr w:rsidR="00B53BBE" w:rsidRPr="0096658B" w:rsidTr="00890A63">
        <w:tc>
          <w:tcPr>
            <w:tcW w:w="8828" w:type="dxa"/>
          </w:tcPr>
          <w:p w:rsidR="00B53BBE" w:rsidRPr="0096658B" w:rsidRDefault="0096658B" w:rsidP="00B53BBE">
            <w:pPr>
              <w:pStyle w:val="Prrafodelista"/>
              <w:numPr>
                <w:ilvl w:val="0"/>
                <w:numId w:val="6"/>
              </w:numPr>
              <w:ind w:left="319" w:hanging="284"/>
              <w:jc w:val="both"/>
              <w:rPr>
                <w:rFonts w:ascii="Times New Roman" w:hAnsi="Times New Roman" w:cs="Times New Roman"/>
                <w:color w:val="000000" w:themeColor="text1"/>
                <w:szCs w:val="20"/>
                <w:lang w:val="es-ES_tradnl"/>
              </w:rPr>
            </w:pPr>
            <w:r w:rsidRPr="0096658B">
              <w:rPr>
                <w:rFonts w:ascii="Times New Roman" w:hAnsi="Times New Roman" w:cs="Times New Roman"/>
                <w:i/>
                <w:iCs/>
                <w:color w:val="000000" w:themeColor="text1"/>
                <w:szCs w:val="20"/>
                <w:lang w:val="es-ES_tradnl"/>
              </w:rPr>
              <w:t>Finalidad de la medida.</w:t>
            </w:r>
            <w:r w:rsidRPr="0096658B">
              <w:rPr>
                <w:rFonts w:ascii="Times New Roman" w:hAnsi="Times New Roman" w:cs="Times New Roman"/>
                <w:color w:val="000000" w:themeColor="text1"/>
                <w:szCs w:val="20"/>
                <w:lang w:val="es-ES_tradnl"/>
              </w:rPr>
              <w:t xml:space="preserve"> La cuota buscaba </w:t>
            </w:r>
            <w:r w:rsidRPr="0096658B">
              <w:rPr>
                <w:rFonts w:ascii="Times New Roman" w:hAnsi="Times New Roman" w:cs="Times New Roman"/>
                <w:i/>
                <w:iCs/>
                <w:color w:val="000000" w:themeColor="text1"/>
                <w:szCs w:val="20"/>
                <w:lang w:val="es-ES_tradnl"/>
              </w:rPr>
              <w:t>(i)</w:t>
            </w:r>
            <w:r w:rsidRPr="0096658B">
              <w:rPr>
                <w:rFonts w:ascii="Times New Roman" w:hAnsi="Times New Roman" w:cs="Times New Roman"/>
                <w:color w:val="000000" w:themeColor="text1"/>
                <w:szCs w:val="20"/>
                <w:lang w:val="es-ES_tradnl"/>
              </w:rPr>
              <w:t xml:space="preserve"> “aumentar, en un tiempo corto, la participación de la mujer en los cargos directivos y de decisión del Estado, de manera que poco a poco” llegara “a una representación equitativa”, y </w:t>
            </w:r>
            <w:r w:rsidRPr="0096658B">
              <w:rPr>
                <w:rFonts w:ascii="Times New Roman" w:hAnsi="Times New Roman" w:cs="Times New Roman"/>
                <w:i/>
                <w:iCs/>
                <w:color w:val="000000" w:themeColor="text1"/>
                <w:szCs w:val="20"/>
                <w:lang w:val="es-ES_tradnl"/>
              </w:rPr>
              <w:t>(ii)</w:t>
            </w:r>
            <w:r w:rsidRPr="0096658B">
              <w:rPr>
                <w:rFonts w:ascii="Times New Roman" w:hAnsi="Times New Roman" w:cs="Times New Roman"/>
                <w:color w:val="000000" w:themeColor="text1"/>
                <w:szCs w:val="20"/>
                <w:lang w:val="es-ES_tradnl"/>
              </w:rPr>
              <w:t xml:space="preserve"> “corregir el sistema mismo de selección, que contin[uaba] parcializado en detrimento de la población femenina”.</w:t>
            </w:r>
          </w:p>
          <w:p w:rsidR="00B53BBE" w:rsidRPr="0096658B" w:rsidRDefault="0096658B" w:rsidP="00B53BBE">
            <w:pPr>
              <w:pStyle w:val="Prrafodelista"/>
              <w:numPr>
                <w:ilvl w:val="0"/>
                <w:numId w:val="6"/>
              </w:numPr>
              <w:ind w:left="319" w:hanging="284"/>
              <w:jc w:val="both"/>
              <w:rPr>
                <w:rFonts w:ascii="Times New Roman" w:hAnsi="Times New Roman" w:cs="Times New Roman"/>
                <w:color w:val="000000" w:themeColor="text1"/>
                <w:szCs w:val="20"/>
                <w:lang w:val="es-ES_tradnl"/>
              </w:rPr>
            </w:pPr>
            <w:r w:rsidRPr="0096658B">
              <w:rPr>
                <w:rFonts w:ascii="Times New Roman" w:hAnsi="Times New Roman" w:cs="Times New Roman"/>
                <w:i/>
                <w:iCs/>
                <w:color w:val="000000" w:themeColor="text1"/>
                <w:szCs w:val="20"/>
                <w:lang w:val="es-ES_tradnl"/>
              </w:rPr>
              <w:t>Constitucionalidad de la finalidad</w:t>
            </w:r>
            <w:r w:rsidRPr="0096658B">
              <w:rPr>
                <w:rFonts w:ascii="Times New Roman" w:hAnsi="Times New Roman" w:cs="Times New Roman"/>
                <w:color w:val="000000" w:themeColor="text1"/>
                <w:szCs w:val="20"/>
                <w:lang w:val="es-ES_tradnl"/>
              </w:rPr>
              <w:t>. Esta tenía sustento en los artículos 1, 2, 13, 40 y 43 de la Constitución.</w:t>
            </w:r>
          </w:p>
          <w:p w:rsidR="00B53BBE" w:rsidRPr="0096658B" w:rsidRDefault="0096658B" w:rsidP="00B53BBE">
            <w:pPr>
              <w:pStyle w:val="Prrafodelista"/>
              <w:numPr>
                <w:ilvl w:val="0"/>
                <w:numId w:val="6"/>
              </w:numPr>
              <w:ind w:left="319" w:hanging="284"/>
              <w:jc w:val="both"/>
              <w:rPr>
                <w:rFonts w:ascii="Times New Roman" w:hAnsi="Times New Roman" w:cs="Times New Roman"/>
                <w:color w:val="000000" w:themeColor="text1"/>
                <w:szCs w:val="20"/>
                <w:lang w:val="es-ES_tradnl"/>
              </w:rPr>
            </w:pPr>
            <w:r w:rsidRPr="0096658B">
              <w:rPr>
                <w:rFonts w:ascii="Times New Roman" w:hAnsi="Times New Roman" w:cs="Times New Roman"/>
                <w:i/>
                <w:iCs/>
                <w:color w:val="000000" w:themeColor="text1"/>
                <w:szCs w:val="20"/>
                <w:lang w:val="es-ES_tradnl"/>
              </w:rPr>
              <w:t>Eficacia de la medida.</w:t>
            </w:r>
            <w:r w:rsidRPr="0096658B">
              <w:rPr>
                <w:rFonts w:ascii="Times New Roman" w:hAnsi="Times New Roman" w:cs="Times New Roman"/>
                <w:color w:val="000000" w:themeColor="text1"/>
                <w:szCs w:val="20"/>
                <w:lang w:val="es-ES_tradnl"/>
              </w:rPr>
              <w:t xml:space="preserve"> La medida era eficaz porque </w:t>
            </w:r>
            <w:r w:rsidRPr="0096658B">
              <w:rPr>
                <w:rFonts w:ascii="Times New Roman" w:hAnsi="Times New Roman" w:cs="Times New Roman"/>
                <w:i/>
                <w:iCs/>
                <w:color w:val="000000" w:themeColor="text1"/>
                <w:szCs w:val="20"/>
                <w:lang w:val="es-ES_tradnl"/>
              </w:rPr>
              <w:t xml:space="preserve">(i) </w:t>
            </w:r>
            <w:r w:rsidRPr="0096658B">
              <w:rPr>
                <w:rFonts w:ascii="Times New Roman" w:hAnsi="Times New Roman" w:cs="Times New Roman"/>
                <w:color w:val="000000" w:themeColor="text1"/>
                <w:szCs w:val="20"/>
                <w:lang w:val="es-ES_tradnl"/>
              </w:rPr>
              <w:t xml:space="preserve">aumentaba, de manera significativa, la participación de las mujeres en los empleos referidos; </w:t>
            </w:r>
            <w:r w:rsidRPr="0096658B">
              <w:rPr>
                <w:rFonts w:ascii="Times New Roman" w:hAnsi="Times New Roman" w:cs="Times New Roman"/>
                <w:i/>
                <w:iCs/>
                <w:color w:val="000000" w:themeColor="text1"/>
                <w:szCs w:val="20"/>
                <w:lang w:val="es-ES_tradnl"/>
              </w:rPr>
              <w:t xml:space="preserve">(ii) </w:t>
            </w:r>
            <w:r w:rsidRPr="0096658B">
              <w:rPr>
                <w:rFonts w:ascii="Times New Roman" w:hAnsi="Times New Roman" w:cs="Times New Roman"/>
                <w:color w:val="000000" w:themeColor="text1"/>
                <w:szCs w:val="20"/>
                <w:lang w:val="es-ES_tradnl"/>
              </w:rPr>
              <w:t xml:space="preserve">no impedía un porcentaje mayor de participación de las mujeres, en tanto regulaba un mínimo, y </w:t>
            </w:r>
            <w:r w:rsidRPr="0096658B">
              <w:rPr>
                <w:rFonts w:ascii="Times New Roman" w:hAnsi="Times New Roman" w:cs="Times New Roman"/>
                <w:i/>
                <w:iCs/>
                <w:color w:val="000000" w:themeColor="text1"/>
                <w:szCs w:val="20"/>
                <w:lang w:val="es-ES_tradnl"/>
              </w:rPr>
              <w:t>(iii)</w:t>
            </w:r>
            <w:r w:rsidRPr="0096658B">
              <w:rPr>
                <w:rFonts w:ascii="Times New Roman" w:hAnsi="Times New Roman" w:cs="Times New Roman"/>
                <w:color w:val="000000" w:themeColor="text1"/>
                <w:szCs w:val="20"/>
                <w:lang w:val="es-ES_tradnl"/>
              </w:rPr>
              <w:t xml:space="preserve"> contrarrestaba la invis</w:t>
            </w:r>
            <w:r w:rsidRPr="0096658B">
              <w:rPr>
                <w:rFonts w:ascii="Times New Roman" w:hAnsi="Times New Roman" w:cs="Times New Roman"/>
                <w:color w:val="000000" w:themeColor="text1"/>
                <w:szCs w:val="20"/>
                <w:lang w:val="es-ES_tradnl"/>
              </w:rPr>
              <w:t>ibilización de la mujer, entre otras.</w:t>
            </w:r>
          </w:p>
          <w:p w:rsidR="001318F9" w:rsidRPr="0096658B" w:rsidRDefault="0096658B" w:rsidP="00B53BBE">
            <w:pPr>
              <w:pStyle w:val="Prrafodelista"/>
              <w:numPr>
                <w:ilvl w:val="0"/>
                <w:numId w:val="6"/>
              </w:numPr>
              <w:ind w:left="319" w:hanging="284"/>
              <w:jc w:val="both"/>
              <w:rPr>
                <w:rFonts w:ascii="Times New Roman" w:hAnsi="Times New Roman" w:cs="Times New Roman"/>
                <w:color w:val="000000" w:themeColor="text1"/>
                <w:szCs w:val="20"/>
                <w:lang w:val="es-ES_tradnl"/>
              </w:rPr>
            </w:pPr>
            <w:r w:rsidRPr="0096658B">
              <w:rPr>
                <w:rFonts w:ascii="Times New Roman" w:hAnsi="Times New Roman" w:cs="Times New Roman"/>
                <w:i/>
                <w:iCs/>
                <w:color w:val="000000" w:themeColor="text1"/>
                <w:szCs w:val="20"/>
                <w:lang w:val="es-ES_tradnl"/>
              </w:rPr>
              <w:t>Necesidad de la medida</w:t>
            </w:r>
            <w:r w:rsidRPr="0096658B">
              <w:rPr>
                <w:rFonts w:ascii="Times New Roman" w:hAnsi="Times New Roman" w:cs="Times New Roman"/>
                <w:color w:val="000000" w:themeColor="text1"/>
                <w:szCs w:val="20"/>
                <w:lang w:val="es-ES_tradnl"/>
              </w:rPr>
              <w:t>. La medida era necesaria porque no existían otras tan eficaces</w:t>
            </w:r>
            <w:r w:rsidRPr="0096658B">
              <w:rPr>
                <w:rStyle w:val="Refdenotaalpie"/>
                <w:rFonts w:ascii="Times New Roman" w:hAnsi="Times New Roman"/>
                <w:color w:val="000000" w:themeColor="text1"/>
                <w:szCs w:val="20"/>
                <w:lang w:val="es-ES_tradnl"/>
              </w:rPr>
              <w:footnoteReference w:id="192"/>
            </w:r>
            <w:r w:rsidRPr="0096658B">
              <w:rPr>
                <w:rFonts w:ascii="Times New Roman" w:hAnsi="Times New Roman" w:cs="Times New Roman"/>
                <w:color w:val="000000" w:themeColor="text1"/>
                <w:szCs w:val="20"/>
                <w:lang w:val="es-ES_tradnl"/>
              </w:rPr>
              <w:t xml:space="preserve">. </w:t>
            </w:r>
          </w:p>
          <w:p w:rsidR="00B53BBE" w:rsidRPr="0096658B" w:rsidRDefault="0096658B" w:rsidP="00B53BBE">
            <w:pPr>
              <w:pStyle w:val="Prrafodelista"/>
              <w:numPr>
                <w:ilvl w:val="0"/>
                <w:numId w:val="6"/>
              </w:numPr>
              <w:ind w:left="319" w:hanging="284"/>
              <w:jc w:val="both"/>
              <w:rPr>
                <w:rFonts w:ascii="Times New Roman" w:hAnsi="Times New Roman" w:cs="Times New Roman"/>
                <w:color w:val="000000" w:themeColor="text1"/>
                <w:szCs w:val="20"/>
                <w:lang w:val="es-ES_tradnl"/>
              </w:rPr>
            </w:pPr>
            <w:r w:rsidRPr="0096658B">
              <w:rPr>
                <w:rFonts w:ascii="Times New Roman" w:hAnsi="Times New Roman" w:cs="Times New Roman"/>
                <w:i/>
                <w:iCs/>
                <w:color w:val="000000" w:themeColor="text1"/>
                <w:szCs w:val="20"/>
                <w:lang w:val="es-ES_tradnl"/>
              </w:rPr>
              <w:t>Proporcionalidad de la medida</w:t>
            </w:r>
            <w:r w:rsidRPr="0096658B">
              <w:rPr>
                <w:rFonts w:ascii="Times New Roman" w:hAnsi="Times New Roman" w:cs="Times New Roman"/>
                <w:color w:val="000000" w:themeColor="text1"/>
                <w:szCs w:val="20"/>
                <w:lang w:val="es-ES_tradnl"/>
              </w:rPr>
              <w:t xml:space="preserve">. </w:t>
            </w:r>
            <w:r w:rsidRPr="0096658B">
              <w:rPr>
                <w:rFonts w:ascii="Times New Roman" w:hAnsi="Times New Roman" w:cs="Times New Roman"/>
                <w:color w:val="000000" w:themeColor="text1"/>
                <w:szCs w:val="20"/>
                <w:lang w:val="es-ES_tradnl"/>
              </w:rPr>
              <w:t xml:space="preserve">Para la Corte el trato diferencial que generaba la cuota no sacrificaba derechos y principios que </w:t>
            </w:r>
            <w:r w:rsidRPr="0096658B">
              <w:rPr>
                <w:rFonts w:ascii="Times New Roman" w:hAnsi="Times New Roman" w:cs="Times New Roman"/>
                <w:color w:val="000000" w:themeColor="text1"/>
                <w:szCs w:val="20"/>
                <w:lang w:val="es-ES_tradnl"/>
              </w:rPr>
              <w:t xml:space="preserve">tuvieran mayor peso que los que pretendía satisfacer. En efecto, </w:t>
            </w:r>
            <w:r w:rsidRPr="0096658B">
              <w:rPr>
                <w:rFonts w:ascii="Times New Roman" w:hAnsi="Times New Roman" w:cs="Times New Roman"/>
                <w:i/>
                <w:iCs/>
                <w:color w:val="000000" w:themeColor="text1"/>
                <w:szCs w:val="20"/>
                <w:lang w:val="es-ES_tradnl"/>
              </w:rPr>
              <w:t xml:space="preserve">(i) </w:t>
            </w:r>
            <w:r w:rsidRPr="0096658B">
              <w:rPr>
                <w:rFonts w:ascii="Times New Roman" w:hAnsi="Times New Roman" w:cs="Times New Roman"/>
                <w:color w:val="000000" w:themeColor="text1"/>
                <w:szCs w:val="20"/>
                <w:lang w:val="es-ES_tradnl"/>
              </w:rPr>
              <w:t xml:space="preserve">no causaba un perjuicio injustificado a los hombres; </w:t>
            </w:r>
            <w:r w:rsidRPr="0096658B">
              <w:rPr>
                <w:rFonts w:ascii="Times New Roman" w:hAnsi="Times New Roman" w:cs="Times New Roman"/>
                <w:i/>
                <w:iCs/>
                <w:color w:val="000000" w:themeColor="text1"/>
                <w:szCs w:val="20"/>
                <w:lang w:val="es-ES_tradnl"/>
              </w:rPr>
              <w:t>(ii)</w:t>
            </w:r>
            <w:r w:rsidRPr="0096658B">
              <w:rPr>
                <w:rFonts w:ascii="Times New Roman" w:hAnsi="Times New Roman" w:cs="Times New Roman"/>
                <w:color w:val="000000" w:themeColor="text1"/>
                <w:szCs w:val="20"/>
                <w:lang w:val="es-ES_tradnl"/>
              </w:rPr>
              <w:t xml:space="preserve"> no implicaba la discriminación de las mujeres, sino que pretendía “corregir las prácticas sociales que generan las condiciones de</w:t>
            </w:r>
            <w:r w:rsidRPr="0096658B">
              <w:rPr>
                <w:rFonts w:ascii="Times New Roman" w:hAnsi="Times New Roman" w:cs="Times New Roman"/>
                <w:color w:val="000000" w:themeColor="text1"/>
                <w:szCs w:val="20"/>
                <w:lang w:val="es-ES_tradnl"/>
              </w:rPr>
              <w:t xml:space="preserve"> inequidad, y no una medida de paternalismo estatal”; </w:t>
            </w:r>
            <w:r w:rsidRPr="0096658B">
              <w:rPr>
                <w:rFonts w:ascii="Times New Roman" w:hAnsi="Times New Roman" w:cs="Times New Roman"/>
                <w:i/>
                <w:iCs/>
                <w:color w:val="000000" w:themeColor="text1"/>
                <w:szCs w:val="20"/>
                <w:lang w:val="es-ES_tradnl"/>
              </w:rPr>
              <w:t xml:space="preserve">(iii) </w:t>
            </w:r>
            <w:r w:rsidRPr="0096658B">
              <w:rPr>
                <w:rFonts w:ascii="Times New Roman" w:hAnsi="Times New Roman" w:cs="Times New Roman"/>
                <w:color w:val="000000" w:themeColor="text1"/>
                <w:szCs w:val="20"/>
                <w:lang w:val="es-ES_tradnl"/>
              </w:rPr>
              <w:t xml:space="preserve">limitaba, de manera razonable, el ámbito de la potestad de libre nombramiento y remoción; y </w:t>
            </w:r>
            <w:r w:rsidRPr="0096658B">
              <w:rPr>
                <w:rFonts w:ascii="Times New Roman" w:hAnsi="Times New Roman" w:cs="Times New Roman"/>
                <w:i/>
                <w:iCs/>
                <w:color w:val="000000" w:themeColor="text1"/>
                <w:szCs w:val="20"/>
                <w:lang w:val="es-ES_tradnl"/>
              </w:rPr>
              <w:t>(iv)</w:t>
            </w:r>
            <w:r w:rsidRPr="0096658B">
              <w:rPr>
                <w:rFonts w:ascii="Times New Roman" w:hAnsi="Times New Roman" w:cs="Times New Roman"/>
                <w:color w:val="000000" w:themeColor="text1"/>
                <w:szCs w:val="20"/>
                <w:lang w:val="es-ES_tradnl"/>
              </w:rPr>
              <w:t xml:space="preserve"> no anteponía </w:t>
            </w:r>
            <w:r w:rsidRPr="0096658B">
              <w:rPr>
                <w:rFonts w:ascii="Times New Roman" w:hAnsi="Times New Roman" w:cs="Times New Roman"/>
                <w:color w:val="000000" w:themeColor="text1"/>
                <w:szCs w:val="20"/>
                <w:lang w:val="es-ES_tradnl"/>
              </w:rPr>
              <w:t>“</w:t>
            </w:r>
            <w:r w:rsidRPr="0096658B">
              <w:rPr>
                <w:rFonts w:ascii="Times New Roman" w:hAnsi="Times New Roman" w:cs="Times New Roman"/>
                <w:color w:val="000000" w:themeColor="text1"/>
                <w:szCs w:val="20"/>
                <w:lang w:val="es-ES_tradnl"/>
              </w:rPr>
              <w:t>el sexo al buen servicio”, porque las mujeres elegidas, al igual que los hombres, deb</w:t>
            </w:r>
            <w:r w:rsidRPr="0096658B">
              <w:rPr>
                <w:rFonts w:ascii="Times New Roman" w:hAnsi="Times New Roman" w:cs="Times New Roman"/>
                <w:color w:val="000000" w:themeColor="text1"/>
                <w:szCs w:val="20"/>
                <w:lang w:val="es-ES_tradnl"/>
              </w:rPr>
              <w:t>ían satisfacer los requisitos y méritos para desempeñar los cargos.</w:t>
            </w:r>
          </w:p>
        </w:tc>
      </w:tr>
    </w:tbl>
    <w:p w:rsidR="00B53BBE" w:rsidRPr="0096658B" w:rsidRDefault="0096658B" w:rsidP="00B53BBE">
      <w:pPr>
        <w:pStyle w:val="Prrafodelista"/>
        <w:rPr>
          <w:rFonts w:ascii="Times New Roman" w:hAnsi="Times New Roman" w:cs="Times New Roman"/>
          <w:color w:val="000000" w:themeColor="text1"/>
          <w:lang w:val="es-ES_tradnl"/>
        </w:rPr>
      </w:pPr>
    </w:p>
    <w:p w:rsidR="00B53BBE" w:rsidRPr="0096658B" w:rsidRDefault="0096658B" w:rsidP="00B53BBE">
      <w:pPr>
        <w:pStyle w:val="Prrafodelista"/>
        <w:numPr>
          <w:ilvl w:val="0"/>
          <w:numId w:val="5"/>
        </w:numPr>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Habida cuenta de la naturaleza de la medida, la Corte señaló que el Legislador no debía referirse de manera expresa a su temporalidad, porque estaba implícita. Lo anterior, en tanto que,</w:t>
      </w:r>
      <w:r w:rsidRPr="0096658B">
        <w:rPr>
          <w:rFonts w:ascii="Times New Roman" w:hAnsi="Times New Roman" w:cs="Times New Roman"/>
          <w:color w:val="000000" w:themeColor="text1"/>
          <w:lang w:val="es-ES_tradnl"/>
        </w:rPr>
        <w:t xml:space="preserve"> “[u]na vez alcanzada la participación equitativa en los niveles decisorios del Estado una cuota mínima del 30% pierde su vigencia”. De hecho, el Legislador no podía anticipar cuándo se alcanzaría la equidad, “y mal haría señalando una fecha sin estar segu</w:t>
      </w:r>
      <w:r w:rsidRPr="0096658B">
        <w:rPr>
          <w:rFonts w:ascii="Times New Roman" w:hAnsi="Times New Roman" w:cs="Times New Roman"/>
          <w:color w:val="000000" w:themeColor="text1"/>
          <w:lang w:val="es-ES_tradnl"/>
        </w:rPr>
        <w:t xml:space="preserve">ro de que los propósitos por él trazados pueden cumplirse dentro de un tiempo determinado”. Pese a las consideraciones anteriores, la Corte condicionó la </w:t>
      </w:r>
      <w:r w:rsidRPr="0096658B">
        <w:rPr>
          <w:rFonts w:ascii="Times New Roman" w:hAnsi="Times New Roman" w:cs="Times New Roman"/>
          <w:color w:val="000000" w:themeColor="text1"/>
          <w:lang w:val="es-ES_tradnl"/>
        </w:rPr>
        <w:t>constitucionalidad</w:t>
      </w:r>
      <w:r w:rsidRPr="0096658B">
        <w:rPr>
          <w:rFonts w:ascii="Times New Roman" w:hAnsi="Times New Roman" w:cs="Times New Roman"/>
          <w:color w:val="000000" w:themeColor="text1"/>
          <w:lang w:val="es-ES_tradnl"/>
        </w:rPr>
        <w:t xml:space="preserve"> de la medida en dos sentidos. Primero, indicó que la regla aplicaría, de manera paulatina, respecto de los cargos vacantes. En todo caso, advirtió que esto no podía “</w:t>
      </w:r>
      <w:r w:rsidRPr="0096658B">
        <w:rPr>
          <w:rFonts w:ascii="Times New Roman" w:hAnsi="Times New Roman" w:cs="Times New Roman"/>
          <w:color w:val="000000" w:themeColor="text1"/>
        </w:rPr>
        <w:t>convertirse en pretexto para que, cuando las correspondientes vacantes se produzcan, se s</w:t>
      </w:r>
      <w:r w:rsidRPr="0096658B">
        <w:rPr>
          <w:rFonts w:ascii="Times New Roman" w:hAnsi="Times New Roman" w:cs="Times New Roman"/>
          <w:color w:val="000000" w:themeColor="text1"/>
        </w:rPr>
        <w:t>iga relegando a las mujeres en el nombramiento para los cargos que deben ser provistos</w:t>
      </w:r>
      <w:r w:rsidRPr="0096658B">
        <w:rPr>
          <w:rFonts w:ascii="Times New Roman" w:hAnsi="Times New Roman" w:cs="Times New Roman"/>
          <w:color w:val="000000" w:themeColor="text1"/>
          <w:lang w:val="es-ES_tradnl"/>
        </w:rPr>
        <w:t>”. Segundo, precisó que cuando concurrieran varias personas o entidades en la designación de los cargos, debería procurarse “que las mujeres [tuvieran] una adecuada repre</w:t>
      </w:r>
      <w:r w:rsidRPr="0096658B">
        <w:rPr>
          <w:rFonts w:ascii="Times New Roman" w:hAnsi="Times New Roman" w:cs="Times New Roman"/>
          <w:color w:val="000000" w:themeColor="text1"/>
          <w:lang w:val="es-ES_tradnl"/>
        </w:rPr>
        <w:t xml:space="preserve">sentación conforme a la regla de selección allí prevista, sin que ésta [fuera] inexorable”. Además, declaró inconstitucional la expresión “A partir del primero (1º) de septiembre de 1999”. </w:t>
      </w:r>
    </w:p>
    <w:p w:rsidR="00B53BBE" w:rsidRPr="0096658B" w:rsidRDefault="0096658B" w:rsidP="00B53BBE">
      <w:pPr>
        <w:pStyle w:val="Prrafodelista"/>
        <w:ind w:left="0"/>
        <w:jc w:val="both"/>
        <w:rPr>
          <w:rFonts w:ascii="Times New Roman" w:hAnsi="Times New Roman" w:cs="Times New Roman"/>
          <w:color w:val="000000" w:themeColor="text1"/>
          <w:lang w:val="es-ES_tradnl"/>
        </w:rPr>
      </w:pPr>
    </w:p>
    <w:p w:rsidR="00B53BBE" w:rsidRPr="0096658B" w:rsidRDefault="0096658B" w:rsidP="00B53BBE">
      <w:pPr>
        <w:pStyle w:val="Prrafodelista"/>
        <w:numPr>
          <w:ilvl w:val="0"/>
          <w:numId w:val="5"/>
        </w:numPr>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Asimismo, la Corte avaló que el Legislador excluyera de la aplica</w:t>
      </w:r>
      <w:r w:rsidRPr="0096658B">
        <w:rPr>
          <w:rFonts w:ascii="Times New Roman" w:hAnsi="Times New Roman" w:cs="Times New Roman"/>
          <w:color w:val="000000" w:themeColor="text1"/>
          <w:lang w:val="es-ES_tradnl"/>
        </w:rPr>
        <w:t>ción de la cuota mínima los cargos de carrera</w:t>
      </w:r>
      <w:r w:rsidRPr="0096658B">
        <w:rPr>
          <w:rStyle w:val="Refdenotaalpie"/>
          <w:rFonts w:ascii="Times New Roman" w:hAnsi="Times New Roman"/>
          <w:color w:val="000000" w:themeColor="text1"/>
          <w:lang w:val="es-ES_tradnl"/>
        </w:rPr>
        <w:footnoteReference w:id="193"/>
      </w:r>
      <w:r w:rsidRPr="0096658B">
        <w:rPr>
          <w:rFonts w:ascii="Times New Roman" w:hAnsi="Times New Roman" w:cs="Times New Roman"/>
          <w:color w:val="000000" w:themeColor="text1"/>
          <w:lang w:val="es-ES_tradnl"/>
        </w:rPr>
        <w:t xml:space="preserve"> y de elección popular</w:t>
      </w:r>
      <w:r w:rsidRPr="0096658B">
        <w:rPr>
          <w:rStyle w:val="Refdenotaalpie"/>
          <w:rFonts w:ascii="Times New Roman" w:hAnsi="Times New Roman"/>
          <w:color w:val="000000" w:themeColor="text1"/>
          <w:lang w:val="es-ES_tradnl"/>
        </w:rPr>
        <w:footnoteReference w:id="194"/>
      </w:r>
      <w:r w:rsidRPr="0096658B">
        <w:rPr>
          <w:rFonts w:ascii="Times New Roman" w:hAnsi="Times New Roman" w:cs="Times New Roman"/>
          <w:color w:val="000000" w:themeColor="text1"/>
          <w:lang w:val="es-ES_tradnl"/>
        </w:rPr>
        <w:t>. En cuanto a los funcionarios nombrados por el sistema de listas o ternas, indicó, de un lado, que</w:t>
      </w:r>
      <w:r w:rsidRPr="0096658B">
        <w:rPr>
          <w:rFonts w:ascii="Times New Roman" w:hAnsi="Times New Roman" w:cs="Times New Roman"/>
          <w:i/>
          <w:iCs/>
          <w:color w:val="000000" w:themeColor="text1"/>
          <w:lang w:val="es-ES_tradnl"/>
        </w:rPr>
        <w:t xml:space="preserve"> </w:t>
      </w:r>
      <w:r w:rsidRPr="0096658B">
        <w:rPr>
          <w:rFonts w:ascii="Times New Roman" w:hAnsi="Times New Roman" w:cs="Times New Roman"/>
          <w:color w:val="000000" w:themeColor="text1"/>
          <w:lang w:val="es-ES_tradnl"/>
        </w:rPr>
        <w:t>la exigencia de incluir mujeres en estas era razonable y proporcionada. Sin embargo, re</w:t>
      </w:r>
      <w:r w:rsidRPr="0096658B">
        <w:rPr>
          <w:rFonts w:ascii="Times New Roman" w:hAnsi="Times New Roman" w:cs="Times New Roman"/>
          <w:color w:val="000000" w:themeColor="text1"/>
          <w:lang w:val="es-ES_tradnl"/>
        </w:rPr>
        <w:t>specto de las ternas, precisó que no podía “entenderse que el cumplimiento del requisito e[ra] inexorable, cuando en la conformación de aquéllas concurr[ieran] distintas personas o entidades”. De otro lado, concluyó que la obligación de elegir a mujeres ha</w:t>
      </w:r>
      <w:r w:rsidRPr="0096658B">
        <w:rPr>
          <w:rFonts w:ascii="Times New Roman" w:hAnsi="Times New Roman" w:cs="Times New Roman"/>
          <w:color w:val="000000" w:themeColor="text1"/>
          <w:lang w:val="es-ES_tradnl"/>
        </w:rPr>
        <w:t>sta lograr el porcentaje mínimo de representación del 30% no era necesaria ni proporcionada</w:t>
      </w:r>
      <w:r w:rsidRPr="0096658B">
        <w:rPr>
          <w:rStyle w:val="Refdenotaalpie"/>
          <w:rFonts w:ascii="Times New Roman" w:hAnsi="Times New Roman"/>
          <w:color w:val="000000" w:themeColor="text1"/>
          <w:lang w:val="es-ES_tradnl"/>
        </w:rPr>
        <w:footnoteReference w:id="195"/>
      </w:r>
      <w:r w:rsidRPr="0096658B">
        <w:rPr>
          <w:rFonts w:ascii="Times New Roman" w:hAnsi="Times New Roman" w:cs="Times New Roman"/>
          <w:color w:val="000000" w:themeColor="text1"/>
          <w:lang w:val="es-ES_tradnl"/>
        </w:rPr>
        <w:t xml:space="preserve">. Esto, porque </w:t>
      </w:r>
      <w:r w:rsidRPr="0096658B">
        <w:rPr>
          <w:rFonts w:ascii="Times New Roman" w:hAnsi="Times New Roman" w:cs="Times New Roman"/>
          <w:i/>
          <w:color w:val="000000" w:themeColor="text1"/>
          <w:lang w:val="es-ES_tradnl"/>
        </w:rPr>
        <w:t>(i)</w:t>
      </w:r>
      <w:r w:rsidRPr="0096658B">
        <w:rPr>
          <w:rFonts w:ascii="Times New Roman" w:hAnsi="Times New Roman" w:cs="Times New Roman"/>
          <w:i/>
          <w:iCs/>
          <w:color w:val="000000" w:themeColor="text1"/>
          <w:lang w:val="es-ES_tradnl"/>
        </w:rPr>
        <w:t xml:space="preserve"> </w:t>
      </w:r>
      <w:r w:rsidRPr="0096658B">
        <w:rPr>
          <w:rFonts w:ascii="Times New Roman" w:hAnsi="Times New Roman" w:cs="Times New Roman"/>
          <w:color w:val="000000" w:themeColor="text1"/>
          <w:lang w:val="es-ES_tradnl"/>
        </w:rPr>
        <w:t xml:space="preserve">implicaba una carga excesiva para algunos candidatos, por el simple hecho de ser hombres, y </w:t>
      </w:r>
      <w:r w:rsidRPr="0096658B">
        <w:rPr>
          <w:rFonts w:ascii="Times New Roman" w:hAnsi="Times New Roman" w:cs="Times New Roman"/>
          <w:i/>
          <w:color w:val="000000" w:themeColor="text1"/>
          <w:lang w:val="es-ES_tradnl"/>
        </w:rPr>
        <w:t>(ii)</w:t>
      </w:r>
      <w:r w:rsidRPr="0096658B">
        <w:rPr>
          <w:rFonts w:ascii="Times New Roman" w:hAnsi="Times New Roman" w:cs="Times New Roman"/>
          <w:color w:val="000000" w:themeColor="text1"/>
          <w:lang w:val="es-ES_tradnl"/>
        </w:rPr>
        <w:t xml:space="preserve"> restringía “de manera desproporcionada la facult</w:t>
      </w:r>
      <w:r w:rsidRPr="0096658B">
        <w:rPr>
          <w:rFonts w:ascii="Times New Roman" w:hAnsi="Times New Roman" w:cs="Times New Roman"/>
          <w:color w:val="000000" w:themeColor="text1"/>
          <w:lang w:val="es-ES_tradnl"/>
        </w:rPr>
        <w:t xml:space="preserve">ad de libre nombramiento y remoción”. En esa medida, declaró inconstitucional la expresión analizada, pero exhortó “a las autoridades nominadoras para que garanticen una participación de la mujer en condiciones equitativas”. </w:t>
      </w:r>
    </w:p>
    <w:p w:rsidR="00B53BBE" w:rsidRPr="0096658B" w:rsidRDefault="0096658B" w:rsidP="00B53BBE">
      <w:pPr>
        <w:pStyle w:val="Prrafodelista"/>
        <w:rPr>
          <w:rFonts w:ascii="Times New Roman" w:hAnsi="Times New Roman" w:cs="Times New Roman"/>
          <w:color w:val="000000" w:themeColor="text1"/>
          <w:lang w:val="es-ES_tradnl"/>
        </w:rPr>
      </w:pPr>
    </w:p>
    <w:p w:rsidR="00B53BBE" w:rsidRPr="0096658B" w:rsidRDefault="0096658B" w:rsidP="00B53BBE">
      <w:pPr>
        <w:pStyle w:val="Prrafodelista"/>
        <w:numPr>
          <w:ilvl w:val="0"/>
          <w:numId w:val="5"/>
        </w:numPr>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Por lo demás, la Corte declar</w:t>
      </w:r>
      <w:r w:rsidRPr="0096658B">
        <w:rPr>
          <w:rFonts w:ascii="Times New Roman" w:hAnsi="Times New Roman" w:cs="Times New Roman"/>
          <w:color w:val="000000" w:themeColor="text1"/>
          <w:lang w:val="es-ES_tradnl"/>
        </w:rPr>
        <w:t>ó inconstitucional la cuota mínima del 30% de la participación de las mujeres en comités y órganos directivos de partidos y movimientos, así como en las listas de candidatos. Si bien la participación de la mujer en todos los ámbitos era deseable, la medida</w:t>
      </w:r>
      <w:r w:rsidRPr="0096658B">
        <w:rPr>
          <w:rFonts w:ascii="Times New Roman" w:hAnsi="Times New Roman" w:cs="Times New Roman"/>
          <w:color w:val="000000" w:themeColor="text1"/>
          <w:lang w:val="es-ES_tradnl"/>
        </w:rPr>
        <w:t xml:space="preserve"> implicaba una injerencia del Estado en la organización interna de los partidos políticos, la cual estaba proscrita por la Constitución Política. </w:t>
      </w:r>
    </w:p>
    <w:p w:rsidR="00B53BBE" w:rsidRPr="0096658B" w:rsidRDefault="0096658B" w:rsidP="00B53BBE">
      <w:pPr>
        <w:pStyle w:val="Prrafodelista"/>
        <w:ind w:left="0"/>
        <w:jc w:val="both"/>
        <w:rPr>
          <w:rFonts w:ascii="Times New Roman" w:hAnsi="Times New Roman" w:cs="Times New Roman"/>
          <w:color w:val="000000" w:themeColor="text1"/>
          <w:lang w:val="es-ES_tradnl"/>
        </w:rPr>
      </w:pPr>
    </w:p>
    <w:p w:rsidR="00B53BBE" w:rsidRPr="0096658B" w:rsidRDefault="0096658B" w:rsidP="00B53BBE">
      <w:pPr>
        <w:pStyle w:val="Prrafodelista"/>
        <w:numPr>
          <w:ilvl w:val="0"/>
          <w:numId w:val="5"/>
        </w:numPr>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iCs/>
          <w:color w:val="000000" w:themeColor="text1"/>
          <w:lang w:val="es-ES_tradnl"/>
        </w:rPr>
        <w:t>Sentencia C-490 de 2011</w:t>
      </w:r>
      <w:r w:rsidRPr="0096658B">
        <w:rPr>
          <w:rFonts w:ascii="Times New Roman" w:hAnsi="Times New Roman" w:cs="Times New Roman"/>
          <w:color w:val="000000" w:themeColor="text1"/>
          <w:lang w:val="es-ES_tradnl"/>
        </w:rPr>
        <w:t>. La Corte examinó la constitucionalidad del proyecto de ley estatutaria, “por la cua</w:t>
      </w:r>
      <w:r w:rsidRPr="0096658B">
        <w:rPr>
          <w:rFonts w:ascii="Times New Roman" w:hAnsi="Times New Roman" w:cs="Times New Roman"/>
          <w:color w:val="000000" w:themeColor="text1"/>
          <w:lang w:val="es-ES_tradnl"/>
        </w:rPr>
        <w:t>l se adoptan reglas de organización y funcionamiento de los partidos y movimientos políticos, de los procesos electorales y se dictan otras disposiciones”. En esta oportunidad, la Corte declaró la constitucionalidad de la cuota mínima del 30% de representa</w:t>
      </w:r>
      <w:r w:rsidRPr="0096658B">
        <w:rPr>
          <w:rFonts w:ascii="Times New Roman" w:hAnsi="Times New Roman" w:cs="Times New Roman"/>
          <w:color w:val="000000" w:themeColor="text1"/>
          <w:lang w:val="es-ES_tradnl"/>
        </w:rPr>
        <w:t>ción de las mujeres en las listas para corporaciones de elección popular cuando se elegirían cinco o más curules o se someterían a consulta. Primero, indicó que la medida era compatible con el artículo 13 constitucional, porque desarrollaba una medida afir</w:t>
      </w:r>
      <w:r w:rsidRPr="0096658B">
        <w:rPr>
          <w:rFonts w:ascii="Times New Roman" w:hAnsi="Times New Roman" w:cs="Times New Roman"/>
          <w:color w:val="000000" w:themeColor="text1"/>
          <w:lang w:val="es-ES_tradnl"/>
        </w:rPr>
        <w:t xml:space="preserve">mativa a favor de un grupo históricamente discriminado. La Corte explicó que las mujeres enfrentaban barreras que afectaban “su posibilidad de participar en política en igualdad de condiciones”. Segundo, adujo que era conforme con los artículos 40 y 43 de </w:t>
      </w:r>
      <w:r w:rsidRPr="0096658B">
        <w:rPr>
          <w:rFonts w:ascii="Times New Roman" w:hAnsi="Times New Roman" w:cs="Times New Roman"/>
          <w:color w:val="000000" w:themeColor="text1"/>
          <w:lang w:val="es-ES_tradnl"/>
        </w:rPr>
        <w:t>la Constitución, en tanto que contribuía “</w:t>
      </w:r>
      <w:r w:rsidRPr="0096658B">
        <w:rPr>
          <w:rFonts w:ascii="Times New Roman" w:hAnsi="Times New Roman" w:cs="Times New Roman"/>
          <w:iCs/>
          <w:color w:val="000000" w:themeColor="text1"/>
        </w:rPr>
        <w:t>a incrementar los niveles de participación de la mujer en los niveles decisorios de la administración, a la vez que propend[ía] por la igualdad efectiva entre hombres y mujeres, en el ámbito específico de la partic</w:t>
      </w:r>
      <w:r w:rsidRPr="0096658B">
        <w:rPr>
          <w:rFonts w:ascii="Times New Roman" w:hAnsi="Times New Roman" w:cs="Times New Roman"/>
          <w:iCs/>
          <w:color w:val="000000" w:themeColor="text1"/>
        </w:rPr>
        <w:t>ipación política</w:t>
      </w:r>
      <w:r w:rsidRPr="0096658B">
        <w:rPr>
          <w:rFonts w:ascii="Times New Roman" w:hAnsi="Times New Roman" w:cs="Times New Roman"/>
          <w:color w:val="000000" w:themeColor="text1"/>
          <w:lang w:val="es-ES_tradnl"/>
        </w:rPr>
        <w:t>”. Tercero, explicó que desarrollaba el artículo 107 superior, por cuanto permitía que los partidos y movimientos políticos “</w:t>
      </w:r>
      <w:r w:rsidRPr="0096658B">
        <w:rPr>
          <w:rFonts w:ascii="Times New Roman" w:hAnsi="Times New Roman" w:cs="Times New Roman"/>
          <w:iCs/>
          <w:color w:val="000000" w:themeColor="text1"/>
        </w:rPr>
        <w:t>avanzar en el proceso hacia una mejor satisfacción del principio de equidad de género, y a profundizar en una mayor</w:t>
      </w:r>
      <w:r w:rsidRPr="0096658B">
        <w:rPr>
          <w:rFonts w:ascii="Times New Roman" w:hAnsi="Times New Roman" w:cs="Times New Roman"/>
          <w:iCs/>
          <w:color w:val="000000" w:themeColor="text1"/>
        </w:rPr>
        <w:t xml:space="preserve"> efectividad del principio democrático en su organización y desempeño</w:t>
      </w:r>
      <w:r w:rsidRPr="0096658B">
        <w:rPr>
          <w:rFonts w:ascii="Times New Roman" w:hAnsi="Times New Roman" w:cs="Times New Roman"/>
          <w:color w:val="000000" w:themeColor="text1"/>
          <w:lang w:val="es-ES_tradnl"/>
        </w:rPr>
        <w:t>”.</w:t>
      </w:r>
    </w:p>
    <w:p w:rsidR="00B53BBE" w:rsidRPr="0096658B" w:rsidRDefault="0096658B" w:rsidP="00B53BBE">
      <w:pPr>
        <w:jc w:val="both"/>
        <w:rPr>
          <w:rFonts w:ascii="Times New Roman" w:hAnsi="Times New Roman" w:cs="Times New Roman"/>
          <w:color w:val="000000" w:themeColor="text1"/>
          <w:sz w:val="28"/>
          <w:lang w:val="es-ES_tradnl"/>
        </w:rPr>
      </w:pPr>
    </w:p>
    <w:p w:rsidR="00B53BBE" w:rsidRPr="0096658B" w:rsidRDefault="0096658B" w:rsidP="00B53BBE">
      <w:pPr>
        <w:pStyle w:val="Prrafodelista"/>
        <w:numPr>
          <w:ilvl w:val="0"/>
          <w:numId w:val="5"/>
        </w:numPr>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Para la Corte, la medida limitó, de manera justificada, la autonomía de los partidos y movimientos políticos. Esto, por las razones que se sintetizan a continuación:</w:t>
      </w:r>
    </w:p>
    <w:p w:rsidR="007A3297" w:rsidRPr="0096658B" w:rsidRDefault="0096658B" w:rsidP="007A3297">
      <w:pPr>
        <w:pStyle w:val="Prrafodelista"/>
        <w:rPr>
          <w:rFonts w:ascii="Times New Roman" w:hAnsi="Times New Roman" w:cs="Times New Roman"/>
          <w:color w:val="000000" w:themeColor="text1"/>
          <w:lang w:val="es-ES_tradnl"/>
        </w:rPr>
      </w:pPr>
    </w:p>
    <w:tbl>
      <w:tblPr>
        <w:tblStyle w:val="Tablaconcuadrcula"/>
        <w:tblW w:w="0" w:type="auto"/>
        <w:tblLook w:val="04A0" w:firstRow="1" w:lastRow="0" w:firstColumn="1" w:lastColumn="0" w:noHBand="0" w:noVBand="1"/>
      </w:tblPr>
      <w:tblGrid>
        <w:gridCol w:w="8828"/>
      </w:tblGrid>
      <w:tr w:rsidR="007A3297" w:rsidRPr="0096658B" w:rsidTr="0000395C">
        <w:tc>
          <w:tcPr>
            <w:tcW w:w="8828" w:type="dxa"/>
            <w:shd w:val="clear" w:color="auto" w:fill="BFBFBF" w:themeFill="background1" w:themeFillShade="BF"/>
          </w:tcPr>
          <w:p w:rsidR="007A3297" w:rsidRPr="0096658B" w:rsidRDefault="0096658B" w:rsidP="0000395C">
            <w:pPr>
              <w:jc w:val="center"/>
              <w:rPr>
                <w:rFonts w:ascii="Times New Roman" w:hAnsi="Times New Roman" w:cs="Times New Roman"/>
                <w:b/>
                <w:bCs/>
                <w:color w:val="000000" w:themeColor="text1"/>
                <w:sz w:val="28"/>
                <w:szCs w:val="20"/>
                <w:lang w:val="es-ES_tradnl"/>
              </w:rPr>
            </w:pPr>
            <w:r w:rsidRPr="0096658B">
              <w:rPr>
                <w:rFonts w:ascii="Times New Roman" w:hAnsi="Times New Roman" w:cs="Times New Roman"/>
                <w:b/>
                <w:bCs/>
                <w:color w:val="000000" w:themeColor="text1"/>
                <w:sz w:val="28"/>
                <w:szCs w:val="20"/>
                <w:lang w:val="es-ES_tradnl"/>
              </w:rPr>
              <w:t xml:space="preserve">Razonabilidad y </w:t>
            </w:r>
            <w:r w:rsidRPr="0096658B">
              <w:rPr>
                <w:rFonts w:ascii="Times New Roman" w:hAnsi="Times New Roman" w:cs="Times New Roman"/>
                <w:b/>
                <w:bCs/>
                <w:color w:val="000000" w:themeColor="text1"/>
                <w:sz w:val="28"/>
                <w:szCs w:val="20"/>
                <w:lang w:val="es-ES_tradnl"/>
              </w:rPr>
              <w:t>proporcionalidad de la medida</w:t>
            </w:r>
          </w:p>
        </w:tc>
      </w:tr>
      <w:tr w:rsidR="007A3297" w:rsidRPr="0096658B" w:rsidTr="0000395C">
        <w:tc>
          <w:tcPr>
            <w:tcW w:w="8828" w:type="dxa"/>
          </w:tcPr>
          <w:p w:rsidR="007A3297" w:rsidRPr="0096658B" w:rsidRDefault="0096658B" w:rsidP="0000395C">
            <w:pPr>
              <w:pStyle w:val="Prrafodelista"/>
              <w:numPr>
                <w:ilvl w:val="0"/>
                <w:numId w:val="7"/>
              </w:numPr>
              <w:ind w:left="319"/>
              <w:jc w:val="both"/>
              <w:rPr>
                <w:rFonts w:ascii="Times New Roman" w:hAnsi="Times New Roman" w:cs="Times New Roman"/>
                <w:color w:val="000000" w:themeColor="text1"/>
                <w:szCs w:val="20"/>
                <w:lang w:val="es-ES_tradnl"/>
              </w:rPr>
            </w:pPr>
            <w:r w:rsidRPr="0096658B">
              <w:rPr>
                <w:rFonts w:ascii="Times New Roman" w:hAnsi="Times New Roman" w:cs="Times New Roman"/>
                <w:i/>
                <w:iCs/>
                <w:color w:val="000000" w:themeColor="text1"/>
                <w:szCs w:val="20"/>
                <w:lang w:val="es-ES_tradnl"/>
              </w:rPr>
              <w:t>Finalidad de la medida.</w:t>
            </w:r>
            <w:r w:rsidRPr="0096658B">
              <w:rPr>
                <w:rFonts w:ascii="Times New Roman" w:hAnsi="Times New Roman" w:cs="Times New Roman"/>
                <w:color w:val="000000" w:themeColor="text1"/>
                <w:szCs w:val="20"/>
                <w:lang w:val="es-ES_tradnl"/>
              </w:rPr>
              <w:t xml:space="preserve"> La medida promovía la igualdad real y efectiva entre hombres y mujeres en la participación política; así como “el cumplimiento de postulados medulares de la organización de los partidos y movimientos políticos, tales como el principio democrático y la equ</w:t>
            </w:r>
            <w:r w:rsidRPr="0096658B">
              <w:rPr>
                <w:rFonts w:ascii="Times New Roman" w:hAnsi="Times New Roman" w:cs="Times New Roman"/>
                <w:color w:val="000000" w:themeColor="text1"/>
                <w:szCs w:val="20"/>
                <w:lang w:val="es-ES_tradnl"/>
              </w:rPr>
              <w:t xml:space="preserve">idad de género”.  </w:t>
            </w:r>
          </w:p>
          <w:p w:rsidR="007A3297" w:rsidRPr="0096658B" w:rsidRDefault="0096658B" w:rsidP="0000395C">
            <w:pPr>
              <w:pStyle w:val="Prrafodelista"/>
              <w:numPr>
                <w:ilvl w:val="0"/>
                <w:numId w:val="7"/>
              </w:numPr>
              <w:ind w:left="319" w:hanging="284"/>
              <w:jc w:val="both"/>
              <w:rPr>
                <w:rFonts w:ascii="Times New Roman" w:hAnsi="Times New Roman" w:cs="Times New Roman"/>
                <w:color w:val="000000" w:themeColor="text1"/>
                <w:szCs w:val="20"/>
                <w:lang w:val="es-ES_tradnl"/>
              </w:rPr>
            </w:pPr>
            <w:r w:rsidRPr="0096658B">
              <w:rPr>
                <w:rFonts w:ascii="Times New Roman" w:hAnsi="Times New Roman" w:cs="Times New Roman"/>
                <w:i/>
                <w:iCs/>
                <w:color w:val="000000" w:themeColor="text1"/>
                <w:szCs w:val="20"/>
                <w:lang w:val="es-ES_tradnl"/>
              </w:rPr>
              <w:t>Eficacia de la medida.</w:t>
            </w:r>
            <w:r w:rsidRPr="0096658B">
              <w:rPr>
                <w:rFonts w:ascii="Times New Roman" w:hAnsi="Times New Roman" w:cs="Times New Roman"/>
                <w:color w:val="000000" w:themeColor="text1"/>
                <w:szCs w:val="20"/>
                <w:lang w:val="es-ES_tradnl"/>
              </w:rPr>
              <w:t xml:space="preserve"> La medida era conducente porque buscaba “incrementar los niveles de participación de las mujeres en la política, a fin de hacerla más igualitaria”. </w:t>
            </w:r>
          </w:p>
          <w:p w:rsidR="007A3297" w:rsidRPr="0096658B" w:rsidRDefault="0096658B" w:rsidP="0000395C">
            <w:pPr>
              <w:pStyle w:val="Prrafodelista"/>
              <w:numPr>
                <w:ilvl w:val="0"/>
                <w:numId w:val="7"/>
              </w:numPr>
              <w:ind w:left="319" w:hanging="284"/>
              <w:jc w:val="both"/>
              <w:rPr>
                <w:rFonts w:ascii="Times New Roman" w:hAnsi="Times New Roman" w:cs="Times New Roman"/>
                <w:color w:val="000000" w:themeColor="text1"/>
                <w:szCs w:val="20"/>
                <w:lang w:val="es-ES_tradnl"/>
              </w:rPr>
            </w:pPr>
            <w:r w:rsidRPr="0096658B">
              <w:rPr>
                <w:rFonts w:ascii="Times New Roman" w:hAnsi="Times New Roman" w:cs="Times New Roman"/>
                <w:i/>
                <w:iCs/>
                <w:color w:val="000000" w:themeColor="text1"/>
                <w:szCs w:val="20"/>
                <w:lang w:val="es-ES_tradnl"/>
              </w:rPr>
              <w:t>Proporcionalidad de la medida</w:t>
            </w:r>
            <w:r w:rsidRPr="0096658B">
              <w:rPr>
                <w:rFonts w:ascii="Times New Roman" w:hAnsi="Times New Roman" w:cs="Times New Roman"/>
                <w:color w:val="000000" w:themeColor="text1"/>
                <w:szCs w:val="20"/>
                <w:lang w:val="es-ES_tradnl"/>
              </w:rPr>
              <w:t>. La cuota “no incorpora[ba] una res</w:t>
            </w:r>
            <w:r w:rsidRPr="0096658B">
              <w:rPr>
                <w:rFonts w:ascii="Times New Roman" w:hAnsi="Times New Roman" w:cs="Times New Roman"/>
                <w:color w:val="000000" w:themeColor="text1"/>
                <w:szCs w:val="20"/>
                <w:lang w:val="es-ES_tradnl"/>
              </w:rPr>
              <w:t>tricción desproporcionada a la autonomía de los partidos y movimientos políticos”. En particular, no interfería con los contenidos básicos de dicho principio porque, “aún dentro de este porcentaje, pueden elegir los ciudadanos y ciudadanas que mejor los re</w:t>
            </w:r>
            <w:r w:rsidRPr="0096658B">
              <w:rPr>
                <w:rFonts w:ascii="Times New Roman" w:hAnsi="Times New Roman" w:cs="Times New Roman"/>
                <w:color w:val="000000" w:themeColor="text1"/>
                <w:szCs w:val="20"/>
                <w:lang w:val="es-ES_tradnl"/>
              </w:rPr>
              <w:t>presenten”. Además, la medida sólo se refería a las listas en las que se elegían cinco o más curules y no reducía, de manera desproporcionada, la participación de los hombres.</w:t>
            </w:r>
          </w:p>
        </w:tc>
      </w:tr>
    </w:tbl>
    <w:p w:rsidR="007A3297" w:rsidRPr="0096658B" w:rsidRDefault="0096658B" w:rsidP="007A3297">
      <w:pPr>
        <w:pStyle w:val="Prrafodelista"/>
        <w:rPr>
          <w:rFonts w:ascii="Times New Roman" w:hAnsi="Times New Roman" w:cs="Times New Roman"/>
          <w:color w:val="000000" w:themeColor="text1"/>
          <w:lang w:val="es-ES_tradnl"/>
        </w:rPr>
      </w:pPr>
    </w:p>
    <w:p w:rsidR="007A3297" w:rsidRPr="0096658B" w:rsidRDefault="0096658B" w:rsidP="00B53BBE">
      <w:pPr>
        <w:pStyle w:val="Prrafodelista"/>
        <w:numPr>
          <w:ilvl w:val="0"/>
          <w:numId w:val="5"/>
        </w:numPr>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Ahora bien, la Corte debe resaltar que las reglas fijadas en la sentencias C-3</w:t>
      </w:r>
      <w:r w:rsidRPr="0096658B">
        <w:rPr>
          <w:rFonts w:ascii="Times New Roman" w:hAnsi="Times New Roman" w:cs="Times New Roman"/>
          <w:color w:val="000000" w:themeColor="text1"/>
          <w:lang w:val="es-ES_tradnl"/>
        </w:rPr>
        <w:t>71 de 2000 y C-490 de 2011, aunque son pertinentes para el estudio sobre la constitucionalidad del PLE, en todo caso deben analizarse de cara a los recientes desarrollos de la jurisprudencia constitucional en materia de equidad de género y paridad en el ac</w:t>
      </w:r>
      <w:r w:rsidRPr="0096658B">
        <w:rPr>
          <w:rFonts w:ascii="Times New Roman" w:hAnsi="Times New Roman" w:cs="Times New Roman"/>
          <w:color w:val="000000" w:themeColor="text1"/>
          <w:lang w:val="es-ES_tradnl"/>
        </w:rPr>
        <w:t>ceso a los cargos del Estado. Ello conforme los argumentos planteados a lo largo de esta sentencia. En ese sentido, la Sala encuentra que el parámetro de estos fallos, y en particular la sentencia C-371 de 2000</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se circunscribió al ámbito exclusivo de la v</w:t>
      </w:r>
      <w:r w:rsidRPr="0096658B">
        <w:rPr>
          <w:rFonts w:ascii="Times New Roman" w:hAnsi="Times New Roman" w:cs="Times New Roman"/>
          <w:color w:val="000000" w:themeColor="text1"/>
          <w:lang w:val="es-ES_tradnl"/>
        </w:rPr>
        <w:t>alidez de las medidas de acción afirmativa, pero dejó de tener en cuenta aspectos que resultan ahora esenciales para estudiar el asunto de la referencia, en particular la naturaleza constitucional del mandato de paridad, la obligatoriedad de analizar el ac</w:t>
      </w:r>
      <w:r w:rsidRPr="0096658B">
        <w:rPr>
          <w:rFonts w:ascii="Times New Roman" w:hAnsi="Times New Roman" w:cs="Times New Roman"/>
          <w:color w:val="000000" w:themeColor="text1"/>
          <w:lang w:val="es-ES_tradnl"/>
        </w:rPr>
        <w:t xml:space="preserve">ceso a las altas responsabilidades estales desde una perspectiva de género y la correlativa existencia de una obligación estatal de garantizar </w:t>
      </w:r>
      <w:r w:rsidRPr="0096658B">
        <w:rPr>
          <w:rFonts w:ascii="Times New Roman" w:hAnsi="Times New Roman" w:cs="Times New Roman"/>
          <w:color w:val="000000" w:themeColor="text1"/>
          <w:lang w:val="es-ES_tradnl"/>
        </w:rPr>
        <w:t>esa</w:t>
      </w:r>
      <w:r w:rsidRPr="0096658B">
        <w:rPr>
          <w:rFonts w:ascii="Times New Roman" w:hAnsi="Times New Roman" w:cs="Times New Roman"/>
          <w:color w:val="000000" w:themeColor="text1"/>
          <w:lang w:val="es-ES_tradnl"/>
        </w:rPr>
        <w:t xml:space="preserve"> paridad y desde el reconocimiento de (i) la participación efectiva de las mujeres; (ii) la equivalencia de ap</w:t>
      </w:r>
      <w:r w:rsidRPr="0096658B">
        <w:rPr>
          <w:rFonts w:ascii="Times New Roman" w:hAnsi="Times New Roman" w:cs="Times New Roman"/>
          <w:color w:val="000000" w:themeColor="text1"/>
          <w:lang w:val="es-ES_tradnl"/>
        </w:rPr>
        <w:t xml:space="preserve">titud profesional respecto de los hombres; y (iii) la pervivencia de barreras </w:t>
      </w:r>
      <w:r w:rsidRPr="0096658B">
        <w:rPr>
          <w:rFonts w:ascii="Times New Roman" w:hAnsi="Times New Roman" w:cs="Times New Roman"/>
          <w:color w:val="000000" w:themeColor="text1"/>
          <w:lang w:val="es-ES_tradnl"/>
        </w:rPr>
        <w:t>para el acceso de las mujeres a los cargos directivos del Estado, lo que implica la necesaria implementación de medidas, incluso diferentes a las de acción afirmativa, que permit</w:t>
      </w:r>
      <w:r w:rsidRPr="0096658B">
        <w:rPr>
          <w:rFonts w:ascii="Times New Roman" w:hAnsi="Times New Roman" w:cs="Times New Roman"/>
          <w:color w:val="000000" w:themeColor="text1"/>
          <w:lang w:val="es-ES_tradnl"/>
        </w:rPr>
        <w:t xml:space="preserve">an superar tales obstáculos. </w:t>
      </w:r>
    </w:p>
    <w:p w:rsidR="008B7D9A" w:rsidRPr="0096658B" w:rsidRDefault="0096658B" w:rsidP="008B7D9A">
      <w:pPr>
        <w:widowControl w:val="0"/>
        <w:shd w:val="clear" w:color="auto" w:fill="FFFFFF"/>
        <w:tabs>
          <w:tab w:val="left" w:pos="0"/>
          <w:tab w:val="left" w:pos="284"/>
        </w:tabs>
        <w:autoSpaceDE w:val="0"/>
        <w:autoSpaceDN w:val="0"/>
        <w:adjustRightInd w:val="0"/>
        <w:jc w:val="both"/>
        <w:rPr>
          <w:rFonts w:ascii="Times New Roman" w:hAnsi="Times New Roman" w:cs="Times New Roman"/>
          <w:color w:val="000000" w:themeColor="text1"/>
          <w:sz w:val="28"/>
          <w:lang w:val="es-ES_tradnl"/>
        </w:rPr>
      </w:pPr>
    </w:p>
    <w:p w:rsidR="008B7D9A" w:rsidRPr="0096658B" w:rsidRDefault="0096658B" w:rsidP="008B7D9A">
      <w:pPr>
        <w:widowControl w:val="0"/>
        <w:shd w:val="clear" w:color="auto" w:fill="FFFFFF"/>
        <w:tabs>
          <w:tab w:val="left" w:pos="0"/>
          <w:tab w:val="left" w:pos="284"/>
        </w:tabs>
        <w:autoSpaceDE w:val="0"/>
        <w:autoSpaceDN w:val="0"/>
        <w:adjustRightInd w:val="0"/>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Analizadas las medidas de cuota en el caso colombiano y su compatibilidad general con la Constitución, la Sala hará referencia a un balance sobre su</w:t>
      </w:r>
      <w:r w:rsidRPr="0096658B">
        <w:rPr>
          <w:rFonts w:ascii="Times New Roman" w:hAnsi="Times New Roman" w:cs="Times New Roman"/>
          <w:color w:val="000000" w:themeColor="text1"/>
          <w:sz w:val="28"/>
          <w:szCs w:val="28"/>
          <w:lang w:val="es-ES_tradnl"/>
        </w:rPr>
        <w:t>s efectos</w:t>
      </w:r>
      <w:r w:rsidRPr="0096658B">
        <w:rPr>
          <w:rFonts w:ascii="Times New Roman" w:hAnsi="Times New Roman" w:cs="Times New Roman"/>
          <w:color w:val="000000" w:themeColor="text1"/>
          <w:sz w:val="28"/>
          <w:szCs w:val="28"/>
          <w:lang w:val="es-ES_tradnl"/>
        </w:rPr>
        <w:t xml:space="preserve"> en el siguiente apartado. </w:t>
      </w:r>
    </w:p>
    <w:p w:rsidR="000778F8" w:rsidRPr="0096658B" w:rsidRDefault="0096658B" w:rsidP="008B7D9A">
      <w:pPr>
        <w:widowControl w:val="0"/>
        <w:shd w:val="clear" w:color="auto" w:fill="FFFFFF"/>
        <w:tabs>
          <w:tab w:val="left" w:pos="0"/>
          <w:tab w:val="left" w:pos="284"/>
        </w:tabs>
        <w:autoSpaceDE w:val="0"/>
        <w:autoSpaceDN w:val="0"/>
        <w:adjustRightInd w:val="0"/>
        <w:jc w:val="both"/>
        <w:rPr>
          <w:rFonts w:ascii="Times New Roman" w:hAnsi="Times New Roman" w:cs="Times New Roman"/>
          <w:color w:val="000000" w:themeColor="text1"/>
          <w:sz w:val="28"/>
          <w:szCs w:val="28"/>
          <w:lang w:val="es-ES_tradnl"/>
        </w:rPr>
      </w:pPr>
    </w:p>
    <w:p w:rsidR="008B7D9A" w:rsidRPr="0096658B" w:rsidRDefault="0096658B" w:rsidP="008B7D9A">
      <w:pPr>
        <w:widowControl w:val="0"/>
        <w:shd w:val="clear" w:color="auto" w:fill="FFFFFF" w:themeFill="background1"/>
        <w:tabs>
          <w:tab w:val="left" w:pos="284"/>
        </w:tabs>
        <w:autoSpaceDE w:val="0"/>
        <w:autoSpaceDN w:val="0"/>
        <w:adjustRightInd w:val="0"/>
        <w:jc w:val="both"/>
        <w:rPr>
          <w:rFonts w:ascii="Times New Roman" w:hAnsi="Times New Roman" w:cs="Times New Roman"/>
          <w:b/>
          <w:bCs/>
          <w:color w:val="000000" w:themeColor="text1"/>
          <w:sz w:val="28"/>
          <w:szCs w:val="28"/>
          <w:lang w:val="es-ES"/>
        </w:rPr>
      </w:pPr>
      <w:r w:rsidRPr="0096658B">
        <w:rPr>
          <w:rFonts w:ascii="Times New Roman" w:hAnsi="Times New Roman" w:cs="Times New Roman"/>
          <w:b/>
          <w:bCs/>
          <w:color w:val="000000" w:themeColor="text1"/>
          <w:sz w:val="28"/>
          <w:szCs w:val="28"/>
          <w:lang w:val="es-ES"/>
        </w:rPr>
        <w:t xml:space="preserve">El balance sobre la eficacia de las </w:t>
      </w:r>
      <w:r w:rsidRPr="0096658B">
        <w:rPr>
          <w:rFonts w:ascii="Times New Roman" w:hAnsi="Times New Roman" w:cs="Times New Roman"/>
          <w:b/>
          <w:bCs/>
          <w:color w:val="000000" w:themeColor="text1"/>
          <w:sz w:val="28"/>
          <w:szCs w:val="28"/>
          <w:lang w:val="es-ES"/>
        </w:rPr>
        <w:t>medidas de cuotas</w:t>
      </w:r>
    </w:p>
    <w:p w:rsidR="008B7D9A" w:rsidRPr="0096658B" w:rsidRDefault="0096658B" w:rsidP="008B7D9A">
      <w:pPr>
        <w:widowControl w:val="0"/>
        <w:shd w:val="clear" w:color="auto" w:fill="FFFFFF" w:themeFill="background1"/>
        <w:tabs>
          <w:tab w:val="left" w:pos="284"/>
        </w:tabs>
        <w:autoSpaceDE w:val="0"/>
        <w:autoSpaceDN w:val="0"/>
        <w:adjustRightInd w:val="0"/>
        <w:jc w:val="both"/>
        <w:rPr>
          <w:rFonts w:ascii="Times New Roman" w:hAnsi="Times New Roman" w:cs="Times New Roman"/>
          <w:b/>
          <w:bCs/>
          <w:color w:val="000000" w:themeColor="text1"/>
          <w:sz w:val="28"/>
          <w:szCs w:val="28"/>
          <w:lang w:val="es-ES"/>
        </w:rPr>
      </w:pPr>
    </w:p>
    <w:p w:rsidR="008B7D9A" w:rsidRPr="0096658B" w:rsidRDefault="0096658B" w:rsidP="008B7D9A">
      <w:pPr>
        <w:widowControl w:val="0"/>
        <w:numPr>
          <w:ilvl w:val="0"/>
          <w:numId w:val="5"/>
        </w:numPr>
        <w:shd w:val="clear" w:color="auto" w:fill="FFFFFF" w:themeFill="background1"/>
        <w:tabs>
          <w:tab w:val="left" w:pos="284"/>
        </w:tabs>
        <w:autoSpaceDE w:val="0"/>
        <w:autoSpaceDN w:val="0"/>
        <w:adjustRightInd w:val="0"/>
        <w:ind w:left="0" w:firstLine="0"/>
        <w:jc w:val="both"/>
        <w:rPr>
          <w:rFonts w:ascii="Times New Roman" w:hAnsi="Times New Roman" w:cs="Times New Roman"/>
          <w:color w:val="000000" w:themeColor="text1"/>
          <w:sz w:val="28"/>
          <w:lang w:val="es-ES"/>
        </w:rPr>
      </w:pPr>
      <w:r w:rsidRPr="0096658B">
        <w:rPr>
          <w:rFonts w:ascii="Times New Roman" w:hAnsi="Times New Roman" w:cs="Times New Roman"/>
          <w:i/>
          <w:iCs/>
          <w:color w:val="000000" w:themeColor="text1"/>
          <w:sz w:val="28"/>
          <w:szCs w:val="28"/>
          <w:lang w:val="es-ES"/>
        </w:rPr>
        <w:t xml:space="preserve">Datos generales sobre el mercado laboral. </w:t>
      </w:r>
      <w:r w:rsidRPr="0096658B">
        <w:rPr>
          <w:rFonts w:ascii="Times New Roman" w:hAnsi="Times New Roman" w:cs="Times New Roman"/>
          <w:color w:val="000000" w:themeColor="text1"/>
          <w:sz w:val="28"/>
          <w:szCs w:val="28"/>
          <w:lang w:val="es-ES"/>
        </w:rPr>
        <w:t>A pesar de los esfuerzos por alcanzar la igualdad formal entre géneros en Colombia, la igualdad sustantiva aún es una aspiración lejana, como evidencian los datos que</w:t>
      </w:r>
      <w:r w:rsidRPr="0096658B">
        <w:rPr>
          <w:rFonts w:ascii="Times New Roman" w:hAnsi="Times New Roman" w:cs="Times New Roman"/>
          <w:color w:val="000000" w:themeColor="text1"/>
          <w:sz w:val="28"/>
          <w:szCs w:val="28"/>
          <w:lang w:val="es-ES"/>
        </w:rPr>
        <w:t xml:space="preserve"> la Sala expone </w:t>
      </w:r>
      <w:r w:rsidRPr="0096658B">
        <w:rPr>
          <w:rFonts w:ascii="Times New Roman" w:hAnsi="Times New Roman" w:cs="Times New Roman"/>
          <w:color w:val="000000" w:themeColor="text1"/>
          <w:sz w:val="28"/>
          <w:szCs w:val="28"/>
          <w:lang w:val="es-ES"/>
        </w:rPr>
        <w:t>a continuació</w:t>
      </w:r>
      <w:r w:rsidRPr="0096658B">
        <w:rPr>
          <w:rFonts w:ascii="Times New Roman" w:hAnsi="Times New Roman" w:cs="Times New Roman"/>
          <w:color w:val="000000" w:themeColor="text1"/>
          <w:sz w:val="28"/>
          <w:szCs w:val="28"/>
          <w:lang w:val="es-ES"/>
        </w:rPr>
        <w:t>n. Estas estadísticas revelan una disparidad persistente en la representación de hombres y mujeres en roles de liderazgo y toma de decisiones, subrayando la urgencia de implementar medidas concretas para lograr una distribución equitativa de responsabilida</w:t>
      </w:r>
      <w:r w:rsidRPr="0096658B">
        <w:rPr>
          <w:rFonts w:ascii="Times New Roman" w:hAnsi="Times New Roman" w:cs="Times New Roman"/>
          <w:color w:val="000000" w:themeColor="text1"/>
          <w:sz w:val="28"/>
          <w:szCs w:val="28"/>
          <w:lang w:val="es-ES"/>
        </w:rPr>
        <w:t>des entre ambos sexos. Este análisis está en línea con</w:t>
      </w:r>
      <w:r w:rsidRPr="0096658B">
        <w:rPr>
          <w:rFonts w:ascii="Times New Roman" w:hAnsi="Times New Roman" w:cs="Times New Roman"/>
          <w:color w:val="000000" w:themeColor="text1"/>
          <w:sz w:val="28"/>
          <w:szCs w:val="28"/>
          <w:lang w:val="es-ES"/>
        </w:rPr>
        <w:t xml:space="preserve"> el objetivo general del PLE, esto es,</w:t>
      </w:r>
      <w:r w:rsidRPr="0096658B">
        <w:rPr>
          <w:rFonts w:ascii="Times New Roman" w:hAnsi="Times New Roman" w:cs="Times New Roman"/>
          <w:color w:val="000000" w:themeColor="text1"/>
          <w:sz w:val="28"/>
          <w:szCs w:val="28"/>
          <w:lang w:val="es-ES"/>
        </w:rPr>
        <w:t xml:space="preserve"> fomentar una igualdad efectiva entre géneros. Para ello se podrán de presente algunos datos que ilustran la brecha de género en posiciones de liderazgo, así como l</w:t>
      </w:r>
      <w:r w:rsidRPr="0096658B">
        <w:rPr>
          <w:rFonts w:ascii="Times New Roman" w:hAnsi="Times New Roman" w:cs="Times New Roman"/>
          <w:color w:val="000000" w:themeColor="text1"/>
          <w:sz w:val="28"/>
          <w:szCs w:val="28"/>
          <w:lang w:val="es-ES"/>
        </w:rPr>
        <w:t>as barreras estructurales que obstaculizan el pleno acceso de las mujeres a estos roles de responsabilidad.</w:t>
      </w:r>
    </w:p>
    <w:p w:rsidR="008B7D9A" w:rsidRPr="0096658B" w:rsidRDefault="0096658B" w:rsidP="008B7D9A">
      <w:pPr>
        <w:widowControl w:val="0"/>
        <w:shd w:val="clear" w:color="auto" w:fill="FFFFFF" w:themeFill="background1"/>
        <w:tabs>
          <w:tab w:val="left" w:pos="284"/>
        </w:tabs>
        <w:autoSpaceDE w:val="0"/>
        <w:autoSpaceDN w:val="0"/>
        <w:adjustRightInd w:val="0"/>
        <w:jc w:val="both"/>
        <w:rPr>
          <w:rFonts w:ascii="Times New Roman" w:hAnsi="Times New Roman" w:cs="Times New Roman"/>
          <w:color w:val="000000" w:themeColor="text1"/>
          <w:sz w:val="28"/>
          <w:lang w:val="es-ES"/>
        </w:rPr>
      </w:pPr>
    </w:p>
    <w:p w:rsidR="008B7D9A" w:rsidRPr="0096658B" w:rsidRDefault="0096658B" w:rsidP="008B7D9A">
      <w:pPr>
        <w:widowControl w:val="0"/>
        <w:numPr>
          <w:ilvl w:val="0"/>
          <w:numId w:val="5"/>
        </w:numPr>
        <w:shd w:val="clear" w:color="auto" w:fill="FFFFFF" w:themeFill="background1"/>
        <w:tabs>
          <w:tab w:val="left" w:pos="284"/>
        </w:tabs>
        <w:autoSpaceDE w:val="0"/>
        <w:autoSpaceDN w:val="0"/>
        <w:adjustRightInd w:val="0"/>
        <w:ind w:left="0" w:firstLine="0"/>
        <w:jc w:val="both"/>
        <w:rPr>
          <w:rFonts w:ascii="Times New Roman" w:hAnsi="Times New Roman" w:cs="Times New Roman"/>
          <w:color w:val="000000" w:themeColor="text1"/>
          <w:sz w:val="28"/>
          <w:szCs w:val="28"/>
          <w:lang w:val="es-ES"/>
        </w:rPr>
      </w:pPr>
      <w:r w:rsidRPr="0096658B">
        <w:rPr>
          <w:rFonts w:ascii="Times New Roman" w:hAnsi="Times New Roman" w:cs="Times New Roman"/>
          <w:color w:val="000000" w:themeColor="text1"/>
          <w:sz w:val="28"/>
          <w:szCs w:val="28"/>
          <w:lang w:val="es-ES"/>
        </w:rPr>
        <w:t>En el ámbito laboral, se evidencia una brecha salarial significativa entre hombres y mujeres</w:t>
      </w:r>
      <w:r w:rsidRPr="0096658B">
        <w:rPr>
          <w:rFonts w:ascii="Times New Roman" w:hAnsi="Times New Roman" w:cs="Times New Roman"/>
          <w:color w:val="000000" w:themeColor="text1"/>
          <w:sz w:val="28"/>
          <w:szCs w:val="28"/>
          <w:lang w:val="es-ES"/>
        </w:rPr>
        <w:t>,</w:t>
      </w:r>
      <w:r w:rsidRPr="0096658B">
        <w:rPr>
          <w:rFonts w:ascii="Times New Roman" w:hAnsi="Times New Roman" w:cs="Times New Roman"/>
          <w:color w:val="000000" w:themeColor="text1"/>
          <w:sz w:val="28"/>
          <w:szCs w:val="28"/>
          <w:lang w:val="es-ES"/>
        </w:rPr>
        <w:t xml:space="preserve"> tanto en el sector informal como en el formal. En el </w:t>
      </w:r>
      <w:r w:rsidRPr="0096658B">
        <w:rPr>
          <w:rFonts w:ascii="Times New Roman" w:hAnsi="Times New Roman" w:cs="Times New Roman"/>
          <w:color w:val="000000" w:themeColor="text1"/>
          <w:sz w:val="28"/>
          <w:szCs w:val="28"/>
          <w:lang w:val="es-ES"/>
        </w:rPr>
        <w:t>sector informal, los hombres ganan un 24% más que las mujeres, lo que refleja una clara desigualdad salarial y de oportunidades económicas. Por otro lado, en el sector formal, aunque las mujeres ganan un 5% más que los hombres, esta aparente ventaja no ref</w:t>
      </w:r>
      <w:r w:rsidRPr="0096658B">
        <w:rPr>
          <w:rFonts w:ascii="Times New Roman" w:hAnsi="Times New Roman" w:cs="Times New Roman"/>
          <w:color w:val="000000" w:themeColor="text1"/>
          <w:sz w:val="28"/>
          <w:szCs w:val="28"/>
          <w:lang w:val="es-ES"/>
        </w:rPr>
        <w:t>leja la realidad completa. El análisis más profundo revela que, a pesar de tener un mayor número de años de educación y más títulos universitarios, las mujeres aún enfrentan obstáculos para igualar o superar los ingresos de los hombres</w:t>
      </w:r>
      <w:r w:rsidRPr="0096658B">
        <w:rPr>
          <w:rStyle w:val="Refdenotaalpie"/>
          <w:rFonts w:ascii="Times New Roman" w:hAnsi="Times New Roman"/>
          <w:color w:val="000000" w:themeColor="text1"/>
          <w:sz w:val="28"/>
          <w:szCs w:val="28"/>
          <w:lang w:val="es-ES"/>
        </w:rPr>
        <w:footnoteReference w:id="196"/>
      </w:r>
      <w:r w:rsidRPr="0096658B">
        <w:rPr>
          <w:rFonts w:ascii="Times New Roman" w:hAnsi="Times New Roman" w:cs="Times New Roman"/>
          <w:color w:val="000000" w:themeColor="text1"/>
          <w:sz w:val="28"/>
          <w:szCs w:val="28"/>
          <w:lang w:val="es-ES"/>
        </w:rPr>
        <w:t>.</w:t>
      </w:r>
    </w:p>
    <w:p w:rsidR="008B7D9A" w:rsidRPr="0096658B" w:rsidRDefault="0096658B" w:rsidP="008B7D9A">
      <w:pPr>
        <w:pStyle w:val="Prrafodelista"/>
        <w:rPr>
          <w:rFonts w:ascii="Times New Roman" w:hAnsi="Times New Roman" w:cs="Times New Roman"/>
          <w:color w:val="000000" w:themeColor="text1"/>
          <w:lang w:eastAsia="es-CO"/>
        </w:rPr>
      </w:pPr>
    </w:p>
    <w:p w:rsidR="008B7D9A" w:rsidRPr="0096658B" w:rsidRDefault="0096658B" w:rsidP="008B7D9A">
      <w:pPr>
        <w:widowControl w:val="0"/>
        <w:numPr>
          <w:ilvl w:val="0"/>
          <w:numId w:val="5"/>
        </w:numPr>
        <w:shd w:val="clear" w:color="auto" w:fill="FFFFFF" w:themeFill="background1"/>
        <w:tabs>
          <w:tab w:val="left" w:pos="284"/>
        </w:tabs>
        <w:autoSpaceDE w:val="0"/>
        <w:autoSpaceDN w:val="0"/>
        <w:adjustRightInd w:val="0"/>
        <w:ind w:left="0" w:firstLine="0"/>
        <w:jc w:val="both"/>
        <w:rPr>
          <w:rFonts w:ascii="Times New Roman" w:hAnsi="Times New Roman" w:cs="Times New Roman"/>
          <w:color w:val="000000" w:themeColor="text1"/>
          <w:sz w:val="28"/>
          <w:szCs w:val="28"/>
          <w:lang w:val="es-ES"/>
        </w:rPr>
      </w:pPr>
      <w:r w:rsidRPr="0096658B">
        <w:rPr>
          <w:rFonts w:ascii="Times New Roman" w:hAnsi="Times New Roman" w:cs="Times New Roman"/>
          <w:color w:val="000000" w:themeColor="text1"/>
          <w:sz w:val="28"/>
          <w:szCs w:val="28"/>
          <w:lang w:val="es-ES"/>
        </w:rPr>
        <w:t xml:space="preserve">Adicionalmente, </w:t>
      </w:r>
      <w:r w:rsidRPr="0096658B">
        <w:rPr>
          <w:rFonts w:ascii="Times New Roman" w:hAnsi="Times New Roman" w:cs="Times New Roman"/>
          <w:color w:val="000000" w:themeColor="text1"/>
          <w:sz w:val="28"/>
          <w:szCs w:val="28"/>
          <w:lang w:val="es-ES"/>
        </w:rPr>
        <w:t>se observa que las mujeres están notablemente concentradas en ocupaciones mal remuneradas y con predominio femenino. Por ejemplo, el 54% de las mujeres se encuentran en actividades de servicios no calificados, administrativos y de ventas, en comparación co</w:t>
      </w:r>
      <w:r w:rsidRPr="0096658B">
        <w:rPr>
          <w:rFonts w:ascii="Times New Roman" w:hAnsi="Times New Roman" w:cs="Times New Roman"/>
          <w:color w:val="000000" w:themeColor="text1"/>
          <w:sz w:val="28"/>
          <w:szCs w:val="28"/>
          <w:lang w:val="es-ES"/>
        </w:rPr>
        <w:t>n solo el 30% de los hombres. Esta disparidad sugiere una segregación ocupacional de género, donde las mujeres son desproporcionadamente representadas en roles menos valorados y remunerados en la economía</w:t>
      </w:r>
      <w:r w:rsidRPr="0096658B">
        <w:rPr>
          <w:rStyle w:val="Refdenotaalpie"/>
          <w:rFonts w:ascii="Times New Roman" w:hAnsi="Times New Roman"/>
          <w:color w:val="000000" w:themeColor="text1"/>
          <w:sz w:val="28"/>
          <w:lang w:val="es-ES" w:eastAsia="es-ES_tradnl"/>
        </w:rPr>
        <w:footnoteReference w:id="197"/>
      </w:r>
      <w:r w:rsidRPr="0096658B">
        <w:rPr>
          <w:rFonts w:ascii="Times New Roman" w:hAnsi="Times New Roman" w:cs="Times New Roman"/>
          <w:color w:val="000000" w:themeColor="text1"/>
          <w:sz w:val="28"/>
          <w:lang w:val="es-ES" w:eastAsia="es-ES_tradnl"/>
        </w:rPr>
        <w:t>.</w:t>
      </w:r>
    </w:p>
    <w:p w:rsidR="008B7D9A" w:rsidRPr="0096658B" w:rsidRDefault="0096658B" w:rsidP="008B7D9A">
      <w:pPr>
        <w:pStyle w:val="Prrafodelista"/>
        <w:rPr>
          <w:rFonts w:ascii="Times New Roman" w:hAnsi="Times New Roman" w:cs="Times New Roman"/>
          <w:color w:val="000000" w:themeColor="text1"/>
          <w:lang w:eastAsia="es-ES_tradnl"/>
        </w:rPr>
      </w:pPr>
    </w:p>
    <w:p w:rsidR="008B7D9A" w:rsidRPr="0096658B" w:rsidRDefault="0096658B" w:rsidP="008B7D9A">
      <w:pPr>
        <w:widowControl w:val="0"/>
        <w:numPr>
          <w:ilvl w:val="0"/>
          <w:numId w:val="5"/>
        </w:numPr>
        <w:shd w:val="clear" w:color="auto" w:fill="FFFFFF" w:themeFill="background1"/>
        <w:tabs>
          <w:tab w:val="left" w:pos="284"/>
        </w:tabs>
        <w:autoSpaceDE w:val="0"/>
        <w:autoSpaceDN w:val="0"/>
        <w:adjustRightInd w:val="0"/>
        <w:ind w:left="0" w:firstLine="0"/>
        <w:jc w:val="both"/>
        <w:rPr>
          <w:rFonts w:ascii="Times New Roman" w:hAnsi="Times New Roman" w:cs="Times New Roman"/>
          <w:color w:val="000000" w:themeColor="text1"/>
          <w:sz w:val="28"/>
          <w:szCs w:val="28"/>
          <w:lang w:val="es-ES"/>
        </w:rPr>
      </w:pPr>
      <w:r w:rsidRPr="0096658B">
        <w:rPr>
          <w:rFonts w:ascii="Times New Roman" w:hAnsi="Times New Roman" w:cs="Times New Roman"/>
          <w:color w:val="000000" w:themeColor="text1"/>
          <w:sz w:val="28"/>
          <w:szCs w:val="28"/>
          <w:lang w:val="es-ES"/>
        </w:rPr>
        <w:t>En el caso de las actividades formales, aunque u</w:t>
      </w:r>
      <w:r w:rsidRPr="0096658B">
        <w:rPr>
          <w:rFonts w:ascii="Times New Roman" w:hAnsi="Times New Roman" w:cs="Times New Roman"/>
          <w:color w:val="000000" w:themeColor="text1"/>
          <w:sz w:val="28"/>
          <w:szCs w:val="28"/>
          <w:lang w:val="es-ES"/>
        </w:rPr>
        <w:t>na tercera parte de las mujeres ocupan puestos de alta cualificación, en ocupaciones profesionales, administrativas o de gestión que requieren un alto nivel de educación, capacitación y habilidades especializadas, esta proporción aún es menor en comparació</w:t>
      </w:r>
      <w:r w:rsidRPr="0096658B">
        <w:rPr>
          <w:rFonts w:ascii="Times New Roman" w:hAnsi="Times New Roman" w:cs="Times New Roman"/>
          <w:color w:val="000000" w:themeColor="text1"/>
          <w:sz w:val="28"/>
          <w:szCs w:val="28"/>
          <w:lang w:val="es-ES"/>
        </w:rPr>
        <w:t>n con los hombres, donde el 28% de las mujeres versus el 33% de los hombres tienen este tipo de ocupaciones. Esta diferencia subraya las barreras persistentes que enfrentan las mujeres para acceder a roles de liderazgo y alta cualificación en el ámbito lab</w:t>
      </w:r>
      <w:r w:rsidRPr="0096658B">
        <w:rPr>
          <w:rFonts w:ascii="Times New Roman" w:hAnsi="Times New Roman" w:cs="Times New Roman"/>
          <w:color w:val="000000" w:themeColor="text1"/>
          <w:sz w:val="28"/>
          <w:szCs w:val="28"/>
          <w:lang w:val="es-ES"/>
        </w:rPr>
        <w:t>oral</w:t>
      </w:r>
      <w:r w:rsidRPr="0096658B">
        <w:rPr>
          <w:rStyle w:val="Refdenotaalpie"/>
          <w:rFonts w:ascii="Times New Roman" w:hAnsi="Times New Roman"/>
          <w:color w:val="000000" w:themeColor="text1"/>
          <w:sz w:val="28"/>
          <w:lang w:val="es-ES" w:eastAsia="es-ES_tradnl"/>
        </w:rPr>
        <w:footnoteReference w:id="198"/>
      </w:r>
      <w:r w:rsidRPr="0096658B">
        <w:rPr>
          <w:rFonts w:ascii="Times New Roman" w:hAnsi="Times New Roman" w:cs="Times New Roman"/>
          <w:color w:val="000000" w:themeColor="text1"/>
          <w:sz w:val="28"/>
          <w:lang w:val="es-ES" w:eastAsia="es-ES_tradnl"/>
        </w:rPr>
        <w:t>.</w:t>
      </w:r>
    </w:p>
    <w:p w:rsidR="008B7D9A" w:rsidRPr="0096658B" w:rsidRDefault="0096658B" w:rsidP="008B7D9A">
      <w:pPr>
        <w:pStyle w:val="Prrafodelista"/>
        <w:rPr>
          <w:rFonts w:ascii="Times New Roman" w:hAnsi="Times New Roman" w:cs="Times New Roman"/>
          <w:color w:val="000000" w:themeColor="text1"/>
          <w:lang w:eastAsia="es-ES_tradnl"/>
        </w:rPr>
      </w:pPr>
    </w:p>
    <w:p w:rsidR="008B7D9A" w:rsidRPr="0096658B" w:rsidRDefault="0096658B" w:rsidP="008B7D9A">
      <w:pPr>
        <w:widowControl w:val="0"/>
        <w:numPr>
          <w:ilvl w:val="0"/>
          <w:numId w:val="5"/>
        </w:numPr>
        <w:shd w:val="clear" w:color="auto" w:fill="FFFFFF" w:themeFill="background1"/>
        <w:tabs>
          <w:tab w:val="left" w:pos="284"/>
        </w:tabs>
        <w:autoSpaceDE w:val="0"/>
        <w:autoSpaceDN w:val="0"/>
        <w:adjustRightInd w:val="0"/>
        <w:ind w:left="0" w:firstLine="0"/>
        <w:jc w:val="both"/>
        <w:rPr>
          <w:rFonts w:ascii="Times New Roman" w:hAnsi="Times New Roman" w:cs="Times New Roman"/>
          <w:color w:val="000000" w:themeColor="text1"/>
          <w:sz w:val="28"/>
          <w:szCs w:val="28"/>
          <w:lang w:val="es-ES"/>
        </w:rPr>
      </w:pPr>
      <w:r w:rsidRPr="0096658B">
        <w:rPr>
          <w:rFonts w:ascii="Times New Roman" w:hAnsi="Times New Roman" w:cs="Times New Roman"/>
          <w:color w:val="000000" w:themeColor="text1"/>
          <w:sz w:val="28"/>
          <w:szCs w:val="28"/>
          <w:lang w:val="es-ES"/>
        </w:rPr>
        <w:t>En el sector informal, las mujeres tienden a concentrarse en ocupaciones de servicios, tanto calificados como no calificados, representando el 63% de su distribución. Por otro lado, los hombres muestran una mayor diversidad en sus ocupaciones, divi</w:t>
      </w:r>
      <w:r w:rsidRPr="0096658B">
        <w:rPr>
          <w:rFonts w:ascii="Times New Roman" w:hAnsi="Times New Roman" w:cs="Times New Roman"/>
          <w:color w:val="000000" w:themeColor="text1"/>
          <w:sz w:val="28"/>
          <w:szCs w:val="28"/>
          <w:lang w:val="es-ES"/>
        </w:rPr>
        <w:t xml:space="preserve">diéndose entre ocupaciones manuales (48%) y servicios no calificados (24%). Esta discrepancia refleja nuevamente la segregación ocupacional de género, donde las mujeres son más propensas a ocupar roles de servicios menos remunerados en comparación con los </w:t>
      </w:r>
      <w:r w:rsidRPr="0096658B">
        <w:rPr>
          <w:rFonts w:ascii="Times New Roman" w:hAnsi="Times New Roman" w:cs="Times New Roman"/>
          <w:color w:val="000000" w:themeColor="text1"/>
          <w:sz w:val="28"/>
          <w:szCs w:val="28"/>
          <w:lang w:val="es-ES"/>
        </w:rPr>
        <w:t>hombres</w:t>
      </w:r>
      <w:r w:rsidRPr="0096658B">
        <w:rPr>
          <w:rFonts w:ascii="Times New Roman" w:hAnsi="Times New Roman" w:cs="Times New Roman"/>
          <w:color w:val="000000" w:themeColor="text1"/>
          <w:sz w:val="28"/>
          <w:lang w:val="es-ES" w:eastAsia="es-ES_tradnl"/>
        </w:rPr>
        <w:t>.</w:t>
      </w:r>
    </w:p>
    <w:p w:rsidR="008B7D9A" w:rsidRPr="0096658B" w:rsidRDefault="0096658B" w:rsidP="008B7D9A">
      <w:pPr>
        <w:pStyle w:val="Prrafodelista"/>
        <w:rPr>
          <w:rFonts w:ascii="Times New Roman" w:hAnsi="Times New Roman" w:cs="Times New Roman"/>
          <w:color w:val="000000" w:themeColor="text1"/>
          <w:lang w:eastAsia="es-CO"/>
        </w:rPr>
      </w:pPr>
    </w:p>
    <w:p w:rsidR="008B7D9A" w:rsidRPr="0096658B" w:rsidRDefault="0096658B" w:rsidP="008B7D9A">
      <w:pPr>
        <w:widowControl w:val="0"/>
        <w:numPr>
          <w:ilvl w:val="0"/>
          <w:numId w:val="5"/>
        </w:numPr>
        <w:shd w:val="clear" w:color="auto" w:fill="FFFFFF" w:themeFill="background1"/>
        <w:tabs>
          <w:tab w:val="left" w:pos="284"/>
        </w:tabs>
        <w:autoSpaceDE w:val="0"/>
        <w:autoSpaceDN w:val="0"/>
        <w:adjustRightInd w:val="0"/>
        <w:ind w:left="0" w:firstLine="0"/>
        <w:jc w:val="both"/>
        <w:rPr>
          <w:rFonts w:ascii="Times New Roman" w:hAnsi="Times New Roman" w:cs="Times New Roman"/>
          <w:color w:val="000000" w:themeColor="text1"/>
          <w:sz w:val="28"/>
          <w:szCs w:val="28"/>
          <w:lang w:val="es-ES"/>
        </w:rPr>
      </w:pPr>
      <w:r w:rsidRPr="0096658B">
        <w:rPr>
          <w:rFonts w:ascii="Times New Roman" w:hAnsi="Times New Roman" w:cs="Times New Roman"/>
          <w:i/>
          <w:iCs/>
          <w:color w:val="000000" w:themeColor="text1"/>
          <w:sz w:val="28"/>
          <w:szCs w:val="28"/>
          <w:lang w:val="es-ES"/>
        </w:rPr>
        <w:t xml:space="preserve">Acceso a la educación. </w:t>
      </w:r>
      <w:r w:rsidRPr="0096658B">
        <w:rPr>
          <w:rFonts w:ascii="Times New Roman" w:hAnsi="Times New Roman" w:cs="Times New Roman"/>
          <w:color w:val="000000" w:themeColor="text1"/>
          <w:sz w:val="28"/>
          <w:szCs w:val="28"/>
          <w:lang w:val="es-ES"/>
        </w:rPr>
        <w:t>E</w:t>
      </w:r>
      <w:r w:rsidRPr="0096658B">
        <w:rPr>
          <w:rFonts w:ascii="Times New Roman" w:hAnsi="Times New Roman" w:cs="Times New Roman"/>
          <w:color w:val="000000" w:themeColor="text1"/>
          <w:sz w:val="28"/>
          <w:szCs w:val="28"/>
          <w:lang w:val="es-ES"/>
        </w:rPr>
        <w:t>n materia educativa, las mujeres tienen una mayor cantidad de años de educación que los hombres, con una diferencia estadísticamente significativa en el sector formal, donde las mujeres tienen en promedio 1,2 años más de e</w:t>
      </w:r>
      <w:r w:rsidRPr="0096658B">
        <w:rPr>
          <w:rFonts w:ascii="Times New Roman" w:hAnsi="Times New Roman" w:cs="Times New Roman"/>
          <w:color w:val="000000" w:themeColor="text1"/>
          <w:sz w:val="28"/>
          <w:szCs w:val="28"/>
          <w:lang w:val="es-ES"/>
        </w:rPr>
        <w:t>ducación que los hombres</w:t>
      </w:r>
      <w:r w:rsidRPr="0096658B">
        <w:rPr>
          <w:rStyle w:val="Refdenotaalpie"/>
          <w:rFonts w:ascii="Times New Roman" w:hAnsi="Times New Roman"/>
          <w:color w:val="000000" w:themeColor="text1"/>
          <w:sz w:val="28"/>
          <w:szCs w:val="28"/>
          <w:lang w:val="es-ES"/>
        </w:rPr>
        <w:footnoteReference w:id="199"/>
      </w:r>
      <w:r w:rsidRPr="0096658B">
        <w:rPr>
          <w:rFonts w:ascii="Times New Roman" w:hAnsi="Times New Roman" w:cs="Times New Roman"/>
          <w:color w:val="000000" w:themeColor="text1"/>
          <w:sz w:val="28"/>
          <w:szCs w:val="28"/>
          <w:lang w:val="es-ES"/>
        </w:rPr>
        <w:t>. Según el Observatorio Laboral para la Educación, entre 2001 y 2021, se graduaron en Colombia de pregrado 2.312.838 hombres y 2.854.035 mujeres; y de posgrado 613.342 hombres y 788.899 mujeres</w:t>
      </w:r>
      <w:r w:rsidRPr="0096658B">
        <w:rPr>
          <w:rStyle w:val="Refdenotaalpie"/>
          <w:rFonts w:ascii="Times New Roman" w:hAnsi="Times New Roman"/>
          <w:color w:val="000000" w:themeColor="text1"/>
          <w:sz w:val="28"/>
          <w:szCs w:val="28"/>
          <w:lang w:val="es-ES"/>
        </w:rPr>
        <w:footnoteReference w:id="200"/>
      </w:r>
      <w:r w:rsidRPr="0096658B">
        <w:rPr>
          <w:rFonts w:ascii="Times New Roman" w:hAnsi="Times New Roman" w:cs="Times New Roman"/>
          <w:color w:val="000000" w:themeColor="text1"/>
          <w:sz w:val="28"/>
          <w:szCs w:val="28"/>
          <w:lang w:val="es-ES"/>
        </w:rPr>
        <w:t>.</w:t>
      </w:r>
    </w:p>
    <w:p w:rsidR="008B7D9A" w:rsidRPr="0096658B" w:rsidRDefault="0096658B" w:rsidP="008B7D9A">
      <w:pPr>
        <w:pStyle w:val="Prrafodelista"/>
        <w:rPr>
          <w:rFonts w:ascii="Times New Roman" w:hAnsi="Times New Roman" w:cs="Times New Roman"/>
          <w:color w:val="000000" w:themeColor="text1"/>
          <w:lang w:eastAsia="es-CO"/>
        </w:rPr>
      </w:pPr>
    </w:p>
    <w:p w:rsidR="008B7D9A" w:rsidRPr="0096658B" w:rsidRDefault="0096658B" w:rsidP="008B7D9A">
      <w:pPr>
        <w:widowControl w:val="0"/>
        <w:numPr>
          <w:ilvl w:val="0"/>
          <w:numId w:val="5"/>
        </w:numPr>
        <w:shd w:val="clear" w:color="auto" w:fill="FFFFFF" w:themeFill="background1"/>
        <w:tabs>
          <w:tab w:val="left" w:pos="284"/>
        </w:tabs>
        <w:autoSpaceDE w:val="0"/>
        <w:autoSpaceDN w:val="0"/>
        <w:adjustRightInd w:val="0"/>
        <w:ind w:left="0" w:firstLine="0"/>
        <w:jc w:val="both"/>
        <w:rPr>
          <w:rFonts w:ascii="Times New Roman" w:hAnsi="Times New Roman" w:cs="Times New Roman"/>
          <w:color w:val="000000" w:themeColor="text1"/>
          <w:sz w:val="28"/>
          <w:szCs w:val="28"/>
          <w:lang w:val="es-ES"/>
        </w:rPr>
      </w:pPr>
      <w:r w:rsidRPr="0096658B">
        <w:rPr>
          <w:rFonts w:ascii="Times New Roman" w:hAnsi="Times New Roman" w:cs="Times New Roman"/>
          <w:color w:val="000000" w:themeColor="text1"/>
          <w:sz w:val="28"/>
          <w:szCs w:val="28"/>
          <w:lang w:val="es-ES"/>
        </w:rPr>
        <w:t>En concordancia con lo anterior, s</w:t>
      </w:r>
      <w:r w:rsidRPr="0096658B">
        <w:rPr>
          <w:rFonts w:ascii="Times New Roman" w:hAnsi="Times New Roman" w:cs="Times New Roman"/>
          <w:color w:val="000000" w:themeColor="text1"/>
          <w:sz w:val="28"/>
          <w:szCs w:val="28"/>
          <w:lang w:val="es-ES"/>
        </w:rPr>
        <w:t>e destaca que hay una proporción considerablemente mayor de mujeres que han asistido a la universidad en comparación con los hombres. Esto se refleja en el hecho de que el 14% de las mujeres tienen educación universitaria, mientras que solo el 10% de los h</w:t>
      </w:r>
      <w:r w:rsidRPr="0096658B">
        <w:rPr>
          <w:rFonts w:ascii="Times New Roman" w:hAnsi="Times New Roman" w:cs="Times New Roman"/>
          <w:color w:val="000000" w:themeColor="text1"/>
          <w:sz w:val="28"/>
          <w:szCs w:val="28"/>
          <w:lang w:val="es-ES"/>
        </w:rPr>
        <w:t xml:space="preserve">ombres </w:t>
      </w:r>
      <w:r w:rsidRPr="0096658B">
        <w:rPr>
          <w:rFonts w:ascii="Times New Roman" w:hAnsi="Times New Roman" w:cs="Times New Roman"/>
          <w:color w:val="000000" w:themeColor="text1"/>
          <w:sz w:val="28"/>
          <w:szCs w:val="28"/>
          <w:lang w:val="es-ES"/>
        </w:rPr>
        <w:t>acceden a ese nivel educativo</w:t>
      </w:r>
      <w:r w:rsidRPr="0096658B">
        <w:rPr>
          <w:rFonts w:ascii="Times New Roman" w:hAnsi="Times New Roman" w:cs="Times New Roman"/>
          <w:color w:val="000000" w:themeColor="text1"/>
          <w:sz w:val="28"/>
          <w:szCs w:val="28"/>
          <w:lang w:val="es-ES"/>
        </w:rPr>
        <w:t xml:space="preserve">. Esta disparidad se hace aún más evidente cuando se observa el desglose por sector: en el sector formal, el 22% de las mujeres ha asistido a la universidad, en comparación con solo el 14% de los hombres en el mismo </w:t>
      </w:r>
      <w:r w:rsidRPr="0096658B">
        <w:rPr>
          <w:rFonts w:ascii="Times New Roman" w:hAnsi="Times New Roman" w:cs="Times New Roman"/>
          <w:color w:val="000000" w:themeColor="text1"/>
          <w:sz w:val="28"/>
          <w:szCs w:val="28"/>
          <w:lang w:val="es-ES"/>
        </w:rPr>
        <w:t>sector</w:t>
      </w:r>
      <w:r w:rsidRPr="0096658B">
        <w:rPr>
          <w:rStyle w:val="Refdenotaalpie"/>
          <w:rFonts w:ascii="Times New Roman" w:hAnsi="Times New Roman"/>
          <w:color w:val="000000" w:themeColor="text1"/>
          <w:sz w:val="28"/>
          <w:szCs w:val="28"/>
          <w:lang w:val="es-ES"/>
        </w:rPr>
        <w:footnoteReference w:id="201"/>
      </w:r>
      <w:r w:rsidRPr="0096658B">
        <w:rPr>
          <w:rFonts w:ascii="Times New Roman" w:hAnsi="Times New Roman" w:cs="Times New Roman"/>
          <w:color w:val="000000" w:themeColor="text1"/>
          <w:sz w:val="28"/>
          <w:szCs w:val="28"/>
          <w:lang w:val="es-ES"/>
        </w:rPr>
        <w:t>. Estos datos sugieren que las mujeres están invirtiendo en su educación a un ritmo más alto que los hombres, lo que podría deberse a varios factores, como el deseo de mejorar sus perspectivas laborales, la búsqueda de independencia económica o la n</w:t>
      </w:r>
      <w:r w:rsidRPr="0096658B">
        <w:rPr>
          <w:rFonts w:ascii="Times New Roman" w:hAnsi="Times New Roman" w:cs="Times New Roman"/>
          <w:color w:val="000000" w:themeColor="text1"/>
          <w:sz w:val="28"/>
          <w:szCs w:val="28"/>
          <w:lang w:val="es-ES"/>
        </w:rPr>
        <w:t>ecesidad de adquirir habilidades específicas para acceder a ciertos trabajos</w:t>
      </w:r>
      <w:r w:rsidRPr="0096658B">
        <w:rPr>
          <w:rStyle w:val="Refdenotaalpie"/>
          <w:rFonts w:ascii="Times New Roman" w:hAnsi="Times New Roman"/>
          <w:color w:val="000000" w:themeColor="text1"/>
          <w:sz w:val="28"/>
          <w:szCs w:val="28"/>
          <w:lang w:val="es-ES"/>
        </w:rPr>
        <w:footnoteReference w:id="202"/>
      </w:r>
      <w:r w:rsidRPr="0096658B">
        <w:rPr>
          <w:rFonts w:ascii="Times New Roman" w:hAnsi="Times New Roman" w:cs="Times New Roman"/>
          <w:color w:val="000000" w:themeColor="text1"/>
          <w:sz w:val="28"/>
          <w:szCs w:val="28"/>
          <w:lang w:val="es-ES"/>
        </w:rPr>
        <w:t>.</w:t>
      </w:r>
    </w:p>
    <w:p w:rsidR="008B7D9A" w:rsidRPr="0096658B" w:rsidRDefault="0096658B" w:rsidP="008B7D9A">
      <w:pPr>
        <w:widowControl w:val="0"/>
        <w:shd w:val="clear" w:color="auto" w:fill="FFFFFF" w:themeFill="background1"/>
        <w:tabs>
          <w:tab w:val="left" w:pos="284"/>
        </w:tabs>
        <w:autoSpaceDE w:val="0"/>
        <w:autoSpaceDN w:val="0"/>
        <w:adjustRightInd w:val="0"/>
        <w:jc w:val="both"/>
        <w:rPr>
          <w:rFonts w:ascii="Times New Roman" w:hAnsi="Times New Roman" w:cs="Times New Roman"/>
          <w:color w:val="000000" w:themeColor="text1"/>
          <w:sz w:val="28"/>
          <w:szCs w:val="28"/>
          <w:lang w:val="es-ES"/>
        </w:rPr>
      </w:pPr>
    </w:p>
    <w:p w:rsidR="008B7D9A" w:rsidRPr="0096658B" w:rsidRDefault="0096658B" w:rsidP="008B7D9A">
      <w:pPr>
        <w:widowControl w:val="0"/>
        <w:numPr>
          <w:ilvl w:val="0"/>
          <w:numId w:val="5"/>
        </w:numPr>
        <w:shd w:val="clear" w:color="auto" w:fill="FFFFFF" w:themeFill="background1"/>
        <w:tabs>
          <w:tab w:val="left" w:pos="284"/>
        </w:tabs>
        <w:autoSpaceDE w:val="0"/>
        <w:autoSpaceDN w:val="0"/>
        <w:adjustRightInd w:val="0"/>
        <w:ind w:left="0" w:firstLine="0"/>
        <w:jc w:val="both"/>
        <w:rPr>
          <w:rFonts w:ascii="Times New Roman" w:hAnsi="Times New Roman" w:cs="Times New Roman"/>
          <w:color w:val="000000" w:themeColor="text1"/>
          <w:sz w:val="28"/>
          <w:szCs w:val="28"/>
          <w:lang w:val="es-ES"/>
        </w:rPr>
      </w:pPr>
      <w:r w:rsidRPr="0096658B">
        <w:rPr>
          <w:rFonts w:ascii="Times New Roman" w:hAnsi="Times New Roman" w:cs="Times New Roman"/>
          <w:i/>
          <w:iCs/>
          <w:color w:val="000000" w:themeColor="text1"/>
          <w:sz w:val="28"/>
          <w:szCs w:val="28"/>
          <w:lang w:val="es-ES"/>
        </w:rPr>
        <w:t xml:space="preserve">El peso de las labores de cuidado. </w:t>
      </w:r>
      <w:r w:rsidRPr="0096658B">
        <w:rPr>
          <w:rFonts w:ascii="Times New Roman" w:hAnsi="Times New Roman" w:cs="Times New Roman"/>
          <w:color w:val="000000" w:themeColor="text1"/>
          <w:sz w:val="28"/>
          <w:szCs w:val="28"/>
          <w:lang w:val="es-ES"/>
        </w:rPr>
        <w:t xml:space="preserve">La implementación de políticas de paridad de género se vuelve aún más imperativa al considerar esta desigualdad estructural arraigada en las dinámicas laborales y domésticas, </w:t>
      </w:r>
      <w:r w:rsidRPr="0096658B">
        <w:rPr>
          <w:rFonts w:ascii="Times New Roman" w:hAnsi="Times New Roman" w:cs="Times New Roman"/>
          <w:color w:val="000000" w:themeColor="text1"/>
          <w:sz w:val="28"/>
          <w:szCs w:val="28"/>
          <w:lang w:val="es-ES"/>
        </w:rPr>
        <w:t xml:space="preserve">puesto </w:t>
      </w:r>
      <w:r w:rsidRPr="0096658B">
        <w:rPr>
          <w:rFonts w:ascii="Times New Roman" w:hAnsi="Times New Roman" w:cs="Times New Roman"/>
          <w:color w:val="000000" w:themeColor="text1"/>
          <w:sz w:val="28"/>
          <w:szCs w:val="28"/>
          <w:lang w:val="es-ES"/>
        </w:rPr>
        <w:t>que busca corregir y compensar estas disparidades para garantizar una repr</w:t>
      </w:r>
      <w:r w:rsidRPr="0096658B">
        <w:rPr>
          <w:rFonts w:ascii="Times New Roman" w:hAnsi="Times New Roman" w:cs="Times New Roman"/>
          <w:color w:val="000000" w:themeColor="text1"/>
          <w:sz w:val="28"/>
          <w:szCs w:val="28"/>
          <w:lang w:val="es-ES"/>
        </w:rPr>
        <w:t>esentación equitativa y justa de mujeres y hombres en todos los ámbitos de la sociedad.</w:t>
      </w:r>
    </w:p>
    <w:p w:rsidR="008B7D9A" w:rsidRPr="0096658B" w:rsidRDefault="0096658B" w:rsidP="008B7D9A">
      <w:pPr>
        <w:widowControl w:val="0"/>
        <w:shd w:val="clear" w:color="auto" w:fill="FFFFFF" w:themeFill="background1"/>
        <w:tabs>
          <w:tab w:val="left" w:pos="284"/>
        </w:tabs>
        <w:autoSpaceDE w:val="0"/>
        <w:autoSpaceDN w:val="0"/>
        <w:adjustRightInd w:val="0"/>
        <w:jc w:val="both"/>
        <w:rPr>
          <w:rFonts w:ascii="Times New Roman" w:hAnsi="Times New Roman" w:cs="Times New Roman"/>
          <w:color w:val="000000" w:themeColor="text1"/>
          <w:sz w:val="28"/>
          <w:lang w:val="es-ES"/>
        </w:rPr>
      </w:pPr>
    </w:p>
    <w:p w:rsidR="008B7D9A" w:rsidRPr="0096658B" w:rsidRDefault="0096658B" w:rsidP="008B7D9A">
      <w:pPr>
        <w:widowControl w:val="0"/>
        <w:numPr>
          <w:ilvl w:val="0"/>
          <w:numId w:val="5"/>
        </w:numPr>
        <w:shd w:val="clear" w:color="auto" w:fill="FFFFFF" w:themeFill="background1"/>
        <w:tabs>
          <w:tab w:val="left" w:pos="284"/>
        </w:tabs>
        <w:autoSpaceDE w:val="0"/>
        <w:autoSpaceDN w:val="0"/>
        <w:adjustRightInd w:val="0"/>
        <w:ind w:left="0" w:firstLine="0"/>
        <w:jc w:val="both"/>
        <w:rPr>
          <w:rFonts w:ascii="Times New Roman" w:hAnsi="Times New Roman" w:cs="Times New Roman"/>
          <w:color w:val="000000" w:themeColor="text1"/>
          <w:sz w:val="28"/>
          <w:szCs w:val="28"/>
          <w:lang w:val="es-ES"/>
        </w:rPr>
      </w:pPr>
      <w:r w:rsidRPr="0096658B">
        <w:rPr>
          <w:rFonts w:ascii="Times New Roman" w:hAnsi="Times New Roman" w:cs="Times New Roman"/>
          <w:color w:val="000000" w:themeColor="text1"/>
          <w:sz w:val="28"/>
          <w:szCs w:val="28"/>
          <w:lang w:val="es-ES"/>
        </w:rPr>
        <w:t>En lo que respecta a las labores de cuidado y el ejercicio de labores en razón de las imposiciones por los roles de género, las estadísticas señalan que durante el per</w:t>
      </w:r>
      <w:r w:rsidRPr="0096658B">
        <w:rPr>
          <w:rFonts w:ascii="Times New Roman" w:hAnsi="Times New Roman" w:cs="Times New Roman"/>
          <w:color w:val="000000" w:themeColor="text1"/>
          <w:sz w:val="28"/>
          <w:szCs w:val="28"/>
          <w:lang w:val="es-ES"/>
        </w:rPr>
        <w:t>iodo comprendido entre 2020 y 2021</w:t>
      </w:r>
      <w:r w:rsidRPr="0096658B">
        <w:rPr>
          <w:rFonts w:ascii="Times New Roman" w:hAnsi="Times New Roman" w:cs="Times New Roman"/>
          <w:color w:val="000000" w:themeColor="text1"/>
          <w:sz w:val="28"/>
          <w:szCs w:val="28"/>
          <w:lang w:val="es-ES"/>
        </w:rPr>
        <w:t>,</w:t>
      </w:r>
      <w:r w:rsidRPr="0096658B">
        <w:rPr>
          <w:rFonts w:ascii="Times New Roman" w:hAnsi="Times New Roman" w:cs="Times New Roman"/>
          <w:color w:val="000000" w:themeColor="text1"/>
          <w:sz w:val="28"/>
          <w:szCs w:val="28"/>
          <w:lang w:val="es-ES"/>
        </w:rPr>
        <w:t xml:space="preserve"> a nivel nacional se constató que el 63,0% de los hombres y el 90,3% de las mujeres de 10 años o más participaron en actividades de trabajo no remunerado. Este </w:t>
      </w:r>
      <w:r w:rsidRPr="0096658B">
        <w:rPr>
          <w:rFonts w:ascii="Times New Roman" w:hAnsi="Times New Roman" w:cs="Times New Roman"/>
          <w:color w:val="000000" w:themeColor="text1"/>
          <w:sz w:val="28"/>
          <w:szCs w:val="28"/>
          <w:lang w:val="es-ES"/>
        </w:rPr>
        <w:t xml:space="preserve">importante </w:t>
      </w:r>
      <w:r w:rsidRPr="0096658B">
        <w:rPr>
          <w:rFonts w:ascii="Times New Roman" w:hAnsi="Times New Roman" w:cs="Times New Roman"/>
          <w:color w:val="000000" w:themeColor="text1"/>
          <w:sz w:val="28"/>
          <w:szCs w:val="28"/>
          <w:lang w:val="es-ES"/>
        </w:rPr>
        <w:t>desequilibrio en la carga de trabajo doméstico y d</w:t>
      </w:r>
      <w:r w:rsidRPr="0096658B">
        <w:rPr>
          <w:rFonts w:ascii="Times New Roman" w:hAnsi="Times New Roman" w:cs="Times New Roman"/>
          <w:color w:val="000000" w:themeColor="text1"/>
          <w:sz w:val="28"/>
          <w:szCs w:val="28"/>
          <w:lang w:val="es-ES"/>
        </w:rPr>
        <w:t xml:space="preserve">e cuidado refleja una inequidad de género arraigada, </w:t>
      </w:r>
      <w:r w:rsidRPr="0096658B">
        <w:rPr>
          <w:rFonts w:ascii="Times New Roman" w:hAnsi="Times New Roman" w:cs="Times New Roman"/>
          <w:color w:val="000000" w:themeColor="text1"/>
          <w:sz w:val="28"/>
          <w:szCs w:val="28"/>
          <w:lang w:val="es-ES"/>
        </w:rPr>
        <w:t xml:space="preserve">en la que </w:t>
      </w:r>
      <w:r w:rsidRPr="0096658B">
        <w:rPr>
          <w:rFonts w:ascii="Times New Roman" w:hAnsi="Times New Roman" w:cs="Times New Roman"/>
          <w:color w:val="000000" w:themeColor="text1"/>
          <w:sz w:val="28"/>
          <w:szCs w:val="28"/>
          <w:lang w:val="es-ES"/>
        </w:rPr>
        <w:t xml:space="preserve">las mujeres asumen una carga desproporcionada de responsabilidades no remuneradas. Además, se </w:t>
      </w:r>
      <w:r w:rsidRPr="0096658B">
        <w:rPr>
          <w:rFonts w:ascii="Times New Roman" w:hAnsi="Times New Roman" w:cs="Times New Roman"/>
          <w:color w:val="000000" w:themeColor="text1"/>
          <w:sz w:val="28"/>
          <w:szCs w:val="28"/>
          <w:lang w:val="es-ES"/>
        </w:rPr>
        <w:t>reitera</w:t>
      </w:r>
      <w:r w:rsidRPr="0096658B">
        <w:rPr>
          <w:rFonts w:ascii="Times New Roman" w:hAnsi="Times New Roman" w:cs="Times New Roman"/>
          <w:color w:val="000000" w:themeColor="text1"/>
          <w:sz w:val="28"/>
          <w:szCs w:val="28"/>
          <w:lang w:val="es-ES"/>
        </w:rPr>
        <w:t xml:space="preserve"> que las mujeres dedicaron en promedio 7 horas y 44 minutos diarios a estas actividades, mie</w:t>
      </w:r>
      <w:r w:rsidRPr="0096658B">
        <w:rPr>
          <w:rFonts w:ascii="Times New Roman" w:hAnsi="Times New Roman" w:cs="Times New Roman"/>
          <w:color w:val="000000" w:themeColor="text1"/>
          <w:sz w:val="28"/>
          <w:szCs w:val="28"/>
          <w:lang w:val="es-ES"/>
        </w:rPr>
        <w:t xml:space="preserve">ntras que los hombres destinaron un promedio de solo 3 horas y 6 minutos. Estas cifras evidencian </w:t>
      </w:r>
      <w:r w:rsidRPr="0096658B">
        <w:rPr>
          <w:rFonts w:ascii="Times New Roman" w:hAnsi="Times New Roman" w:cs="Times New Roman"/>
          <w:color w:val="000000" w:themeColor="text1"/>
          <w:sz w:val="28"/>
          <w:szCs w:val="28"/>
          <w:lang w:val="es-ES"/>
        </w:rPr>
        <w:t>la inequidad</w:t>
      </w:r>
      <w:r w:rsidRPr="0096658B">
        <w:rPr>
          <w:rFonts w:ascii="Times New Roman" w:hAnsi="Times New Roman" w:cs="Times New Roman"/>
          <w:color w:val="000000" w:themeColor="text1"/>
          <w:sz w:val="28"/>
          <w:szCs w:val="28"/>
          <w:lang w:val="es-ES"/>
        </w:rPr>
        <w:t xml:space="preserve"> significativa en la distribución del trabajo no remunerado según el género, lo que a su vez tiene implicaciones directas en las oportunidades de </w:t>
      </w:r>
      <w:r w:rsidRPr="0096658B">
        <w:rPr>
          <w:rFonts w:ascii="Times New Roman" w:hAnsi="Times New Roman" w:cs="Times New Roman"/>
          <w:color w:val="000000" w:themeColor="text1"/>
          <w:sz w:val="28"/>
          <w:szCs w:val="28"/>
          <w:lang w:val="es-ES"/>
        </w:rPr>
        <w:t>participación de las mujeres en roles de liderazgo y toma de decisiones en el ámbito público</w:t>
      </w:r>
      <w:r w:rsidRPr="0096658B">
        <w:rPr>
          <w:rStyle w:val="Refdenotaalpie"/>
          <w:rFonts w:ascii="Times New Roman" w:hAnsi="Times New Roman"/>
          <w:color w:val="000000" w:themeColor="text1"/>
          <w:sz w:val="28"/>
          <w:szCs w:val="28"/>
          <w:lang w:val="es-ES"/>
        </w:rPr>
        <w:footnoteReference w:id="203"/>
      </w:r>
      <w:r w:rsidRPr="0096658B">
        <w:rPr>
          <w:rFonts w:ascii="Times New Roman" w:hAnsi="Times New Roman" w:cs="Times New Roman"/>
          <w:color w:val="000000" w:themeColor="text1"/>
          <w:sz w:val="28"/>
          <w:szCs w:val="28"/>
          <w:lang w:val="es-ES"/>
        </w:rPr>
        <w:t>. Estas labores de cuidado obedecen a actividades con menores de 5 años, cuidado físico y apoyo a otras personas del hogar, cuidado pasivo, entre otras labores, re</w:t>
      </w:r>
      <w:r w:rsidRPr="0096658B">
        <w:rPr>
          <w:rFonts w:ascii="Times New Roman" w:hAnsi="Times New Roman" w:cs="Times New Roman"/>
          <w:color w:val="000000" w:themeColor="text1"/>
          <w:sz w:val="28"/>
          <w:szCs w:val="28"/>
          <w:lang w:val="es-ES"/>
        </w:rPr>
        <w:t>lacionadas principalmente con el rol maternal de la mujer.</w:t>
      </w:r>
    </w:p>
    <w:p w:rsidR="008B7D9A" w:rsidRPr="0096658B" w:rsidRDefault="0096658B" w:rsidP="008B7D9A">
      <w:pPr>
        <w:widowControl w:val="0"/>
        <w:shd w:val="clear" w:color="auto" w:fill="FFFFFF" w:themeFill="background1"/>
        <w:tabs>
          <w:tab w:val="left" w:pos="284"/>
        </w:tabs>
        <w:autoSpaceDE w:val="0"/>
        <w:autoSpaceDN w:val="0"/>
        <w:adjustRightInd w:val="0"/>
        <w:jc w:val="both"/>
        <w:rPr>
          <w:rFonts w:ascii="Times New Roman" w:hAnsi="Times New Roman" w:cs="Times New Roman"/>
          <w:color w:val="000000" w:themeColor="text1"/>
          <w:sz w:val="28"/>
          <w:szCs w:val="28"/>
          <w:lang w:val="es-ES"/>
        </w:rPr>
      </w:pPr>
    </w:p>
    <w:p w:rsidR="008B7D9A" w:rsidRPr="0096658B" w:rsidRDefault="0096658B" w:rsidP="008B7D9A">
      <w:pPr>
        <w:widowControl w:val="0"/>
        <w:numPr>
          <w:ilvl w:val="0"/>
          <w:numId w:val="5"/>
        </w:numPr>
        <w:shd w:val="clear" w:color="auto" w:fill="FFFFFF" w:themeFill="background1"/>
        <w:tabs>
          <w:tab w:val="left" w:pos="284"/>
        </w:tabs>
        <w:autoSpaceDE w:val="0"/>
        <w:autoSpaceDN w:val="0"/>
        <w:adjustRightInd w:val="0"/>
        <w:ind w:left="0" w:firstLine="0"/>
        <w:jc w:val="both"/>
        <w:rPr>
          <w:rFonts w:ascii="Times New Roman" w:hAnsi="Times New Roman" w:cs="Times New Roman"/>
          <w:color w:val="000000" w:themeColor="text1"/>
          <w:sz w:val="28"/>
          <w:szCs w:val="28"/>
          <w:lang w:val="es-ES"/>
        </w:rPr>
      </w:pPr>
      <w:r w:rsidRPr="0096658B">
        <w:rPr>
          <w:rFonts w:ascii="Times New Roman" w:hAnsi="Times New Roman" w:cs="Times New Roman"/>
          <w:i/>
          <w:iCs/>
          <w:color w:val="000000" w:themeColor="text1"/>
          <w:sz w:val="28"/>
          <w:szCs w:val="28"/>
          <w:lang w:val="es-ES"/>
        </w:rPr>
        <w:t xml:space="preserve">Niveles de participación en política. </w:t>
      </w:r>
      <w:r w:rsidRPr="0096658B">
        <w:rPr>
          <w:rFonts w:ascii="Times New Roman" w:hAnsi="Times New Roman" w:cs="Times New Roman"/>
          <w:color w:val="000000" w:themeColor="text1"/>
          <w:sz w:val="28"/>
          <w:szCs w:val="28"/>
          <w:lang w:val="es-ES"/>
        </w:rPr>
        <w:t>S</w:t>
      </w:r>
      <w:r w:rsidRPr="0096658B">
        <w:rPr>
          <w:rFonts w:ascii="Times New Roman" w:hAnsi="Times New Roman" w:cs="Times New Roman"/>
          <w:color w:val="000000" w:themeColor="text1"/>
          <w:sz w:val="28"/>
          <w:szCs w:val="28"/>
          <w:lang w:val="es-ES"/>
        </w:rPr>
        <w:t xml:space="preserve">egún la Misión de </w:t>
      </w:r>
      <w:r w:rsidRPr="0096658B">
        <w:rPr>
          <w:rFonts w:ascii="Times New Roman" w:hAnsi="Times New Roman" w:cs="Times New Roman"/>
          <w:color w:val="000000" w:themeColor="text1"/>
          <w:sz w:val="28"/>
          <w:szCs w:val="28"/>
          <w:lang w:val="es-ES"/>
        </w:rPr>
        <w:t>O</w:t>
      </w:r>
      <w:r w:rsidRPr="0096658B">
        <w:rPr>
          <w:rFonts w:ascii="Times New Roman" w:hAnsi="Times New Roman" w:cs="Times New Roman"/>
          <w:color w:val="000000" w:themeColor="text1"/>
          <w:sz w:val="28"/>
          <w:szCs w:val="28"/>
          <w:lang w:val="es-ES"/>
        </w:rPr>
        <w:t xml:space="preserve">bservación </w:t>
      </w:r>
      <w:r w:rsidRPr="0096658B">
        <w:rPr>
          <w:rFonts w:ascii="Times New Roman" w:hAnsi="Times New Roman" w:cs="Times New Roman"/>
          <w:color w:val="000000" w:themeColor="text1"/>
          <w:sz w:val="28"/>
          <w:szCs w:val="28"/>
          <w:lang w:val="es-ES"/>
        </w:rPr>
        <w:t>E</w:t>
      </w:r>
      <w:r w:rsidRPr="0096658B">
        <w:rPr>
          <w:rFonts w:ascii="Times New Roman" w:hAnsi="Times New Roman" w:cs="Times New Roman"/>
          <w:color w:val="000000" w:themeColor="text1"/>
          <w:sz w:val="28"/>
          <w:szCs w:val="28"/>
          <w:lang w:val="es-ES"/>
        </w:rPr>
        <w:t>lectoral, para las elecciones de autoridades locales 2023, solo el 16,01% de las candidaturas inscritas para las alcaldías era</w:t>
      </w:r>
      <w:r w:rsidRPr="0096658B">
        <w:rPr>
          <w:rFonts w:ascii="Times New Roman" w:hAnsi="Times New Roman" w:cs="Times New Roman"/>
          <w:color w:val="000000" w:themeColor="text1"/>
          <w:sz w:val="28"/>
          <w:szCs w:val="28"/>
          <w:lang w:val="es-ES"/>
        </w:rPr>
        <w:t xml:space="preserve"> de mujeres; y solo el 18,29% de las candidaturas inscritas para las gobernaciones era de mujeres. La elección de mujeres en concejos municipales aumentó apenas un 1,76% respecto a 2019, y representan el 19,6% del total de concejales del país. Lo anterior </w:t>
      </w:r>
      <w:r w:rsidRPr="0096658B">
        <w:rPr>
          <w:rFonts w:ascii="Times New Roman" w:hAnsi="Times New Roman" w:cs="Times New Roman"/>
          <w:color w:val="000000" w:themeColor="text1"/>
          <w:sz w:val="28"/>
          <w:szCs w:val="28"/>
          <w:lang w:val="es-ES"/>
        </w:rPr>
        <w:t>quiere decir que las mujeres representan solo el 24,94% de las personas electas en cargos territoriales, lo cual equivale a un aumento de solo 2,8% respecto a las elecciones de 2019</w:t>
      </w:r>
      <w:r w:rsidRPr="0096658B">
        <w:rPr>
          <w:rStyle w:val="Refdenotaalpie"/>
          <w:rFonts w:ascii="Times New Roman" w:hAnsi="Times New Roman"/>
          <w:color w:val="000000" w:themeColor="text1"/>
          <w:sz w:val="28"/>
          <w:szCs w:val="28"/>
          <w:lang w:val="es-ES"/>
        </w:rPr>
        <w:footnoteReference w:id="204"/>
      </w:r>
      <w:r w:rsidRPr="0096658B">
        <w:rPr>
          <w:rFonts w:ascii="Times New Roman" w:hAnsi="Times New Roman" w:cs="Times New Roman"/>
          <w:color w:val="000000" w:themeColor="text1"/>
          <w:sz w:val="28"/>
          <w:szCs w:val="28"/>
          <w:lang w:val="es-ES"/>
        </w:rPr>
        <w:t xml:space="preserve">. </w:t>
      </w:r>
    </w:p>
    <w:p w:rsidR="008B7D9A" w:rsidRPr="0096658B" w:rsidRDefault="0096658B" w:rsidP="008B7D9A">
      <w:pPr>
        <w:pStyle w:val="Prrafodelista"/>
        <w:rPr>
          <w:rFonts w:ascii="Times New Roman" w:hAnsi="Times New Roman" w:cs="Times New Roman"/>
          <w:color w:val="000000" w:themeColor="text1"/>
          <w:lang w:eastAsia="es-CO"/>
        </w:rPr>
      </w:pPr>
    </w:p>
    <w:p w:rsidR="008B7D9A" w:rsidRPr="0096658B" w:rsidRDefault="0096658B" w:rsidP="008B7D9A">
      <w:pPr>
        <w:widowControl w:val="0"/>
        <w:numPr>
          <w:ilvl w:val="0"/>
          <w:numId w:val="5"/>
        </w:numPr>
        <w:shd w:val="clear" w:color="auto" w:fill="FFFFFF" w:themeFill="background1"/>
        <w:tabs>
          <w:tab w:val="left" w:pos="284"/>
        </w:tabs>
        <w:autoSpaceDE w:val="0"/>
        <w:autoSpaceDN w:val="0"/>
        <w:adjustRightInd w:val="0"/>
        <w:ind w:left="0" w:firstLine="0"/>
        <w:jc w:val="both"/>
        <w:rPr>
          <w:rFonts w:ascii="Times New Roman" w:hAnsi="Times New Roman" w:cs="Times New Roman"/>
          <w:color w:val="000000" w:themeColor="text1"/>
          <w:sz w:val="28"/>
          <w:szCs w:val="28"/>
          <w:lang w:val="es-ES"/>
        </w:rPr>
      </w:pPr>
      <w:r w:rsidRPr="0096658B">
        <w:rPr>
          <w:rFonts w:ascii="Times New Roman" w:hAnsi="Times New Roman" w:cs="Times New Roman"/>
          <w:color w:val="000000" w:themeColor="text1"/>
          <w:sz w:val="28"/>
          <w:szCs w:val="28"/>
          <w:lang w:val="es-ES"/>
        </w:rPr>
        <w:t xml:space="preserve">Adicionalmente, en una desagregación por territorio, en departamentos </w:t>
      </w:r>
      <w:r w:rsidRPr="0096658B">
        <w:rPr>
          <w:rFonts w:ascii="Times New Roman" w:hAnsi="Times New Roman" w:cs="Times New Roman"/>
          <w:color w:val="000000" w:themeColor="text1"/>
          <w:sz w:val="28"/>
          <w:szCs w:val="28"/>
          <w:lang w:val="es-ES"/>
        </w:rPr>
        <w:t>como Guainía (8,8%), Guaviare (15,19%), Chocó (15,6%), Amazonas (16,6%) y Putumayo (16,7%), la proporción de mujeres electas sigue estando muy por debajo de la media nacional (29,94%)</w:t>
      </w:r>
      <w:r w:rsidRPr="0096658B">
        <w:rPr>
          <w:rStyle w:val="Refdenotaalpie"/>
          <w:rFonts w:ascii="Times New Roman" w:hAnsi="Times New Roman"/>
          <w:color w:val="000000" w:themeColor="text1"/>
          <w:sz w:val="28"/>
          <w:szCs w:val="28"/>
          <w:lang w:val="es-ES"/>
        </w:rPr>
        <w:footnoteReference w:id="205"/>
      </w:r>
      <w:r w:rsidRPr="0096658B">
        <w:rPr>
          <w:rFonts w:ascii="Times New Roman" w:hAnsi="Times New Roman" w:cs="Times New Roman"/>
          <w:color w:val="000000" w:themeColor="text1"/>
          <w:sz w:val="28"/>
          <w:szCs w:val="28"/>
          <w:lang w:val="es-ES"/>
        </w:rPr>
        <w:t xml:space="preserve">. </w:t>
      </w:r>
      <w:r w:rsidRPr="0096658B">
        <w:rPr>
          <w:rFonts w:ascii="Times New Roman" w:hAnsi="Times New Roman" w:cs="Times New Roman"/>
          <w:color w:val="000000" w:themeColor="text1"/>
          <w:sz w:val="28"/>
          <w:szCs w:val="28"/>
          <w:lang w:val="es-ES"/>
        </w:rPr>
        <w:t>Además</w:t>
      </w:r>
      <w:r w:rsidRPr="0096658B">
        <w:rPr>
          <w:rFonts w:ascii="Times New Roman" w:hAnsi="Times New Roman" w:cs="Times New Roman"/>
          <w:color w:val="000000" w:themeColor="text1"/>
          <w:sz w:val="28"/>
          <w:szCs w:val="28"/>
          <w:lang w:val="es-ES"/>
        </w:rPr>
        <w:t>, en Guainía, Vaupés, Vichada, Nariño, Bolívar, Antioquía, Caque</w:t>
      </w:r>
      <w:r w:rsidRPr="0096658B">
        <w:rPr>
          <w:rFonts w:ascii="Times New Roman" w:hAnsi="Times New Roman" w:cs="Times New Roman"/>
          <w:color w:val="000000" w:themeColor="text1"/>
          <w:sz w:val="28"/>
          <w:szCs w:val="28"/>
          <w:lang w:val="es-ES"/>
        </w:rPr>
        <w:t>tá, Caldas, Arauca, Casanare, Santander, Norte de Santander, Amazonas, Boyacá y Guaviare, nunca se ha elegido a una mujer como gobernadora por voto popular, lo que representa el 46% de los departamentos en el país.</w:t>
      </w:r>
    </w:p>
    <w:p w:rsidR="008B7D9A" w:rsidRPr="0096658B" w:rsidRDefault="0096658B" w:rsidP="008B7D9A">
      <w:pPr>
        <w:pStyle w:val="Prrafodelista"/>
        <w:rPr>
          <w:rFonts w:ascii="Times New Roman" w:hAnsi="Times New Roman" w:cs="Times New Roman"/>
          <w:color w:val="000000" w:themeColor="text1"/>
          <w:lang w:eastAsia="es-ES_tradnl"/>
        </w:rPr>
      </w:pPr>
    </w:p>
    <w:p w:rsidR="008B7D9A" w:rsidRPr="0096658B" w:rsidRDefault="0096658B" w:rsidP="008B7D9A">
      <w:pPr>
        <w:widowControl w:val="0"/>
        <w:numPr>
          <w:ilvl w:val="0"/>
          <w:numId w:val="5"/>
        </w:numPr>
        <w:shd w:val="clear" w:color="auto" w:fill="FFFFFF" w:themeFill="background1"/>
        <w:tabs>
          <w:tab w:val="left" w:pos="284"/>
        </w:tabs>
        <w:autoSpaceDE w:val="0"/>
        <w:autoSpaceDN w:val="0"/>
        <w:adjustRightInd w:val="0"/>
        <w:ind w:left="0" w:firstLine="0"/>
        <w:jc w:val="both"/>
        <w:rPr>
          <w:rFonts w:ascii="Times New Roman" w:hAnsi="Times New Roman" w:cs="Times New Roman"/>
          <w:color w:val="000000" w:themeColor="text1"/>
          <w:sz w:val="28"/>
          <w:szCs w:val="28"/>
          <w:lang w:val="es-ES"/>
        </w:rPr>
      </w:pPr>
      <w:r w:rsidRPr="0096658B">
        <w:rPr>
          <w:rFonts w:ascii="Times New Roman" w:hAnsi="Times New Roman" w:cs="Times New Roman"/>
          <w:color w:val="000000" w:themeColor="text1"/>
          <w:sz w:val="28"/>
          <w:szCs w:val="28"/>
          <w:lang w:val="es-ES"/>
        </w:rPr>
        <w:t>Los datos presentados revelan el increme</w:t>
      </w:r>
      <w:r w:rsidRPr="0096658B">
        <w:rPr>
          <w:rFonts w:ascii="Times New Roman" w:hAnsi="Times New Roman" w:cs="Times New Roman"/>
          <w:color w:val="000000" w:themeColor="text1"/>
          <w:sz w:val="28"/>
          <w:szCs w:val="28"/>
          <w:lang w:val="es-ES"/>
        </w:rPr>
        <w:t>nto de la participación de las mujeres en Colombia a partir de la fijación de mínimos con la Ley 581 de 2000</w:t>
      </w:r>
      <w:r w:rsidRPr="0096658B">
        <w:rPr>
          <w:rFonts w:ascii="Times New Roman" w:hAnsi="Times New Roman" w:cs="Times New Roman"/>
          <w:color w:val="000000" w:themeColor="text1"/>
          <w:sz w:val="28"/>
          <w:szCs w:val="28"/>
          <w:lang w:val="es-ES"/>
        </w:rPr>
        <w:t>.</w:t>
      </w:r>
      <w:r w:rsidRPr="0096658B">
        <w:rPr>
          <w:rFonts w:ascii="Times New Roman" w:hAnsi="Times New Roman" w:cs="Times New Roman"/>
          <w:color w:val="000000" w:themeColor="text1"/>
          <w:sz w:val="28"/>
          <w:szCs w:val="28"/>
          <w:lang w:val="es-ES"/>
        </w:rPr>
        <w:t xml:space="preserve"> </w:t>
      </w:r>
      <w:r w:rsidRPr="0096658B">
        <w:rPr>
          <w:rFonts w:ascii="Times New Roman" w:hAnsi="Times New Roman" w:cs="Times New Roman"/>
          <w:color w:val="000000" w:themeColor="text1"/>
          <w:sz w:val="28"/>
          <w:szCs w:val="28"/>
          <w:lang w:val="es-ES"/>
        </w:rPr>
        <w:t xml:space="preserve">Sin </w:t>
      </w:r>
      <w:r w:rsidRPr="0096658B">
        <w:rPr>
          <w:rFonts w:ascii="Times New Roman" w:hAnsi="Times New Roman" w:cs="Times New Roman"/>
          <w:color w:val="000000" w:themeColor="text1"/>
          <w:sz w:val="28"/>
          <w:szCs w:val="28"/>
          <w:lang w:val="es-ES"/>
        </w:rPr>
        <w:t>embargo, aún existen desigualdades marcadas en cuanto a la distribución de ocupaciones y la brecha de género en las esferas decisorias del sis</w:t>
      </w:r>
      <w:r w:rsidRPr="0096658B">
        <w:rPr>
          <w:rFonts w:ascii="Times New Roman" w:hAnsi="Times New Roman" w:cs="Times New Roman"/>
          <w:color w:val="000000" w:themeColor="text1"/>
          <w:sz w:val="28"/>
          <w:szCs w:val="28"/>
          <w:lang w:val="es-ES"/>
        </w:rPr>
        <w:t xml:space="preserve">tema colombiano. </w:t>
      </w:r>
    </w:p>
    <w:p w:rsidR="002F1CD2" w:rsidRPr="0096658B" w:rsidRDefault="0096658B" w:rsidP="002F1CD2">
      <w:pPr>
        <w:pStyle w:val="Prrafodelista"/>
        <w:rPr>
          <w:rFonts w:ascii="Times New Roman" w:hAnsi="Times New Roman" w:cs="Times New Roman"/>
          <w:color w:val="000000" w:themeColor="text1"/>
          <w:lang w:eastAsia="es-CO"/>
        </w:rPr>
      </w:pPr>
    </w:p>
    <w:p w:rsidR="00C611FD" w:rsidRPr="0096658B" w:rsidRDefault="0096658B" w:rsidP="008B7D9A">
      <w:pPr>
        <w:widowControl w:val="0"/>
        <w:numPr>
          <w:ilvl w:val="0"/>
          <w:numId w:val="5"/>
        </w:numPr>
        <w:shd w:val="clear" w:color="auto" w:fill="FFFFFF" w:themeFill="background1"/>
        <w:tabs>
          <w:tab w:val="left" w:pos="284"/>
        </w:tabs>
        <w:autoSpaceDE w:val="0"/>
        <w:autoSpaceDN w:val="0"/>
        <w:adjustRightInd w:val="0"/>
        <w:ind w:left="0" w:firstLine="0"/>
        <w:jc w:val="both"/>
        <w:rPr>
          <w:rFonts w:ascii="Times New Roman" w:hAnsi="Times New Roman" w:cs="Times New Roman"/>
          <w:color w:val="000000" w:themeColor="text1"/>
          <w:sz w:val="28"/>
          <w:szCs w:val="28"/>
          <w:lang w:val="es-ES"/>
        </w:rPr>
      </w:pPr>
      <w:r w:rsidRPr="0096658B">
        <w:rPr>
          <w:rFonts w:ascii="Times New Roman" w:hAnsi="Times New Roman" w:cs="Times New Roman"/>
          <w:i/>
          <w:iCs/>
          <w:color w:val="000000" w:themeColor="text1"/>
          <w:sz w:val="28"/>
          <w:szCs w:val="28"/>
          <w:lang w:val="es-ES"/>
        </w:rPr>
        <w:t xml:space="preserve">La participación en los cargos directivos del Estado. </w:t>
      </w:r>
      <w:r w:rsidRPr="0096658B">
        <w:rPr>
          <w:rFonts w:ascii="Times New Roman" w:hAnsi="Times New Roman" w:cs="Times New Roman"/>
          <w:color w:val="000000" w:themeColor="text1"/>
          <w:sz w:val="28"/>
          <w:szCs w:val="28"/>
          <w:lang w:val="es-ES"/>
        </w:rPr>
        <w:t xml:space="preserve">Ahora bien, en lo que respecta al ejercicio de los CMND y los CND, la Sala </w:t>
      </w:r>
      <w:r w:rsidRPr="0096658B">
        <w:rPr>
          <w:rFonts w:ascii="Times New Roman" w:hAnsi="Times New Roman" w:cs="Times New Roman"/>
          <w:color w:val="000000" w:themeColor="text1"/>
          <w:sz w:val="28"/>
          <w:szCs w:val="28"/>
          <w:lang w:val="es-ES"/>
        </w:rPr>
        <w:t>considera importante traer a colación los datos contenidos en el “Informe sobre la participación efectiva de</w:t>
      </w:r>
      <w:r w:rsidRPr="0096658B">
        <w:rPr>
          <w:rFonts w:ascii="Times New Roman" w:hAnsi="Times New Roman" w:cs="Times New Roman"/>
          <w:color w:val="000000" w:themeColor="text1"/>
          <w:sz w:val="28"/>
          <w:szCs w:val="28"/>
          <w:lang w:val="es-ES"/>
        </w:rPr>
        <w:t xml:space="preserve"> la mujer en los cargos de niveles decisorios en el Estado colombiano”, preparado por el Departamento Administrativo de la Función Pública, estudiándose en sentencia la versión de diciembre de 2023</w:t>
      </w:r>
      <w:r w:rsidRPr="0096658B">
        <w:rPr>
          <w:rStyle w:val="Refdenotaalpie"/>
          <w:rFonts w:ascii="Times New Roman" w:hAnsi="Times New Roman"/>
          <w:color w:val="000000" w:themeColor="text1"/>
          <w:sz w:val="28"/>
          <w:szCs w:val="28"/>
          <w:lang w:val="es-ES"/>
        </w:rPr>
        <w:footnoteReference w:id="206"/>
      </w:r>
      <w:r w:rsidRPr="0096658B">
        <w:rPr>
          <w:rFonts w:ascii="Times New Roman" w:hAnsi="Times New Roman" w:cs="Times New Roman"/>
          <w:color w:val="000000" w:themeColor="text1"/>
          <w:sz w:val="28"/>
          <w:szCs w:val="28"/>
          <w:lang w:val="es-ES"/>
        </w:rPr>
        <w:t xml:space="preserve">. </w:t>
      </w:r>
    </w:p>
    <w:p w:rsidR="000A3FB2" w:rsidRPr="0096658B" w:rsidRDefault="0096658B" w:rsidP="000A3FB2">
      <w:pPr>
        <w:pStyle w:val="Prrafodelista"/>
        <w:rPr>
          <w:rFonts w:ascii="Times New Roman" w:hAnsi="Times New Roman" w:cs="Times New Roman"/>
          <w:color w:val="000000" w:themeColor="text1"/>
          <w:lang w:eastAsia="es-CO"/>
        </w:rPr>
      </w:pPr>
    </w:p>
    <w:p w:rsidR="000A3FB2" w:rsidRPr="0096658B" w:rsidRDefault="0096658B" w:rsidP="008B7D9A">
      <w:pPr>
        <w:widowControl w:val="0"/>
        <w:numPr>
          <w:ilvl w:val="0"/>
          <w:numId w:val="5"/>
        </w:numPr>
        <w:shd w:val="clear" w:color="auto" w:fill="FFFFFF" w:themeFill="background1"/>
        <w:tabs>
          <w:tab w:val="left" w:pos="284"/>
        </w:tabs>
        <w:autoSpaceDE w:val="0"/>
        <w:autoSpaceDN w:val="0"/>
        <w:adjustRightInd w:val="0"/>
        <w:ind w:left="0" w:firstLine="0"/>
        <w:jc w:val="both"/>
        <w:rPr>
          <w:rFonts w:ascii="Times New Roman" w:hAnsi="Times New Roman" w:cs="Times New Roman"/>
          <w:color w:val="000000" w:themeColor="text1"/>
          <w:sz w:val="28"/>
          <w:szCs w:val="28"/>
          <w:lang w:val="es-ES"/>
        </w:rPr>
      </w:pPr>
      <w:r w:rsidRPr="0096658B">
        <w:rPr>
          <w:rFonts w:ascii="Times New Roman" w:hAnsi="Times New Roman" w:cs="Times New Roman"/>
          <w:color w:val="000000" w:themeColor="text1"/>
          <w:sz w:val="28"/>
          <w:szCs w:val="28"/>
          <w:lang w:val="es-ES"/>
        </w:rPr>
        <w:t>El informe cubre los reportes de 1258 entidades de las</w:t>
      </w:r>
      <w:r w:rsidRPr="0096658B">
        <w:rPr>
          <w:rFonts w:ascii="Times New Roman" w:hAnsi="Times New Roman" w:cs="Times New Roman"/>
          <w:color w:val="000000" w:themeColor="text1"/>
          <w:sz w:val="28"/>
          <w:szCs w:val="28"/>
          <w:lang w:val="es-ES"/>
        </w:rPr>
        <w:t xml:space="preserve"> 2344 que integran el orden nacional y territorial. Los cargos reportados corresponden a </w:t>
      </w:r>
      <w:r w:rsidRPr="0096658B">
        <w:rPr>
          <w:rFonts w:ascii="Times New Roman" w:hAnsi="Times New Roman" w:cs="Times New Roman"/>
          <w:color w:val="000000" w:themeColor="text1"/>
          <w:sz w:val="28"/>
          <w:szCs w:val="28"/>
          <w:lang w:val="es-ES"/>
        </w:rPr>
        <w:t>6158 CMND</w:t>
      </w:r>
      <w:r w:rsidRPr="0096658B">
        <w:rPr>
          <w:rFonts w:ascii="Times New Roman" w:hAnsi="Times New Roman" w:cs="Times New Roman"/>
          <w:color w:val="000000" w:themeColor="text1"/>
          <w:sz w:val="28"/>
          <w:szCs w:val="28"/>
          <w:lang w:val="es-ES"/>
        </w:rPr>
        <w:t xml:space="preserve"> y 7853 a CND. Las mujeres ocupan el 46</w:t>
      </w:r>
      <w:r w:rsidRPr="0096658B">
        <w:rPr>
          <w:rFonts w:ascii="Times New Roman" w:hAnsi="Times New Roman" w:cs="Times New Roman"/>
          <w:color w:val="000000" w:themeColor="text1"/>
          <w:sz w:val="28"/>
          <w:szCs w:val="28"/>
          <w:lang w:val="es-ES"/>
        </w:rPr>
        <w:t>,</w:t>
      </w:r>
      <w:r w:rsidRPr="0096658B">
        <w:rPr>
          <w:rFonts w:ascii="Times New Roman" w:hAnsi="Times New Roman" w:cs="Times New Roman"/>
          <w:color w:val="000000" w:themeColor="text1"/>
          <w:sz w:val="28"/>
          <w:szCs w:val="28"/>
          <w:lang w:val="es-ES"/>
        </w:rPr>
        <w:t>85% de los primeros y 49</w:t>
      </w:r>
      <w:r w:rsidRPr="0096658B">
        <w:rPr>
          <w:rFonts w:ascii="Times New Roman" w:hAnsi="Times New Roman" w:cs="Times New Roman"/>
          <w:color w:val="000000" w:themeColor="text1"/>
          <w:sz w:val="28"/>
          <w:szCs w:val="28"/>
          <w:lang w:val="es-ES"/>
        </w:rPr>
        <w:t>,</w:t>
      </w:r>
      <w:r w:rsidRPr="0096658B">
        <w:rPr>
          <w:rFonts w:ascii="Times New Roman" w:hAnsi="Times New Roman" w:cs="Times New Roman"/>
          <w:color w:val="000000" w:themeColor="text1"/>
          <w:sz w:val="28"/>
          <w:szCs w:val="28"/>
          <w:lang w:val="es-ES"/>
        </w:rPr>
        <w:t>99% de los segundos. Esto demuestra una “tendencia progresiva en la ocupación de mujeres en l</w:t>
      </w:r>
      <w:r w:rsidRPr="0096658B">
        <w:rPr>
          <w:rFonts w:ascii="Times New Roman" w:hAnsi="Times New Roman" w:cs="Times New Roman"/>
          <w:color w:val="000000" w:themeColor="text1"/>
          <w:sz w:val="28"/>
          <w:szCs w:val="28"/>
          <w:lang w:val="es-ES"/>
        </w:rPr>
        <w:t>os cargos de nivel decisorio de las entidades públicas, pues en comparación con la vigencia 2022 se ha pasado del 45</w:t>
      </w:r>
      <w:r w:rsidRPr="0096658B">
        <w:rPr>
          <w:rFonts w:ascii="Times New Roman" w:hAnsi="Times New Roman" w:cs="Times New Roman"/>
          <w:color w:val="000000" w:themeColor="text1"/>
          <w:sz w:val="28"/>
          <w:szCs w:val="28"/>
          <w:lang w:val="es-ES"/>
        </w:rPr>
        <w:t>,</w:t>
      </w:r>
      <w:r w:rsidRPr="0096658B">
        <w:rPr>
          <w:rFonts w:ascii="Times New Roman" w:hAnsi="Times New Roman" w:cs="Times New Roman"/>
          <w:color w:val="000000" w:themeColor="text1"/>
          <w:sz w:val="28"/>
          <w:szCs w:val="28"/>
          <w:lang w:val="es-ES"/>
        </w:rPr>
        <w:t>6% en el Máximo Nivel Decisorio a un 46</w:t>
      </w:r>
      <w:r w:rsidRPr="0096658B">
        <w:rPr>
          <w:rFonts w:ascii="Times New Roman" w:hAnsi="Times New Roman" w:cs="Times New Roman"/>
          <w:color w:val="000000" w:themeColor="text1"/>
          <w:sz w:val="28"/>
          <w:szCs w:val="28"/>
          <w:lang w:val="es-ES"/>
        </w:rPr>
        <w:t>,</w:t>
      </w:r>
      <w:r w:rsidRPr="0096658B">
        <w:rPr>
          <w:rFonts w:ascii="Times New Roman" w:hAnsi="Times New Roman" w:cs="Times New Roman"/>
          <w:color w:val="000000" w:themeColor="text1"/>
          <w:sz w:val="28"/>
          <w:szCs w:val="28"/>
          <w:lang w:val="es-ES"/>
        </w:rPr>
        <w:t xml:space="preserve">85% y de </w:t>
      </w:r>
      <w:r w:rsidRPr="0096658B">
        <w:rPr>
          <w:rFonts w:ascii="Times New Roman" w:hAnsi="Times New Roman" w:cs="Times New Roman"/>
          <w:color w:val="000000" w:themeColor="text1"/>
          <w:sz w:val="28"/>
          <w:szCs w:val="28"/>
          <w:lang w:val="es-ES"/>
        </w:rPr>
        <w:t>un 48</w:t>
      </w:r>
      <w:r w:rsidRPr="0096658B">
        <w:rPr>
          <w:rFonts w:ascii="Times New Roman" w:hAnsi="Times New Roman" w:cs="Times New Roman"/>
          <w:color w:val="000000" w:themeColor="text1"/>
          <w:sz w:val="28"/>
          <w:szCs w:val="28"/>
          <w:lang w:val="es-ES"/>
        </w:rPr>
        <w:t>,</w:t>
      </w:r>
      <w:r w:rsidRPr="0096658B">
        <w:rPr>
          <w:rFonts w:ascii="Times New Roman" w:hAnsi="Times New Roman" w:cs="Times New Roman"/>
          <w:color w:val="000000" w:themeColor="text1"/>
          <w:sz w:val="28"/>
          <w:szCs w:val="28"/>
          <w:lang w:val="es-ES"/>
        </w:rPr>
        <w:t>1% a un 49</w:t>
      </w:r>
      <w:r w:rsidRPr="0096658B">
        <w:rPr>
          <w:rFonts w:ascii="Times New Roman" w:hAnsi="Times New Roman" w:cs="Times New Roman"/>
          <w:color w:val="000000" w:themeColor="text1"/>
          <w:sz w:val="28"/>
          <w:szCs w:val="28"/>
          <w:lang w:val="es-ES"/>
        </w:rPr>
        <w:t>,</w:t>
      </w:r>
      <w:r w:rsidRPr="0096658B">
        <w:rPr>
          <w:rFonts w:ascii="Times New Roman" w:hAnsi="Times New Roman" w:cs="Times New Roman"/>
          <w:color w:val="000000" w:themeColor="text1"/>
          <w:sz w:val="28"/>
          <w:szCs w:val="28"/>
          <w:lang w:val="es-ES"/>
        </w:rPr>
        <w:t>99% en el Otro Nivel Decisorio”</w:t>
      </w:r>
      <w:r w:rsidRPr="0096658B">
        <w:rPr>
          <w:rStyle w:val="Refdenotaalpie"/>
          <w:rFonts w:ascii="Times New Roman" w:hAnsi="Times New Roman"/>
          <w:color w:val="000000" w:themeColor="text1"/>
          <w:sz w:val="28"/>
          <w:szCs w:val="28"/>
          <w:lang w:val="es-ES"/>
        </w:rPr>
        <w:footnoteReference w:id="207"/>
      </w:r>
    </w:p>
    <w:p w:rsidR="000A3FB2" w:rsidRPr="0096658B" w:rsidRDefault="0096658B" w:rsidP="000A3FB2">
      <w:pPr>
        <w:pStyle w:val="Prrafodelista"/>
        <w:rPr>
          <w:rFonts w:ascii="Times New Roman" w:hAnsi="Times New Roman" w:cs="Times New Roman"/>
          <w:color w:val="000000" w:themeColor="text1"/>
          <w:lang w:eastAsia="es-CO"/>
        </w:rPr>
      </w:pPr>
    </w:p>
    <w:p w:rsidR="00663A68" w:rsidRPr="0096658B" w:rsidRDefault="0096658B" w:rsidP="00663A68">
      <w:pPr>
        <w:widowControl w:val="0"/>
        <w:numPr>
          <w:ilvl w:val="0"/>
          <w:numId w:val="5"/>
        </w:numPr>
        <w:shd w:val="clear" w:color="auto" w:fill="FFFFFF" w:themeFill="background1"/>
        <w:tabs>
          <w:tab w:val="left" w:pos="284"/>
        </w:tabs>
        <w:autoSpaceDE w:val="0"/>
        <w:autoSpaceDN w:val="0"/>
        <w:adjustRightInd w:val="0"/>
        <w:ind w:left="0" w:firstLine="0"/>
        <w:jc w:val="both"/>
        <w:rPr>
          <w:rFonts w:ascii="Times New Roman" w:hAnsi="Times New Roman" w:cs="Times New Roman"/>
          <w:color w:val="000000" w:themeColor="text1"/>
          <w:sz w:val="28"/>
          <w:szCs w:val="28"/>
          <w:lang w:val="es-ES"/>
        </w:rPr>
      </w:pPr>
      <w:r w:rsidRPr="0096658B">
        <w:rPr>
          <w:rFonts w:ascii="Times New Roman" w:hAnsi="Times New Roman" w:cs="Times New Roman"/>
          <w:color w:val="000000" w:themeColor="text1"/>
          <w:sz w:val="28"/>
          <w:szCs w:val="28"/>
          <w:lang w:val="es-ES"/>
        </w:rPr>
        <w:t xml:space="preserve">La mayor participación de las mujeres </w:t>
      </w:r>
      <w:r w:rsidRPr="0096658B">
        <w:rPr>
          <w:rFonts w:ascii="Times New Roman" w:hAnsi="Times New Roman" w:cs="Times New Roman"/>
          <w:color w:val="000000" w:themeColor="text1"/>
          <w:sz w:val="28"/>
          <w:szCs w:val="28"/>
          <w:lang w:val="es-ES"/>
        </w:rPr>
        <w:t>en los nivel</w:t>
      </w:r>
      <w:r w:rsidRPr="0096658B">
        <w:rPr>
          <w:rFonts w:ascii="Times New Roman" w:hAnsi="Times New Roman" w:cs="Times New Roman"/>
          <w:color w:val="000000" w:themeColor="text1"/>
          <w:sz w:val="28"/>
          <w:szCs w:val="28"/>
          <w:lang w:val="es-ES"/>
        </w:rPr>
        <w:t>es</w:t>
      </w:r>
      <w:r w:rsidRPr="0096658B">
        <w:rPr>
          <w:rFonts w:ascii="Times New Roman" w:hAnsi="Times New Roman" w:cs="Times New Roman"/>
          <w:color w:val="000000" w:themeColor="text1"/>
          <w:sz w:val="28"/>
          <w:szCs w:val="28"/>
          <w:lang w:val="es-ES"/>
        </w:rPr>
        <w:t xml:space="preserve"> decisorios se encuentra en el sistema integral de verdad, justicia y reparación con </w:t>
      </w:r>
      <w:r w:rsidRPr="0096658B">
        <w:rPr>
          <w:rFonts w:ascii="Times New Roman" w:hAnsi="Times New Roman" w:cs="Times New Roman"/>
          <w:color w:val="000000" w:themeColor="text1"/>
          <w:sz w:val="28"/>
          <w:szCs w:val="28"/>
          <w:lang w:val="es-ES"/>
        </w:rPr>
        <w:t>66</w:t>
      </w:r>
      <w:r w:rsidRPr="0096658B">
        <w:rPr>
          <w:rFonts w:ascii="Times New Roman" w:hAnsi="Times New Roman" w:cs="Times New Roman"/>
          <w:color w:val="000000" w:themeColor="text1"/>
          <w:sz w:val="28"/>
          <w:szCs w:val="28"/>
          <w:lang w:val="es-ES"/>
        </w:rPr>
        <w:t>,</w:t>
      </w:r>
      <w:r w:rsidRPr="0096658B">
        <w:rPr>
          <w:rFonts w:ascii="Times New Roman" w:hAnsi="Times New Roman" w:cs="Times New Roman"/>
          <w:color w:val="000000" w:themeColor="text1"/>
          <w:sz w:val="28"/>
          <w:szCs w:val="28"/>
          <w:lang w:val="es-ES"/>
        </w:rPr>
        <w:t xml:space="preserve">67% en los CMND y </w:t>
      </w:r>
      <w:r w:rsidRPr="0096658B">
        <w:rPr>
          <w:rFonts w:ascii="Times New Roman" w:hAnsi="Times New Roman" w:cs="Times New Roman"/>
          <w:color w:val="000000" w:themeColor="text1"/>
          <w:sz w:val="28"/>
          <w:szCs w:val="28"/>
          <w:lang w:val="es-ES"/>
        </w:rPr>
        <w:t>53</w:t>
      </w:r>
      <w:r w:rsidRPr="0096658B">
        <w:rPr>
          <w:rFonts w:ascii="Times New Roman" w:hAnsi="Times New Roman" w:cs="Times New Roman"/>
          <w:color w:val="000000" w:themeColor="text1"/>
          <w:sz w:val="28"/>
          <w:szCs w:val="28"/>
          <w:lang w:val="es-ES"/>
        </w:rPr>
        <w:t>,</w:t>
      </w:r>
      <w:r w:rsidRPr="0096658B">
        <w:rPr>
          <w:rFonts w:ascii="Times New Roman" w:hAnsi="Times New Roman" w:cs="Times New Roman"/>
          <w:color w:val="000000" w:themeColor="text1"/>
          <w:sz w:val="28"/>
          <w:szCs w:val="28"/>
          <w:lang w:val="es-ES"/>
        </w:rPr>
        <w:t xml:space="preserve">85% </w:t>
      </w:r>
      <w:r w:rsidRPr="0096658B">
        <w:rPr>
          <w:rFonts w:ascii="Times New Roman" w:hAnsi="Times New Roman" w:cs="Times New Roman"/>
          <w:color w:val="000000" w:themeColor="text1"/>
          <w:sz w:val="28"/>
          <w:szCs w:val="28"/>
          <w:lang w:val="es-ES"/>
        </w:rPr>
        <w:t xml:space="preserve">en los CND, </w:t>
      </w:r>
      <w:r w:rsidRPr="0096658B">
        <w:rPr>
          <w:rFonts w:ascii="Times New Roman" w:hAnsi="Times New Roman" w:cs="Times New Roman"/>
          <w:color w:val="000000" w:themeColor="text1"/>
          <w:sz w:val="28"/>
          <w:szCs w:val="28"/>
          <w:lang w:val="es-ES"/>
        </w:rPr>
        <w:t xml:space="preserve">y el menor en la rama legislativa con </w:t>
      </w:r>
      <w:r w:rsidRPr="0096658B">
        <w:rPr>
          <w:rFonts w:ascii="Times New Roman" w:hAnsi="Times New Roman" w:cs="Times New Roman"/>
          <w:color w:val="000000" w:themeColor="text1"/>
          <w:sz w:val="28"/>
          <w:szCs w:val="28"/>
          <w:lang w:val="es-ES"/>
        </w:rPr>
        <w:t xml:space="preserve">25% en los CMND y </w:t>
      </w:r>
      <w:r w:rsidRPr="0096658B">
        <w:rPr>
          <w:rFonts w:ascii="Times New Roman" w:hAnsi="Times New Roman" w:cs="Times New Roman"/>
          <w:color w:val="000000" w:themeColor="text1"/>
          <w:sz w:val="28"/>
          <w:szCs w:val="28"/>
          <w:lang w:val="es-ES"/>
        </w:rPr>
        <w:t>30</w:t>
      </w:r>
      <w:r w:rsidRPr="0096658B">
        <w:rPr>
          <w:rFonts w:ascii="Times New Roman" w:hAnsi="Times New Roman" w:cs="Times New Roman"/>
          <w:color w:val="000000" w:themeColor="text1"/>
          <w:sz w:val="28"/>
          <w:szCs w:val="28"/>
          <w:lang w:val="es-ES"/>
        </w:rPr>
        <w:t>,</w:t>
      </w:r>
      <w:r w:rsidRPr="0096658B">
        <w:rPr>
          <w:rFonts w:ascii="Times New Roman" w:hAnsi="Times New Roman" w:cs="Times New Roman"/>
          <w:color w:val="000000" w:themeColor="text1"/>
          <w:sz w:val="28"/>
          <w:szCs w:val="28"/>
          <w:lang w:val="es-ES"/>
        </w:rPr>
        <w:t>43%</w:t>
      </w:r>
      <w:r w:rsidRPr="0096658B">
        <w:rPr>
          <w:rFonts w:ascii="Times New Roman" w:hAnsi="Times New Roman" w:cs="Times New Roman"/>
          <w:color w:val="000000" w:themeColor="text1"/>
          <w:sz w:val="28"/>
          <w:szCs w:val="28"/>
          <w:lang w:val="es-ES"/>
        </w:rPr>
        <w:t xml:space="preserve"> en los CND</w:t>
      </w:r>
      <w:r w:rsidRPr="0096658B">
        <w:rPr>
          <w:rFonts w:ascii="Times New Roman" w:hAnsi="Times New Roman" w:cs="Times New Roman"/>
          <w:color w:val="000000" w:themeColor="text1"/>
          <w:sz w:val="28"/>
          <w:szCs w:val="28"/>
          <w:lang w:val="es-ES"/>
        </w:rPr>
        <w:t>. Llama la atención que en el caso de la ram</w:t>
      </w:r>
      <w:r w:rsidRPr="0096658B">
        <w:rPr>
          <w:rFonts w:ascii="Times New Roman" w:hAnsi="Times New Roman" w:cs="Times New Roman"/>
          <w:color w:val="000000" w:themeColor="text1"/>
          <w:sz w:val="28"/>
          <w:szCs w:val="28"/>
          <w:lang w:val="es-ES"/>
        </w:rPr>
        <w:t>a ejecutiva del orden nacional la participación es del</w:t>
      </w:r>
      <w:r w:rsidRPr="0096658B">
        <w:rPr>
          <w:rFonts w:ascii="Times New Roman" w:hAnsi="Times New Roman" w:cs="Times New Roman"/>
          <w:color w:val="000000" w:themeColor="text1"/>
          <w:sz w:val="28"/>
          <w:szCs w:val="28"/>
          <w:lang w:val="es-ES"/>
        </w:rPr>
        <w:t xml:space="preserve"> 40</w:t>
      </w:r>
      <w:r w:rsidRPr="0096658B">
        <w:rPr>
          <w:rFonts w:ascii="Times New Roman" w:hAnsi="Times New Roman" w:cs="Times New Roman"/>
          <w:color w:val="000000" w:themeColor="text1"/>
          <w:sz w:val="28"/>
          <w:szCs w:val="28"/>
          <w:lang w:val="es-ES"/>
        </w:rPr>
        <w:t>,</w:t>
      </w:r>
      <w:r w:rsidRPr="0096658B">
        <w:rPr>
          <w:rFonts w:ascii="Times New Roman" w:hAnsi="Times New Roman" w:cs="Times New Roman"/>
          <w:color w:val="000000" w:themeColor="text1"/>
          <w:sz w:val="28"/>
          <w:szCs w:val="28"/>
          <w:lang w:val="es-ES"/>
        </w:rPr>
        <w:t>95% en los CMND y del 49</w:t>
      </w:r>
      <w:r w:rsidRPr="0096658B">
        <w:rPr>
          <w:rFonts w:ascii="Times New Roman" w:hAnsi="Times New Roman" w:cs="Times New Roman"/>
          <w:color w:val="000000" w:themeColor="text1"/>
          <w:sz w:val="28"/>
          <w:szCs w:val="28"/>
          <w:lang w:val="es-ES"/>
        </w:rPr>
        <w:t>,</w:t>
      </w:r>
      <w:r w:rsidRPr="0096658B">
        <w:rPr>
          <w:rFonts w:ascii="Times New Roman" w:hAnsi="Times New Roman" w:cs="Times New Roman"/>
          <w:color w:val="000000" w:themeColor="text1"/>
          <w:sz w:val="28"/>
          <w:szCs w:val="28"/>
          <w:lang w:val="es-ES"/>
        </w:rPr>
        <w:t>15% en los CND.</w:t>
      </w:r>
      <w:r w:rsidRPr="0096658B">
        <w:rPr>
          <w:rFonts w:ascii="Times New Roman" w:hAnsi="Times New Roman" w:cs="Times New Roman"/>
          <w:color w:val="000000" w:themeColor="text1"/>
          <w:sz w:val="28"/>
          <w:szCs w:val="28"/>
          <w:lang w:val="es-ES"/>
        </w:rPr>
        <w:t xml:space="preserve"> Este porcentaje se replica en el caso de la rama judicial, con 50</w:t>
      </w:r>
      <w:r w:rsidRPr="0096658B">
        <w:rPr>
          <w:rFonts w:ascii="Times New Roman" w:hAnsi="Times New Roman" w:cs="Times New Roman"/>
          <w:color w:val="000000" w:themeColor="text1"/>
          <w:sz w:val="28"/>
          <w:szCs w:val="28"/>
          <w:lang w:val="es-ES"/>
        </w:rPr>
        <w:t>,</w:t>
      </w:r>
      <w:r w:rsidRPr="0096658B">
        <w:rPr>
          <w:rFonts w:ascii="Times New Roman" w:hAnsi="Times New Roman" w:cs="Times New Roman"/>
          <w:color w:val="000000" w:themeColor="text1"/>
          <w:sz w:val="28"/>
          <w:szCs w:val="28"/>
          <w:lang w:val="es-ES"/>
        </w:rPr>
        <w:t>63% en los 79 CMND reportados y del 49</w:t>
      </w:r>
      <w:r w:rsidRPr="0096658B">
        <w:rPr>
          <w:rFonts w:ascii="Times New Roman" w:hAnsi="Times New Roman" w:cs="Times New Roman"/>
          <w:color w:val="000000" w:themeColor="text1"/>
          <w:sz w:val="28"/>
          <w:szCs w:val="28"/>
          <w:lang w:val="es-ES"/>
        </w:rPr>
        <w:t>,</w:t>
      </w:r>
      <w:r w:rsidRPr="0096658B">
        <w:rPr>
          <w:rFonts w:ascii="Times New Roman" w:hAnsi="Times New Roman" w:cs="Times New Roman"/>
          <w:color w:val="000000" w:themeColor="text1"/>
          <w:sz w:val="28"/>
          <w:szCs w:val="28"/>
          <w:lang w:val="es-ES"/>
        </w:rPr>
        <w:t>18% en los 61 CND reportados.</w:t>
      </w:r>
      <w:r w:rsidRPr="0096658B">
        <w:rPr>
          <w:rFonts w:ascii="Times New Roman" w:hAnsi="Times New Roman" w:cs="Times New Roman"/>
          <w:color w:val="000000" w:themeColor="text1"/>
          <w:sz w:val="28"/>
          <w:szCs w:val="28"/>
          <w:lang w:val="es-ES"/>
        </w:rPr>
        <w:t xml:space="preserve"> En el orden territoria</w:t>
      </w:r>
      <w:r w:rsidRPr="0096658B">
        <w:rPr>
          <w:rFonts w:ascii="Times New Roman" w:hAnsi="Times New Roman" w:cs="Times New Roman"/>
          <w:color w:val="000000" w:themeColor="text1"/>
          <w:sz w:val="28"/>
          <w:szCs w:val="28"/>
          <w:lang w:val="es-ES"/>
        </w:rPr>
        <w:t xml:space="preserve">l, la participación es del rango del 40%. </w:t>
      </w:r>
      <w:r w:rsidRPr="0096658B">
        <w:rPr>
          <w:rFonts w:ascii="Times New Roman" w:hAnsi="Times New Roman" w:cs="Times New Roman"/>
          <w:color w:val="000000" w:themeColor="text1"/>
          <w:sz w:val="28"/>
          <w:szCs w:val="28"/>
          <w:lang w:val="es-ES"/>
        </w:rPr>
        <w:t>Así, para el caso de las gobernaciones la participación es del 47</w:t>
      </w:r>
      <w:r w:rsidRPr="0096658B">
        <w:rPr>
          <w:rFonts w:ascii="Times New Roman" w:hAnsi="Times New Roman" w:cs="Times New Roman"/>
          <w:color w:val="000000" w:themeColor="text1"/>
          <w:sz w:val="28"/>
          <w:szCs w:val="28"/>
          <w:lang w:val="es-ES"/>
        </w:rPr>
        <w:t>,</w:t>
      </w:r>
      <w:r w:rsidRPr="0096658B">
        <w:rPr>
          <w:rFonts w:ascii="Times New Roman" w:hAnsi="Times New Roman" w:cs="Times New Roman"/>
          <w:color w:val="000000" w:themeColor="text1"/>
          <w:sz w:val="28"/>
          <w:szCs w:val="28"/>
          <w:lang w:val="es-ES"/>
        </w:rPr>
        <w:t>62% en los CMND y del 50% en los CND</w:t>
      </w:r>
      <w:r w:rsidRPr="0096658B">
        <w:rPr>
          <w:rFonts w:ascii="Times New Roman" w:hAnsi="Times New Roman" w:cs="Times New Roman"/>
          <w:color w:val="000000" w:themeColor="text1"/>
          <w:sz w:val="28"/>
          <w:szCs w:val="28"/>
          <w:lang w:val="es-ES"/>
        </w:rPr>
        <w:t>,</w:t>
      </w:r>
      <w:r w:rsidRPr="0096658B">
        <w:rPr>
          <w:rFonts w:ascii="Times New Roman" w:hAnsi="Times New Roman" w:cs="Times New Roman"/>
          <w:color w:val="000000" w:themeColor="text1"/>
          <w:sz w:val="28"/>
          <w:szCs w:val="28"/>
          <w:lang w:val="es-ES"/>
        </w:rPr>
        <w:t xml:space="preserve"> y en las alcaldías 47</w:t>
      </w:r>
      <w:r w:rsidRPr="0096658B">
        <w:rPr>
          <w:rFonts w:ascii="Times New Roman" w:hAnsi="Times New Roman" w:cs="Times New Roman"/>
          <w:color w:val="000000" w:themeColor="text1"/>
          <w:sz w:val="28"/>
          <w:szCs w:val="28"/>
          <w:lang w:val="es-ES"/>
        </w:rPr>
        <w:t>,</w:t>
      </w:r>
      <w:r w:rsidRPr="0096658B">
        <w:rPr>
          <w:rFonts w:ascii="Times New Roman" w:hAnsi="Times New Roman" w:cs="Times New Roman"/>
          <w:color w:val="000000" w:themeColor="text1"/>
          <w:sz w:val="28"/>
          <w:szCs w:val="28"/>
          <w:lang w:val="es-ES"/>
        </w:rPr>
        <w:t>61% y 51</w:t>
      </w:r>
      <w:r w:rsidRPr="0096658B">
        <w:rPr>
          <w:rFonts w:ascii="Times New Roman" w:hAnsi="Times New Roman" w:cs="Times New Roman"/>
          <w:color w:val="000000" w:themeColor="text1"/>
          <w:sz w:val="28"/>
          <w:szCs w:val="28"/>
          <w:lang w:val="es-ES"/>
        </w:rPr>
        <w:t>,</w:t>
      </w:r>
      <w:r w:rsidRPr="0096658B">
        <w:rPr>
          <w:rFonts w:ascii="Times New Roman" w:hAnsi="Times New Roman" w:cs="Times New Roman"/>
          <w:color w:val="000000" w:themeColor="text1"/>
          <w:sz w:val="28"/>
          <w:szCs w:val="28"/>
          <w:lang w:val="es-ES"/>
        </w:rPr>
        <w:t xml:space="preserve">43%, respectivamente. Muy similares guarismos </w:t>
      </w:r>
      <w:r w:rsidRPr="0096658B">
        <w:rPr>
          <w:rFonts w:ascii="Times New Roman" w:hAnsi="Times New Roman" w:cs="Times New Roman"/>
          <w:color w:val="000000" w:themeColor="text1"/>
          <w:sz w:val="28"/>
          <w:szCs w:val="28"/>
          <w:lang w:val="es-ES"/>
        </w:rPr>
        <w:t xml:space="preserve">se encuentran en </w:t>
      </w:r>
      <w:r w:rsidRPr="0096658B">
        <w:rPr>
          <w:rFonts w:ascii="Times New Roman" w:hAnsi="Times New Roman" w:cs="Times New Roman"/>
          <w:color w:val="000000" w:themeColor="text1"/>
          <w:sz w:val="28"/>
          <w:szCs w:val="28"/>
          <w:lang w:val="es-ES"/>
        </w:rPr>
        <w:t xml:space="preserve">el caso </w:t>
      </w:r>
      <w:r w:rsidRPr="0096658B">
        <w:rPr>
          <w:rFonts w:ascii="Times New Roman" w:hAnsi="Times New Roman" w:cs="Times New Roman"/>
          <w:color w:val="000000" w:themeColor="text1"/>
          <w:sz w:val="28"/>
          <w:szCs w:val="28"/>
          <w:lang w:val="es-ES"/>
        </w:rPr>
        <w:t>particular del Distrito Capital.</w:t>
      </w:r>
      <w:r w:rsidRPr="0096658B">
        <w:rPr>
          <w:rFonts w:ascii="Times New Roman" w:hAnsi="Times New Roman" w:cs="Times New Roman"/>
          <w:color w:val="000000" w:themeColor="text1"/>
          <w:sz w:val="28"/>
          <w:szCs w:val="28"/>
          <w:lang w:val="es-ES"/>
        </w:rPr>
        <w:t xml:space="preserve"> Con todo, debe tenerse en cuenta que a lo largo de la aplicación de las medidas de cuota se han presentado importante</w:t>
      </w:r>
      <w:r w:rsidRPr="0096658B">
        <w:rPr>
          <w:rFonts w:ascii="Times New Roman" w:hAnsi="Times New Roman" w:cs="Times New Roman"/>
          <w:color w:val="000000" w:themeColor="text1"/>
          <w:sz w:val="28"/>
          <w:szCs w:val="28"/>
          <w:lang w:val="es-ES"/>
        </w:rPr>
        <w:t>s</w:t>
      </w:r>
      <w:r w:rsidRPr="0096658B">
        <w:rPr>
          <w:rFonts w:ascii="Times New Roman" w:hAnsi="Times New Roman" w:cs="Times New Roman"/>
          <w:color w:val="000000" w:themeColor="text1"/>
          <w:sz w:val="28"/>
          <w:szCs w:val="28"/>
          <w:lang w:val="es-ES"/>
        </w:rPr>
        <w:t xml:space="preserve"> desbalances en la implementación en el ámbito nacional, contrastado con el nivel territorial, donde se c</w:t>
      </w:r>
      <w:r w:rsidRPr="0096658B">
        <w:rPr>
          <w:rFonts w:ascii="Times New Roman" w:hAnsi="Times New Roman" w:cs="Times New Roman"/>
          <w:color w:val="000000" w:themeColor="text1"/>
          <w:sz w:val="28"/>
          <w:szCs w:val="28"/>
          <w:lang w:val="es-ES"/>
        </w:rPr>
        <w:t>onserva un rezago importante</w:t>
      </w:r>
      <w:r w:rsidRPr="0096658B">
        <w:rPr>
          <w:rStyle w:val="Refdenotaalpie"/>
          <w:rFonts w:ascii="Times New Roman" w:hAnsi="Times New Roman"/>
          <w:color w:val="000000" w:themeColor="text1"/>
          <w:sz w:val="28"/>
          <w:szCs w:val="28"/>
          <w:lang w:val="es-ES"/>
        </w:rPr>
        <w:footnoteReference w:id="208"/>
      </w:r>
      <w:r w:rsidRPr="0096658B">
        <w:rPr>
          <w:rFonts w:ascii="Times New Roman" w:hAnsi="Times New Roman" w:cs="Times New Roman"/>
          <w:color w:val="000000" w:themeColor="text1"/>
          <w:sz w:val="28"/>
          <w:szCs w:val="28"/>
          <w:lang w:val="es-ES"/>
        </w:rPr>
        <w:t>.</w:t>
      </w:r>
    </w:p>
    <w:p w:rsidR="00A3303A" w:rsidRPr="0096658B" w:rsidRDefault="0096658B" w:rsidP="00A3303A">
      <w:pPr>
        <w:pStyle w:val="Prrafodelista"/>
        <w:rPr>
          <w:rFonts w:ascii="Times New Roman" w:hAnsi="Times New Roman" w:cs="Times New Roman"/>
          <w:color w:val="000000" w:themeColor="text1"/>
          <w:lang w:eastAsia="es-CO"/>
        </w:rPr>
      </w:pPr>
    </w:p>
    <w:p w:rsidR="00A3303A" w:rsidRPr="0096658B" w:rsidRDefault="0096658B" w:rsidP="008B7D9A">
      <w:pPr>
        <w:widowControl w:val="0"/>
        <w:numPr>
          <w:ilvl w:val="0"/>
          <w:numId w:val="5"/>
        </w:numPr>
        <w:shd w:val="clear" w:color="auto" w:fill="FFFFFF" w:themeFill="background1"/>
        <w:tabs>
          <w:tab w:val="left" w:pos="284"/>
        </w:tabs>
        <w:autoSpaceDE w:val="0"/>
        <w:autoSpaceDN w:val="0"/>
        <w:adjustRightInd w:val="0"/>
        <w:ind w:left="0" w:firstLine="0"/>
        <w:jc w:val="both"/>
        <w:rPr>
          <w:rFonts w:ascii="Times New Roman" w:hAnsi="Times New Roman" w:cs="Times New Roman"/>
          <w:color w:val="000000" w:themeColor="text1"/>
          <w:sz w:val="28"/>
          <w:szCs w:val="28"/>
          <w:lang w:val="es-ES"/>
        </w:rPr>
      </w:pPr>
      <w:r w:rsidRPr="0096658B">
        <w:rPr>
          <w:rFonts w:ascii="Times New Roman" w:hAnsi="Times New Roman" w:cs="Times New Roman"/>
          <w:color w:val="000000" w:themeColor="text1"/>
          <w:sz w:val="28"/>
          <w:szCs w:val="28"/>
          <w:lang w:val="es-ES"/>
        </w:rPr>
        <w:t xml:space="preserve">La participación en los CMND ha venido en aumento en los últimos años, como se expresa en la </w:t>
      </w:r>
      <w:r w:rsidRPr="0096658B">
        <w:rPr>
          <w:rFonts w:ascii="Times New Roman" w:hAnsi="Times New Roman" w:cs="Times New Roman"/>
          <w:color w:val="000000" w:themeColor="text1"/>
          <w:sz w:val="28"/>
          <w:szCs w:val="28"/>
          <w:lang w:val="es-ES"/>
        </w:rPr>
        <w:t xml:space="preserve">siguiente </w:t>
      </w:r>
      <w:r w:rsidRPr="0096658B">
        <w:rPr>
          <w:rFonts w:ascii="Times New Roman" w:hAnsi="Times New Roman" w:cs="Times New Roman"/>
          <w:color w:val="000000" w:themeColor="text1"/>
          <w:sz w:val="28"/>
          <w:szCs w:val="28"/>
          <w:lang w:val="es-ES"/>
        </w:rPr>
        <w:t xml:space="preserve">gráfica, también contenida en el </w:t>
      </w:r>
      <w:r w:rsidRPr="0096658B">
        <w:rPr>
          <w:rFonts w:ascii="Times New Roman" w:hAnsi="Times New Roman" w:cs="Times New Roman"/>
          <w:color w:val="000000" w:themeColor="text1"/>
          <w:sz w:val="28"/>
          <w:szCs w:val="28"/>
          <w:lang w:val="es-ES"/>
        </w:rPr>
        <w:t>i</w:t>
      </w:r>
      <w:r w:rsidRPr="0096658B">
        <w:rPr>
          <w:rFonts w:ascii="Times New Roman" w:hAnsi="Times New Roman" w:cs="Times New Roman"/>
          <w:color w:val="000000" w:themeColor="text1"/>
          <w:sz w:val="28"/>
          <w:szCs w:val="28"/>
          <w:lang w:val="es-ES"/>
        </w:rPr>
        <w:t>nforme en comento:</w:t>
      </w:r>
    </w:p>
    <w:p w:rsidR="00A3303A" w:rsidRPr="0096658B" w:rsidRDefault="0096658B" w:rsidP="00A3303A">
      <w:pPr>
        <w:rPr>
          <w:rFonts w:ascii="Times New Roman" w:hAnsi="Times New Roman" w:cs="Times New Roman"/>
          <w:color w:val="000000" w:themeColor="text1"/>
          <w:sz w:val="28"/>
        </w:rPr>
      </w:pPr>
    </w:p>
    <w:p w:rsidR="00A3303A" w:rsidRPr="0096658B" w:rsidRDefault="0096658B" w:rsidP="00A3303A">
      <w:pPr>
        <w:jc w:val="center"/>
        <w:rPr>
          <w:rFonts w:ascii="Times New Roman" w:hAnsi="Times New Roman" w:cs="Times New Roman"/>
          <w:color w:val="000000" w:themeColor="text1"/>
          <w:sz w:val="28"/>
        </w:rPr>
      </w:pPr>
      <w:r w:rsidRPr="0096658B">
        <w:rPr>
          <w:rFonts w:ascii="Times New Roman" w:hAnsi="Times New Roman" w:cs="Times New Roman"/>
          <w:noProof/>
          <w:color w:val="000000" w:themeColor="text1"/>
          <w:sz w:val="28"/>
        </w:rPr>
        <w:drawing>
          <wp:inline distT="0" distB="0" distL="0" distR="0" wp14:anchorId="2D3B7571" wp14:editId="5D154E02">
            <wp:extent cx="4584700" cy="25908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36166" name=""/>
                    <pic:cNvPicPr/>
                  </pic:nvPicPr>
                  <pic:blipFill>
                    <a:blip r:embed="rId8"/>
                    <a:stretch>
                      <a:fillRect/>
                    </a:stretch>
                  </pic:blipFill>
                  <pic:spPr>
                    <a:xfrm>
                      <a:off x="0" y="0"/>
                      <a:ext cx="4584700" cy="2590800"/>
                    </a:xfrm>
                    <a:prstGeom prst="rect">
                      <a:avLst/>
                    </a:prstGeom>
                  </pic:spPr>
                </pic:pic>
              </a:graphicData>
            </a:graphic>
          </wp:inline>
        </w:drawing>
      </w:r>
    </w:p>
    <w:p w:rsidR="00A3303A" w:rsidRPr="0096658B" w:rsidRDefault="0096658B" w:rsidP="00A3303A">
      <w:pPr>
        <w:rPr>
          <w:rFonts w:ascii="Times New Roman" w:hAnsi="Times New Roman" w:cs="Times New Roman"/>
          <w:color w:val="000000" w:themeColor="text1"/>
          <w:sz w:val="28"/>
        </w:rPr>
      </w:pPr>
    </w:p>
    <w:p w:rsidR="00A3303A" w:rsidRPr="0096658B" w:rsidRDefault="0096658B" w:rsidP="008B7D9A">
      <w:pPr>
        <w:widowControl w:val="0"/>
        <w:numPr>
          <w:ilvl w:val="0"/>
          <w:numId w:val="5"/>
        </w:numPr>
        <w:shd w:val="clear" w:color="auto" w:fill="FFFFFF" w:themeFill="background1"/>
        <w:tabs>
          <w:tab w:val="left" w:pos="284"/>
        </w:tabs>
        <w:autoSpaceDE w:val="0"/>
        <w:autoSpaceDN w:val="0"/>
        <w:adjustRightInd w:val="0"/>
        <w:ind w:left="0" w:firstLine="0"/>
        <w:jc w:val="both"/>
        <w:rPr>
          <w:rFonts w:ascii="Times New Roman" w:hAnsi="Times New Roman" w:cs="Times New Roman"/>
          <w:color w:val="000000" w:themeColor="text1"/>
          <w:sz w:val="28"/>
          <w:szCs w:val="28"/>
          <w:lang w:val="es-ES"/>
        </w:rPr>
      </w:pPr>
      <w:r w:rsidRPr="0096658B">
        <w:rPr>
          <w:rFonts w:ascii="Times New Roman" w:hAnsi="Times New Roman" w:cs="Times New Roman"/>
          <w:color w:val="000000" w:themeColor="text1"/>
          <w:sz w:val="28"/>
          <w:szCs w:val="28"/>
          <w:lang w:val="es-ES"/>
        </w:rPr>
        <w:t xml:space="preserve">Analizada la información por sectores y respecto de la rama </w:t>
      </w:r>
      <w:r w:rsidRPr="0096658B">
        <w:rPr>
          <w:rFonts w:ascii="Times New Roman" w:hAnsi="Times New Roman" w:cs="Times New Roman"/>
          <w:color w:val="000000" w:themeColor="text1"/>
          <w:sz w:val="28"/>
          <w:szCs w:val="28"/>
          <w:lang w:val="es-ES"/>
        </w:rPr>
        <w:t>ejecutiva en el orden nacional, el rango de participación alrededor del 50% se encuentra en vivienda, ciudad y territorio; transporte; trabajo; salud y protección social; interior; justicia y del derecho; información estadística; igualdad y equidad; hacien</w:t>
      </w:r>
      <w:r w:rsidRPr="0096658B">
        <w:rPr>
          <w:rFonts w:ascii="Times New Roman" w:hAnsi="Times New Roman" w:cs="Times New Roman"/>
          <w:color w:val="000000" w:themeColor="text1"/>
          <w:sz w:val="28"/>
          <w:szCs w:val="28"/>
          <w:lang w:val="es-ES"/>
        </w:rPr>
        <w:t>da y crédito público; comercio, industria y turismo</w:t>
      </w:r>
      <w:r w:rsidRPr="0096658B">
        <w:rPr>
          <w:rFonts w:ascii="Times New Roman" w:hAnsi="Times New Roman" w:cs="Times New Roman"/>
          <w:color w:val="000000" w:themeColor="text1"/>
          <w:sz w:val="28"/>
          <w:szCs w:val="28"/>
          <w:lang w:val="es-ES"/>
        </w:rPr>
        <w:t xml:space="preserve">; ambiente y desarrollo sostenible; y agropecuario, pesquero y desarrollo rural. </w:t>
      </w:r>
    </w:p>
    <w:p w:rsidR="00D1501E" w:rsidRPr="0096658B" w:rsidRDefault="0096658B" w:rsidP="00D1501E">
      <w:pPr>
        <w:widowControl w:val="0"/>
        <w:shd w:val="clear" w:color="auto" w:fill="FFFFFF" w:themeFill="background1"/>
        <w:tabs>
          <w:tab w:val="left" w:pos="284"/>
        </w:tabs>
        <w:autoSpaceDE w:val="0"/>
        <w:autoSpaceDN w:val="0"/>
        <w:adjustRightInd w:val="0"/>
        <w:jc w:val="both"/>
        <w:rPr>
          <w:rFonts w:ascii="Times New Roman" w:hAnsi="Times New Roman" w:cs="Times New Roman"/>
          <w:color w:val="000000" w:themeColor="text1"/>
          <w:sz w:val="28"/>
          <w:szCs w:val="28"/>
          <w:lang w:val="es-ES"/>
        </w:rPr>
      </w:pPr>
    </w:p>
    <w:p w:rsidR="00D536CA" w:rsidRPr="0096658B" w:rsidRDefault="0096658B" w:rsidP="00890A63">
      <w:pPr>
        <w:widowControl w:val="0"/>
        <w:numPr>
          <w:ilvl w:val="0"/>
          <w:numId w:val="5"/>
        </w:numPr>
        <w:shd w:val="clear" w:color="auto" w:fill="FFFFFF" w:themeFill="background1"/>
        <w:tabs>
          <w:tab w:val="left" w:pos="284"/>
        </w:tabs>
        <w:autoSpaceDE w:val="0"/>
        <w:autoSpaceDN w:val="0"/>
        <w:adjustRightInd w:val="0"/>
        <w:ind w:left="0" w:firstLine="0"/>
        <w:jc w:val="both"/>
        <w:rPr>
          <w:rFonts w:ascii="Times New Roman" w:hAnsi="Times New Roman" w:cs="Times New Roman"/>
          <w:color w:val="000000" w:themeColor="text1"/>
          <w:sz w:val="28"/>
          <w:szCs w:val="28"/>
          <w:lang w:val="es-ES"/>
        </w:rPr>
      </w:pPr>
      <w:r w:rsidRPr="0096658B">
        <w:rPr>
          <w:rFonts w:ascii="Times New Roman" w:hAnsi="Times New Roman" w:cs="Times New Roman"/>
          <w:color w:val="000000" w:themeColor="text1"/>
          <w:sz w:val="28"/>
          <w:szCs w:val="28"/>
          <w:lang w:val="es-ES"/>
        </w:rPr>
        <w:t xml:space="preserve">Finalmente, resulta importante para el análisis la caracterización de las mujeres que ejercen los cargos en mención. Esta </w:t>
      </w:r>
      <w:r w:rsidRPr="0096658B">
        <w:rPr>
          <w:rFonts w:ascii="Times New Roman" w:hAnsi="Times New Roman" w:cs="Times New Roman"/>
          <w:color w:val="000000" w:themeColor="text1"/>
          <w:sz w:val="28"/>
          <w:szCs w:val="28"/>
          <w:lang w:val="es-ES"/>
        </w:rPr>
        <w:t>información no fue expresada en el informe de 2023 pero sí en el de 2022</w:t>
      </w:r>
      <w:r w:rsidRPr="0096658B">
        <w:rPr>
          <w:rStyle w:val="Refdenotaalpie"/>
          <w:rFonts w:ascii="Times New Roman" w:hAnsi="Times New Roman"/>
          <w:color w:val="000000" w:themeColor="text1"/>
          <w:sz w:val="28"/>
          <w:szCs w:val="28"/>
          <w:lang w:val="es-ES"/>
        </w:rPr>
        <w:footnoteReference w:id="209"/>
      </w:r>
      <w:r w:rsidRPr="0096658B">
        <w:rPr>
          <w:rFonts w:ascii="Times New Roman" w:hAnsi="Times New Roman" w:cs="Times New Roman"/>
          <w:color w:val="000000" w:themeColor="text1"/>
          <w:sz w:val="28"/>
          <w:szCs w:val="28"/>
          <w:lang w:val="es-ES"/>
        </w:rPr>
        <w:t>. Las mujeres que ejercen esos cargos están entre 40 y 49 años, tienen estudios de postgrado y percibían, a datos de 2022, un promedio de $5.441.686. En cuanto a sus datos de composic</w:t>
      </w:r>
      <w:r w:rsidRPr="0096658B">
        <w:rPr>
          <w:rFonts w:ascii="Times New Roman" w:hAnsi="Times New Roman" w:cs="Times New Roman"/>
          <w:color w:val="000000" w:themeColor="text1"/>
          <w:sz w:val="28"/>
          <w:szCs w:val="28"/>
          <w:lang w:val="es-ES"/>
        </w:rPr>
        <w:t>ión familiar, 42</w:t>
      </w:r>
      <w:r w:rsidRPr="0096658B">
        <w:rPr>
          <w:rFonts w:ascii="Times New Roman" w:hAnsi="Times New Roman" w:cs="Times New Roman"/>
          <w:color w:val="000000" w:themeColor="text1"/>
          <w:sz w:val="28"/>
          <w:szCs w:val="28"/>
          <w:lang w:val="es-ES"/>
        </w:rPr>
        <w:t>,</w:t>
      </w:r>
      <w:r w:rsidRPr="0096658B">
        <w:rPr>
          <w:rFonts w:ascii="Times New Roman" w:hAnsi="Times New Roman" w:cs="Times New Roman"/>
          <w:color w:val="000000" w:themeColor="text1"/>
          <w:sz w:val="28"/>
          <w:szCs w:val="28"/>
          <w:lang w:val="es-ES"/>
        </w:rPr>
        <w:t>1% no tienen hijos, 26</w:t>
      </w:r>
      <w:r w:rsidRPr="0096658B">
        <w:rPr>
          <w:rFonts w:ascii="Times New Roman" w:hAnsi="Times New Roman" w:cs="Times New Roman"/>
          <w:color w:val="000000" w:themeColor="text1"/>
          <w:sz w:val="28"/>
          <w:szCs w:val="28"/>
          <w:lang w:val="es-ES"/>
        </w:rPr>
        <w:t>,</w:t>
      </w:r>
      <w:r w:rsidRPr="0096658B">
        <w:rPr>
          <w:rFonts w:ascii="Times New Roman" w:hAnsi="Times New Roman" w:cs="Times New Roman"/>
          <w:color w:val="000000" w:themeColor="text1"/>
          <w:sz w:val="28"/>
          <w:szCs w:val="28"/>
          <w:lang w:val="es-ES"/>
        </w:rPr>
        <w:t>9% tienen un hijo, 23</w:t>
      </w:r>
      <w:r w:rsidRPr="0096658B">
        <w:rPr>
          <w:rFonts w:ascii="Times New Roman" w:hAnsi="Times New Roman" w:cs="Times New Roman"/>
          <w:color w:val="000000" w:themeColor="text1"/>
          <w:sz w:val="28"/>
          <w:szCs w:val="28"/>
          <w:lang w:val="es-ES"/>
        </w:rPr>
        <w:t>,</w:t>
      </w:r>
      <w:r w:rsidRPr="0096658B">
        <w:rPr>
          <w:rFonts w:ascii="Times New Roman" w:hAnsi="Times New Roman" w:cs="Times New Roman"/>
          <w:color w:val="000000" w:themeColor="text1"/>
          <w:sz w:val="28"/>
          <w:szCs w:val="28"/>
          <w:lang w:val="es-ES"/>
        </w:rPr>
        <w:t>8% dos hijos, 6</w:t>
      </w:r>
      <w:r w:rsidRPr="0096658B">
        <w:rPr>
          <w:rFonts w:ascii="Times New Roman" w:hAnsi="Times New Roman" w:cs="Times New Roman"/>
          <w:color w:val="000000" w:themeColor="text1"/>
          <w:sz w:val="28"/>
          <w:szCs w:val="28"/>
          <w:lang w:val="es-ES"/>
        </w:rPr>
        <w:t>,</w:t>
      </w:r>
      <w:r w:rsidRPr="0096658B">
        <w:rPr>
          <w:rFonts w:ascii="Times New Roman" w:hAnsi="Times New Roman" w:cs="Times New Roman"/>
          <w:color w:val="000000" w:themeColor="text1"/>
          <w:sz w:val="28"/>
          <w:szCs w:val="28"/>
          <w:lang w:val="es-ES"/>
        </w:rPr>
        <w:t>4% tres hijos y 0</w:t>
      </w:r>
      <w:r w:rsidRPr="0096658B">
        <w:rPr>
          <w:rFonts w:ascii="Times New Roman" w:hAnsi="Times New Roman" w:cs="Times New Roman"/>
          <w:color w:val="000000" w:themeColor="text1"/>
          <w:sz w:val="28"/>
          <w:szCs w:val="28"/>
          <w:lang w:val="es-ES"/>
        </w:rPr>
        <w:t>,</w:t>
      </w:r>
      <w:r w:rsidRPr="0096658B">
        <w:rPr>
          <w:rFonts w:ascii="Times New Roman" w:hAnsi="Times New Roman" w:cs="Times New Roman"/>
          <w:color w:val="000000" w:themeColor="text1"/>
          <w:sz w:val="28"/>
          <w:szCs w:val="28"/>
          <w:lang w:val="es-ES"/>
        </w:rPr>
        <w:t>8% cuatro o más hijos. Asimismo, el 36</w:t>
      </w:r>
      <w:r w:rsidRPr="0096658B">
        <w:rPr>
          <w:rFonts w:ascii="Times New Roman" w:hAnsi="Times New Roman" w:cs="Times New Roman"/>
          <w:color w:val="000000" w:themeColor="text1"/>
          <w:sz w:val="28"/>
          <w:szCs w:val="28"/>
          <w:lang w:val="es-ES"/>
        </w:rPr>
        <w:t>,</w:t>
      </w:r>
      <w:r w:rsidRPr="0096658B">
        <w:rPr>
          <w:rFonts w:ascii="Times New Roman" w:hAnsi="Times New Roman" w:cs="Times New Roman"/>
          <w:color w:val="000000" w:themeColor="text1"/>
          <w:sz w:val="28"/>
          <w:szCs w:val="28"/>
          <w:lang w:val="es-ES"/>
        </w:rPr>
        <w:t>8% son solteras, el 30</w:t>
      </w:r>
      <w:r w:rsidRPr="0096658B">
        <w:rPr>
          <w:rFonts w:ascii="Times New Roman" w:hAnsi="Times New Roman" w:cs="Times New Roman"/>
          <w:color w:val="000000" w:themeColor="text1"/>
          <w:sz w:val="28"/>
          <w:szCs w:val="28"/>
          <w:lang w:val="es-ES"/>
        </w:rPr>
        <w:t>,</w:t>
      </w:r>
      <w:r w:rsidRPr="0096658B">
        <w:rPr>
          <w:rFonts w:ascii="Times New Roman" w:hAnsi="Times New Roman" w:cs="Times New Roman"/>
          <w:color w:val="000000" w:themeColor="text1"/>
          <w:sz w:val="28"/>
          <w:szCs w:val="28"/>
          <w:lang w:val="es-ES"/>
        </w:rPr>
        <w:t>5% casadas y 12</w:t>
      </w:r>
      <w:r w:rsidRPr="0096658B">
        <w:rPr>
          <w:rFonts w:ascii="Times New Roman" w:hAnsi="Times New Roman" w:cs="Times New Roman"/>
          <w:color w:val="000000" w:themeColor="text1"/>
          <w:sz w:val="28"/>
          <w:szCs w:val="28"/>
          <w:lang w:val="es-ES"/>
        </w:rPr>
        <w:t>,</w:t>
      </w:r>
      <w:r w:rsidRPr="0096658B">
        <w:rPr>
          <w:rFonts w:ascii="Times New Roman" w:hAnsi="Times New Roman" w:cs="Times New Roman"/>
          <w:color w:val="000000" w:themeColor="text1"/>
          <w:sz w:val="28"/>
          <w:szCs w:val="28"/>
          <w:lang w:val="es-ES"/>
        </w:rPr>
        <w:t>6% tienen unión libre. En lo que respecta al nivel educativo, la mayoría (65</w:t>
      </w:r>
      <w:r w:rsidRPr="0096658B">
        <w:rPr>
          <w:rFonts w:ascii="Times New Roman" w:hAnsi="Times New Roman" w:cs="Times New Roman"/>
          <w:color w:val="000000" w:themeColor="text1"/>
          <w:sz w:val="28"/>
          <w:szCs w:val="28"/>
          <w:lang w:val="es-ES"/>
        </w:rPr>
        <w:t>,</w:t>
      </w:r>
      <w:r w:rsidRPr="0096658B">
        <w:rPr>
          <w:rFonts w:ascii="Times New Roman" w:hAnsi="Times New Roman" w:cs="Times New Roman"/>
          <w:color w:val="000000" w:themeColor="text1"/>
          <w:sz w:val="28"/>
          <w:szCs w:val="28"/>
          <w:lang w:val="es-ES"/>
        </w:rPr>
        <w:t xml:space="preserve">8%) </w:t>
      </w:r>
      <w:r w:rsidRPr="0096658B">
        <w:rPr>
          <w:rFonts w:ascii="Times New Roman" w:hAnsi="Times New Roman" w:cs="Times New Roman"/>
          <w:color w:val="000000" w:themeColor="text1"/>
          <w:sz w:val="28"/>
          <w:szCs w:val="28"/>
          <w:lang w:val="es-ES"/>
        </w:rPr>
        <w:t>tiene estudios de postgrado, seguidas por el nivel profesional con 23</w:t>
      </w:r>
      <w:r w:rsidRPr="0096658B">
        <w:rPr>
          <w:rFonts w:ascii="Times New Roman" w:hAnsi="Times New Roman" w:cs="Times New Roman"/>
          <w:color w:val="000000" w:themeColor="text1"/>
          <w:sz w:val="28"/>
          <w:szCs w:val="28"/>
          <w:lang w:val="es-ES"/>
        </w:rPr>
        <w:t>,</w:t>
      </w:r>
      <w:r w:rsidRPr="0096658B">
        <w:rPr>
          <w:rFonts w:ascii="Times New Roman" w:hAnsi="Times New Roman" w:cs="Times New Roman"/>
          <w:color w:val="000000" w:themeColor="text1"/>
          <w:sz w:val="28"/>
          <w:szCs w:val="28"/>
          <w:lang w:val="es-ES"/>
        </w:rPr>
        <w:t>3%</w:t>
      </w:r>
      <w:r w:rsidRPr="0096658B">
        <w:rPr>
          <w:rFonts w:ascii="Times New Roman" w:hAnsi="Times New Roman" w:cs="Times New Roman"/>
          <w:color w:val="000000" w:themeColor="text1"/>
          <w:sz w:val="28"/>
          <w:szCs w:val="28"/>
          <w:lang w:val="es-ES"/>
        </w:rPr>
        <w:t>. Como se dijo, la mayoría está entre 40 y 49 años (34</w:t>
      </w:r>
      <w:r w:rsidRPr="0096658B">
        <w:rPr>
          <w:rFonts w:ascii="Times New Roman" w:hAnsi="Times New Roman" w:cs="Times New Roman"/>
          <w:color w:val="000000" w:themeColor="text1"/>
          <w:sz w:val="28"/>
          <w:szCs w:val="28"/>
          <w:lang w:val="es-ES"/>
        </w:rPr>
        <w:t>,</w:t>
      </w:r>
      <w:r w:rsidRPr="0096658B">
        <w:rPr>
          <w:rFonts w:ascii="Times New Roman" w:hAnsi="Times New Roman" w:cs="Times New Roman"/>
          <w:color w:val="000000" w:themeColor="text1"/>
          <w:sz w:val="28"/>
          <w:szCs w:val="28"/>
          <w:lang w:val="es-ES"/>
        </w:rPr>
        <w:t xml:space="preserve">8%), seguidas por las del rango entre 30 a 39 años (31,0%). </w:t>
      </w:r>
    </w:p>
    <w:p w:rsidR="00594A38" w:rsidRPr="0096658B" w:rsidRDefault="0096658B" w:rsidP="00594A38">
      <w:pPr>
        <w:pStyle w:val="Prrafodelista"/>
        <w:rPr>
          <w:rFonts w:ascii="Times New Roman" w:hAnsi="Times New Roman" w:cs="Times New Roman"/>
          <w:color w:val="000000" w:themeColor="text1"/>
          <w:lang w:eastAsia="es-CO"/>
        </w:rPr>
      </w:pPr>
    </w:p>
    <w:p w:rsidR="00594A38" w:rsidRPr="0096658B" w:rsidRDefault="0096658B" w:rsidP="00890A63">
      <w:pPr>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szCs w:val="28"/>
          <w:lang w:val="es-ES"/>
        </w:rPr>
        <w:t>Con base en lo expuesto, se puede concluir que, a datos de 2022, la</w:t>
      </w:r>
      <w:r w:rsidRPr="0096658B">
        <w:rPr>
          <w:rFonts w:ascii="Times New Roman" w:hAnsi="Times New Roman" w:cs="Times New Roman"/>
          <w:color w:val="000000" w:themeColor="text1"/>
          <w:sz w:val="28"/>
          <w:szCs w:val="28"/>
          <w:lang w:val="es-ES"/>
        </w:rPr>
        <w:t xml:space="preserve"> mujer promedio que ejerce cargos directivos en el estado es de mediana edad y no tiene hijos. Esta comprobación es importante, puesto que se muestra indiciaria del hecho de que las mujeres que tienen mayores cargas de labores de cuidado, bien porque están</w:t>
      </w:r>
      <w:r w:rsidRPr="0096658B">
        <w:rPr>
          <w:rFonts w:ascii="Times New Roman" w:hAnsi="Times New Roman" w:cs="Times New Roman"/>
          <w:color w:val="000000" w:themeColor="text1"/>
          <w:sz w:val="28"/>
          <w:szCs w:val="28"/>
          <w:lang w:val="es-ES"/>
        </w:rPr>
        <w:t xml:space="preserve"> casadas, en unión libre o tienen uno o más hijos, encuentran barreras para el acceso a dichos cargos en contraste con sus pares con una composición familiar diferente. </w:t>
      </w:r>
    </w:p>
    <w:p w:rsidR="00594A38" w:rsidRPr="0096658B" w:rsidRDefault="0096658B" w:rsidP="00594A38">
      <w:pPr>
        <w:pStyle w:val="Prrafodelista"/>
        <w:rPr>
          <w:rFonts w:ascii="Times New Roman" w:hAnsi="Times New Roman" w:cs="Times New Roman"/>
          <w:color w:val="000000" w:themeColor="text1"/>
          <w:lang w:eastAsia="es-CO"/>
        </w:rPr>
      </w:pPr>
    </w:p>
    <w:p w:rsidR="0031031D" w:rsidRPr="0096658B" w:rsidRDefault="0096658B" w:rsidP="00890A63">
      <w:pPr>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sz w:val="28"/>
        </w:rPr>
      </w:pPr>
      <w:r w:rsidRPr="0096658B">
        <w:rPr>
          <w:rFonts w:ascii="Times New Roman" w:hAnsi="Times New Roman" w:cs="Times New Roman"/>
          <w:i/>
          <w:iCs/>
          <w:color w:val="000000" w:themeColor="text1"/>
          <w:sz w:val="28"/>
          <w:szCs w:val="28"/>
          <w:lang w:val="es-ES"/>
        </w:rPr>
        <w:t xml:space="preserve">Conclusión. </w:t>
      </w:r>
      <w:r w:rsidRPr="0096658B">
        <w:rPr>
          <w:rFonts w:ascii="Times New Roman" w:hAnsi="Times New Roman" w:cs="Times New Roman"/>
          <w:color w:val="000000" w:themeColor="text1"/>
          <w:sz w:val="28"/>
          <w:szCs w:val="28"/>
          <w:lang w:val="es-ES"/>
        </w:rPr>
        <w:t>L</w:t>
      </w:r>
      <w:r w:rsidRPr="0096658B">
        <w:rPr>
          <w:rFonts w:ascii="Times New Roman" w:hAnsi="Times New Roman" w:cs="Times New Roman"/>
          <w:color w:val="000000" w:themeColor="text1"/>
          <w:sz w:val="28"/>
          <w:szCs w:val="28"/>
          <w:lang w:val="es-ES"/>
        </w:rPr>
        <w:t>os datos recolectados evidencian que l</w:t>
      </w:r>
      <w:r w:rsidRPr="0096658B">
        <w:rPr>
          <w:rFonts w:ascii="Times New Roman" w:hAnsi="Times New Roman" w:cs="Times New Roman"/>
          <w:color w:val="000000" w:themeColor="text1"/>
          <w:sz w:val="28"/>
          <w:szCs w:val="28"/>
          <w:lang w:val="es-ES"/>
        </w:rPr>
        <w:t xml:space="preserve">as mujeres enfrentan desafíos </w:t>
      </w:r>
      <w:r w:rsidRPr="0096658B">
        <w:rPr>
          <w:rFonts w:ascii="Times New Roman" w:hAnsi="Times New Roman" w:cs="Times New Roman"/>
          <w:color w:val="000000" w:themeColor="text1"/>
          <w:sz w:val="28"/>
          <w:szCs w:val="28"/>
          <w:lang w:val="es-ES"/>
        </w:rPr>
        <w:t xml:space="preserve">significativos en términos de acceso a ocupaciones de alta remuneración y calificación, así como a roles de liderazgo y jerarquía dentro de las empresas. La concentración de las mujeres en ocupaciones mal remuneradas y con dominancia femenina, así como su </w:t>
      </w:r>
      <w:r w:rsidRPr="0096658B">
        <w:rPr>
          <w:rFonts w:ascii="Times New Roman" w:hAnsi="Times New Roman" w:cs="Times New Roman"/>
          <w:color w:val="000000" w:themeColor="text1"/>
          <w:sz w:val="28"/>
          <w:szCs w:val="28"/>
          <w:lang w:val="es-ES"/>
        </w:rPr>
        <w:t>menor representación en roles de alta cualificación y liderazgo, refleja la persistencia de barreras estructurales y culturales que limitan su participación plena en el mercado laboral.</w:t>
      </w:r>
      <w:r w:rsidRPr="0096658B">
        <w:rPr>
          <w:rFonts w:ascii="Times New Roman" w:hAnsi="Times New Roman" w:cs="Times New Roman"/>
          <w:color w:val="000000" w:themeColor="text1"/>
          <w:sz w:val="28"/>
          <w:szCs w:val="28"/>
          <w:lang w:val="es-ES"/>
        </w:rPr>
        <w:t xml:space="preserve"> De igual manera, a pesar de que se evidencia que nominalmente existen </w:t>
      </w:r>
      <w:r w:rsidRPr="0096658B">
        <w:rPr>
          <w:rFonts w:ascii="Times New Roman" w:hAnsi="Times New Roman" w:cs="Times New Roman"/>
          <w:color w:val="000000" w:themeColor="text1"/>
          <w:sz w:val="28"/>
          <w:szCs w:val="28"/>
          <w:lang w:val="es-ES"/>
        </w:rPr>
        <w:t>grandes progresos en participación en los cargos directivos del Estado, en todo caso persistirían las barreras derivadas de los efectos de la distribución de las labores de cuidado entre hombres y mujeres.</w:t>
      </w:r>
      <w:r w:rsidRPr="0096658B">
        <w:rPr>
          <w:rFonts w:ascii="Times New Roman" w:hAnsi="Times New Roman" w:cs="Times New Roman"/>
          <w:color w:val="000000" w:themeColor="text1"/>
          <w:sz w:val="28"/>
          <w:szCs w:val="28"/>
          <w:lang w:val="es-ES"/>
        </w:rPr>
        <w:t xml:space="preserve"> </w:t>
      </w:r>
    </w:p>
    <w:p w:rsidR="0031031D" w:rsidRPr="0096658B" w:rsidRDefault="0096658B" w:rsidP="0031031D">
      <w:pPr>
        <w:pStyle w:val="Prrafodelista"/>
        <w:rPr>
          <w:rFonts w:ascii="Times New Roman" w:hAnsi="Times New Roman" w:cs="Times New Roman"/>
          <w:color w:val="000000" w:themeColor="text1"/>
          <w:lang w:eastAsia="es-CO"/>
        </w:rPr>
      </w:pPr>
    </w:p>
    <w:p w:rsidR="00B53BBE" w:rsidRPr="0096658B" w:rsidRDefault="0096658B" w:rsidP="00890A63">
      <w:pPr>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sz w:val="28"/>
        </w:rPr>
      </w:pPr>
      <w:r w:rsidRPr="0096658B">
        <w:rPr>
          <w:rFonts w:ascii="Times New Roman" w:hAnsi="Times New Roman" w:cs="Times New Roman"/>
          <w:color w:val="000000" w:themeColor="text1"/>
          <w:sz w:val="28"/>
          <w:szCs w:val="28"/>
          <w:lang w:val="es-ES"/>
        </w:rPr>
        <w:t xml:space="preserve">Para abordar estas desigualdades, se requieren </w:t>
      </w:r>
      <w:r w:rsidRPr="0096658B">
        <w:rPr>
          <w:rFonts w:ascii="Times New Roman" w:hAnsi="Times New Roman" w:cs="Times New Roman"/>
          <w:color w:val="000000" w:themeColor="text1"/>
          <w:sz w:val="28"/>
          <w:szCs w:val="28"/>
          <w:lang w:val="es-ES"/>
        </w:rPr>
        <w:t>políticas y medidas concretas que promuevan la igualdad de oportunidades y la equidad de género en todos los ámbitos laborales</w:t>
      </w:r>
      <w:r w:rsidRPr="0096658B">
        <w:rPr>
          <w:rFonts w:ascii="Times New Roman" w:hAnsi="Times New Roman" w:cs="Times New Roman"/>
          <w:color w:val="000000" w:themeColor="text1"/>
          <w:sz w:val="28"/>
          <w:szCs w:val="28"/>
          <w:lang w:val="es-ES"/>
        </w:rPr>
        <w:t xml:space="preserve"> que, como se ha insistido en esta decisión, no solo se concentran en asuntos nominales propios de la igualdad formal</w:t>
      </w:r>
      <w:r w:rsidRPr="0096658B">
        <w:rPr>
          <w:rFonts w:ascii="Times New Roman" w:hAnsi="Times New Roman" w:cs="Times New Roman"/>
          <w:color w:val="000000" w:themeColor="text1"/>
          <w:sz w:val="28"/>
          <w:szCs w:val="28"/>
          <w:lang w:val="es-ES"/>
        </w:rPr>
        <w:t>. Esto incluy</w:t>
      </w:r>
      <w:r w:rsidRPr="0096658B">
        <w:rPr>
          <w:rFonts w:ascii="Times New Roman" w:hAnsi="Times New Roman" w:cs="Times New Roman"/>
          <w:color w:val="000000" w:themeColor="text1"/>
          <w:sz w:val="28"/>
          <w:szCs w:val="28"/>
          <w:lang w:val="es-ES"/>
        </w:rPr>
        <w:t>e acciones para eliminar la discriminación de género, fomentar la diversidad y la inclusión en los lugares de trabajo, así como garantizar la igualdad salarial y el acceso equitativo a oportunidades de desarrollo profesional.</w:t>
      </w:r>
    </w:p>
    <w:p w:rsidR="00C611FD" w:rsidRPr="0096658B" w:rsidRDefault="0096658B" w:rsidP="008B7D9A">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color w:val="000000" w:themeColor="text1"/>
          <w:lang w:val="es-ES_tradnl"/>
        </w:rPr>
      </w:pPr>
    </w:p>
    <w:p w:rsidR="00902FB3" w:rsidRPr="0096658B" w:rsidRDefault="0096658B" w:rsidP="00902FB3">
      <w:pPr>
        <w:rPr>
          <w:rFonts w:ascii="Times New Roman" w:hAnsi="Times New Roman" w:cs="Times New Roman"/>
          <w:b/>
          <w:color w:val="000000" w:themeColor="text1"/>
          <w:sz w:val="28"/>
          <w:szCs w:val="28"/>
          <w:lang w:val="es-ES_tradnl"/>
        </w:rPr>
      </w:pPr>
      <w:r w:rsidRPr="0096658B">
        <w:rPr>
          <w:rFonts w:ascii="Times New Roman" w:hAnsi="Times New Roman" w:cs="Times New Roman"/>
          <w:b/>
          <w:color w:val="000000" w:themeColor="text1"/>
          <w:sz w:val="28"/>
          <w:szCs w:val="28"/>
          <w:lang w:val="es-ES_tradnl"/>
        </w:rPr>
        <w:t>La naturaleza temporal de las</w:t>
      </w:r>
      <w:r w:rsidRPr="0096658B">
        <w:rPr>
          <w:rFonts w:ascii="Times New Roman" w:hAnsi="Times New Roman" w:cs="Times New Roman"/>
          <w:b/>
          <w:color w:val="000000" w:themeColor="text1"/>
          <w:sz w:val="28"/>
          <w:szCs w:val="28"/>
          <w:lang w:val="es-ES_tradnl"/>
        </w:rPr>
        <w:t xml:space="preserve"> medidas de cuota</w:t>
      </w:r>
    </w:p>
    <w:p w:rsidR="00902FB3" w:rsidRPr="0096658B" w:rsidRDefault="0096658B" w:rsidP="00902FB3">
      <w:pPr>
        <w:rPr>
          <w:rFonts w:ascii="Times New Roman" w:hAnsi="Times New Roman" w:cs="Times New Roman"/>
          <w:b/>
          <w:color w:val="000000" w:themeColor="text1"/>
          <w:sz w:val="28"/>
          <w:szCs w:val="28"/>
          <w:lang w:val="es-ES_tradnl"/>
        </w:rPr>
      </w:pPr>
    </w:p>
    <w:p w:rsidR="009B7F65" w:rsidRPr="0096658B" w:rsidRDefault="0096658B" w:rsidP="002843A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iCs/>
          <w:color w:val="000000" w:themeColor="text1"/>
          <w:lang w:val="es-ES_tradnl"/>
        </w:rPr>
        <w:t xml:space="preserve">La regla de temporalidad. </w:t>
      </w:r>
      <w:r w:rsidRPr="0096658B">
        <w:rPr>
          <w:rFonts w:ascii="Times New Roman" w:hAnsi="Times New Roman" w:cs="Times New Roman"/>
          <w:color w:val="000000" w:themeColor="text1"/>
          <w:lang w:val="es-ES_tradnl"/>
        </w:rPr>
        <w:t>Como se expresó en fundamento jurídico anterior</w:t>
      </w:r>
      <w:r w:rsidRPr="0096658B">
        <w:rPr>
          <w:rFonts w:ascii="Times New Roman" w:hAnsi="Times New Roman" w:cs="Times New Roman"/>
          <w:color w:val="000000" w:themeColor="text1"/>
          <w:lang w:val="es-ES_tradnl"/>
        </w:rPr>
        <w:t xml:space="preserve">, el artículo 4° de la CEDAW </w:t>
      </w:r>
      <w:r w:rsidRPr="0096658B">
        <w:rPr>
          <w:rFonts w:ascii="Times New Roman" w:hAnsi="Times New Roman" w:cs="Times New Roman"/>
          <w:color w:val="000000" w:themeColor="text1"/>
          <w:lang w:val="es-ES_tradnl"/>
        </w:rPr>
        <w:t xml:space="preserve">dispone </w:t>
      </w:r>
      <w:r w:rsidRPr="0096658B">
        <w:rPr>
          <w:rFonts w:ascii="Times New Roman" w:hAnsi="Times New Roman" w:cs="Times New Roman"/>
          <w:color w:val="000000" w:themeColor="text1"/>
          <w:lang w:val="es-ES_tradnl"/>
        </w:rPr>
        <w:t>que las medidas que adopten los Estados</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destinadas a la aceleración de la igualdad de trato entre hombres y mujeres no constit</w:t>
      </w:r>
      <w:r w:rsidRPr="0096658B">
        <w:rPr>
          <w:rFonts w:ascii="Times New Roman" w:hAnsi="Times New Roman" w:cs="Times New Roman"/>
          <w:color w:val="000000" w:themeColor="text1"/>
          <w:lang w:val="es-ES_tradnl"/>
        </w:rPr>
        <w:t xml:space="preserve">uyen discriminación, a condición de que </w:t>
      </w:r>
      <w:r w:rsidRPr="0096658B">
        <w:rPr>
          <w:rFonts w:ascii="Times New Roman" w:hAnsi="Times New Roman" w:cs="Times New Roman"/>
          <w:i/>
          <w:iCs/>
          <w:color w:val="000000" w:themeColor="text1"/>
          <w:lang w:val="es-ES_tradnl"/>
        </w:rPr>
        <w:t>(i)</w:t>
      </w:r>
      <w:r w:rsidRPr="0096658B">
        <w:rPr>
          <w:rFonts w:ascii="Times New Roman" w:hAnsi="Times New Roman" w:cs="Times New Roman"/>
          <w:color w:val="000000" w:themeColor="text1"/>
          <w:lang w:val="es-ES_tradnl"/>
        </w:rPr>
        <w:t xml:space="preserve"> sean temporales; y por ende </w:t>
      </w:r>
      <w:r w:rsidRPr="0096658B">
        <w:rPr>
          <w:rFonts w:ascii="Times New Roman" w:hAnsi="Times New Roman" w:cs="Times New Roman"/>
          <w:i/>
          <w:iCs/>
          <w:color w:val="000000" w:themeColor="text1"/>
          <w:lang w:val="es-ES_tradnl"/>
        </w:rPr>
        <w:t>(ii)</w:t>
      </w:r>
      <w:r w:rsidRPr="0096658B">
        <w:rPr>
          <w:rFonts w:ascii="Times New Roman" w:hAnsi="Times New Roman" w:cs="Times New Roman"/>
          <w:color w:val="000000" w:themeColor="text1"/>
          <w:lang w:val="es-ES_tradnl"/>
        </w:rPr>
        <w:t xml:space="preserve"> cesen “cuando se hayan alcanzado los objetivos de igualdad de oportunidad y trato”.</w:t>
      </w:r>
    </w:p>
    <w:p w:rsidR="009B7F65" w:rsidRPr="0096658B" w:rsidRDefault="0096658B" w:rsidP="009B7F65">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color w:val="000000" w:themeColor="text1"/>
          <w:lang w:val="es-ES_tradnl"/>
        </w:rPr>
      </w:pPr>
    </w:p>
    <w:p w:rsidR="00902FB3" w:rsidRPr="0096658B" w:rsidRDefault="0096658B" w:rsidP="002843A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Dentro esta misma lógica, la sentencia C-371 de 2000, varias veces reseñada en este fallo, asumió el problema jurídico relativo a si no se contrariaba el mencionado mandato de temporalidad en tanto el </w:t>
      </w:r>
      <w:r w:rsidRPr="0096658B">
        <w:rPr>
          <w:rFonts w:ascii="Times New Roman" w:hAnsi="Times New Roman" w:cs="Times New Roman"/>
          <w:color w:val="000000" w:themeColor="text1"/>
          <w:lang w:val="es-ES_tradnl"/>
        </w:rPr>
        <w:t>le</w:t>
      </w:r>
      <w:r w:rsidRPr="0096658B">
        <w:rPr>
          <w:rFonts w:ascii="Times New Roman" w:hAnsi="Times New Roman" w:cs="Times New Roman"/>
          <w:color w:val="000000" w:themeColor="text1"/>
          <w:lang w:val="es-ES_tradnl"/>
        </w:rPr>
        <w:t>gislador estatutario no había establecido el plazo de</w:t>
      </w:r>
      <w:r w:rsidRPr="0096658B">
        <w:rPr>
          <w:rFonts w:ascii="Times New Roman" w:hAnsi="Times New Roman" w:cs="Times New Roman"/>
          <w:color w:val="000000" w:themeColor="text1"/>
          <w:lang w:val="es-ES_tradnl"/>
        </w:rPr>
        <w:t xml:space="preserve"> vigencia de las disposiciones que establecían medidas de cuota a favor de las mujeres. La respuesta a este interrogante fue negativa, en tanto la Corte consideró que</w:t>
      </w:r>
      <w:r w:rsidRPr="0096658B">
        <w:rPr>
          <w:rFonts w:ascii="Times New Roman" w:hAnsi="Times New Roman" w:cs="Times New Roman"/>
          <w:color w:val="000000" w:themeColor="text1"/>
          <w:lang w:val="es-ES_tradnl"/>
        </w:rPr>
        <w:t>, como se explicó con anterioridad,</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i/>
          <w:iCs/>
          <w:color w:val="000000" w:themeColor="text1"/>
          <w:lang w:val="es-ES_tradnl"/>
        </w:rPr>
        <w:t>(i)</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la vigencia de las normas resultaba “implícita”, p</w:t>
      </w:r>
      <w:r w:rsidRPr="0096658B">
        <w:rPr>
          <w:rFonts w:ascii="Times New Roman" w:hAnsi="Times New Roman" w:cs="Times New Roman"/>
          <w:color w:val="000000" w:themeColor="text1"/>
          <w:lang w:val="es-ES_tradnl"/>
        </w:rPr>
        <w:t>uesto que “una vez alcanzada la participación equitativa en los niveles decisorios del Estado, una cuota mínima del 30% pierde su vigencia”</w:t>
      </w:r>
      <w:r w:rsidRPr="0096658B">
        <w:rPr>
          <w:rStyle w:val="Refdenotaalpie"/>
          <w:rFonts w:ascii="Times New Roman" w:hAnsi="Times New Roman"/>
          <w:color w:val="000000" w:themeColor="text1"/>
          <w:lang w:val="es-ES_tradnl"/>
        </w:rPr>
        <w:footnoteReference w:id="210"/>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i/>
          <w:iCs/>
          <w:color w:val="000000" w:themeColor="text1"/>
          <w:lang w:val="es-ES_tradnl"/>
        </w:rPr>
        <w:t>(ii)</w:t>
      </w:r>
      <w:r w:rsidRPr="0096658B">
        <w:rPr>
          <w:rFonts w:ascii="Times New Roman" w:hAnsi="Times New Roman" w:cs="Times New Roman"/>
          <w:color w:val="000000" w:themeColor="text1"/>
          <w:lang w:val="es-ES_tradnl"/>
        </w:rPr>
        <w:t xml:space="preserve"> este era el entendimiento que de las normas debía realizarse a la luz del artículo 4° de la CEDAW; y </w:t>
      </w:r>
      <w:r w:rsidRPr="0096658B">
        <w:rPr>
          <w:rFonts w:ascii="Times New Roman" w:hAnsi="Times New Roman" w:cs="Times New Roman"/>
          <w:i/>
          <w:iCs/>
          <w:color w:val="000000" w:themeColor="text1"/>
          <w:lang w:val="es-ES_tradnl"/>
        </w:rPr>
        <w:t>(iii)</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el</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Legislador estatutario</w:t>
      </w:r>
      <w:r w:rsidRPr="0096658B">
        <w:rPr>
          <w:rFonts w:ascii="Times New Roman" w:hAnsi="Times New Roman" w:cs="Times New Roman"/>
          <w:color w:val="000000" w:themeColor="text1"/>
          <w:lang w:val="es-ES_tradnl"/>
        </w:rPr>
        <w:t xml:space="preserve"> no podría saber</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“cuándo se logrará la equidad, y mal haría señalando una fecha sin estar seguro de que los propósitos por él trazados pueden cumplirse dentro de un tiempo determinado”</w:t>
      </w:r>
      <w:r w:rsidRPr="0096658B">
        <w:rPr>
          <w:rStyle w:val="Refdenotaalpie"/>
          <w:rFonts w:ascii="Times New Roman" w:hAnsi="Times New Roman"/>
          <w:color w:val="000000" w:themeColor="text1"/>
          <w:lang w:val="es-ES_tradnl"/>
        </w:rPr>
        <w:footnoteReference w:id="211"/>
      </w:r>
      <w:r w:rsidRPr="0096658B">
        <w:rPr>
          <w:rFonts w:ascii="Times New Roman" w:hAnsi="Times New Roman" w:cs="Times New Roman"/>
          <w:color w:val="000000" w:themeColor="text1"/>
          <w:lang w:val="es-ES_tradnl"/>
        </w:rPr>
        <w:t>.</w:t>
      </w:r>
    </w:p>
    <w:p w:rsidR="005D108F" w:rsidRPr="0096658B" w:rsidRDefault="0096658B" w:rsidP="005D108F">
      <w:pPr>
        <w:pStyle w:val="Prrafodelista"/>
        <w:rPr>
          <w:rFonts w:ascii="Times New Roman" w:hAnsi="Times New Roman" w:cs="Times New Roman"/>
          <w:color w:val="000000" w:themeColor="text1"/>
          <w:lang w:val="es-ES_tradnl"/>
        </w:rPr>
      </w:pPr>
    </w:p>
    <w:p w:rsidR="005D108F" w:rsidRPr="0096658B" w:rsidRDefault="0096658B" w:rsidP="002843A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La Sala Plena también advierte que, cuando </w:t>
      </w:r>
      <w:r w:rsidRPr="0096658B">
        <w:rPr>
          <w:rFonts w:ascii="Times New Roman" w:hAnsi="Times New Roman" w:cs="Times New Roman"/>
          <w:color w:val="000000" w:themeColor="text1"/>
          <w:lang w:val="es-ES_tradnl"/>
        </w:rPr>
        <w:t>menos de manera hipotética, la Corte ha considerado que la evidencia empírica sobre el logro de la equidad podría considerarse como un asunto de relevancia para el control de constitucionalidad. En efecto, la sentencia C-</w:t>
      </w:r>
      <w:r w:rsidRPr="0096658B">
        <w:rPr>
          <w:rFonts w:ascii="Times New Roman" w:hAnsi="Times New Roman" w:cs="Times New Roman"/>
          <w:color w:val="000000" w:themeColor="text1"/>
          <w:lang w:val="es-ES_tradnl"/>
        </w:rPr>
        <w:t>128 de 2019</w:t>
      </w:r>
      <w:r w:rsidRPr="0096658B">
        <w:rPr>
          <w:rFonts w:ascii="Times New Roman" w:hAnsi="Times New Roman" w:cs="Times New Roman"/>
          <w:color w:val="000000" w:themeColor="text1"/>
          <w:lang w:val="es-ES_tradnl"/>
        </w:rPr>
        <w:t xml:space="preserve"> analizó una demanda de </w:t>
      </w:r>
      <w:r w:rsidRPr="0096658B">
        <w:rPr>
          <w:rFonts w:ascii="Times New Roman" w:hAnsi="Times New Roman" w:cs="Times New Roman"/>
          <w:color w:val="000000" w:themeColor="text1"/>
          <w:lang w:val="es-ES_tradnl"/>
        </w:rPr>
        <w:t xml:space="preserve">inconstitucionalidad contra el </w:t>
      </w:r>
      <w:r w:rsidRPr="0096658B">
        <w:rPr>
          <w:rFonts w:ascii="Times New Roman" w:hAnsi="Times New Roman" w:cs="Times New Roman"/>
          <w:color w:val="000000" w:themeColor="text1"/>
          <w:lang w:val="es-ES_tradnl"/>
        </w:rPr>
        <w:t xml:space="preserve">artículo 4° de la Ley 581 de 2000, con el argumento de que estaba demostrado que ya se había alcanzado la </w:t>
      </w:r>
      <w:r w:rsidRPr="0096658B">
        <w:rPr>
          <w:rFonts w:ascii="Times New Roman" w:hAnsi="Times New Roman" w:cs="Times New Roman"/>
          <w:color w:val="000000" w:themeColor="text1"/>
          <w:lang w:val="es-ES_tradnl"/>
        </w:rPr>
        <w:t>cuota para las mujeres</w:t>
      </w:r>
      <w:r w:rsidRPr="0096658B">
        <w:rPr>
          <w:rFonts w:ascii="Times New Roman" w:hAnsi="Times New Roman" w:cs="Times New Roman"/>
          <w:color w:val="000000" w:themeColor="text1"/>
          <w:lang w:val="es-ES_tradnl"/>
        </w:rPr>
        <w:t xml:space="preserve"> respecto de su participación en los CMND y CND. Por ende, estas </w:t>
      </w:r>
      <w:r w:rsidRPr="0096658B">
        <w:rPr>
          <w:rFonts w:ascii="Times New Roman" w:hAnsi="Times New Roman" w:cs="Times New Roman"/>
          <w:color w:val="000000" w:themeColor="text1"/>
          <w:lang w:val="es-ES_tradnl"/>
        </w:rPr>
        <w:t>normas devenían</w:t>
      </w:r>
      <w:r w:rsidRPr="0096658B">
        <w:rPr>
          <w:rFonts w:ascii="Times New Roman" w:hAnsi="Times New Roman" w:cs="Times New Roman"/>
          <w:color w:val="000000" w:themeColor="text1"/>
          <w:lang w:val="es-ES_tradnl"/>
        </w:rPr>
        <w:t xml:space="preserve"> inconstitucional</w:t>
      </w:r>
      <w:r w:rsidRPr="0096658B">
        <w:rPr>
          <w:rFonts w:ascii="Times New Roman" w:hAnsi="Times New Roman" w:cs="Times New Roman"/>
          <w:color w:val="000000" w:themeColor="text1"/>
          <w:lang w:val="es-ES_tradnl"/>
        </w:rPr>
        <w:t xml:space="preserve">es. </w:t>
      </w:r>
    </w:p>
    <w:p w:rsidR="003515A2" w:rsidRPr="0096658B" w:rsidRDefault="0096658B" w:rsidP="003515A2">
      <w:pPr>
        <w:pStyle w:val="Prrafodelista"/>
        <w:rPr>
          <w:rFonts w:ascii="Times New Roman" w:hAnsi="Times New Roman" w:cs="Times New Roman"/>
          <w:color w:val="000000" w:themeColor="text1"/>
          <w:lang w:val="es-ES_tradnl"/>
        </w:rPr>
      </w:pPr>
    </w:p>
    <w:p w:rsidR="003515A2" w:rsidRPr="0096658B" w:rsidRDefault="0096658B" w:rsidP="002843A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L</w:t>
      </w:r>
      <w:r w:rsidRPr="0096658B">
        <w:rPr>
          <w:rFonts w:ascii="Times New Roman" w:hAnsi="Times New Roman" w:cs="Times New Roman"/>
          <w:color w:val="000000" w:themeColor="text1"/>
          <w:lang w:val="es-ES_tradnl"/>
        </w:rPr>
        <w:t xml:space="preserve">a Corte finalmente adoptó un fallo inhibitorio debido a que los demandantes no </w:t>
      </w:r>
      <w:r w:rsidRPr="0096658B">
        <w:rPr>
          <w:rFonts w:ascii="Times New Roman" w:hAnsi="Times New Roman" w:cs="Times New Roman"/>
          <w:color w:val="000000" w:themeColor="text1"/>
          <w:lang w:val="es-ES_tradnl"/>
        </w:rPr>
        <w:t>demostraron</w:t>
      </w:r>
      <w:r w:rsidRPr="0096658B">
        <w:rPr>
          <w:rFonts w:ascii="Times New Roman" w:hAnsi="Times New Roman" w:cs="Times New Roman"/>
          <w:color w:val="000000" w:themeColor="text1"/>
          <w:lang w:val="es-ES_tradnl"/>
        </w:rPr>
        <w:t xml:space="preserve"> empíricamente </w:t>
      </w:r>
      <w:r w:rsidRPr="0096658B">
        <w:rPr>
          <w:rFonts w:ascii="Times New Roman" w:hAnsi="Times New Roman" w:cs="Times New Roman"/>
          <w:color w:val="000000" w:themeColor="text1"/>
          <w:lang w:val="es-ES_tradnl"/>
        </w:rPr>
        <w:t>el alegado cumplimiento de la cuota</w:t>
      </w:r>
      <w:r w:rsidRPr="0096658B">
        <w:rPr>
          <w:rFonts w:ascii="Times New Roman" w:hAnsi="Times New Roman" w:cs="Times New Roman"/>
          <w:color w:val="000000" w:themeColor="text1"/>
          <w:lang w:val="es-ES_tradnl"/>
        </w:rPr>
        <w:t>, lo cual incumplía con el requisito de suficiencia del cargo planteado</w:t>
      </w:r>
      <w:r w:rsidRPr="0096658B">
        <w:rPr>
          <w:rFonts w:ascii="Times New Roman" w:hAnsi="Times New Roman" w:cs="Times New Roman"/>
          <w:color w:val="000000" w:themeColor="text1"/>
          <w:lang w:val="es-ES_tradnl"/>
        </w:rPr>
        <w:t>. Sin embargo, consideró que el reproc</w:t>
      </w:r>
      <w:r w:rsidRPr="0096658B">
        <w:rPr>
          <w:rFonts w:ascii="Times New Roman" w:hAnsi="Times New Roman" w:cs="Times New Roman"/>
          <w:color w:val="000000" w:themeColor="text1"/>
          <w:lang w:val="es-ES_tradnl"/>
        </w:rPr>
        <w:t xml:space="preserve">he expresado en la demanda sí era sustantivo, al punto de que permitía </w:t>
      </w:r>
      <w:r w:rsidRPr="0096658B">
        <w:rPr>
          <w:rFonts w:ascii="Times New Roman" w:hAnsi="Times New Roman" w:cs="Times New Roman"/>
          <w:i/>
          <w:color w:val="000000" w:themeColor="text1"/>
          <w:lang w:val="es-ES_tradnl"/>
        </w:rPr>
        <w:t xml:space="preserve">prima facie </w:t>
      </w:r>
      <w:r w:rsidRPr="0096658B">
        <w:rPr>
          <w:rFonts w:ascii="Times New Roman" w:hAnsi="Times New Roman" w:cs="Times New Roman"/>
          <w:color w:val="000000" w:themeColor="text1"/>
          <w:lang w:val="es-ES_tradnl"/>
        </w:rPr>
        <w:t>debilitar los efectos de cosa juzgada sobre el proyecto de ley estatutaria que fue declarado constitucional en la sentencia C-371 de 200</w:t>
      </w:r>
      <w:r w:rsidRPr="0096658B">
        <w:rPr>
          <w:rFonts w:ascii="Times New Roman" w:hAnsi="Times New Roman" w:cs="Times New Roman"/>
          <w:color w:val="000000" w:themeColor="text1"/>
          <w:lang w:val="es-ES_tradnl"/>
        </w:rPr>
        <w:t>0</w:t>
      </w:r>
      <w:r w:rsidRPr="0096658B">
        <w:rPr>
          <w:rFonts w:ascii="Times New Roman" w:hAnsi="Times New Roman" w:cs="Times New Roman"/>
          <w:color w:val="000000" w:themeColor="text1"/>
          <w:lang w:val="es-ES_tradnl"/>
        </w:rPr>
        <w:t xml:space="preserve"> y que dio lugar a la Ley 581 de 200</w:t>
      </w:r>
      <w:r w:rsidRPr="0096658B">
        <w:rPr>
          <w:rFonts w:ascii="Times New Roman" w:hAnsi="Times New Roman" w:cs="Times New Roman"/>
          <w:color w:val="000000" w:themeColor="text1"/>
          <w:lang w:val="es-ES_tradnl"/>
        </w:rPr>
        <w:t>0. Así, sobre el particular no existía cosa juzgada en tanto “la cuota de participación de la mujer constituye una medida de acción afirmativa que tiene una vigencia temporal limitada al cumplimiento del fin para el cual fue consagrada, por lo que, nada im</w:t>
      </w:r>
      <w:r w:rsidRPr="0096658B">
        <w:rPr>
          <w:rFonts w:ascii="Times New Roman" w:hAnsi="Times New Roman" w:cs="Times New Roman"/>
          <w:color w:val="000000" w:themeColor="text1"/>
          <w:lang w:val="es-ES_tradnl"/>
        </w:rPr>
        <w:t>pide que dicha disposición sea objeto de demandas de inconstitucionalidad encaminadas a demostrar que ya desaparecieron las barreras de discriminación que dieron lugar a la implementación de dicha medida”</w:t>
      </w:r>
      <w:r w:rsidRPr="0096658B">
        <w:rPr>
          <w:rStyle w:val="Refdenotaalpie"/>
          <w:rFonts w:ascii="Times New Roman" w:hAnsi="Times New Roman"/>
          <w:color w:val="000000" w:themeColor="text1"/>
          <w:lang w:val="es-ES_tradnl"/>
        </w:rPr>
        <w:footnoteReference w:id="212"/>
      </w:r>
      <w:r w:rsidRPr="0096658B">
        <w:rPr>
          <w:rFonts w:ascii="Times New Roman" w:hAnsi="Times New Roman" w:cs="Times New Roman"/>
          <w:color w:val="000000" w:themeColor="text1"/>
          <w:lang w:val="es-ES_tradnl"/>
        </w:rPr>
        <w:t>.</w:t>
      </w:r>
    </w:p>
    <w:p w:rsidR="002B1B9D" w:rsidRPr="0096658B" w:rsidRDefault="0096658B" w:rsidP="002B1B9D">
      <w:pPr>
        <w:pStyle w:val="Prrafodelista"/>
        <w:rPr>
          <w:rFonts w:ascii="Times New Roman" w:hAnsi="Times New Roman" w:cs="Times New Roman"/>
          <w:color w:val="000000" w:themeColor="text1"/>
          <w:lang w:val="es-ES_tradnl"/>
        </w:rPr>
      </w:pPr>
    </w:p>
    <w:p w:rsidR="002B1B9D" w:rsidRPr="0096658B" w:rsidRDefault="0096658B" w:rsidP="002843A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iCs/>
          <w:color w:val="000000" w:themeColor="text1"/>
          <w:lang w:val="es-ES_tradnl"/>
        </w:rPr>
        <w:t xml:space="preserve">Medidas de cuota y reafirmación de la paridad. </w:t>
      </w:r>
      <w:r w:rsidRPr="0096658B">
        <w:rPr>
          <w:rFonts w:ascii="Times New Roman" w:hAnsi="Times New Roman" w:cs="Times New Roman"/>
          <w:color w:val="000000" w:themeColor="text1"/>
          <w:lang w:val="es-ES_tradnl"/>
        </w:rPr>
        <w:t>Acerca de esta materia, la Corte considera importante precisar dos aspectos. En primer lugar, resulta necesario distinguir conceptualmente entre las medidas de cuota y aquellas que limitan a su alcance a reconocer la paridad entre hombres y mujeres en la e</w:t>
      </w:r>
      <w:r w:rsidRPr="0096658B">
        <w:rPr>
          <w:rFonts w:ascii="Times New Roman" w:hAnsi="Times New Roman" w:cs="Times New Roman"/>
          <w:color w:val="000000" w:themeColor="text1"/>
          <w:lang w:val="es-ES_tradnl"/>
        </w:rPr>
        <w:t>sfera pública. Las primeras tienen un propósito definido</w:t>
      </w:r>
      <w:r w:rsidRPr="0096658B">
        <w:rPr>
          <w:rFonts w:ascii="Times New Roman" w:hAnsi="Times New Roman" w:cs="Times New Roman"/>
          <w:color w:val="000000" w:themeColor="text1"/>
          <w:lang w:val="es-ES_tradnl"/>
        </w:rPr>
        <w:t>, esto es,</w:t>
      </w:r>
      <w:r w:rsidRPr="0096658B">
        <w:rPr>
          <w:rFonts w:ascii="Times New Roman" w:hAnsi="Times New Roman" w:cs="Times New Roman"/>
          <w:color w:val="000000" w:themeColor="text1"/>
          <w:lang w:val="es-ES_tradnl"/>
        </w:rPr>
        <w:t xml:space="preserve"> servir de catalizadores a la igualdad, por lo que tienen </w:t>
      </w:r>
      <w:r w:rsidRPr="0096658B">
        <w:rPr>
          <w:rFonts w:ascii="Times New Roman" w:hAnsi="Times New Roman" w:cs="Times New Roman"/>
          <w:color w:val="000000" w:themeColor="text1"/>
          <w:lang w:val="es-ES_tradnl"/>
        </w:rPr>
        <w:t>cuando menos</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dos componentes: la imposición de mínimos de participación a favor de las mujeres y el carácter obligatorio, generalmen</w:t>
      </w:r>
      <w:r w:rsidRPr="0096658B">
        <w:rPr>
          <w:rFonts w:ascii="Times New Roman" w:hAnsi="Times New Roman" w:cs="Times New Roman"/>
          <w:color w:val="000000" w:themeColor="text1"/>
          <w:lang w:val="es-ES_tradnl"/>
        </w:rPr>
        <w:t xml:space="preserve">te sometido a determinada sanción jurídica, </w:t>
      </w:r>
      <w:r w:rsidRPr="0096658B">
        <w:rPr>
          <w:rFonts w:ascii="Times New Roman" w:hAnsi="Times New Roman" w:cs="Times New Roman"/>
          <w:color w:val="000000" w:themeColor="text1"/>
          <w:lang w:val="es-ES_tradnl"/>
        </w:rPr>
        <w:t>por el incumplimiento de esos mínimos. Las segundas, en cambio, solo reiteran la obligación constitucional, explicada en apartado anterior de esta sentencia, de prodigar a</w:t>
      </w:r>
      <w:r w:rsidRPr="0096658B">
        <w:rPr>
          <w:rFonts w:ascii="Times New Roman" w:hAnsi="Times New Roman" w:cs="Times New Roman"/>
          <w:color w:val="000000" w:themeColor="text1"/>
          <w:lang w:val="es-ES_tradnl"/>
        </w:rPr>
        <w:t xml:space="preserve"> los </w:t>
      </w:r>
      <w:r w:rsidRPr="0096658B">
        <w:rPr>
          <w:rFonts w:ascii="Times New Roman" w:hAnsi="Times New Roman" w:cs="Times New Roman"/>
          <w:color w:val="000000" w:themeColor="text1"/>
          <w:lang w:val="es-ES_tradnl"/>
        </w:rPr>
        <w:t>géneros un tratamiento equitativo re</w:t>
      </w:r>
      <w:r w:rsidRPr="0096658B">
        <w:rPr>
          <w:rFonts w:ascii="Times New Roman" w:hAnsi="Times New Roman" w:cs="Times New Roman"/>
          <w:color w:val="000000" w:themeColor="text1"/>
          <w:lang w:val="es-ES_tradnl"/>
        </w:rPr>
        <w:t xml:space="preserve">specto del acceso al ámbito público y, en particular, a las posiciones decisorias dentro del Estado. </w:t>
      </w:r>
    </w:p>
    <w:p w:rsidR="007D1338" w:rsidRPr="0096658B" w:rsidRDefault="0096658B" w:rsidP="007D1338">
      <w:pPr>
        <w:pStyle w:val="Prrafodelista"/>
        <w:rPr>
          <w:rFonts w:ascii="Times New Roman" w:hAnsi="Times New Roman" w:cs="Times New Roman"/>
          <w:color w:val="000000" w:themeColor="text1"/>
          <w:lang w:val="es-ES_tradnl"/>
        </w:rPr>
      </w:pPr>
    </w:p>
    <w:p w:rsidR="007D1338" w:rsidRPr="0096658B" w:rsidRDefault="0096658B" w:rsidP="002843A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Únicamente el primer tipo de medidas están sujetas a su desmonte cuando se logre la participación equitativa, puesto que las segundas tienen carácter per</w:t>
      </w:r>
      <w:r w:rsidRPr="0096658B">
        <w:rPr>
          <w:rFonts w:ascii="Times New Roman" w:hAnsi="Times New Roman" w:cs="Times New Roman"/>
          <w:color w:val="000000" w:themeColor="text1"/>
          <w:lang w:val="es-ES_tradnl"/>
        </w:rPr>
        <w:t xml:space="preserve">manente habida cuenta </w:t>
      </w:r>
      <w:r w:rsidRPr="0096658B">
        <w:rPr>
          <w:rFonts w:ascii="Times New Roman" w:hAnsi="Times New Roman" w:cs="Times New Roman"/>
          <w:color w:val="000000" w:themeColor="text1"/>
          <w:lang w:val="es-ES_tradnl"/>
        </w:rPr>
        <w:t xml:space="preserve">de </w:t>
      </w:r>
      <w:r w:rsidRPr="0096658B">
        <w:rPr>
          <w:rFonts w:ascii="Times New Roman" w:hAnsi="Times New Roman" w:cs="Times New Roman"/>
          <w:color w:val="000000" w:themeColor="text1"/>
          <w:lang w:val="es-ES_tradnl"/>
        </w:rPr>
        <w:t>que la paridad es un mandato constitucional que, de suyo, se mantiene en el tiempo.</w:t>
      </w:r>
      <w:r w:rsidRPr="0096658B">
        <w:rPr>
          <w:rFonts w:ascii="Times New Roman" w:hAnsi="Times New Roman" w:cs="Times New Roman"/>
          <w:color w:val="000000" w:themeColor="text1"/>
          <w:lang w:val="es-ES_tradnl"/>
        </w:rPr>
        <w:t xml:space="preserve"> La naturaleza temporal de las medidas de cuota, además, tiene sustento superior en la medida en que incorporan un escenario exceptivo al principio </w:t>
      </w:r>
      <w:r w:rsidRPr="0096658B">
        <w:rPr>
          <w:rFonts w:ascii="Times New Roman" w:hAnsi="Times New Roman" w:cs="Times New Roman"/>
          <w:color w:val="000000" w:themeColor="text1"/>
          <w:lang w:val="es-ES_tradnl"/>
        </w:rPr>
        <w:t xml:space="preserve">de igualdad de acceso a los cargos del Estado y fundado en un criterio de mérito. Ello con el fin de garantizar la igualdad de oportunidades y ante la discriminación histórica que han sufrido las mujeres, conforme se ha explicado en esta sentencia. </w:t>
      </w:r>
    </w:p>
    <w:p w:rsidR="000C6486" w:rsidRPr="0096658B" w:rsidRDefault="0096658B" w:rsidP="000C6486">
      <w:pPr>
        <w:pStyle w:val="Prrafodelista"/>
        <w:rPr>
          <w:rFonts w:ascii="Times New Roman" w:hAnsi="Times New Roman" w:cs="Times New Roman"/>
          <w:color w:val="000000" w:themeColor="text1"/>
          <w:lang w:val="es-ES_tradnl"/>
        </w:rPr>
      </w:pPr>
    </w:p>
    <w:p w:rsidR="000C6486" w:rsidRPr="0096658B" w:rsidRDefault="0096658B" w:rsidP="002843A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iCs/>
          <w:color w:val="000000" w:themeColor="text1"/>
          <w:lang w:val="es-ES_tradnl"/>
        </w:rPr>
        <w:t>La te</w:t>
      </w:r>
      <w:r w:rsidRPr="0096658B">
        <w:rPr>
          <w:rFonts w:ascii="Times New Roman" w:hAnsi="Times New Roman" w:cs="Times New Roman"/>
          <w:i/>
          <w:iCs/>
          <w:color w:val="000000" w:themeColor="text1"/>
          <w:lang w:val="es-ES_tradnl"/>
        </w:rPr>
        <w:t xml:space="preserve">mporalidad es un asunto que debe definir el legislador estatutario. </w:t>
      </w:r>
      <w:r w:rsidRPr="0096658B">
        <w:rPr>
          <w:rFonts w:ascii="Times New Roman" w:hAnsi="Times New Roman" w:cs="Times New Roman"/>
          <w:color w:val="000000" w:themeColor="text1"/>
          <w:lang w:val="es-ES_tradnl"/>
        </w:rPr>
        <w:t xml:space="preserve">Ahora bien, también corresponde determinar a qué instancia le corresponde </w:t>
      </w:r>
      <w:r w:rsidRPr="0096658B">
        <w:rPr>
          <w:rFonts w:ascii="Times New Roman" w:hAnsi="Times New Roman" w:cs="Times New Roman"/>
          <w:color w:val="000000" w:themeColor="text1"/>
          <w:lang w:val="es-ES_tradnl"/>
        </w:rPr>
        <w:t>definir cu</w:t>
      </w:r>
      <w:r w:rsidRPr="0096658B">
        <w:rPr>
          <w:rFonts w:ascii="Times New Roman" w:hAnsi="Times New Roman" w:cs="Times New Roman"/>
          <w:color w:val="000000" w:themeColor="text1"/>
          <w:lang w:val="es-ES_tradnl"/>
        </w:rPr>
        <w:t>á</w:t>
      </w:r>
      <w:r w:rsidRPr="0096658B">
        <w:rPr>
          <w:rFonts w:ascii="Times New Roman" w:hAnsi="Times New Roman" w:cs="Times New Roman"/>
          <w:color w:val="000000" w:themeColor="text1"/>
          <w:lang w:val="es-ES_tradnl"/>
        </w:rPr>
        <w:t xml:space="preserve">ndo se ha logrado </w:t>
      </w:r>
      <w:r w:rsidRPr="0096658B">
        <w:rPr>
          <w:rFonts w:ascii="Times New Roman" w:hAnsi="Times New Roman" w:cs="Times New Roman"/>
          <w:color w:val="000000" w:themeColor="text1"/>
          <w:lang w:val="es-ES_tradnl"/>
        </w:rPr>
        <w:t>la equidad en la participación en las altas responsabilidades estatales. Al respecto,</w:t>
      </w:r>
      <w:r w:rsidRPr="0096658B">
        <w:rPr>
          <w:rFonts w:ascii="Times New Roman" w:hAnsi="Times New Roman" w:cs="Times New Roman"/>
          <w:color w:val="000000" w:themeColor="text1"/>
          <w:lang w:val="es-ES_tradnl"/>
        </w:rPr>
        <w:t xml:space="preserve"> debe tenerse en cuenta que la definición de ese asunto no se limita a determinar el porcentaje de cargos ocupados. En cambio, la faceta material del derecho a la igualdad, como se explicó en precedencia, exige determinar tanto la participación nominal com</w:t>
      </w:r>
      <w:r w:rsidRPr="0096658B">
        <w:rPr>
          <w:rFonts w:ascii="Times New Roman" w:hAnsi="Times New Roman" w:cs="Times New Roman"/>
          <w:color w:val="000000" w:themeColor="text1"/>
          <w:lang w:val="es-ES_tradnl"/>
        </w:rPr>
        <w:t xml:space="preserve">o otros aspectos, entre ellos, la adaptación de esa participación en términos de reconocimiento de las desigualdades existentes en la distribución de las cargas del cuidado y la superación de los estereotipos </w:t>
      </w:r>
      <w:r w:rsidRPr="0096658B">
        <w:rPr>
          <w:rFonts w:ascii="Times New Roman" w:hAnsi="Times New Roman" w:cs="Times New Roman"/>
          <w:color w:val="000000" w:themeColor="text1"/>
          <w:lang w:val="es-ES_tradnl"/>
        </w:rPr>
        <w:t>y prejuicios que pesan sobre las mujeres en rel</w:t>
      </w:r>
      <w:r w:rsidRPr="0096658B">
        <w:rPr>
          <w:rFonts w:ascii="Times New Roman" w:hAnsi="Times New Roman" w:cs="Times New Roman"/>
          <w:color w:val="000000" w:themeColor="text1"/>
          <w:lang w:val="es-ES_tradnl"/>
        </w:rPr>
        <w:t xml:space="preserve">ación con el ejercicio de cargos directivos. </w:t>
      </w:r>
    </w:p>
    <w:p w:rsidR="00C8236C" w:rsidRPr="0096658B" w:rsidRDefault="0096658B" w:rsidP="00C8236C">
      <w:pPr>
        <w:pStyle w:val="Prrafodelista"/>
        <w:rPr>
          <w:rFonts w:ascii="Times New Roman" w:hAnsi="Times New Roman" w:cs="Times New Roman"/>
          <w:color w:val="000000" w:themeColor="text1"/>
          <w:lang w:val="es-ES_tradnl"/>
        </w:rPr>
      </w:pPr>
    </w:p>
    <w:p w:rsidR="00C8236C" w:rsidRPr="0096658B" w:rsidRDefault="0096658B" w:rsidP="002843A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Como es sencillo observar, estos asuntos son de conveniencia y no necesariamente de validez constituciona</w:t>
      </w:r>
      <w:r w:rsidRPr="0096658B">
        <w:rPr>
          <w:rFonts w:ascii="Times New Roman" w:hAnsi="Times New Roman" w:cs="Times New Roman"/>
          <w:color w:val="000000" w:themeColor="text1"/>
          <w:lang w:val="es-ES_tradnl"/>
        </w:rPr>
        <w:t>l</w:t>
      </w:r>
      <w:r w:rsidRPr="0096658B">
        <w:rPr>
          <w:rFonts w:ascii="Times New Roman" w:hAnsi="Times New Roman" w:cs="Times New Roman"/>
          <w:color w:val="000000" w:themeColor="text1"/>
          <w:lang w:val="es-ES_tradnl"/>
        </w:rPr>
        <w:t xml:space="preserve">. Igualmente, </w:t>
      </w:r>
      <w:r w:rsidRPr="0096658B">
        <w:rPr>
          <w:rFonts w:ascii="Times New Roman" w:hAnsi="Times New Roman" w:cs="Times New Roman"/>
          <w:color w:val="000000" w:themeColor="text1"/>
          <w:lang w:val="es-ES_tradnl"/>
        </w:rPr>
        <w:t xml:space="preserve">su acreditación </w:t>
      </w:r>
      <w:r w:rsidRPr="0096658B">
        <w:rPr>
          <w:rFonts w:ascii="Times New Roman" w:hAnsi="Times New Roman" w:cs="Times New Roman"/>
          <w:color w:val="000000" w:themeColor="text1"/>
          <w:lang w:val="es-ES_tradnl"/>
        </w:rPr>
        <w:t xml:space="preserve">exige no solo una evaluación cuantitativa (cuál es el porcentaje de </w:t>
      </w:r>
      <w:r w:rsidRPr="0096658B">
        <w:rPr>
          <w:rFonts w:ascii="Times New Roman" w:hAnsi="Times New Roman" w:cs="Times New Roman"/>
          <w:color w:val="000000" w:themeColor="text1"/>
          <w:lang w:val="es-ES_tradnl"/>
        </w:rPr>
        <w:t>participación), sino también una de naturaleza cualitativa (cómo se adaptan los cargos directivos a las cargas de cuidado, qué rasgos de los CMND y CND reproducen estereotipos de género, cómo estos cargos reconocen y aplican la perspectiva de género, etc.)</w:t>
      </w:r>
      <w:r w:rsidRPr="0096658B">
        <w:rPr>
          <w:rFonts w:ascii="Times New Roman" w:hAnsi="Times New Roman" w:cs="Times New Roman"/>
          <w:color w:val="000000" w:themeColor="text1"/>
          <w:lang w:val="es-ES_tradnl"/>
        </w:rPr>
        <w:t>.</w:t>
      </w:r>
    </w:p>
    <w:p w:rsidR="002F5C0F" w:rsidRPr="0096658B" w:rsidRDefault="0096658B" w:rsidP="002F5C0F">
      <w:pPr>
        <w:pStyle w:val="Prrafodelista"/>
        <w:rPr>
          <w:rFonts w:ascii="Times New Roman" w:hAnsi="Times New Roman" w:cs="Times New Roman"/>
          <w:color w:val="000000" w:themeColor="text1"/>
          <w:lang w:val="es-ES_tradnl"/>
        </w:rPr>
      </w:pPr>
    </w:p>
    <w:p w:rsidR="00D64589" w:rsidRPr="0096658B" w:rsidRDefault="0096658B" w:rsidP="002843A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Es indubitable que estos asuntos, al evaluar la conveniencia del desmonte de las medidas de cuota, hacen parte del margen de configuración del Congreso y, en particular, de la competencia exclusiva del </w:t>
      </w:r>
      <w:r w:rsidRPr="0096658B">
        <w:rPr>
          <w:rFonts w:ascii="Times New Roman" w:hAnsi="Times New Roman" w:cs="Times New Roman"/>
          <w:color w:val="000000" w:themeColor="text1"/>
          <w:lang w:val="es-ES_tradnl"/>
        </w:rPr>
        <w:t>l</w:t>
      </w:r>
      <w:r w:rsidRPr="0096658B">
        <w:rPr>
          <w:rFonts w:ascii="Times New Roman" w:hAnsi="Times New Roman" w:cs="Times New Roman"/>
          <w:color w:val="000000" w:themeColor="text1"/>
          <w:lang w:val="es-ES_tradnl"/>
        </w:rPr>
        <w:t>egislador estatutario. Es en esa instancia democrá</w:t>
      </w:r>
      <w:r w:rsidRPr="0096658B">
        <w:rPr>
          <w:rFonts w:ascii="Times New Roman" w:hAnsi="Times New Roman" w:cs="Times New Roman"/>
          <w:color w:val="000000" w:themeColor="text1"/>
          <w:lang w:val="es-ES_tradnl"/>
        </w:rPr>
        <w:t>tica y deliberativa donde, además, también puede</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 xml:space="preserve">plantearse la pertinencia de reglas </w:t>
      </w:r>
      <w:r w:rsidRPr="0096658B">
        <w:rPr>
          <w:rFonts w:ascii="Times New Roman" w:hAnsi="Times New Roman" w:cs="Times New Roman"/>
          <w:color w:val="000000" w:themeColor="text1"/>
          <w:lang w:val="es-ES_tradnl"/>
        </w:rPr>
        <w:t>sobre la transición en el hipotético desmonte de la medida, su carácter progresivo o no</w:t>
      </w:r>
      <w:r w:rsidRPr="0096658B">
        <w:rPr>
          <w:rFonts w:ascii="Times New Roman" w:hAnsi="Times New Roman" w:cs="Times New Roman"/>
          <w:color w:val="000000" w:themeColor="text1"/>
          <w:lang w:val="es-ES_tradnl"/>
        </w:rPr>
        <w:t xml:space="preserve"> y</w:t>
      </w:r>
      <w:r w:rsidRPr="0096658B">
        <w:rPr>
          <w:rFonts w:ascii="Times New Roman" w:hAnsi="Times New Roman" w:cs="Times New Roman"/>
          <w:color w:val="000000" w:themeColor="text1"/>
          <w:lang w:val="es-ES_tradnl"/>
        </w:rPr>
        <w:t xml:space="preserve"> la definición de los cargos particulares en donde debe realizarse dicho desmonte,</w:t>
      </w:r>
      <w:r w:rsidRPr="0096658B">
        <w:rPr>
          <w:rFonts w:ascii="Times New Roman" w:hAnsi="Times New Roman" w:cs="Times New Roman"/>
          <w:color w:val="000000" w:themeColor="text1"/>
          <w:lang w:val="es-ES_tradnl"/>
        </w:rPr>
        <w:t xml:space="preserve"> entre otros muchos asuntos. Tales aspectos tienen que definirse en su ámbito propio, que no es otro que </w:t>
      </w:r>
      <w:r w:rsidRPr="0096658B">
        <w:rPr>
          <w:rFonts w:ascii="Times New Roman" w:hAnsi="Times New Roman" w:cs="Times New Roman"/>
          <w:color w:val="000000" w:themeColor="text1"/>
          <w:lang w:val="es-ES_tradnl"/>
        </w:rPr>
        <w:t>el legislativo</w:t>
      </w:r>
      <w:r w:rsidRPr="0096658B">
        <w:rPr>
          <w:rFonts w:ascii="Times New Roman" w:hAnsi="Times New Roman" w:cs="Times New Roman"/>
          <w:color w:val="000000" w:themeColor="text1"/>
          <w:lang w:val="es-ES_tradnl"/>
        </w:rPr>
        <w:t>.</w:t>
      </w:r>
    </w:p>
    <w:p w:rsidR="00D64589" w:rsidRPr="0096658B" w:rsidRDefault="0096658B" w:rsidP="00D64589">
      <w:pPr>
        <w:pStyle w:val="Prrafodelista"/>
        <w:rPr>
          <w:rFonts w:ascii="Times New Roman" w:hAnsi="Times New Roman" w:cs="Times New Roman"/>
          <w:color w:val="000000" w:themeColor="text1"/>
          <w:lang w:val="es-ES_tradnl"/>
        </w:rPr>
      </w:pPr>
    </w:p>
    <w:p w:rsidR="002F5C0F" w:rsidRPr="0096658B" w:rsidRDefault="0096658B" w:rsidP="002843A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Así, si se parte de la premisa</w:t>
      </w:r>
      <w:r w:rsidRPr="0096658B">
        <w:rPr>
          <w:rFonts w:ascii="Times New Roman" w:hAnsi="Times New Roman" w:cs="Times New Roman"/>
          <w:color w:val="000000" w:themeColor="text1"/>
          <w:lang w:val="es-ES_tradnl"/>
        </w:rPr>
        <w:t xml:space="preserve"> de</w:t>
      </w:r>
      <w:r w:rsidRPr="0096658B">
        <w:rPr>
          <w:rFonts w:ascii="Times New Roman" w:hAnsi="Times New Roman" w:cs="Times New Roman"/>
          <w:color w:val="000000" w:themeColor="text1"/>
          <w:lang w:val="es-ES_tradnl"/>
        </w:rPr>
        <w:t xml:space="preserve"> que el control de constitucionalidad es uno de</w:t>
      </w:r>
      <w:r w:rsidRPr="0096658B">
        <w:rPr>
          <w:rFonts w:ascii="Times New Roman" w:hAnsi="Times New Roman" w:cs="Times New Roman"/>
          <w:color w:val="000000" w:themeColor="text1"/>
          <w:lang w:val="es-ES_tradnl"/>
        </w:rPr>
        <w:t xml:space="preserve"> los</w:t>
      </w:r>
      <w:r w:rsidRPr="0096658B">
        <w:rPr>
          <w:rFonts w:ascii="Times New Roman" w:hAnsi="Times New Roman" w:cs="Times New Roman"/>
          <w:color w:val="000000" w:themeColor="text1"/>
          <w:lang w:val="es-ES_tradnl"/>
        </w:rPr>
        <w:t xml:space="preserve"> límites y que la labor de la Corte, a la hora de </w:t>
      </w:r>
      <w:r w:rsidRPr="0096658B">
        <w:rPr>
          <w:rFonts w:ascii="Times New Roman" w:hAnsi="Times New Roman" w:cs="Times New Roman"/>
          <w:color w:val="000000" w:themeColor="text1"/>
          <w:lang w:val="es-ES_tradnl"/>
        </w:rPr>
        <w:t xml:space="preserve">analizar las decisiones del </w:t>
      </w:r>
      <w:r w:rsidRPr="0096658B">
        <w:rPr>
          <w:rFonts w:ascii="Times New Roman" w:hAnsi="Times New Roman" w:cs="Times New Roman"/>
          <w:color w:val="000000" w:themeColor="text1"/>
          <w:lang w:val="es-ES_tradnl"/>
        </w:rPr>
        <w:t>l</w:t>
      </w:r>
      <w:r w:rsidRPr="0096658B">
        <w:rPr>
          <w:rFonts w:ascii="Times New Roman" w:hAnsi="Times New Roman" w:cs="Times New Roman"/>
          <w:color w:val="000000" w:themeColor="text1"/>
          <w:lang w:val="es-ES_tradnl"/>
        </w:rPr>
        <w:t>egislador, está guiada por la deferencia al principio democrático y por la autorrestricción judicial, entonces la definición primigenia de la vigencia de las medidas de cu</w:t>
      </w:r>
      <w:r w:rsidRPr="0096658B">
        <w:rPr>
          <w:rFonts w:ascii="Times New Roman" w:hAnsi="Times New Roman" w:cs="Times New Roman"/>
          <w:color w:val="000000" w:themeColor="text1"/>
          <w:lang w:val="es-ES_tradnl"/>
        </w:rPr>
        <w:t>o</w:t>
      </w:r>
      <w:r w:rsidRPr="0096658B">
        <w:rPr>
          <w:rFonts w:ascii="Times New Roman" w:hAnsi="Times New Roman" w:cs="Times New Roman"/>
          <w:color w:val="000000" w:themeColor="text1"/>
          <w:lang w:val="es-ES_tradnl"/>
        </w:rPr>
        <w:t>ta se inserta en la órbita del Congreso. Ello, por supu</w:t>
      </w:r>
      <w:r w:rsidRPr="0096658B">
        <w:rPr>
          <w:rFonts w:ascii="Times New Roman" w:hAnsi="Times New Roman" w:cs="Times New Roman"/>
          <w:color w:val="000000" w:themeColor="text1"/>
          <w:lang w:val="es-ES_tradnl"/>
        </w:rPr>
        <w:t>esto, sin perjuicio del ejercicio de la facultad judicial del control de constitucionalidad ante la invalidez de las medidas adoptadas en ese sentido o la</w:t>
      </w:r>
      <w:r w:rsidRPr="0096658B">
        <w:rPr>
          <w:rFonts w:ascii="Times New Roman" w:hAnsi="Times New Roman" w:cs="Times New Roman"/>
          <w:color w:val="000000" w:themeColor="text1"/>
          <w:lang w:val="es-ES_tradnl"/>
        </w:rPr>
        <w:t xml:space="preserve"> ulterior</w:t>
      </w:r>
      <w:r w:rsidRPr="0096658B">
        <w:rPr>
          <w:rFonts w:ascii="Times New Roman" w:hAnsi="Times New Roman" w:cs="Times New Roman"/>
          <w:color w:val="000000" w:themeColor="text1"/>
          <w:lang w:val="es-ES_tradnl"/>
        </w:rPr>
        <w:t xml:space="preserve"> comprobación de déficits en la protección de los derechos fundamentales. </w:t>
      </w:r>
    </w:p>
    <w:p w:rsidR="00721306" w:rsidRPr="0096658B" w:rsidRDefault="0096658B" w:rsidP="00721306">
      <w:pPr>
        <w:pStyle w:val="Prrafodelista"/>
        <w:rPr>
          <w:rFonts w:ascii="Times New Roman" w:hAnsi="Times New Roman" w:cs="Times New Roman"/>
          <w:color w:val="000000" w:themeColor="text1"/>
          <w:lang w:val="es-ES_tradnl"/>
        </w:rPr>
      </w:pPr>
    </w:p>
    <w:p w:rsidR="00721306" w:rsidRPr="0096658B" w:rsidRDefault="0096658B" w:rsidP="00721306">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b/>
          <w:color w:val="000000" w:themeColor="text1"/>
          <w:lang w:val="es-ES_tradnl"/>
        </w:rPr>
      </w:pPr>
      <w:r w:rsidRPr="0096658B">
        <w:rPr>
          <w:rFonts w:ascii="Times New Roman" w:hAnsi="Times New Roman" w:cs="Times New Roman"/>
          <w:b/>
          <w:color w:val="000000" w:themeColor="text1"/>
          <w:lang w:val="es-ES_tradnl"/>
        </w:rPr>
        <w:t xml:space="preserve">Los límites </w:t>
      </w:r>
      <w:r w:rsidRPr="0096658B">
        <w:rPr>
          <w:rFonts w:ascii="Times New Roman" w:hAnsi="Times New Roman" w:cs="Times New Roman"/>
          <w:b/>
          <w:color w:val="000000" w:themeColor="text1"/>
          <w:lang w:val="es-ES_tradnl"/>
        </w:rPr>
        <w:t>de</w:t>
      </w:r>
      <w:r w:rsidRPr="0096658B">
        <w:rPr>
          <w:rFonts w:ascii="Times New Roman" w:hAnsi="Times New Roman" w:cs="Times New Roman"/>
          <w:b/>
          <w:color w:val="000000" w:themeColor="text1"/>
          <w:lang w:val="es-ES_tradnl"/>
        </w:rPr>
        <w:t xml:space="preserve"> las medidas de cuota a favor de las mujeres</w:t>
      </w:r>
    </w:p>
    <w:p w:rsidR="00721306" w:rsidRPr="0096658B" w:rsidRDefault="0096658B" w:rsidP="00721306">
      <w:pPr>
        <w:pStyle w:val="Prrafodelista"/>
        <w:rPr>
          <w:rFonts w:ascii="Times New Roman" w:hAnsi="Times New Roman" w:cs="Times New Roman"/>
          <w:color w:val="000000" w:themeColor="text1"/>
          <w:lang w:val="es-ES_tradnl"/>
        </w:rPr>
      </w:pPr>
    </w:p>
    <w:p w:rsidR="00721306" w:rsidRPr="0096658B" w:rsidRDefault="0096658B" w:rsidP="002843A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Del análisis jurisprudencial realizado en esta sentencia se colige que las medidas de cuota a favor de las mujeres son </w:t>
      </w:r>
      <w:r w:rsidRPr="0096658B">
        <w:rPr>
          <w:rFonts w:ascii="Times New Roman" w:hAnsi="Times New Roman" w:cs="Times New Roman"/>
          <w:i/>
          <w:color w:val="000000" w:themeColor="text1"/>
          <w:lang w:val="es-ES_tradnl"/>
        </w:rPr>
        <w:t xml:space="preserve">prima facie </w:t>
      </w:r>
      <w:r w:rsidRPr="0096658B">
        <w:rPr>
          <w:rFonts w:ascii="Times New Roman" w:hAnsi="Times New Roman" w:cs="Times New Roman"/>
          <w:color w:val="000000" w:themeColor="text1"/>
          <w:lang w:val="es-ES_tradnl"/>
        </w:rPr>
        <w:t>constitucionales puesto que, si bien involucran la afectación, incluso intensa,</w:t>
      </w:r>
      <w:r w:rsidRPr="0096658B">
        <w:rPr>
          <w:rFonts w:ascii="Times New Roman" w:hAnsi="Times New Roman" w:cs="Times New Roman"/>
          <w:color w:val="000000" w:themeColor="text1"/>
          <w:lang w:val="es-ES_tradnl"/>
        </w:rPr>
        <w:t xml:space="preserve"> del derecho a la igualdad para el acceso a cargos públicos, en todo caso resultan imprescindibles para asegurar la participación paritaria de las mujeres y en escenarios donde aún subsiste</w:t>
      </w:r>
      <w:r w:rsidRPr="0096658B">
        <w:rPr>
          <w:rFonts w:ascii="Times New Roman" w:hAnsi="Times New Roman" w:cs="Times New Roman"/>
          <w:color w:val="000000" w:themeColor="text1"/>
          <w:lang w:val="es-ES_tradnl"/>
        </w:rPr>
        <w:t>n</w:t>
      </w:r>
      <w:r w:rsidRPr="0096658B">
        <w:rPr>
          <w:rFonts w:ascii="Times New Roman" w:hAnsi="Times New Roman" w:cs="Times New Roman"/>
          <w:color w:val="000000" w:themeColor="text1"/>
          <w:lang w:val="es-ES_tradnl"/>
        </w:rPr>
        <w:t xml:space="preserve"> los prejuicios y estereotipos en su contra respecto del ejercicio</w:t>
      </w:r>
      <w:r w:rsidRPr="0096658B">
        <w:rPr>
          <w:rFonts w:ascii="Times New Roman" w:hAnsi="Times New Roman" w:cs="Times New Roman"/>
          <w:color w:val="000000" w:themeColor="text1"/>
          <w:lang w:val="es-ES_tradnl"/>
        </w:rPr>
        <w:t xml:space="preserve"> de los CMND y los CND. </w:t>
      </w:r>
    </w:p>
    <w:p w:rsidR="00753541" w:rsidRPr="0096658B" w:rsidRDefault="0096658B" w:rsidP="00753541">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color w:val="000000" w:themeColor="text1"/>
          <w:lang w:val="es-ES_tradnl"/>
        </w:rPr>
      </w:pPr>
    </w:p>
    <w:p w:rsidR="00753541" w:rsidRPr="0096658B" w:rsidRDefault="0096658B" w:rsidP="002843A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No obstante la constitucionalidad de dichas medidas, la Corte advierte que estas conservan límites inmanentes, de modo que el logro de la igualdad entre los géneros frente al acceso a las responsabilidades del Estado no se reduce </w:t>
      </w:r>
      <w:r w:rsidRPr="0096658B">
        <w:rPr>
          <w:rFonts w:ascii="Times New Roman" w:hAnsi="Times New Roman" w:cs="Times New Roman"/>
          <w:color w:val="000000" w:themeColor="text1"/>
          <w:lang w:val="es-ES_tradnl"/>
        </w:rPr>
        <w:t xml:space="preserve">ni termina en las medidas de cuota, sino que exige la implementación de otros instrumentos de política pública, al igual que </w:t>
      </w:r>
      <w:r w:rsidRPr="0096658B">
        <w:rPr>
          <w:rFonts w:ascii="Times New Roman" w:hAnsi="Times New Roman" w:cs="Times New Roman"/>
          <w:color w:val="000000" w:themeColor="text1"/>
          <w:lang w:val="es-ES_tradnl"/>
        </w:rPr>
        <w:t xml:space="preserve">la </w:t>
      </w:r>
      <w:r w:rsidRPr="0096658B">
        <w:rPr>
          <w:rFonts w:ascii="Times New Roman" w:hAnsi="Times New Roman" w:cs="Times New Roman"/>
          <w:color w:val="000000" w:themeColor="text1"/>
          <w:lang w:val="es-ES_tradnl"/>
        </w:rPr>
        <w:t xml:space="preserve">adopción de cautelas que impidan que </w:t>
      </w:r>
      <w:r w:rsidRPr="0096658B">
        <w:rPr>
          <w:rFonts w:ascii="Times New Roman" w:hAnsi="Times New Roman" w:cs="Times New Roman"/>
          <w:color w:val="000000" w:themeColor="text1"/>
          <w:lang w:val="es-ES_tradnl"/>
        </w:rPr>
        <w:t xml:space="preserve">las medidas </w:t>
      </w:r>
      <w:r w:rsidRPr="0096658B">
        <w:rPr>
          <w:rFonts w:ascii="Times New Roman" w:hAnsi="Times New Roman" w:cs="Times New Roman"/>
          <w:color w:val="000000" w:themeColor="text1"/>
          <w:lang w:val="es-ES_tradnl"/>
        </w:rPr>
        <w:t>mencionadas</w:t>
      </w:r>
      <w:r w:rsidRPr="0096658B">
        <w:rPr>
          <w:rFonts w:ascii="Times New Roman" w:hAnsi="Times New Roman" w:cs="Times New Roman"/>
          <w:color w:val="000000" w:themeColor="text1"/>
          <w:lang w:val="es-ES_tradnl"/>
        </w:rPr>
        <w:t xml:space="preserve"> terminen obrando como modalidades de discriminación contra las muje</w:t>
      </w:r>
      <w:r w:rsidRPr="0096658B">
        <w:rPr>
          <w:rFonts w:ascii="Times New Roman" w:hAnsi="Times New Roman" w:cs="Times New Roman"/>
          <w:color w:val="000000" w:themeColor="text1"/>
          <w:lang w:val="es-ES_tradnl"/>
        </w:rPr>
        <w:t>res</w:t>
      </w:r>
      <w:r w:rsidRPr="0096658B">
        <w:rPr>
          <w:rFonts w:ascii="Times New Roman" w:hAnsi="Times New Roman" w:cs="Times New Roman"/>
          <w:color w:val="000000" w:themeColor="text1"/>
          <w:lang w:val="es-ES_tradnl"/>
        </w:rPr>
        <w:t xml:space="preserve">. </w:t>
      </w:r>
    </w:p>
    <w:p w:rsidR="00753541" w:rsidRPr="0096658B" w:rsidRDefault="0096658B" w:rsidP="00753541">
      <w:pPr>
        <w:pStyle w:val="Prrafodelista"/>
        <w:rPr>
          <w:rFonts w:ascii="Times New Roman" w:hAnsi="Times New Roman" w:cs="Times New Roman"/>
          <w:color w:val="000000" w:themeColor="text1"/>
          <w:lang w:val="es-ES_tradnl"/>
        </w:rPr>
      </w:pPr>
    </w:p>
    <w:p w:rsidR="00753541" w:rsidRPr="0096658B" w:rsidRDefault="0096658B" w:rsidP="002843A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color w:val="000000" w:themeColor="text1"/>
          <w:lang w:val="es-ES_tradnl"/>
        </w:rPr>
        <w:t xml:space="preserve">Las medidas de cuota son punto de partida y también de llegada. </w:t>
      </w:r>
      <w:r w:rsidRPr="0096658B">
        <w:rPr>
          <w:rFonts w:ascii="Times New Roman" w:hAnsi="Times New Roman" w:cs="Times New Roman"/>
          <w:color w:val="000000" w:themeColor="text1"/>
          <w:lang w:val="es-ES_tradnl"/>
        </w:rPr>
        <w:t xml:space="preserve">Así, en primer lugar, </w:t>
      </w:r>
      <w:r w:rsidRPr="0096658B">
        <w:rPr>
          <w:rFonts w:ascii="Times New Roman" w:hAnsi="Times New Roman" w:cs="Times New Roman"/>
          <w:color w:val="000000" w:themeColor="text1"/>
          <w:lang w:val="es-ES_tradnl"/>
        </w:rPr>
        <w:t xml:space="preserve">las medidas de cuota, como lo ha señalado la Corte, son puntos de </w:t>
      </w:r>
      <w:r w:rsidRPr="0096658B">
        <w:rPr>
          <w:rFonts w:ascii="Times New Roman" w:hAnsi="Times New Roman" w:cs="Times New Roman"/>
          <w:color w:val="000000" w:themeColor="text1"/>
          <w:lang w:val="es-ES_tradnl"/>
        </w:rPr>
        <w:t>partida,</w:t>
      </w:r>
      <w:r w:rsidRPr="0096658B">
        <w:rPr>
          <w:rFonts w:ascii="Times New Roman" w:hAnsi="Times New Roman" w:cs="Times New Roman"/>
          <w:color w:val="000000" w:themeColor="text1"/>
          <w:lang w:val="es-ES_tradnl"/>
        </w:rPr>
        <w:t xml:space="preserve"> pero también de llegada</w:t>
      </w:r>
      <w:r w:rsidRPr="0096658B">
        <w:rPr>
          <w:rStyle w:val="Refdenotaalpie"/>
          <w:rFonts w:ascii="Times New Roman" w:hAnsi="Times New Roman"/>
          <w:color w:val="000000" w:themeColor="text1"/>
          <w:lang w:val="es-ES_tradnl"/>
        </w:rPr>
        <w:footnoteReference w:id="213"/>
      </w:r>
      <w:r w:rsidRPr="0096658B">
        <w:rPr>
          <w:rFonts w:ascii="Times New Roman" w:hAnsi="Times New Roman" w:cs="Times New Roman"/>
          <w:color w:val="000000" w:themeColor="text1"/>
          <w:lang w:val="es-ES_tradnl"/>
        </w:rPr>
        <w:t>. En ese sentido,</w:t>
      </w:r>
      <w:r w:rsidRPr="0096658B">
        <w:rPr>
          <w:rFonts w:ascii="Times New Roman" w:hAnsi="Times New Roman" w:cs="Times New Roman"/>
          <w:color w:val="000000" w:themeColor="text1"/>
          <w:lang w:val="es-ES_tradnl"/>
        </w:rPr>
        <w:t xml:space="preserve"> obran como instrumentos dinamizadores para la </w:t>
      </w:r>
      <w:r w:rsidRPr="0096658B">
        <w:rPr>
          <w:rFonts w:ascii="Times New Roman" w:hAnsi="Times New Roman" w:cs="Times New Roman"/>
          <w:color w:val="000000" w:themeColor="text1"/>
          <w:lang w:val="es-ES_tradnl"/>
        </w:rPr>
        <w:t>equidad,</w:t>
      </w:r>
      <w:r w:rsidRPr="0096658B">
        <w:rPr>
          <w:rFonts w:ascii="Times New Roman" w:hAnsi="Times New Roman" w:cs="Times New Roman"/>
          <w:color w:val="000000" w:themeColor="text1"/>
          <w:lang w:val="es-ES_tradnl"/>
        </w:rPr>
        <w:t xml:space="preserve"> pero también operan como herramientas temporales cuya finalización se logra una vez el tratamiento equitativo opere como regla general y eficiente para el acceso a las altas responsabilidades del Estado. Esto quiere decir que las medidas de cuota </w:t>
      </w:r>
      <w:r w:rsidRPr="0096658B">
        <w:rPr>
          <w:rFonts w:ascii="Times New Roman" w:hAnsi="Times New Roman" w:cs="Times New Roman"/>
          <w:color w:val="000000" w:themeColor="text1"/>
          <w:lang w:val="es-ES_tradnl"/>
        </w:rPr>
        <w:t>no pueden operar como máximos de participación, sino apenas como vías para el logro y consolidación de la equidad</w:t>
      </w:r>
      <w:r w:rsidRPr="0096658B">
        <w:rPr>
          <w:rFonts w:ascii="Times New Roman" w:hAnsi="Times New Roman" w:cs="Times New Roman"/>
          <w:color w:val="000000" w:themeColor="text1"/>
          <w:lang w:val="es-ES_tradnl"/>
        </w:rPr>
        <w:t>, al igual que para la remoción de obstáculos en el proceso para la consolidación de la paridad en la participación</w:t>
      </w:r>
      <w:r w:rsidRPr="0096658B">
        <w:rPr>
          <w:rFonts w:ascii="Times New Roman" w:hAnsi="Times New Roman" w:cs="Times New Roman"/>
          <w:color w:val="000000" w:themeColor="text1"/>
          <w:lang w:val="es-ES_tradnl"/>
        </w:rPr>
        <w:t>. Por lo tanto, no es consti</w:t>
      </w:r>
      <w:r w:rsidRPr="0096658B">
        <w:rPr>
          <w:rFonts w:ascii="Times New Roman" w:hAnsi="Times New Roman" w:cs="Times New Roman"/>
          <w:color w:val="000000" w:themeColor="text1"/>
          <w:lang w:val="es-ES_tradnl"/>
        </w:rPr>
        <w:t xml:space="preserve">tucionalmente admisible que se conciban como techos o límites para la participación de las mujeres, pues ello sería contrario al mandato de equidad en el acceso a los CMND y CND. </w:t>
      </w:r>
    </w:p>
    <w:p w:rsidR="00BD5C3F" w:rsidRPr="0096658B" w:rsidRDefault="0096658B" w:rsidP="00BD5C3F">
      <w:pPr>
        <w:pStyle w:val="Prrafodelista"/>
        <w:rPr>
          <w:rFonts w:ascii="Times New Roman" w:hAnsi="Times New Roman" w:cs="Times New Roman"/>
          <w:color w:val="000000" w:themeColor="text1"/>
          <w:lang w:val="es-ES_tradnl"/>
        </w:rPr>
      </w:pPr>
    </w:p>
    <w:p w:rsidR="00BD5C3F" w:rsidRPr="0096658B" w:rsidRDefault="0096658B" w:rsidP="002843A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En contrario, una vez el legislador estatutario ha verificado que se ha cum</w:t>
      </w:r>
      <w:r w:rsidRPr="0096658B">
        <w:rPr>
          <w:rFonts w:ascii="Times New Roman" w:hAnsi="Times New Roman" w:cs="Times New Roman"/>
          <w:color w:val="000000" w:themeColor="text1"/>
          <w:lang w:val="es-ES_tradnl"/>
        </w:rPr>
        <w:t xml:space="preserve">plido el propósito del logro de equidad y, en consecuencia, ha </w:t>
      </w:r>
      <w:r w:rsidRPr="0096658B">
        <w:rPr>
          <w:rFonts w:ascii="Times New Roman" w:hAnsi="Times New Roman" w:cs="Times New Roman"/>
          <w:color w:val="000000" w:themeColor="text1"/>
          <w:lang w:val="es-ES_tradnl"/>
        </w:rPr>
        <w:t>previsto el desmonte de la medida de cuota, las mujeres participarán en los altos cargos del Estado bajo criterios generales de equidad</w:t>
      </w:r>
      <w:r w:rsidRPr="0096658B">
        <w:rPr>
          <w:rFonts w:ascii="Times New Roman" w:hAnsi="Times New Roman" w:cs="Times New Roman"/>
          <w:color w:val="000000" w:themeColor="text1"/>
          <w:lang w:val="es-ES_tradnl"/>
        </w:rPr>
        <w:t xml:space="preserve"> y mérito</w:t>
      </w:r>
      <w:r w:rsidRPr="0096658B">
        <w:rPr>
          <w:rFonts w:ascii="Times New Roman" w:hAnsi="Times New Roman" w:cs="Times New Roman"/>
          <w:color w:val="000000" w:themeColor="text1"/>
          <w:lang w:val="es-ES_tradnl"/>
        </w:rPr>
        <w:t>, sin que la cuota pueda comprenderse como un máx</w:t>
      </w:r>
      <w:r w:rsidRPr="0096658B">
        <w:rPr>
          <w:rFonts w:ascii="Times New Roman" w:hAnsi="Times New Roman" w:cs="Times New Roman"/>
          <w:color w:val="000000" w:themeColor="text1"/>
          <w:lang w:val="es-ES_tradnl"/>
        </w:rPr>
        <w:t>imo predefinido para esa participación. De lo contrario, las medidas de cuota no habrían logrado su propósito constitucional, que es precisamente el lo</w:t>
      </w:r>
      <w:r w:rsidRPr="0096658B">
        <w:rPr>
          <w:rFonts w:ascii="Times New Roman" w:hAnsi="Times New Roman" w:cs="Times New Roman"/>
          <w:color w:val="000000" w:themeColor="text1"/>
          <w:lang w:val="es-ES_tradnl"/>
        </w:rPr>
        <w:t>gro de un tratamiento equitativo y, en contrario, habrían configurado una nueva barrera para el acceso de</w:t>
      </w:r>
      <w:r w:rsidRPr="0096658B">
        <w:rPr>
          <w:rFonts w:ascii="Times New Roman" w:hAnsi="Times New Roman" w:cs="Times New Roman"/>
          <w:color w:val="000000" w:themeColor="text1"/>
          <w:lang w:val="es-ES_tradnl"/>
        </w:rPr>
        <w:t xml:space="preserve"> las mujeres a los cargos en comento. </w:t>
      </w:r>
    </w:p>
    <w:p w:rsidR="00547A4E" w:rsidRPr="0096658B" w:rsidRDefault="0096658B" w:rsidP="00547A4E">
      <w:pPr>
        <w:pStyle w:val="Prrafodelista"/>
        <w:rPr>
          <w:rFonts w:ascii="Times New Roman" w:hAnsi="Times New Roman" w:cs="Times New Roman"/>
          <w:color w:val="000000" w:themeColor="text1"/>
          <w:lang w:val="es-ES_tradnl"/>
        </w:rPr>
      </w:pPr>
    </w:p>
    <w:p w:rsidR="00547A4E" w:rsidRPr="0096658B" w:rsidRDefault="0096658B" w:rsidP="002843A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color w:val="000000" w:themeColor="text1"/>
          <w:lang w:val="es-ES_tradnl"/>
        </w:rPr>
        <w:t xml:space="preserve">La cuota no puede configurar un desincentivo a la ampliación de la participación de las mujeres. </w:t>
      </w:r>
      <w:r w:rsidRPr="0096658B">
        <w:rPr>
          <w:rFonts w:ascii="Times New Roman" w:hAnsi="Times New Roman" w:cs="Times New Roman"/>
          <w:color w:val="000000" w:themeColor="text1"/>
          <w:lang w:val="es-ES_tradnl"/>
        </w:rPr>
        <w:t>En segundo lugar</w:t>
      </w:r>
      <w:r w:rsidRPr="0096658B">
        <w:rPr>
          <w:rFonts w:ascii="Times New Roman" w:hAnsi="Times New Roman" w:cs="Times New Roman"/>
          <w:color w:val="000000" w:themeColor="text1"/>
          <w:lang w:val="es-ES_tradnl"/>
        </w:rPr>
        <w:t xml:space="preserve"> y como lo explicó uno de los intervinientes, resulta imperativo evitar que las medidas de cuota sirvan</w:t>
      </w:r>
      <w:r w:rsidRPr="0096658B">
        <w:rPr>
          <w:rFonts w:ascii="Times New Roman" w:hAnsi="Times New Roman" w:cs="Times New Roman"/>
          <w:color w:val="000000" w:themeColor="text1"/>
          <w:lang w:val="es-ES_tradnl"/>
        </w:rPr>
        <w:t xml:space="preserve"> para provocar un “efecto meseta” en la participación de las mujeres. Esto es</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que,</w:t>
      </w:r>
      <w:r w:rsidRPr="0096658B">
        <w:rPr>
          <w:rFonts w:ascii="Times New Roman" w:hAnsi="Times New Roman" w:cs="Times New Roman"/>
          <w:color w:val="000000" w:themeColor="text1"/>
          <w:lang w:val="es-ES_tradnl"/>
        </w:rPr>
        <w:t xml:space="preserve"> una vez alcanzada la equidad en el acceso a los altos cargos del Estado, se ralentice o detenga la ampliación de la participación de las mujeres en los altos cargos del Esta</w:t>
      </w:r>
      <w:r w:rsidRPr="0096658B">
        <w:rPr>
          <w:rFonts w:ascii="Times New Roman" w:hAnsi="Times New Roman" w:cs="Times New Roman"/>
          <w:color w:val="000000" w:themeColor="text1"/>
          <w:lang w:val="es-ES_tradnl"/>
        </w:rPr>
        <w:t xml:space="preserve">do. </w:t>
      </w:r>
    </w:p>
    <w:p w:rsidR="00872B69" w:rsidRPr="0096658B" w:rsidRDefault="0096658B" w:rsidP="00872B69">
      <w:pPr>
        <w:pStyle w:val="Prrafodelista"/>
        <w:rPr>
          <w:rFonts w:ascii="Times New Roman" w:hAnsi="Times New Roman" w:cs="Times New Roman"/>
          <w:color w:val="000000" w:themeColor="text1"/>
          <w:lang w:val="es-ES_tradnl"/>
        </w:rPr>
      </w:pPr>
    </w:p>
    <w:p w:rsidR="00872B69" w:rsidRPr="0096658B" w:rsidRDefault="0096658B" w:rsidP="002843A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Como se explicó en el caso anterior, las medidas de cuota no pueden ser ulteriormente interpretadas como límites máximos de participación. Por ende, la escogencia de las personas que servirán para los CMND y CND, una vez ordenado por el legislador </w:t>
      </w:r>
      <w:r w:rsidRPr="0096658B">
        <w:rPr>
          <w:rFonts w:ascii="Times New Roman" w:hAnsi="Times New Roman" w:cs="Times New Roman"/>
          <w:color w:val="000000" w:themeColor="text1"/>
          <w:lang w:val="es-ES_tradnl"/>
        </w:rPr>
        <w:t>estatutario el cese de las medidas de cuota, quedará radicada en el criterio general del mérito</w:t>
      </w:r>
      <w:r w:rsidRPr="0096658B">
        <w:rPr>
          <w:rFonts w:ascii="Times New Roman" w:hAnsi="Times New Roman" w:cs="Times New Roman"/>
          <w:color w:val="000000" w:themeColor="text1"/>
          <w:lang w:val="es-ES_tradnl"/>
        </w:rPr>
        <w:t xml:space="preserve"> y sin la imposición de mínimos o máximos de participación para los géneros.</w:t>
      </w:r>
    </w:p>
    <w:p w:rsidR="00BB2591" w:rsidRPr="0096658B" w:rsidRDefault="0096658B" w:rsidP="00BB2591">
      <w:pPr>
        <w:pStyle w:val="Prrafodelista"/>
        <w:rPr>
          <w:rFonts w:ascii="Times New Roman" w:hAnsi="Times New Roman" w:cs="Times New Roman"/>
          <w:color w:val="000000" w:themeColor="text1"/>
          <w:lang w:val="es-ES_tradnl"/>
        </w:rPr>
      </w:pPr>
    </w:p>
    <w:p w:rsidR="00BB2591" w:rsidRPr="0096658B" w:rsidRDefault="0096658B" w:rsidP="002843A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bookmarkStart w:id="3" w:name="OLE_LINK3"/>
      <w:bookmarkStart w:id="4" w:name="OLE_LINK4"/>
      <w:r w:rsidRPr="0096658B">
        <w:rPr>
          <w:rFonts w:ascii="Times New Roman" w:hAnsi="Times New Roman" w:cs="Times New Roman"/>
          <w:i/>
          <w:color w:val="000000" w:themeColor="text1"/>
          <w:lang w:val="es-ES_tradnl"/>
        </w:rPr>
        <w:t xml:space="preserve">Las medidas de cuota como parte de una acción integral contra la discriminación. </w:t>
      </w:r>
      <w:r w:rsidRPr="0096658B">
        <w:rPr>
          <w:rFonts w:ascii="Times New Roman" w:hAnsi="Times New Roman" w:cs="Times New Roman"/>
          <w:color w:val="000000" w:themeColor="text1"/>
          <w:lang w:val="es-ES_tradnl"/>
        </w:rPr>
        <w:t xml:space="preserve">En tercer lugar, las medidas de cuota no deben interpretarse de modo que invisibilicen las causas estructurales de la discriminación contra las mujeres. </w:t>
      </w:r>
      <w:r w:rsidRPr="0096658B">
        <w:rPr>
          <w:rFonts w:ascii="Times New Roman" w:hAnsi="Times New Roman" w:cs="Times New Roman"/>
          <w:color w:val="000000" w:themeColor="text1"/>
          <w:lang w:val="es-ES_tradnl"/>
        </w:rPr>
        <w:t xml:space="preserve">Como se explicó con mayor profundidad en </w:t>
      </w:r>
      <w:r w:rsidRPr="0096658B">
        <w:rPr>
          <w:rFonts w:ascii="Times New Roman" w:hAnsi="Times New Roman" w:cs="Times New Roman"/>
          <w:color w:val="000000" w:themeColor="text1"/>
          <w:lang w:val="es-ES_tradnl"/>
        </w:rPr>
        <w:t>los apartados anteriores</w:t>
      </w:r>
      <w:r w:rsidRPr="0096658B">
        <w:rPr>
          <w:rFonts w:ascii="Times New Roman" w:hAnsi="Times New Roman" w:cs="Times New Roman"/>
          <w:color w:val="000000" w:themeColor="text1"/>
          <w:lang w:val="es-ES_tradnl"/>
        </w:rPr>
        <w:t>, la Corte encuentra que la discrimina</w:t>
      </w:r>
      <w:r w:rsidRPr="0096658B">
        <w:rPr>
          <w:rFonts w:ascii="Times New Roman" w:hAnsi="Times New Roman" w:cs="Times New Roman"/>
          <w:color w:val="000000" w:themeColor="text1"/>
          <w:lang w:val="es-ES_tradnl"/>
        </w:rPr>
        <w:t xml:space="preserve">ción histórica en contra de las mujeres responde a diversas causas, </w:t>
      </w:r>
      <w:r w:rsidRPr="0096658B">
        <w:rPr>
          <w:rFonts w:ascii="Times New Roman" w:hAnsi="Times New Roman" w:cs="Times New Roman"/>
          <w:color w:val="000000" w:themeColor="text1"/>
          <w:lang w:val="es-ES_tradnl"/>
        </w:rPr>
        <w:t>como</w:t>
      </w:r>
      <w:r w:rsidRPr="0096658B">
        <w:rPr>
          <w:rFonts w:ascii="Times New Roman" w:hAnsi="Times New Roman" w:cs="Times New Roman"/>
          <w:color w:val="000000" w:themeColor="text1"/>
          <w:lang w:val="es-ES_tradnl"/>
        </w:rPr>
        <w:t xml:space="preserve"> las barreras de acceso a di</w:t>
      </w:r>
      <w:r w:rsidRPr="0096658B">
        <w:rPr>
          <w:rFonts w:ascii="Times New Roman" w:hAnsi="Times New Roman" w:cs="Times New Roman"/>
          <w:color w:val="000000" w:themeColor="text1"/>
          <w:lang w:val="es-ES_tradnl"/>
        </w:rPr>
        <w:t>stintos</w:t>
      </w:r>
      <w:r w:rsidRPr="0096658B">
        <w:rPr>
          <w:rFonts w:ascii="Times New Roman" w:hAnsi="Times New Roman" w:cs="Times New Roman"/>
          <w:color w:val="000000" w:themeColor="text1"/>
          <w:lang w:val="es-ES_tradnl"/>
        </w:rPr>
        <w:t xml:space="preserve"> escenarios</w:t>
      </w:r>
      <w:r w:rsidRPr="0096658B">
        <w:rPr>
          <w:rFonts w:ascii="Times New Roman" w:hAnsi="Times New Roman" w:cs="Times New Roman"/>
          <w:color w:val="000000" w:themeColor="text1"/>
          <w:lang w:val="es-ES_tradnl"/>
        </w:rPr>
        <w:t>. Entre otros, la Sala Plena</w:t>
      </w:r>
      <w:r w:rsidRPr="0096658B">
        <w:rPr>
          <w:rFonts w:ascii="Times New Roman" w:hAnsi="Times New Roman" w:cs="Times New Roman"/>
          <w:color w:val="000000" w:themeColor="text1"/>
          <w:lang w:val="es-ES_tradnl"/>
        </w:rPr>
        <w:t xml:space="preserve"> destaca los entornos para la toma de decisiones, los prejuicios y estereotipos que se derivan de una realidad</w:t>
      </w:r>
      <w:r w:rsidRPr="0096658B">
        <w:rPr>
          <w:rFonts w:ascii="Times New Roman" w:hAnsi="Times New Roman" w:cs="Times New Roman"/>
          <w:color w:val="000000" w:themeColor="text1"/>
          <w:lang w:val="es-ES_tradnl"/>
        </w:rPr>
        <w:t xml:space="preserve"> socioeconómica de tendencia patriarcal</w:t>
      </w:r>
      <w:r w:rsidRPr="0096658B">
        <w:rPr>
          <w:rFonts w:ascii="Times New Roman" w:hAnsi="Times New Roman" w:cs="Times New Roman"/>
          <w:color w:val="000000" w:themeColor="text1"/>
          <w:lang w:val="es-ES_tradnl"/>
        </w:rPr>
        <w:t>, la violencia contra las mujeres en diferentes planos (física</w:t>
      </w:r>
      <w:r w:rsidRPr="0096658B">
        <w:rPr>
          <w:rStyle w:val="Refdenotaalpie"/>
          <w:rFonts w:ascii="Times New Roman" w:hAnsi="Times New Roman"/>
          <w:color w:val="000000" w:themeColor="text1"/>
          <w:lang w:val="es-ES_tradnl"/>
        </w:rPr>
        <w:footnoteReference w:id="214"/>
      </w:r>
      <w:r w:rsidRPr="0096658B">
        <w:rPr>
          <w:rFonts w:ascii="Times New Roman" w:hAnsi="Times New Roman" w:cs="Times New Roman"/>
          <w:color w:val="000000" w:themeColor="text1"/>
          <w:lang w:val="es-ES_tradnl"/>
        </w:rPr>
        <w:t>, psicológica</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y</w:t>
      </w:r>
      <w:r w:rsidRPr="0096658B">
        <w:rPr>
          <w:rFonts w:ascii="Times New Roman" w:hAnsi="Times New Roman" w:cs="Times New Roman"/>
          <w:color w:val="000000" w:themeColor="text1"/>
          <w:lang w:val="es-ES_tradnl"/>
        </w:rPr>
        <w:t xml:space="preserve"> sexual</w:t>
      </w:r>
      <w:r w:rsidRPr="0096658B">
        <w:rPr>
          <w:rStyle w:val="Refdenotaalpie"/>
          <w:rFonts w:ascii="Times New Roman" w:hAnsi="Times New Roman"/>
          <w:color w:val="000000" w:themeColor="text1"/>
          <w:lang w:val="es-ES_tradnl"/>
        </w:rPr>
        <w:footnoteReference w:id="215"/>
      </w:r>
      <w:r w:rsidRPr="0096658B">
        <w:rPr>
          <w:rFonts w:ascii="Times New Roman" w:hAnsi="Times New Roman" w:cs="Times New Roman"/>
          <w:color w:val="000000" w:themeColor="text1"/>
          <w:lang w:val="es-ES_tradnl"/>
        </w:rPr>
        <w:t>, económica</w:t>
      </w:r>
      <w:r w:rsidRPr="0096658B">
        <w:rPr>
          <w:rStyle w:val="Refdenotaalpie"/>
          <w:rFonts w:ascii="Times New Roman" w:hAnsi="Times New Roman"/>
          <w:color w:val="000000" w:themeColor="text1"/>
          <w:lang w:val="es-ES_tradnl"/>
        </w:rPr>
        <w:footnoteReference w:id="216"/>
      </w:r>
      <w:r w:rsidRPr="0096658B">
        <w:rPr>
          <w:rFonts w:ascii="Times New Roman" w:hAnsi="Times New Roman" w:cs="Times New Roman"/>
          <w:color w:val="000000" w:themeColor="text1"/>
          <w:lang w:val="es-ES_tradnl"/>
        </w:rPr>
        <w:t xml:space="preserve"> o política</w:t>
      </w:r>
      <w:r w:rsidRPr="0096658B">
        <w:rPr>
          <w:rStyle w:val="Refdenotaalpie"/>
          <w:rFonts w:ascii="Times New Roman" w:hAnsi="Times New Roman"/>
          <w:color w:val="000000" w:themeColor="text1"/>
          <w:lang w:val="es-ES_tradnl"/>
        </w:rPr>
        <w:footnoteReference w:id="217"/>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y, muy especialmente, la desigualdad estructural entre los géneros respecto de la distribución de</w:t>
      </w:r>
      <w:r w:rsidRPr="0096658B">
        <w:rPr>
          <w:rFonts w:ascii="Times New Roman" w:hAnsi="Times New Roman" w:cs="Times New Roman"/>
          <w:color w:val="000000" w:themeColor="text1"/>
          <w:lang w:val="es-ES_tradnl"/>
        </w:rPr>
        <w:t xml:space="preserve"> las labores de </w:t>
      </w:r>
      <w:r w:rsidRPr="0096658B">
        <w:rPr>
          <w:rFonts w:ascii="Times New Roman" w:hAnsi="Times New Roman" w:cs="Times New Roman"/>
          <w:color w:val="000000" w:themeColor="text1"/>
          <w:lang w:val="es-ES_tradnl"/>
        </w:rPr>
        <w:t>cuidado</w:t>
      </w:r>
      <w:r w:rsidRPr="0096658B">
        <w:rPr>
          <w:rFonts w:ascii="Times New Roman" w:hAnsi="Times New Roman" w:cs="Times New Roman"/>
          <w:color w:val="000000" w:themeColor="text1"/>
          <w:lang w:val="es-ES_tradnl"/>
        </w:rPr>
        <w:t>. Esto último</w:t>
      </w:r>
      <w:r w:rsidRPr="0096658B">
        <w:rPr>
          <w:rFonts w:ascii="Times New Roman" w:hAnsi="Times New Roman" w:cs="Times New Roman"/>
          <w:color w:val="000000" w:themeColor="text1"/>
          <w:lang w:val="es-ES_tradnl"/>
        </w:rPr>
        <w:t xml:space="preserve"> implica mayores cargas para las mujeres</w:t>
      </w:r>
      <w:r w:rsidRPr="0096658B">
        <w:rPr>
          <w:rFonts w:ascii="Times New Roman" w:hAnsi="Times New Roman" w:cs="Times New Roman"/>
          <w:color w:val="000000" w:themeColor="text1"/>
          <w:lang w:val="es-ES_tradnl"/>
        </w:rPr>
        <w:t xml:space="preserve"> y la correlativa disminución de tiempo disponible para sus actividades personales y profesionales, en comparación con los hombres en su misma posición laboral. </w:t>
      </w:r>
    </w:p>
    <w:bookmarkEnd w:id="3"/>
    <w:bookmarkEnd w:id="4"/>
    <w:p w:rsidR="004235FC" w:rsidRPr="0096658B" w:rsidRDefault="0096658B" w:rsidP="004235FC">
      <w:pPr>
        <w:pStyle w:val="Prrafodelista"/>
        <w:rPr>
          <w:rFonts w:ascii="Times New Roman" w:hAnsi="Times New Roman" w:cs="Times New Roman"/>
          <w:color w:val="000000" w:themeColor="text1"/>
          <w:lang w:val="es-ES_tradnl"/>
        </w:rPr>
      </w:pPr>
    </w:p>
    <w:p w:rsidR="004235FC" w:rsidRPr="0096658B" w:rsidRDefault="0096658B" w:rsidP="002843A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Por ende, la Cort</w:t>
      </w:r>
      <w:r w:rsidRPr="0096658B">
        <w:rPr>
          <w:rFonts w:ascii="Times New Roman" w:hAnsi="Times New Roman" w:cs="Times New Roman"/>
          <w:color w:val="000000" w:themeColor="text1"/>
          <w:lang w:val="es-ES_tradnl"/>
        </w:rPr>
        <w:t>e advierte que las medidas de cuota resultan insuficientes si no van acompañadas de</w:t>
      </w:r>
      <w:r w:rsidRPr="0096658B">
        <w:rPr>
          <w:rFonts w:ascii="Times New Roman" w:hAnsi="Times New Roman" w:cs="Times New Roman"/>
          <w:color w:val="000000" w:themeColor="text1"/>
          <w:lang w:val="es-ES_tradnl"/>
        </w:rPr>
        <w:t xml:space="preserve"> otras</w:t>
      </w:r>
      <w:r w:rsidRPr="0096658B">
        <w:rPr>
          <w:rFonts w:ascii="Times New Roman" w:hAnsi="Times New Roman" w:cs="Times New Roman"/>
          <w:color w:val="000000" w:themeColor="text1"/>
          <w:lang w:val="es-ES_tradnl"/>
        </w:rPr>
        <w:t xml:space="preserve"> acciones que, desde el Estado y la sociedad</w:t>
      </w:r>
      <w:r w:rsidRPr="0096658B">
        <w:rPr>
          <w:rFonts w:ascii="Times New Roman" w:hAnsi="Times New Roman" w:cs="Times New Roman"/>
          <w:color w:val="000000" w:themeColor="text1"/>
          <w:lang w:val="es-ES_tradnl"/>
        </w:rPr>
        <w:t>, estén dirigidas a superar estas diferentes formas de violencia, discriminación e inequidad. En ese orden de ideas, la ins</w:t>
      </w:r>
      <w:r w:rsidRPr="0096658B">
        <w:rPr>
          <w:rFonts w:ascii="Times New Roman" w:hAnsi="Times New Roman" w:cs="Times New Roman"/>
          <w:color w:val="000000" w:themeColor="text1"/>
          <w:lang w:val="es-ES_tradnl"/>
        </w:rPr>
        <w:t>tauración de medidas de cuota es apenas un componente dentro de una política pública integral para la remoción de las barreras para la igualdad de las mujeres, por lo que en modo alguno pueden considerarse como una medida suficiente para el cumplimiento de</w:t>
      </w:r>
      <w:r w:rsidRPr="0096658B">
        <w:rPr>
          <w:rFonts w:ascii="Times New Roman" w:hAnsi="Times New Roman" w:cs="Times New Roman"/>
          <w:color w:val="000000" w:themeColor="text1"/>
          <w:lang w:val="es-ES_tradnl"/>
        </w:rPr>
        <w:t xml:space="preserve"> dicho propósito</w:t>
      </w:r>
      <w:r w:rsidRPr="0096658B">
        <w:rPr>
          <w:rStyle w:val="Refdenotaalpie"/>
          <w:rFonts w:ascii="Times New Roman" w:hAnsi="Times New Roman"/>
          <w:color w:val="000000" w:themeColor="text1"/>
          <w:lang w:val="es-ES_tradnl"/>
        </w:rPr>
        <w:footnoteReference w:id="218"/>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 xml:space="preserve">Asimismo, estas acciones, para que cumplan adecuadamente sus objetivos, deben </w:t>
      </w:r>
      <w:r w:rsidRPr="0096658B">
        <w:rPr>
          <w:rFonts w:ascii="Times New Roman" w:hAnsi="Times New Roman" w:cs="Times New Roman"/>
          <w:color w:val="000000" w:themeColor="text1"/>
          <w:lang w:val="es-ES_tradnl"/>
        </w:rPr>
        <w:t xml:space="preserve">diseñarse e implementarse a partir de una perspectiva de género que reconozca </w:t>
      </w:r>
      <w:r w:rsidRPr="0096658B">
        <w:rPr>
          <w:rFonts w:ascii="Times New Roman" w:hAnsi="Times New Roman" w:cs="Times New Roman"/>
          <w:color w:val="000000" w:themeColor="text1"/>
          <w:lang w:val="es-ES_tradnl"/>
        </w:rPr>
        <w:t xml:space="preserve">tales asuntos estructurales. </w:t>
      </w:r>
    </w:p>
    <w:p w:rsidR="00246B00" w:rsidRPr="0096658B" w:rsidRDefault="0096658B" w:rsidP="00246B00">
      <w:pPr>
        <w:pStyle w:val="Prrafodelista"/>
        <w:rPr>
          <w:rFonts w:ascii="Times New Roman" w:hAnsi="Times New Roman" w:cs="Times New Roman"/>
          <w:color w:val="000000" w:themeColor="text1"/>
          <w:lang w:val="es-ES_tradnl"/>
        </w:rPr>
      </w:pPr>
    </w:p>
    <w:p w:rsidR="00246B00" w:rsidRPr="0096658B" w:rsidRDefault="0096658B" w:rsidP="00246B00">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color w:val="000000" w:themeColor="text1"/>
          <w:lang w:val="es-ES_tradnl"/>
        </w:rPr>
        <w:t xml:space="preserve">Las medidas de cuota y la necesidad de incluir enfoques interseccionales. </w:t>
      </w:r>
      <w:r w:rsidRPr="0096658B">
        <w:rPr>
          <w:rFonts w:ascii="Times New Roman" w:hAnsi="Times New Roman" w:cs="Times New Roman"/>
          <w:color w:val="000000" w:themeColor="text1"/>
          <w:lang w:val="es-ES_tradnl"/>
        </w:rPr>
        <w:t xml:space="preserve">En cuarto lugar, es importante poner de presente que, aunque las medidas de cuota buscan una protección general de los derechos de las mujeres a participar en escenarios públicos de </w:t>
      </w:r>
      <w:r w:rsidRPr="0096658B">
        <w:rPr>
          <w:rFonts w:ascii="Times New Roman" w:hAnsi="Times New Roman" w:cs="Times New Roman"/>
          <w:color w:val="000000" w:themeColor="text1"/>
          <w:lang w:val="es-ES_tradnl"/>
        </w:rPr>
        <w:t>manera equitativa frente a los hombres, estas acciones afirmativas no pueden ser aplicadas de manera homogénea respecto de todas las mujeres. Al respecto, es imperativo reconocer que las mujeres cuentan con múltiples identidades y experiencias que se entre</w:t>
      </w:r>
      <w:r w:rsidRPr="0096658B">
        <w:rPr>
          <w:rFonts w:ascii="Times New Roman" w:hAnsi="Times New Roman" w:cs="Times New Roman"/>
          <w:color w:val="000000" w:themeColor="text1"/>
          <w:lang w:val="es-ES_tradnl"/>
        </w:rPr>
        <w:t xml:space="preserve">lazan, las cuales pueden intensificar las desventajas y la discriminación que enfrentan al tratar de ingresar a ciertos escenarios sociales. </w:t>
      </w:r>
      <w:r w:rsidRPr="0096658B">
        <w:rPr>
          <w:rFonts w:ascii="Times New Roman" w:hAnsi="Times New Roman" w:cs="Times New Roman"/>
        </w:rPr>
        <w:t xml:space="preserve">Considerar estas diferencias es vital, pues los motivos con base </w:t>
      </w:r>
      <w:r w:rsidRPr="0096658B">
        <w:rPr>
          <w:rFonts w:ascii="Times New Roman" w:hAnsi="Times New Roman" w:cs="Times New Roman"/>
        </w:rPr>
        <w:t xml:space="preserve">en </w:t>
      </w:r>
      <w:r w:rsidRPr="0096658B">
        <w:rPr>
          <w:rFonts w:ascii="Times New Roman" w:hAnsi="Times New Roman" w:cs="Times New Roman"/>
        </w:rPr>
        <w:t>los cuales se discrimina a las personas no oper</w:t>
      </w:r>
      <w:r w:rsidRPr="0096658B">
        <w:rPr>
          <w:rFonts w:ascii="Times New Roman" w:hAnsi="Times New Roman" w:cs="Times New Roman"/>
        </w:rPr>
        <w:t>an de manera aislada, sino que en muchos casos se encuentran y de ese modo incrementan las consecuencias negativas de las exclusiones</w:t>
      </w:r>
      <w:r w:rsidRPr="0096658B">
        <w:rPr>
          <w:rStyle w:val="Refdenotaalpie"/>
          <w:rFonts w:ascii="Times New Roman" w:hAnsi="Times New Roman"/>
        </w:rPr>
        <w:footnoteReference w:id="219"/>
      </w:r>
      <w:r w:rsidRPr="0096658B">
        <w:rPr>
          <w:rFonts w:ascii="Times New Roman" w:hAnsi="Times New Roman" w:cs="Times New Roman"/>
        </w:rPr>
        <w:t>.</w:t>
      </w:r>
    </w:p>
    <w:p w:rsidR="00246B00" w:rsidRPr="0096658B" w:rsidRDefault="0096658B" w:rsidP="00246B00">
      <w:pPr>
        <w:pStyle w:val="Prrafodelista"/>
        <w:rPr>
          <w:rFonts w:ascii="Times New Roman" w:hAnsi="Times New Roman" w:cs="Times New Roman"/>
          <w:color w:val="000000" w:themeColor="text1"/>
          <w:lang w:val="es-ES_tradnl"/>
        </w:rPr>
      </w:pPr>
    </w:p>
    <w:p w:rsidR="00246B00" w:rsidRPr="0096658B" w:rsidRDefault="0096658B" w:rsidP="00246B00">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La Corte ha estimado de manera reiterada que </w:t>
      </w:r>
      <w:r w:rsidRPr="0096658B">
        <w:rPr>
          <w:rFonts w:ascii="Times New Roman" w:hAnsi="Times New Roman" w:cs="Times New Roman"/>
        </w:rPr>
        <w:t>ante la colisión de diversos componentes de desigualdad</w:t>
      </w:r>
      <w:r w:rsidRPr="0096658B">
        <w:rPr>
          <w:rStyle w:val="Refdenotaalpie"/>
          <w:rFonts w:ascii="Times New Roman" w:hAnsi="Times New Roman"/>
        </w:rPr>
        <w:footnoteReference w:id="220"/>
      </w:r>
      <w:r w:rsidRPr="0096658B">
        <w:rPr>
          <w:rFonts w:ascii="Times New Roman" w:hAnsi="Times New Roman" w:cs="Times New Roman"/>
        </w:rPr>
        <w:t xml:space="preserve"> es importante emp</w:t>
      </w:r>
      <w:r w:rsidRPr="0096658B">
        <w:rPr>
          <w:rFonts w:ascii="Times New Roman" w:hAnsi="Times New Roman" w:cs="Times New Roman"/>
        </w:rPr>
        <w:t xml:space="preserve">lear el concepto de interseccionalidad, </w:t>
      </w:r>
      <w:r w:rsidRPr="0096658B">
        <w:rPr>
          <w:rFonts w:ascii="Times New Roman" w:hAnsi="Times New Roman" w:cs="Times New Roman"/>
        </w:rPr>
        <w:t>en tanto que</w:t>
      </w:r>
      <w:r w:rsidRPr="0096658B">
        <w:rPr>
          <w:rFonts w:ascii="Times New Roman" w:hAnsi="Times New Roman" w:cs="Times New Roman"/>
        </w:rPr>
        <w:t xml:space="preserve"> permite comprender la complejidad de la situación y adoptar las medidas adecuadas y necesarias para lograr el respeto, protección y garantía de los derechos</w:t>
      </w:r>
      <w:r w:rsidRPr="0096658B">
        <w:rPr>
          <w:rStyle w:val="Refdenotaalpie"/>
          <w:rFonts w:ascii="Times New Roman" w:hAnsi="Times New Roman"/>
        </w:rPr>
        <w:footnoteReference w:id="221"/>
      </w:r>
      <w:r w:rsidRPr="0096658B">
        <w:rPr>
          <w:rFonts w:ascii="Times New Roman" w:hAnsi="Times New Roman" w:cs="Times New Roman"/>
        </w:rPr>
        <w:t>. En el caso de las beneficiarias de esta medi</w:t>
      </w:r>
      <w:r w:rsidRPr="0096658B">
        <w:rPr>
          <w:rFonts w:ascii="Times New Roman" w:hAnsi="Times New Roman" w:cs="Times New Roman"/>
        </w:rPr>
        <w:t xml:space="preserve">da, es necesario vincular las bases de la discriminación (raza, género, etc.) con el entorno social, económico, político y legal que </w:t>
      </w:r>
      <w:r w:rsidRPr="0096658B">
        <w:rPr>
          <w:rFonts w:ascii="Times New Roman" w:hAnsi="Times New Roman" w:cs="Times New Roman"/>
        </w:rPr>
        <w:t xml:space="preserve">fomenta </w:t>
      </w:r>
      <w:r w:rsidRPr="0096658B">
        <w:rPr>
          <w:rFonts w:ascii="Times New Roman" w:hAnsi="Times New Roman" w:cs="Times New Roman"/>
        </w:rPr>
        <w:t>la discriminación y que estructura las vivencias de la opresión y del privilegio</w:t>
      </w:r>
      <w:r w:rsidRPr="0096658B">
        <w:rPr>
          <w:rStyle w:val="Refdenotaalpie"/>
          <w:rFonts w:ascii="Times New Roman" w:hAnsi="Times New Roman"/>
        </w:rPr>
        <w:footnoteReference w:id="222"/>
      </w:r>
      <w:r w:rsidRPr="0096658B">
        <w:rPr>
          <w:rFonts w:ascii="Times New Roman" w:hAnsi="Times New Roman" w:cs="Times New Roman"/>
        </w:rPr>
        <w:t xml:space="preserve">. </w:t>
      </w:r>
    </w:p>
    <w:p w:rsidR="00246B00" w:rsidRPr="0096658B" w:rsidRDefault="0096658B" w:rsidP="00246B00">
      <w:pPr>
        <w:pStyle w:val="Prrafodelista"/>
        <w:rPr>
          <w:rFonts w:ascii="Times New Roman" w:hAnsi="Times New Roman" w:cs="Times New Roman"/>
        </w:rPr>
      </w:pPr>
    </w:p>
    <w:p w:rsidR="00246B00" w:rsidRPr="0096658B" w:rsidRDefault="0096658B" w:rsidP="00246B00">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rPr>
        <w:t xml:space="preserve">Por ejemplo, homogeneizar las </w:t>
      </w:r>
      <w:r w:rsidRPr="0096658B">
        <w:rPr>
          <w:rFonts w:ascii="Times New Roman" w:hAnsi="Times New Roman" w:cs="Times New Roman"/>
        </w:rPr>
        <w:t xml:space="preserve">situaciones de las mujeres </w:t>
      </w:r>
      <w:r w:rsidRPr="0096658B">
        <w:rPr>
          <w:rFonts w:ascii="Times New Roman" w:hAnsi="Times New Roman" w:cs="Times New Roman"/>
        </w:rPr>
        <w:t xml:space="preserve">en </w:t>
      </w:r>
      <w:r w:rsidRPr="0096658B">
        <w:rPr>
          <w:rFonts w:ascii="Times New Roman" w:hAnsi="Times New Roman" w:cs="Times New Roman"/>
        </w:rPr>
        <w:t xml:space="preserve">contextos urbanos con las mujeres en contextos rurales sería desconocer que estas últimas enfrentan desafíos adicionales debido a la combinación de factores como la ubicación geográfica, la falta de acceso a servicios básicos </w:t>
      </w:r>
      <w:r w:rsidRPr="0096658B">
        <w:rPr>
          <w:rFonts w:ascii="Times New Roman" w:hAnsi="Times New Roman" w:cs="Times New Roman"/>
        </w:rPr>
        <w:t xml:space="preserve">y educación, la limitada infraestructura, las normas culturales arraigadas sobre el cuidado y las condiciones económicas desfavorables. </w:t>
      </w:r>
      <w:r w:rsidRPr="0096658B">
        <w:rPr>
          <w:rFonts w:ascii="Times New Roman" w:hAnsi="Times New Roman" w:cs="Times New Roman"/>
        </w:rPr>
        <w:t>De igual forma, no</w:t>
      </w:r>
      <w:r w:rsidRPr="0096658B">
        <w:rPr>
          <w:rFonts w:ascii="Times New Roman" w:hAnsi="Times New Roman" w:cs="Times New Roman"/>
        </w:rPr>
        <w:t xml:space="preserve"> podría hacerse la comparación entre las mujeres afro, indígenas, </w:t>
      </w:r>
      <w:r w:rsidRPr="0096658B">
        <w:rPr>
          <w:rFonts w:ascii="Times New Roman" w:hAnsi="Times New Roman" w:cs="Times New Roman"/>
        </w:rPr>
        <w:t xml:space="preserve">en situación de </w:t>
      </w:r>
      <w:r w:rsidRPr="0096658B">
        <w:rPr>
          <w:rStyle w:val="normaltextrun"/>
          <w:rFonts w:ascii="Times New Roman" w:hAnsi="Times New Roman" w:cs="Times New Roman"/>
          <w:color w:val="000000"/>
          <w:bdr w:val="none" w:sz="0" w:space="0" w:color="auto" w:frame="1"/>
        </w:rPr>
        <w:t>discapacidad, con id</w:t>
      </w:r>
      <w:r w:rsidRPr="0096658B">
        <w:rPr>
          <w:rStyle w:val="normaltextrun"/>
          <w:rFonts w:ascii="Times New Roman" w:hAnsi="Times New Roman" w:cs="Times New Roman"/>
          <w:color w:val="000000"/>
          <w:bdr w:val="none" w:sz="0" w:space="0" w:color="auto" w:frame="1"/>
        </w:rPr>
        <w:t xml:space="preserve">entidades sexuales diversas, con contextos socioeconómicos precarizados, </w:t>
      </w:r>
      <w:r w:rsidRPr="0096658B">
        <w:rPr>
          <w:rFonts w:ascii="Times New Roman" w:hAnsi="Times New Roman" w:cs="Times New Roman"/>
        </w:rPr>
        <w:t xml:space="preserve">con familias con numerosos miembros dependientes, entre otras realidades que podrían dificultar también su acceso a ser </w:t>
      </w:r>
      <w:r w:rsidRPr="0096658B">
        <w:rPr>
          <w:rStyle w:val="normaltextrun"/>
          <w:rFonts w:ascii="Times New Roman" w:hAnsi="Times New Roman" w:cs="Times New Roman"/>
          <w:color w:val="000000"/>
          <w:bdr w:val="none" w:sz="0" w:space="0" w:color="auto" w:frame="1"/>
        </w:rPr>
        <w:t>beneficiarias efectivas de las medidas de acción afirmativa con</w:t>
      </w:r>
      <w:r w:rsidRPr="0096658B">
        <w:rPr>
          <w:rStyle w:val="normaltextrun"/>
          <w:rFonts w:ascii="Times New Roman" w:hAnsi="Times New Roman" w:cs="Times New Roman"/>
          <w:color w:val="000000"/>
          <w:bdr w:val="none" w:sz="0" w:space="0" w:color="auto" w:frame="1"/>
        </w:rPr>
        <w:t>templadas en la ley que se estudia.</w:t>
      </w:r>
      <w:r w:rsidRPr="0096658B">
        <w:rPr>
          <w:rFonts w:ascii="Times New Roman" w:hAnsi="Times New Roman" w:cs="Times New Roman"/>
          <w:color w:val="000000" w:themeColor="text1"/>
        </w:rPr>
        <w:t xml:space="preserve"> </w:t>
      </w:r>
      <w:r w:rsidRPr="0096658B">
        <w:rPr>
          <w:rFonts w:ascii="Times New Roman" w:hAnsi="Times New Roman" w:cs="Times New Roman"/>
        </w:rPr>
        <w:t>Por ello, es necesario reconocer que las mujeres que están expuestas a múltiples condiciones de vulnerabilidad necesitan de una serie de medidas particulares que se deben adecuar a su situación para garantizar la protecc</w:t>
      </w:r>
      <w:r w:rsidRPr="0096658B">
        <w:rPr>
          <w:rFonts w:ascii="Times New Roman" w:hAnsi="Times New Roman" w:cs="Times New Roman"/>
        </w:rPr>
        <w:t>ión de sus derechos</w:t>
      </w:r>
      <w:r w:rsidRPr="0096658B">
        <w:rPr>
          <w:rStyle w:val="Refdenotaalpie"/>
          <w:rFonts w:ascii="Times New Roman" w:hAnsi="Times New Roman"/>
        </w:rPr>
        <w:footnoteReference w:id="223"/>
      </w:r>
      <w:r w:rsidRPr="0096658B">
        <w:rPr>
          <w:rFonts w:ascii="Times New Roman" w:hAnsi="Times New Roman" w:cs="Times New Roman"/>
          <w:color w:val="000000" w:themeColor="text1"/>
        </w:rPr>
        <w:t>.</w:t>
      </w:r>
    </w:p>
    <w:p w:rsidR="00246B00" w:rsidRPr="0096658B" w:rsidRDefault="0096658B" w:rsidP="00246B00">
      <w:pPr>
        <w:pStyle w:val="Prrafodelista"/>
        <w:rPr>
          <w:rFonts w:ascii="Times New Roman" w:hAnsi="Times New Roman" w:cs="Times New Roman"/>
          <w:color w:val="000000" w:themeColor="text1"/>
          <w:lang w:val="es-ES_tradnl"/>
        </w:rPr>
      </w:pPr>
    </w:p>
    <w:p w:rsidR="00246B00" w:rsidRPr="0096658B" w:rsidRDefault="0096658B" w:rsidP="00246B00">
      <w:pPr>
        <w:pStyle w:val="Prrafodelista"/>
        <w:widowControl w:val="0"/>
        <w:numPr>
          <w:ilvl w:val="0"/>
          <w:numId w:val="5"/>
        </w:numPr>
        <w:shd w:val="clear" w:color="auto" w:fill="FFFFFF" w:themeFill="background1"/>
        <w:tabs>
          <w:tab w:val="left" w:pos="284"/>
        </w:tabs>
        <w:autoSpaceDE w:val="0"/>
        <w:autoSpaceDN w:val="0"/>
        <w:adjustRightInd w:val="0"/>
        <w:ind w:left="0" w:firstLine="0"/>
        <w:jc w:val="both"/>
        <w:rPr>
          <w:rFonts w:ascii="Times New Roman" w:hAnsi="Times New Roman" w:cs="Times New Roman"/>
          <w:color w:val="000000" w:themeColor="text1"/>
        </w:rPr>
      </w:pPr>
      <w:r w:rsidRPr="0096658B">
        <w:rPr>
          <w:rFonts w:ascii="Times New Roman" w:hAnsi="Times New Roman" w:cs="Times New Roman"/>
          <w:color w:val="000000" w:themeColor="text1"/>
        </w:rPr>
        <w:t xml:space="preserve">Por lo anterior, la Corte reconoce que la interseccionalidad es un enfoque crucial para abordar la complejidad de las desigualdades que enfrentan las mujeres en diferentes aspectos de sus vidas, por </w:t>
      </w:r>
      <w:r w:rsidRPr="0096658B">
        <w:rPr>
          <w:rFonts w:ascii="Times New Roman" w:hAnsi="Times New Roman" w:cs="Times New Roman"/>
          <w:color w:val="000000" w:themeColor="text1"/>
        </w:rPr>
        <w:t>esto</w:t>
      </w:r>
      <w:r w:rsidRPr="0096658B">
        <w:rPr>
          <w:rFonts w:ascii="Times New Roman" w:hAnsi="Times New Roman" w:cs="Times New Roman"/>
          <w:color w:val="000000" w:themeColor="text1"/>
        </w:rPr>
        <w:t>, al priorizar la interseccion</w:t>
      </w:r>
      <w:r w:rsidRPr="0096658B">
        <w:rPr>
          <w:rFonts w:ascii="Times New Roman" w:hAnsi="Times New Roman" w:cs="Times New Roman"/>
          <w:color w:val="000000" w:themeColor="text1"/>
        </w:rPr>
        <w:t>alidad en la actividad legislativa que complemente y desarrolle la ley en estudio, se reconoce la necesidad de abordar no solo la discriminación de género, sino también las diversas formas de opresión y discriminación que pueden afectar de manera despropor</w:t>
      </w:r>
      <w:r w:rsidRPr="0096658B">
        <w:rPr>
          <w:rFonts w:ascii="Times New Roman" w:hAnsi="Times New Roman" w:cs="Times New Roman"/>
          <w:color w:val="000000" w:themeColor="text1"/>
        </w:rPr>
        <w:t>cionada a diferentes grupos de mujeres</w:t>
      </w:r>
      <w:r w:rsidRPr="0096658B">
        <w:rPr>
          <w:rStyle w:val="Refdenotaalpie"/>
          <w:rFonts w:ascii="Times New Roman" w:hAnsi="Times New Roman"/>
          <w:color w:val="000000" w:themeColor="text1"/>
        </w:rPr>
        <w:footnoteReference w:id="224"/>
      </w:r>
      <w:r w:rsidRPr="0096658B">
        <w:rPr>
          <w:rFonts w:ascii="Times New Roman" w:hAnsi="Times New Roman" w:cs="Times New Roman"/>
          <w:color w:val="000000" w:themeColor="text1"/>
        </w:rPr>
        <w:t>. Esto incluye a mujeres de comunidades marginadas o históricamente excluidas que enfrentan barreras adicionales para acceder a oportunidades económicas, educativas y políticas. La implementación de medidas afirmativas debe tener en cuenta estas realidades</w:t>
      </w:r>
      <w:r w:rsidRPr="0096658B">
        <w:rPr>
          <w:rFonts w:ascii="Times New Roman" w:hAnsi="Times New Roman" w:cs="Times New Roman"/>
          <w:color w:val="000000" w:themeColor="text1"/>
        </w:rPr>
        <w:t xml:space="preserve"> particulares y considerar cómo las estructuras y sistemas existentes pueden perpetuar la desigualdad. Solo al abordar estas complejidades desde una perspectiva interseccional se puede avanzar hacia una igualdad sustantiva y equitativa entre los géneros, </w:t>
      </w:r>
      <w:r w:rsidRPr="0096658B">
        <w:rPr>
          <w:rFonts w:ascii="Times New Roman" w:hAnsi="Times New Roman" w:cs="Times New Roman"/>
          <w:color w:val="000000" w:themeColor="text1"/>
        </w:rPr>
        <w:t>q</w:t>
      </w:r>
      <w:r w:rsidRPr="0096658B">
        <w:rPr>
          <w:rFonts w:ascii="Times New Roman" w:hAnsi="Times New Roman" w:cs="Times New Roman"/>
          <w:color w:val="000000" w:themeColor="text1"/>
        </w:rPr>
        <w:t xml:space="preserve">ue garantice a </w:t>
      </w:r>
      <w:r w:rsidRPr="0096658B">
        <w:rPr>
          <w:rFonts w:ascii="Times New Roman" w:hAnsi="Times New Roman" w:cs="Times New Roman"/>
          <w:color w:val="000000" w:themeColor="text1"/>
        </w:rPr>
        <w:t xml:space="preserve">todas las mujeres </w:t>
      </w:r>
      <w:r w:rsidRPr="0096658B">
        <w:rPr>
          <w:rFonts w:ascii="Times New Roman" w:hAnsi="Times New Roman" w:cs="Times New Roman"/>
          <w:color w:val="000000" w:themeColor="text1"/>
        </w:rPr>
        <w:t xml:space="preserve">el </w:t>
      </w:r>
      <w:r w:rsidRPr="0096658B">
        <w:rPr>
          <w:rFonts w:ascii="Times New Roman" w:hAnsi="Times New Roman" w:cs="Times New Roman"/>
          <w:color w:val="000000" w:themeColor="text1"/>
        </w:rPr>
        <w:t>acceso en condiciones de igualdad a roles de mayor responsabilidad en el ámbito público.</w:t>
      </w:r>
    </w:p>
    <w:p w:rsidR="00246B00" w:rsidRPr="0096658B" w:rsidRDefault="0096658B" w:rsidP="00246B00">
      <w:pPr>
        <w:pStyle w:val="Prrafodelista"/>
        <w:widowControl w:val="0"/>
        <w:shd w:val="clear" w:color="auto" w:fill="FFFFFF" w:themeFill="background1"/>
        <w:tabs>
          <w:tab w:val="left" w:pos="284"/>
        </w:tabs>
        <w:autoSpaceDE w:val="0"/>
        <w:autoSpaceDN w:val="0"/>
        <w:adjustRightInd w:val="0"/>
        <w:ind w:left="0"/>
        <w:jc w:val="both"/>
        <w:rPr>
          <w:rFonts w:ascii="Times New Roman" w:hAnsi="Times New Roman" w:cs="Times New Roman"/>
          <w:color w:val="000000" w:themeColor="text1"/>
        </w:rPr>
      </w:pPr>
    </w:p>
    <w:p w:rsidR="009D2487" w:rsidRPr="0096658B" w:rsidRDefault="0096658B" w:rsidP="002843A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color w:val="000000" w:themeColor="text1"/>
          <w:lang w:val="es-ES_tradnl"/>
        </w:rPr>
        <w:t xml:space="preserve">Las medidas de cuota y la aptitud para el ejercicio de los cargos directivos del Estado. </w:t>
      </w:r>
      <w:r w:rsidRPr="0096658B">
        <w:rPr>
          <w:rFonts w:ascii="Times New Roman" w:hAnsi="Times New Roman" w:cs="Times New Roman"/>
          <w:color w:val="000000" w:themeColor="text1"/>
          <w:lang w:val="es-ES_tradnl"/>
        </w:rPr>
        <w:t xml:space="preserve">En </w:t>
      </w:r>
      <w:r w:rsidRPr="0096658B">
        <w:rPr>
          <w:rFonts w:ascii="Times New Roman" w:hAnsi="Times New Roman" w:cs="Times New Roman"/>
          <w:color w:val="000000" w:themeColor="text1"/>
          <w:lang w:val="es-ES_tradnl"/>
        </w:rPr>
        <w:t>quinto</w:t>
      </w:r>
      <w:r w:rsidRPr="0096658B">
        <w:rPr>
          <w:rFonts w:ascii="Times New Roman" w:hAnsi="Times New Roman" w:cs="Times New Roman"/>
          <w:color w:val="000000" w:themeColor="text1"/>
          <w:lang w:val="es-ES_tradnl"/>
        </w:rPr>
        <w:t xml:space="preserve"> lugar, la Sala considera oportuno concentrarse en un cuestionamiento expresado durante el trámite legislativo, relativo a que las medidas de cuota a favor de las mujeres no resultaban adecuadas, especialmente en los ámbitos regionales, puesto que no había</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suficientes</w:t>
      </w:r>
      <w:r w:rsidRPr="0096658B">
        <w:rPr>
          <w:rFonts w:ascii="Times New Roman" w:hAnsi="Times New Roman" w:cs="Times New Roman"/>
          <w:color w:val="000000" w:themeColor="text1"/>
          <w:lang w:val="es-ES_tradnl"/>
        </w:rPr>
        <w:t xml:space="preserve"> mujeres</w:t>
      </w:r>
      <w:r w:rsidRPr="0096658B">
        <w:rPr>
          <w:rFonts w:ascii="Times New Roman" w:hAnsi="Times New Roman" w:cs="Times New Roman"/>
          <w:color w:val="000000" w:themeColor="text1"/>
          <w:lang w:val="es-ES_tradnl"/>
        </w:rPr>
        <w:t xml:space="preserve"> interesadas o formadas para el acceso a los cargos de dirección o de elección popular</w:t>
      </w:r>
      <w:r w:rsidRPr="0096658B">
        <w:rPr>
          <w:rFonts w:ascii="Times New Roman" w:hAnsi="Times New Roman" w:cs="Times New Roman"/>
          <w:color w:val="000000" w:themeColor="text1"/>
          <w:lang w:val="es-ES_tradnl"/>
        </w:rPr>
        <w:t>. En ese contexto,</w:t>
      </w:r>
      <w:r w:rsidRPr="0096658B">
        <w:rPr>
          <w:rFonts w:ascii="Times New Roman" w:hAnsi="Times New Roman" w:cs="Times New Roman"/>
          <w:color w:val="000000" w:themeColor="text1"/>
          <w:lang w:val="es-ES_tradnl"/>
        </w:rPr>
        <w:t xml:space="preserve"> su inclusión obligatoria respondía más a la sola obligación de cumplimiento con el mandato legal pero no en una genuina intención d</w:t>
      </w:r>
      <w:r w:rsidRPr="0096658B">
        <w:rPr>
          <w:rFonts w:ascii="Times New Roman" w:hAnsi="Times New Roman" w:cs="Times New Roman"/>
          <w:color w:val="000000" w:themeColor="text1"/>
          <w:lang w:val="es-ES_tradnl"/>
        </w:rPr>
        <w:t xml:space="preserve">e promover la equidad entre los géneros. </w:t>
      </w:r>
    </w:p>
    <w:p w:rsidR="00AC18DE" w:rsidRPr="0096658B" w:rsidRDefault="0096658B" w:rsidP="00AC18DE">
      <w:pPr>
        <w:pStyle w:val="Prrafodelista"/>
        <w:rPr>
          <w:rFonts w:ascii="Times New Roman" w:hAnsi="Times New Roman" w:cs="Times New Roman"/>
          <w:color w:val="000000" w:themeColor="text1"/>
          <w:lang w:val="es-ES_tradnl"/>
        </w:rPr>
      </w:pPr>
    </w:p>
    <w:p w:rsidR="00FA1CA6" w:rsidRPr="0096658B" w:rsidRDefault="0096658B" w:rsidP="003C339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La Corte </w:t>
      </w:r>
      <w:r w:rsidRPr="0096658B">
        <w:rPr>
          <w:rFonts w:ascii="Times New Roman" w:hAnsi="Times New Roman" w:cs="Times New Roman"/>
          <w:color w:val="000000" w:themeColor="text1"/>
          <w:lang w:val="es-ES_tradnl"/>
        </w:rPr>
        <w:t>estima</w:t>
      </w:r>
      <w:r w:rsidRPr="0096658B">
        <w:rPr>
          <w:rFonts w:ascii="Times New Roman" w:hAnsi="Times New Roman" w:cs="Times New Roman"/>
          <w:color w:val="000000" w:themeColor="text1"/>
          <w:lang w:val="es-ES_tradnl"/>
        </w:rPr>
        <w:t xml:space="preserve"> que esta crítica, aunque puede tener cierta evidencia empírica</w:t>
      </w:r>
      <w:r w:rsidRPr="0096658B">
        <w:rPr>
          <w:rFonts w:ascii="Times New Roman" w:hAnsi="Times New Roman" w:cs="Times New Roman"/>
          <w:color w:val="000000" w:themeColor="text1"/>
          <w:lang w:val="es-ES_tradnl"/>
        </w:rPr>
        <w:t xml:space="preserve"> expresada por varios congresistas durante el trámite legislativo</w:t>
      </w:r>
      <w:r w:rsidRPr="0096658B">
        <w:rPr>
          <w:rStyle w:val="Refdenotaalpie"/>
          <w:rFonts w:ascii="Times New Roman" w:hAnsi="Times New Roman"/>
          <w:color w:val="000000" w:themeColor="text1"/>
          <w:lang w:val="es-ES_tradnl"/>
        </w:rPr>
        <w:footnoteReference w:id="225"/>
      </w:r>
      <w:r w:rsidRPr="0096658B">
        <w:rPr>
          <w:rFonts w:ascii="Times New Roman" w:hAnsi="Times New Roman" w:cs="Times New Roman"/>
          <w:color w:val="000000" w:themeColor="text1"/>
          <w:lang w:val="es-ES_tradnl"/>
        </w:rPr>
        <w:t xml:space="preserve">, en cualquier </w:t>
      </w:r>
      <w:r w:rsidRPr="0096658B">
        <w:rPr>
          <w:rFonts w:ascii="Times New Roman" w:hAnsi="Times New Roman" w:cs="Times New Roman"/>
          <w:color w:val="000000" w:themeColor="text1"/>
          <w:lang w:val="es-ES_tradnl"/>
        </w:rPr>
        <w:t>caso</w:t>
      </w:r>
      <w:r w:rsidRPr="0096658B">
        <w:rPr>
          <w:rFonts w:ascii="Times New Roman" w:hAnsi="Times New Roman" w:cs="Times New Roman"/>
          <w:color w:val="000000" w:themeColor="text1"/>
          <w:lang w:val="es-ES_tradnl"/>
        </w:rPr>
        <w:t xml:space="preserve"> desconoce que como se explicó en apartado anterior de </w:t>
      </w:r>
      <w:r w:rsidRPr="0096658B">
        <w:rPr>
          <w:rFonts w:ascii="Times New Roman" w:hAnsi="Times New Roman" w:cs="Times New Roman"/>
          <w:color w:val="000000" w:themeColor="text1"/>
          <w:lang w:val="es-ES_tradnl"/>
        </w:rPr>
        <w:t>esta sentencia</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 xml:space="preserve">Colombia ha aumentado sus índices de acceso a la educación superior por parte de las mujeres, siendo incluso mayoritaria en algunas disciplinas o niveles de formación. </w:t>
      </w:r>
    </w:p>
    <w:p w:rsidR="00FA1CA6" w:rsidRPr="0096658B" w:rsidRDefault="0096658B" w:rsidP="00FA1CA6">
      <w:pPr>
        <w:pStyle w:val="Prrafodelista"/>
        <w:rPr>
          <w:rFonts w:ascii="Times New Roman" w:hAnsi="Times New Roman" w:cs="Times New Roman"/>
          <w:color w:val="000000" w:themeColor="text1"/>
          <w:lang w:val="es-ES_tradnl"/>
        </w:rPr>
      </w:pPr>
    </w:p>
    <w:p w:rsidR="00AC18DE" w:rsidRPr="0096658B" w:rsidRDefault="0096658B" w:rsidP="003C339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En ese sentido,</w:t>
      </w:r>
      <w:r w:rsidRPr="0096658B">
        <w:rPr>
          <w:rFonts w:ascii="Times New Roman" w:hAnsi="Times New Roman" w:cs="Times New Roman"/>
          <w:color w:val="000000" w:themeColor="text1"/>
          <w:lang w:val="es-ES_tradnl"/>
        </w:rPr>
        <w:t xml:space="preserve"> la exclusión de las mujeres no se explica por el hecho de la falta de personas cualificadas, sino </w:t>
      </w:r>
      <w:r w:rsidRPr="0096658B">
        <w:rPr>
          <w:rFonts w:ascii="Times New Roman" w:hAnsi="Times New Roman" w:cs="Times New Roman"/>
          <w:color w:val="000000" w:themeColor="text1"/>
          <w:lang w:val="es-ES_tradnl"/>
        </w:rPr>
        <w:t>por</w:t>
      </w:r>
      <w:r w:rsidRPr="0096658B">
        <w:rPr>
          <w:rFonts w:ascii="Times New Roman" w:hAnsi="Times New Roman" w:cs="Times New Roman"/>
          <w:color w:val="000000" w:themeColor="text1"/>
          <w:lang w:val="es-ES_tradnl"/>
        </w:rPr>
        <w:t xml:space="preserve"> la pervivencia de estereotipos de género (p.e. que los hombres están </w:t>
      </w:r>
      <w:r w:rsidRPr="0096658B">
        <w:rPr>
          <w:rFonts w:ascii="Times New Roman" w:hAnsi="Times New Roman" w:cs="Times New Roman"/>
          <w:i/>
          <w:color w:val="000000" w:themeColor="text1"/>
          <w:lang w:val="es-ES_tradnl"/>
        </w:rPr>
        <w:t xml:space="preserve">per se </w:t>
      </w:r>
      <w:r w:rsidRPr="0096658B">
        <w:rPr>
          <w:rFonts w:ascii="Times New Roman" w:hAnsi="Times New Roman" w:cs="Times New Roman"/>
          <w:color w:val="000000" w:themeColor="text1"/>
          <w:lang w:val="es-ES_tradnl"/>
        </w:rPr>
        <w:t xml:space="preserve">más capacitados que las mujeres para ejercer responsabilidades directivas en </w:t>
      </w:r>
      <w:r w:rsidRPr="0096658B">
        <w:rPr>
          <w:rFonts w:ascii="Times New Roman" w:hAnsi="Times New Roman" w:cs="Times New Roman"/>
          <w:color w:val="000000" w:themeColor="text1"/>
          <w:lang w:val="es-ES_tradnl"/>
        </w:rPr>
        <w:t>el Estado</w:t>
      </w:r>
      <w:r w:rsidRPr="0096658B">
        <w:rPr>
          <w:rFonts w:ascii="Times New Roman" w:hAnsi="Times New Roman" w:cs="Times New Roman"/>
          <w:color w:val="000000" w:themeColor="text1"/>
          <w:lang w:val="es-ES_tradnl"/>
        </w:rPr>
        <w:t xml:space="preserve"> o para lograr ser elegidos en cargos representativos</w:t>
      </w:r>
      <w:r w:rsidRPr="0096658B">
        <w:rPr>
          <w:rFonts w:ascii="Times New Roman" w:hAnsi="Times New Roman" w:cs="Times New Roman"/>
          <w:color w:val="000000" w:themeColor="text1"/>
          <w:lang w:val="es-ES_tradnl"/>
        </w:rPr>
        <w:t>) y barreras vinculadas no a la formación sino a la distribución equitativa de las responsabilidades de cuidado entre hombres y mujeres</w:t>
      </w:r>
      <w:r w:rsidRPr="0096658B">
        <w:rPr>
          <w:rFonts w:ascii="Times New Roman" w:hAnsi="Times New Roman" w:cs="Times New Roman"/>
          <w:color w:val="000000" w:themeColor="text1"/>
          <w:lang w:val="es-ES_tradnl"/>
        </w:rPr>
        <w:t xml:space="preserve">, como se ha insistido en varios fundamentos jurídicos de </w:t>
      </w:r>
      <w:r w:rsidRPr="0096658B">
        <w:rPr>
          <w:rFonts w:ascii="Times New Roman" w:hAnsi="Times New Roman" w:cs="Times New Roman"/>
          <w:color w:val="000000" w:themeColor="text1"/>
          <w:lang w:val="es-ES_tradnl"/>
        </w:rPr>
        <w:t>e</w:t>
      </w:r>
      <w:r w:rsidRPr="0096658B">
        <w:rPr>
          <w:rFonts w:ascii="Times New Roman" w:hAnsi="Times New Roman" w:cs="Times New Roman"/>
          <w:color w:val="000000" w:themeColor="text1"/>
          <w:lang w:val="es-ES_tradnl"/>
        </w:rPr>
        <w:t>sta providencia</w:t>
      </w:r>
      <w:r w:rsidRPr="0096658B">
        <w:rPr>
          <w:rFonts w:ascii="Times New Roman" w:hAnsi="Times New Roman" w:cs="Times New Roman"/>
          <w:color w:val="000000" w:themeColor="text1"/>
          <w:lang w:val="es-ES_tradnl"/>
        </w:rPr>
        <w:t>. Esto quiere decir que, en lo que tiene que ver con habilidades y formación, se está ante un escenario de virtual equivalencia. Entonces, las medidas de cuota permiten, bajo esa nueva perspectiva, visibilizar a las mujeres cualificadas para</w:t>
      </w:r>
      <w:r w:rsidRPr="0096658B">
        <w:rPr>
          <w:rFonts w:ascii="Times New Roman" w:hAnsi="Times New Roman" w:cs="Times New Roman"/>
          <w:color w:val="000000" w:themeColor="text1"/>
          <w:lang w:val="es-ES_tradnl"/>
        </w:rPr>
        <w:t xml:space="preserve"> su ingreso a las altas responsabilidades del Estado y promover un cambio cultural acerca de una distribución justa de las cargas de cuidado y su reconocimiento en el ámbito laboral, cuando menos en el sector público. </w:t>
      </w:r>
    </w:p>
    <w:p w:rsidR="00AC18DE" w:rsidRPr="0096658B" w:rsidRDefault="0096658B" w:rsidP="00AC18DE">
      <w:pPr>
        <w:jc w:val="both"/>
        <w:rPr>
          <w:rFonts w:ascii="Times New Roman" w:hAnsi="Times New Roman" w:cs="Times New Roman"/>
          <w:color w:val="000000" w:themeColor="text1"/>
          <w:sz w:val="28"/>
          <w:szCs w:val="28"/>
          <w:lang w:val="es-ES_tradnl"/>
        </w:rPr>
      </w:pPr>
    </w:p>
    <w:p w:rsidR="000B0AD7" w:rsidRPr="0096658B" w:rsidRDefault="0096658B" w:rsidP="00AC18DE">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Por las razones anotadas tampoco pue</w:t>
      </w:r>
      <w:r w:rsidRPr="0096658B">
        <w:rPr>
          <w:rFonts w:ascii="Times New Roman" w:hAnsi="Times New Roman" w:cs="Times New Roman"/>
          <w:color w:val="000000" w:themeColor="text1"/>
          <w:lang w:val="es-ES_tradnl"/>
        </w:rPr>
        <w:t xml:space="preserve">de considerarse que el PLE </w:t>
      </w:r>
      <w:r w:rsidRPr="0096658B">
        <w:rPr>
          <w:rFonts w:ascii="Times New Roman" w:hAnsi="Times New Roman" w:cs="Times New Roman"/>
          <w:color w:val="000000" w:themeColor="text1"/>
          <w:lang w:val="es-ES_tradnl"/>
        </w:rPr>
        <w:t xml:space="preserve">contenga medidas de corte </w:t>
      </w:r>
      <w:r w:rsidRPr="0096658B">
        <w:rPr>
          <w:rFonts w:ascii="Times New Roman" w:hAnsi="Times New Roman" w:cs="Times New Roman"/>
          <w:color w:val="000000" w:themeColor="text1"/>
          <w:lang w:val="es-ES_tradnl"/>
        </w:rPr>
        <w:t>paternalista</w:t>
      </w:r>
      <w:r w:rsidRPr="0096658B">
        <w:rPr>
          <w:rFonts w:ascii="Times New Roman" w:hAnsi="Times New Roman" w:cs="Times New Roman"/>
          <w:color w:val="000000" w:themeColor="text1"/>
          <w:lang w:val="es-ES_tradnl"/>
        </w:rPr>
        <w:t xml:space="preserve"> o, menos aún,</w:t>
      </w:r>
      <w:r w:rsidRPr="0096658B">
        <w:rPr>
          <w:rFonts w:ascii="Times New Roman" w:hAnsi="Times New Roman" w:cs="Times New Roman"/>
          <w:color w:val="000000" w:themeColor="text1"/>
          <w:lang w:val="es-ES_tradnl"/>
        </w:rPr>
        <w:t xml:space="preserve"> medida</w:t>
      </w:r>
      <w:r w:rsidRPr="0096658B">
        <w:rPr>
          <w:rFonts w:ascii="Times New Roman" w:hAnsi="Times New Roman" w:cs="Times New Roman"/>
          <w:color w:val="000000" w:themeColor="text1"/>
          <w:lang w:val="es-ES_tradnl"/>
        </w:rPr>
        <w:t>s</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asistencialistas que</w:t>
      </w:r>
      <w:r w:rsidRPr="0096658B">
        <w:rPr>
          <w:rFonts w:ascii="Times New Roman" w:hAnsi="Times New Roman" w:cs="Times New Roman"/>
          <w:color w:val="000000" w:themeColor="text1"/>
          <w:lang w:val="es-ES_tradnl"/>
        </w:rPr>
        <w:t xml:space="preserve"> presuponga</w:t>
      </w:r>
      <w:r w:rsidRPr="0096658B">
        <w:rPr>
          <w:rFonts w:ascii="Times New Roman" w:hAnsi="Times New Roman" w:cs="Times New Roman"/>
          <w:color w:val="000000" w:themeColor="text1"/>
          <w:lang w:val="es-ES_tradnl"/>
        </w:rPr>
        <w:t>n</w:t>
      </w:r>
      <w:r w:rsidRPr="0096658B">
        <w:rPr>
          <w:rFonts w:ascii="Times New Roman" w:hAnsi="Times New Roman" w:cs="Times New Roman"/>
          <w:color w:val="000000" w:themeColor="text1"/>
          <w:lang w:val="es-ES_tradnl"/>
        </w:rPr>
        <w:t xml:space="preserve"> la inferioridad de las mujeres. En cambio, ante </w:t>
      </w:r>
      <w:r w:rsidRPr="0096658B">
        <w:rPr>
          <w:rFonts w:ascii="Times New Roman" w:hAnsi="Times New Roman" w:cs="Times New Roman"/>
          <w:color w:val="000000" w:themeColor="text1"/>
          <w:lang w:val="es-ES_tradnl"/>
        </w:rPr>
        <w:t xml:space="preserve">el actual escenario de equivalencia en formación profesional y académica </w:t>
      </w:r>
      <w:r w:rsidRPr="0096658B">
        <w:rPr>
          <w:rFonts w:ascii="Times New Roman" w:hAnsi="Times New Roman" w:cs="Times New Roman"/>
          <w:color w:val="000000" w:themeColor="text1"/>
          <w:lang w:val="es-ES_tradnl"/>
        </w:rPr>
        <w:t xml:space="preserve">entre hombres </w:t>
      </w:r>
      <w:r w:rsidRPr="0096658B">
        <w:rPr>
          <w:rFonts w:ascii="Times New Roman" w:hAnsi="Times New Roman" w:cs="Times New Roman"/>
          <w:color w:val="000000" w:themeColor="text1"/>
          <w:lang w:val="es-ES_tradnl"/>
        </w:rPr>
        <w:t>y mujeres, lo que la</w:t>
      </w:r>
      <w:r w:rsidRPr="0096658B">
        <w:rPr>
          <w:rFonts w:ascii="Times New Roman" w:hAnsi="Times New Roman" w:cs="Times New Roman"/>
          <w:color w:val="000000" w:themeColor="text1"/>
          <w:lang w:val="es-ES_tradnl"/>
        </w:rPr>
        <w:t>s medidas de</w:t>
      </w:r>
      <w:r w:rsidRPr="0096658B">
        <w:rPr>
          <w:rFonts w:ascii="Times New Roman" w:hAnsi="Times New Roman" w:cs="Times New Roman"/>
          <w:color w:val="000000" w:themeColor="text1"/>
          <w:lang w:val="es-ES_tradnl"/>
        </w:rPr>
        <w:t xml:space="preserve"> cuota pretende</w:t>
      </w:r>
      <w:r w:rsidRPr="0096658B">
        <w:rPr>
          <w:rFonts w:ascii="Times New Roman" w:hAnsi="Times New Roman" w:cs="Times New Roman"/>
          <w:color w:val="000000" w:themeColor="text1"/>
          <w:lang w:val="es-ES_tradnl"/>
        </w:rPr>
        <w:t>n</w:t>
      </w:r>
      <w:r w:rsidRPr="0096658B">
        <w:rPr>
          <w:rFonts w:ascii="Times New Roman" w:hAnsi="Times New Roman" w:cs="Times New Roman"/>
          <w:color w:val="000000" w:themeColor="text1"/>
          <w:lang w:val="es-ES_tradnl"/>
        </w:rPr>
        <w:t xml:space="preserve"> es desmontar los estereotipos de género y la insensibilidad de las prácticas laborales frente a la</w:t>
      </w:r>
      <w:r w:rsidRPr="0096658B">
        <w:rPr>
          <w:rFonts w:ascii="Times New Roman" w:hAnsi="Times New Roman" w:cs="Times New Roman"/>
          <w:color w:val="000000" w:themeColor="text1"/>
          <w:lang w:val="es-ES_tradnl"/>
        </w:rPr>
        <w:t xml:space="preserve"> desigual distribución de las cargas </w:t>
      </w:r>
      <w:r w:rsidRPr="0096658B">
        <w:rPr>
          <w:rFonts w:ascii="Times New Roman" w:hAnsi="Times New Roman" w:cs="Times New Roman"/>
          <w:color w:val="000000" w:themeColor="text1"/>
          <w:lang w:val="es-ES_tradnl"/>
        </w:rPr>
        <w:t>en las labores de</w:t>
      </w:r>
      <w:r w:rsidRPr="0096658B">
        <w:rPr>
          <w:rFonts w:ascii="Times New Roman" w:hAnsi="Times New Roman" w:cs="Times New Roman"/>
          <w:color w:val="000000" w:themeColor="text1"/>
          <w:lang w:val="es-ES_tradnl"/>
        </w:rPr>
        <w:t xml:space="preserve"> cuidado. </w:t>
      </w:r>
      <w:r w:rsidRPr="0096658B">
        <w:rPr>
          <w:rFonts w:ascii="Times New Roman" w:hAnsi="Times New Roman" w:cs="Times New Roman"/>
          <w:color w:val="000000" w:themeColor="text1"/>
          <w:lang w:val="es-ES_tradnl"/>
        </w:rPr>
        <w:t>El logro de la equidad en el acceso a las alt</w:t>
      </w:r>
      <w:r w:rsidRPr="0096658B">
        <w:rPr>
          <w:rFonts w:ascii="Times New Roman" w:hAnsi="Times New Roman" w:cs="Times New Roman"/>
          <w:color w:val="000000" w:themeColor="text1"/>
          <w:lang w:val="es-ES_tradnl"/>
        </w:rPr>
        <w:t xml:space="preserve">as responsabilidades en el ámbito público se concentra, entonces, </w:t>
      </w:r>
      <w:r w:rsidRPr="0096658B">
        <w:rPr>
          <w:rFonts w:ascii="Times New Roman" w:hAnsi="Times New Roman" w:cs="Times New Roman"/>
          <w:color w:val="000000" w:themeColor="text1"/>
          <w:lang w:val="es-ES_tradnl"/>
        </w:rPr>
        <w:t>no en promover a</w:t>
      </w:r>
      <w:r w:rsidRPr="0096658B">
        <w:rPr>
          <w:rFonts w:ascii="Times New Roman" w:hAnsi="Times New Roman" w:cs="Times New Roman"/>
          <w:color w:val="000000" w:themeColor="text1"/>
          <w:lang w:val="es-ES_tradnl"/>
        </w:rPr>
        <w:t xml:space="preserve"> las</w:t>
      </w:r>
      <w:r w:rsidRPr="0096658B">
        <w:rPr>
          <w:rFonts w:ascii="Times New Roman" w:hAnsi="Times New Roman" w:cs="Times New Roman"/>
          <w:color w:val="000000" w:themeColor="text1"/>
          <w:lang w:val="es-ES_tradnl"/>
        </w:rPr>
        <w:t xml:space="preserve"> mujeres con menos habilidades o formación que los hombres, sino en reconocer que su acceso es limitado, no por su capacidad</w:t>
      </w:r>
      <w:r w:rsidRPr="0096658B">
        <w:rPr>
          <w:rFonts w:ascii="Times New Roman" w:hAnsi="Times New Roman" w:cs="Times New Roman"/>
          <w:color w:val="000000" w:themeColor="text1"/>
          <w:lang w:val="es-ES_tradnl"/>
        </w:rPr>
        <w:t xml:space="preserve"> o formación académica</w:t>
      </w:r>
      <w:r w:rsidRPr="0096658B">
        <w:rPr>
          <w:rFonts w:ascii="Times New Roman" w:hAnsi="Times New Roman" w:cs="Times New Roman"/>
          <w:color w:val="000000" w:themeColor="text1"/>
          <w:lang w:val="es-ES_tradnl"/>
        </w:rPr>
        <w:t>, sino por dicho prejuic</w:t>
      </w:r>
      <w:r w:rsidRPr="0096658B">
        <w:rPr>
          <w:rFonts w:ascii="Times New Roman" w:hAnsi="Times New Roman" w:cs="Times New Roman"/>
          <w:color w:val="000000" w:themeColor="text1"/>
          <w:lang w:val="es-ES_tradnl"/>
        </w:rPr>
        <w:t>io que considera a los hombres más capaces y aptos para el ejercicio de cargos directivos en el Estado. Esta visión, además, está mediada por el reconocimiento de que el criterio por excelencia para el acceso al Estado debe ser el mérito</w:t>
      </w:r>
      <w:r w:rsidRPr="0096658B">
        <w:rPr>
          <w:rStyle w:val="Refdenotaalpie"/>
          <w:rFonts w:ascii="Times New Roman" w:hAnsi="Times New Roman"/>
          <w:color w:val="000000" w:themeColor="text1"/>
          <w:lang w:val="es-ES_tradnl"/>
        </w:rPr>
        <w:footnoteReference w:id="226"/>
      </w:r>
      <w:r w:rsidRPr="0096658B">
        <w:rPr>
          <w:rFonts w:ascii="Times New Roman" w:hAnsi="Times New Roman" w:cs="Times New Roman"/>
          <w:color w:val="000000" w:themeColor="text1"/>
          <w:lang w:val="es-ES_tradnl"/>
        </w:rPr>
        <w:t>, que no puede dis</w:t>
      </w:r>
      <w:r w:rsidRPr="0096658B">
        <w:rPr>
          <w:rFonts w:ascii="Times New Roman" w:hAnsi="Times New Roman" w:cs="Times New Roman"/>
          <w:color w:val="000000" w:themeColor="text1"/>
          <w:lang w:val="es-ES_tradnl"/>
        </w:rPr>
        <w:t>torsionarse por dichos prejuicios y estereotipos</w:t>
      </w:r>
      <w:r w:rsidRPr="0096658B">
        <w:rPr>
          <w:rFonts w:ascii="Times New Roman" w:hAnsi="Times New Roman" w:cs="Times New Roman"/>
          <w:color w:val="000000" w:themeColor="text1"/>
          <w:lang w:val="es-ES_tradnl"/>
        </w:rPr>
        <w:t xml:space="preserve"> en contra de las mujeres. </w:t>
      </w:r>
    </w:p>
    <w:p w:rsidR="00C41A71" w:rsidRPr="0096658B" w:rsidRDefault="0096658B" w:rsidP="00C41A71">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color w:val="000000" w:themeColor="text1"/>
          <w:lang w:val="es-ES_tradnl"/>
        </w:rPr>
      </w:pPr>
    </w:p>
    <w:p w:rsidR="00DA2E3C" w:rsidRPr="0096658B" w:rsidRDefault="0096658B" w:rsidP="00DA2E3C">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iCs/>
          <w:color w:val="000000" w:themeColor="text1"/>
          <w:lang w:val="es-ES_tradnl"/>
        </w:rPr>
        <w:t xml:space="preserve">El legislador estatutario tiene la competencia para establecer otras medidas que aceleren la participación de las mujeres y con miras a la efectivización del mandato de paridad. </w:t>
      </w:r>
      <w:r w:rsidRPr="0096658B">
        <w:rPr>
          <w:rFonts w:ascii="Times New Roman" w:hAnsi="Times New Roman" w:cs="Times New Roman"/>
          <w:color w:val="000000" w:themeColor="text1"/>
          <w:lang w:val="es-ES_tradnl"/>
        </w:rPr>
        <w:t xml:space="preserve">Finalmente, la Corte resalta que, a partir de la información empírica explicada en este fallo, la implementación de las medidas de cuota ha sido particularmente lenta, lo cual se comprueba por el hecho de que, a pesar de que han transcurrido </w:t>
      </w:r>
      <w:r w:rsidRPr="0096658B">
        <w:rPr>
          <w:rFonts w:ascii="Times New Roman" w:hAnsi="Times New Roman" w:cs="Times New Roman"/>
          <w:color w:val="000000" w:themeColor="text1"/>
          <w:lang w:val="es-ES_tradnl"/>
        </w:rPr>
        <w:t xml:space="preserve">24 años desde </w:t>
      </w:r>
      <w:r w:rsidRPr="0096658B">
        <w:rPr>
          <w:rFonts w:ascii="Times New Roman" w:hAnsi="Times New Roman" w:cs="Times New Roman"/>
          <w:color w:val="000000" w:themeColor="text1"/>
          <w:lang w:val="es-ES_tradnl"/>
        </w:rPr>
        <w:t xml:space="preserve">su </w:t>
      </w:r>
      <w:r w:rsidRPr="0096658B">
        <w:rPr>
          <w:rFonts w:ascii="Times New Roman" w:hAnsi="Times New Roman" w:cs="Times New Roman"/>
          <w:color w:val="000000" w:themeColor="text1"/>
          <w:lang w:val="es-ES_tradnl"/>
        </w:rPr>
        <w:t xml:space="preserve">adopción, todavía se encuentran escenarios en </w:t>
      </w:r>
      <w:r w:rsidRPr="0096658B">
        <w:rPr>
          <w:rFonts w:ascii="Times New Roman" w:hAnsi="Times New Roman" w:cs="Times New Roman"/>
          <w:color w:val="000000" w:themeColor="text1"/>
          <w:lang w:val="es-ES_tradnl"/>
        </w:rPr>
        <w:t xml:space="preserve">los que </w:t>
      </w:r>
      <w:r w:rsidRPr="0096658B">
        <w:rPr>
          <w:rFonts w:ascii="Times New Roman" w:hAnsi="Times New Roman" w:cs="Times New Roman"/>
          <w:color w:val="000000" w:themeColor="text1"/>
          <w:lang w:val="es-ES_tradnl"/>
        </w:rPr>
        <w:t xml:space="preserve">la participación de las mujeres resulta deficitaria. </w:t>
      </w:r>
    </w:p>
    <w:p w:rsidR="00DA2E3C" w:rsidRPr="0096658B" w:rsidRDefault="0096658B" w:rsidP="00DA2E3C">
      <w:pPr>
        <w:pStyle w:val="Prrafodelista"/>
        <w:rPr>
          <w:rFonts w:ascii="Times New Roman" w:hAnsi="Times New Roman" w:cs="Times New Roman"/>
          <w:color w:val="000000" w:themeColor="text1"/>
          <w:lang w:val="es-ES_tradnl"/>
        </w:rPr>
      </w:pPr>
    </w:p>
    <w:p w:rsidR="00DA2E3C" w:rsidRPr="0096658B" w:rsidRDefault="0096658B" w:rsidP="00DA2E3C">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En ese sentido, la Sala considera que el legislador estatutario está habilitado para que, dentro de sus amplias competencias y prevalido de un d</w:t>
      </w:r>
      <w:r w:rsidRPr="0096658B">
        <w:rPr>
          <w:rFonts w:ascii="Times New Roman" w:hAnsi="Times New Roman" w:cs="Times New Roman"/>
          <w:color w:val="000000" w:themeColor="text1"/>
          <w:lang w:val="es-ES_tradnl"/>
        </w:rPr>
        <w:t xml:space="preserve">ebate democrático suficiente, utilice diversas estrategias para agilizar el logro de la paridad y dentro del enfoque interseccional explicado en esta sentencia. Así, instrumentos como la aplicación temporal de ternas conformadas exclusivamente por mujeres </w:t>
      </w:r>
      <w:r w:rsidRPr="0096658B">
        <w:rPr>
          <w:rFonts w:ascii="Times New Roman" w:hAnsi="Times New Roman" w:cs="Times New Roman"/>
          <w:color w:val="000000" w:themeColor="text1"/>
          <w:lang w:val="es-ES_tradnl"/>
        </w:rPr>
        <w:t xml:space="preserve">o incentivos de diversa índole para el fomento de la participación de las mujeres son herramientas que válidamente pueden permitir una implementación más oportuna del mandato de paridad el </w:t>
      </w:r>
      <w:r w:rsidRPr="0096658B">
        <w:rPr>
          <w:rFonts w:ascii="Times New Roman" w:hAnsi="Times New Roman" w:cs="Times New Roman"/>
          <w:color w:val="000000" w:themeColor="text1"/>
          <w:lang w:val="es-ES_tradnl"/>
        </w:rPr>
        <w:t>cual, como</w:t>
      </w:r>
      <w:r w:rsidRPr="0096658B">
        <w:rPr>
          <w:rFonts w:ascii="Times New Roman" w:hAnsi="Times New Roman" w:cs="Times New Roman"/>
          <w:color w:val="000000" w:themeColor="text1"/>
          <w:lang w:val="es-ES_tradnl"/>
        </w:rPr>
        <w:t xml:space="preserve"> se ha explicado en esta sentencia, tiene suficiente sust</w:t>
      </w:r>
      <w:r w:rsidRPr="0096658B">
        <w:rPr>
          <w:rFonts w:ascii="Times New Roman" w:hAnsi="Times New Roman" w:cs="Times New Roman"/>
          <w:color w:val="000000" w:themeColor="text1"/>
          <w:lang w:val="es-ES_tradnl"/>
        </w:rPr>
        <w:t xml:space="preserve">ento en la Constitución. </w:t>
      </w:r>
      <w:r w:rsidRPr="0096658B">
        <w:rPr>
          <w:rFonts w:ascii="Times New Roman" w:hAnsi="Times New Roman" w:cs="Times New Roman"/>
          <w:color w:val="000000" w:themeColor="text1"/>
          <w:lang w:val="es-ES_tradnl"/>
        </w:rPr>
        <w:t>Además, instrumentos de esta naturaleza se acompasan con la noción de punto de partida y de llegada que tienen las medidas de cuota</w:t>
      </w:r>
      <w:r w:rsidRPr="0096658B">
        <w:rPr>
          <w:rFonts w:ascii="Times New Roman" w:hAnsi="Times New Roman" w:cs="Times New Roman"/>
          <w:color w:val="000000" w:themeColor="text1"/>
          <w:lang w:val="es-ES_tradnl"/>
        </w:rPr>
        <w:t>, en los términos expuestos en esta providencia</w:t>
      </w:r>
      <w:r w:rsidRPr="0096658B">
        <w:rPr>
          <w:rFonts w:ascii="Times New Roman" w:hAnsi="Times New Roman" w:cs="Times New Roman"/>
          <w:color w:val="000000" w:themeColor="text1"/>
          <w:lang w:val="es-ES_tradnl"/>
        </w:rPr>
        <w:t xml:space="preserve">. </w:t>
      </w:r>
    </w:p>
    <w:p w:rsidR="008D6FD6" w:rsidRPr="0096658B" w:rsidRDefault="0096658B" w:rsidP="008D6FD6">
      <w:pPr>
        <w:pStyle w:val="Prrafodelista"/>
        <w:rPr>
          <w:rFonts w:ascii="Times New Roman" w:hAnsi="Times New Roman" w:cs="Times New Roman"/>
          <w:color w:val="000000" w:themeColor="text1"/>
          <w:lang w:val="es-ES_tradnl"/>
        </w:rPr>
      </w:pPr>
    </w:p>
    <w:p w:rsidR="008D6FD6" w:rsidRPr="0096658B" w:rsidRDefault="0096658B" w:rsidP="008D6FD6">
      <w:pPr>
        <w:rPr>
          <w:rFonts w:ascii="Times New Roman" w:hAnsi="Times New Roman" w:cs="Times New Roman"/>
          <w:b/>
          <w:bCs/>
          <w:color w:val="000000" w:themeColor="text1"/>
          <w:sz w:val="28"/>
          <w:szCs w:val="28"/>
          <w:lang w:val="es-ES_tradnl"/>
        </w:rPr>
      </w:pPr>
      <w:r w:rsidRPr="0096658B">
        <w:rPr>
          <w:rFonts w:ascii="Times New Roman" w:hAnsi="Times New Roman" w:cs="Times New Roman"/>
          <w:b/>
          <w:bCs/>
          <w:color w:val="000000" w:themeColor="text1"/>
          <w:sz w:val="28"/>
          <w:szCs w:val="28"/>
          <w:lang w:val="es-ES_tradnl"/>
        </w:rPr>
        <w:t xml:space="preserve">Análisis de la constitucionalidad del articulado </w:t>
      </w:r>
    </w:p>
    <w:p w:rsidR="008D6FD6" w:rsidRPr="0096658B" w:rsidRDefault="0096658B" w:rsidP="008D6FD6">
      <w:pPr>
        <w:pStyle w:val="Prrafodelista"/>
        <w:rPr>
          <w:rFonts w:ascii="Times New Roman" w:hAnsi="Times New Roman" w:cs="Times New Roman"/>
          <w:b/>
          <w:bCs/>
          <w:color w:val="000000" w:themeColor="text1"/>
          <w:lang w:val="es-ES_tradnl"/>
        </w:rPr>
      </w:pPr>
    </w:p>
    <w:p w:rsidR="008D6FD6" w:rsidRPr="0096658B" w:rsidRDefault="0096658B" w:rsidP="008D6FD6">
      <w:pPr>
        <w:rPr>
          <w:rFonts w:ascii="Times New Roman" w:hAnsi="Times New Roman" w:cs="Times New Roman"/>
          <w:b/>
          <w:bCs/>
          <w:color w:val="000000" w:themeColor="text1"/>
          <w:sz w:val="28"/>
          <w:szCs w:val="28"/>
          <w:lang w:val="es-ES_tradnl"/>
        </w:rPr>
      </w:pPr>
      <w:r w:rsidRPr="0096658B">
        <w:rPr>
          <w:rFonts w:ascii="Times New Roman" w:hAnsi="Times New Roman" w:cs="Times New Roman"/>
          <w:b/>
          <w:bCs/>
          <w:color w:val="000000" w:themeColor="text1"/>
          <w:sz w:val="28"/>
          <w:szCs w:val="28"/>
          <w:lang w:val="es-ES_tradnl"/>
        </w:rPr>
        <w:t>Asunto preliminar. Inexistencia de cosa juzgada</w:t>
      </w:r>
    </w:p>
    <w:p w:rsidR="008D6FD6" w:rsidRPr="0096658B" w:rsidRDefault="0096658B" w:rsidP="008D6FD6">
      <w:pPr>
        <w:rPr>
          <w:rFonts w:ascii="Times New Roman" w:hAnsi="Times New Roman" w:cs="Times New Roman"/>
          <w:color w:val="000000" w:themeColor="text1"/>
          <w:sz w:val="28"/>
          <w:szCs w:val="28"/>
          <w:lang w:val="es-ES_tradnl"/>
        </w:rPr>
      </w:pPr>
    </w:p>
    <w:p w:rsidR="00BF30D3" w:rsidRPr="0096658B" w:rsidRDefault="0096658B" w:rsidP="00BF30D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iCs/>
        </w:rPr>
      </w:pPr>
      <w:r w:rsidRPr="0096658B">
        <w:rPr>
          <w:rFonts w:ascii="Times New Roman" w:hAnsi="Times New Roman" w:cs="Times New Roman"/>
        </w:rPr>
        <w:t>El artículo 243 de la Constitución Política prevé que “</w:t>
      </w:r>
      <w:r w:rsidRPr="0096658B">
        <w:rPr>
          <w:rFonts w:ascii="Times New Roman" w:hAnsi="Times New Roman" w:cs="Times New Roman"/>
          <w:iCs/>
        </w:rPr>
        <w:t xml:space="preserve">los fallos que la Corte </w:t>
      </w:r>
      <w:r w:rsidRPr="0096658B">
        <w:rPr>
          <w:rFonts w:ascii="Times New Roman" w:hAnsi="Times New Roman" w:cs="Times New Roman"/>
          <w:color w:val="000000" w:themeColor="text1"/>
          <w:lang w:val="es-ES_tradnl"/>
        </w:rPr>
        <w:t>dicte</w:t>
      </w:r>
      <w:r w:rsidRPr="0096658B">
        <w:rPr>
          <w:rFonts w:ascii="Times New Roman" w:hAnsi="Times New Roman" w:cs="Times New Roman"/>
          <w:iCs/>
        </w:rPr>
        <w:t xml:space="preserve"> en ejercicio del control jurisdiccional hacen tránsito a cosa juzgada constitucional</w:t>
      </w:r>
      <w:r w:rsidRPr="0096658B">
        <w:rPr>
          <w:rFonts w:ascii="Times New Roman" w:hAnsi="Times New Roman" w:cs="Times New Roman"/>
        </w:rPr>
        <w:t xml:space="preserve">”. </w:t>
      </w:r>
      <w:r w:rsidRPr="0096658B">
        <w:rPr>
          <w:rFonts w:ascii="Times New Roman" w:hAnsi="Times New Roman" w:cs="Times New Roman"/>
          <w:bCs/>
          <w:iCs/>
        </w:rPr>
        <w:t>La cosa juzgada constitucional ha</w:t>
      </w:r>
      <w:r w:rsidRPr="0096658B">
        <w:rPr>
          <w:rFonts w:ascii="Times New Roman" w:hAnsi="Times New Roman" w:cs="Times New Roman"/>
          <w:bCs/>
          <w:iCs/>
        </w:rPr>
        <w:t xml:space="preserve"> sido concebida como una institución jurídico procesal mediante la cual se otorga a las decisiones judiciales el carácter de “inmutables, vinculantes y definitivas”</w:t>
      </w:r>
      <w:r w:rsidRPr="0096658B">
        <w:rPr>
          <w:rFonts w:ascii="Times New Roman" w:hAnsi="Times New Roman" w:cs="Times New Roman"/>
          <w:bCs/>
          <w:vertAlign w:val="superscript"/>
        </w:rPr>
        <w:footnoteReference w:id="227"/>
      </w:r>
      <w:r w:rsidRPr="0096658B">
        <w:rPr>
          <w:rFonts w:ascii="Times New Roman" w:hAnsi="Times New Roman" w:cs="Times New Roman"/>
          <w:bCs/>
          <w:iCs/>
        </w:rPr>
        <w:t>.</w:t>
      </w:r>
      <w:r w:rsidRPr="0096658B">
        <w:rPr>
          <w:rFonts w:ascii="Times New Roman" w:hAnsi="Times New Roman" w:cs="Times New Roman"/>
          <w:iCs/>
        </w:rPr>
        <w:t xml:space="preserve"> De acuerdo con la jurisprudencia constitucional, son requisitos de la cosa juzgada </w:t>
      </w:r>
      <w:r w:rsidRPr="0096658B">
        <w:rPr>
          <w:rFonts w:ascii="Times New Roman" w:hAnsi="Times New Roman" w:cs="Times New Roman"/>
          <w:i/>
        </w:rPr>
        <w:t>(i)</w:t>
      </w:r>
      <w:r w:rsidRPr="0096658B">
        <w:rPr>
          <w:rFonts w:ascii="Times New Roman" w:hAnsi="Times New Roman" w:cs="Times New Roman"/>
          <w:iCs/>
        </w:rPr>
        <w:t xml:space="preserve"> la</w:t>
      </w:r>
      <w:r w:rsidRPr="0096658B">
        <w:rPr>
          <w:rFonts w:ascii="Times New Roman" w:hAnsi="Times New Roman" w:cs="Times New Roman"/>
          <w:iCs/>
        </w:rPr>
        <w:t xml:space="preserve"> identidad de objeto o “contenido normativo”</w:t>
      </w:r>
      <w:r w:rsidRPr="0096658B">
        <w:rPr>
          <w:rStyle w:val="Refdenotaalpie"/>
          <w:rFonts w:ascii="Times New Roman" w:hAnsi="Times New Roman"/>
        </w:rPr>
        <w:footnoteReference w:id="228"/>
      </w:r>
      <w:r w:rsidRPr="0096658B">
        <w:rPr>
          <w:rFonts w:ascii="Times New Roman" w:hAnsi="Times New Roman" w:cs="Times New Roman"/>
          <w:iCs/>
        </w:rPr>
        <w:t xml:space="preserve">, </w:t>
      </w:r>
      <w:r w:rsidRPr="0096658B">
        <w:rPr>
          <w:rFonts w:ascii="Times New Roman" w:hAnsi="Times New Roman" w:cs="Times New Roman"/>
          <w:i/>
        </w:rPr>
        <w:t>(ii)</w:t>
      </w:r>
      <w:r w:rsidRPr="0096658B">
        <w:rPr>
          <w:rFonts w:ascii="Times New Roman" w:hAnsi="Times New Roman" w:cs="Times New Roman"/>
          <w:iCs/>
        </w:rPr>
        <w:t xml:space="preserve"> la identidad de cargos y </w:t>
      </w:r>
      <w:r w:rsidRPr="0096658B">
        <w:rPr>
          <w:rFonts w:ascii="Times New Roman" w:hAnsi="Times New Roman" w:cs="Times New Roman"/>
          <w:i/>
        </w:rPr>
        <w:t>(iii)</w:t>
      </w:r>
      <w:r w:rsidRPr="0096658B">
        <w:rPr>
          <w:rFonts w:ascii="Times New Roman" w:hAnsi="Times New Roman" w:cs="Times New Roman"/>
          <w:iCs/>
        </w:rPr>
        <w:t xml:space="preserve"> la</w:t>
      </w:r>
      <w:r w:rsidRPr="0096658B">
        <w:rPr>
          <w:rFonts w:ascii="Times New Roman" w:hAnsi="Times New Roman" w:cs="Times New Roman"/>
          <w:i/>
        </w:rPr>
        <w:t xml:space="preserve"> </w:t>
      </w:r>
      <w:r w:rsidRPr="0096658B">
        <w:rPr>
          <w:rFonts w:ascii="Times New Roman" w:hAnsi="Times New Roman" w:cs="Times New Roman"/>
          <w:iCs/>
        </w:rPr>
        <w:t xml:space="preserve">identidad del parámetro de control de constitucionalidad. Estos elementos son, en conjunto, condiciones </w:t>
      </w:r>
      <w:r w:rsidRPr="0096658B">
        <w:rPr>
          <w:rFonts w:ascii="Times New Roman" w:hAnsi="Times New Roman" w:cs="Times New Roman"/>
        </w:rPr>
        <w:t>necesarias</w:t>
      </w:r>
      <w:r w:rsidRPr="0096658B">
        <w:rPr>
          <w:rFonts w:ascii="Times New Roman" w:hAnsi="Times New Roman" w:cs="Times New Roman"/>
          <w:iCs/>
        </w:rPr>
        <w:t xml:space="preserve"> y </w:t>
      </w:r>
      <w:r w:rsidRPr="0096658B">
        <w:rPr>
          <w:rFonts w:ascii="Times New Roman" w:hAnsi="Times New Roman" w:cs="Times New Roman"/>
        </w:rPr>
        <w:t>suficientes</w:t>
      </w:r>
      <w:r w:rsidRPr="0096658B">
        <w:rPr>
          <w:rFonts w:ascii="Times New Roman" w:hAnsi="Times New Roman" w:cs="Times New Roman"/>
          <w:iCs/>
        </w:rPr>
        <w:t xml:space="preserve"> para declarar la cosa juzgada</w:t>
      </w:r>
      <w:r w:rsidRPr="0096658B">
        <w:rPr>
          <w:rFonts w:ascii="Times New Roman" w:hAnsi="Times New Roman" w:cs="Times New Roman"/>
          <w:vertAlign w:val="superscript"/>
        </w:rPr>
        <w:footnoteReference w:id="229"/>
      </w:r>
      <w:r w:rsidRPr="0096658B">
        <w:rPr>
          <w:rFonts w:ascii="Times New Roman" w:hAnsi="Times New Roman" w:cs="Times New Roman"/>
          <w:iCs/>
        </w:rPr>
        <w:t>.</w:t>
      </w:r>
    </w:p>
    <w:p w:rsidR="00BF30D3" w:rsidRPr="0096658B" w:rsidRDefault="0096658B" w:rsidP="00BF30D3">
      <w:pPr>
        <w:pStyle w:val="Prrafodelista"/>
        <w:ind w:left="0" w:right="-118"/>
        <w:rPr>
          <w:rFonts w:ascii="Times New Roman" w:hAnsi="Times New Roman" w:cs="Times New Roman"/>
          <w:iCs/>
        </w:rPr>
      </w:pPr>
    </w:p>
    <w:p w:rsidR="00BF30D3" w:rsidRPr="0096658B" w:rsidRDefault="0096658B" w:rsidP="00BF30D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iCs/>
        </w:rPr>
      </w:pPr>
      <w:r w:rsidRPr="0096658B">
        <w:rPr>
          <w:rFonts w:ascii="Times New Roman" w:hAnsi="Times New Roman" w:cs="Times New Roman"/>
          <w:iCs/>
        </w:rPr>
        <w:t>El princ</w:t>
      </w:r>
      <w:r w:rsidRPr="0096658B">
        <w:rPr>
          <w:rFonts w:ascii="Times New Roman" w:hAnsi="Times New Roman" w:cs="Times New Roman"/>
          <w:iCs/>
        </w:rPr>
        <w:t xml:space="preserve">ipal efecto de la cosa juzgada de las sentencias de constitucionalidad es </w:t>
      </w:r>
      <w:r w:rsidRPr="0096658B">
        <w:rPr>
          <w:rFonts w:ascii="Times New Roman" w:hAnsi="Times New Roman" w:cs="Times New Roman"/>
          <w:bCs/>
          <w:iCs/>
        </w:rPr>
        <w:t>la prohibición e imposibilidad de que la Corte pueda volver a conocer y decidir de fondo sobre un tema ya resuelto</w:t>
      </w:r>
      <w:r w:rsidRPr="0096658B">
        <w:rPr>
          <w:rFonts w:ascii="Times New Roman" w:hAnsi="Times New Roman" w:cs="Times New Roman"/>
          <w:bCs/>
          <w:vertAlign w:val="superscript"/>
        </w:rPr>
        <w:footnoteReference w:id="230"/>
      </w:r>
      <w:r w:rsidRPr="0096658B">
        <w:rPr>
          <w:rFonts w:ascii="Times New Roman" w:hAnsi="Times New Roman" w:cs="Times New Roman"/>
          <w:bCs/>
          <w:iCs/>
        </w:rPr>
        <w:t>.</w:t>
      </w:r>
      <w:r w:rsidRPr="0096658B">
        <w:rPr>
          <w:rFonts w:ascii="Times New Roman" w:hAnsi="Times New Roman" w:cs="Times New Roman"/>
          <w:iCs/>
        </w:rPr>
        <w:t xml:space="preserve"> La Corte Constitucional ha precisado, sin embargo, que los efecto</w:t>
      </w:r>
      <w:r w:rsidRPr="0096658B">
        <w:rPr>
          <w:rFonts w:ascii="Times New Roman" w:hAnsi="Times New Roman" w:cs="Times New Roman"/>
          <w:iCs/>
        </w:rPr>
        <w:t>s de cosa juzgada varían dependiendo de si la norma demandada fue declarada exequible o inexequible. En el primer escenario -</w:t>
      </w:r>
      <w:r w:rsidRPr="0096658B">
        <w:rPr>
          <w:rFonts w:ascii="Times New Roman" w:hAnsi="Times New Roman" w:cs="Times New Roman"/>
          <w:i/>
        </w:rPr>
        <w:t>exequibilidad</w:t>
      </w:r>
      <w:r w:rsidRPr="0096658B">
        <w:rPr>
          <w:rFonts w:ascii="Times New Roman" w:hAnsi="Times New Roman" w:cs="Times New Roman"/>
          <w:iCs/>
        </w:rPr>
        <w:t>-, en principio la Corte deberá estarse a lo resuelto en la providencia anterior “para garantizar la seguridad jurídic</w:t>
      </w:r>
      <w:r w:rsidRPr="0096658B">
        <w:rPr>
          <w:rFonts w:ascii="Times New Roman" w:hAnsi="Times New Roman" w:cs="Times New Roman"/>
          <w:iCs/>
        </w:rPr>
        <w:t>a de sus decisiones</w:t>
      </w:r>
      <w:r w:rsidRPr="0096658B">
        <w:rPr>
          <w:rFonts w:ascii="Times New Roman" w:hAnsi="Times New Roman" w:cs="Times New Roman"/>
        </w:rPr>
        <w:t>”</w:t>
      </w:r>
      <w:r w:rsidRPr="0096658B">
        <w:rPr>
          <w:rFonts w:ascii="Times New Roman" w:hAnsi="Times New Roman" w:cs="Times New Roman"/>
          <w:vertAlign w:val="superscript"/>
        </w:rPr>
        <w:footnoteReference w:id="231"/>
      </w:r>
      <w:r w:rsidRPr="0096658B">
        <w:rPr>
          <w:rFonts w:ascii="Times New Roman" w:hAnsi="Times New Roman" w:cs="Times New Roman"/>
          <w:iCs/>
        </w:rPr>
        <w:t>. Lo anterior, salvo que se constate alguna de las excepciones que enervan la cosa juzgada y que permiten adelantar un nuevo estudio de fondo</w:t>
      </w:r>
      <w:r w:rsidRPr="0096658B">
        <w:rPr>
          <w:rFonts w:ascii="Times New Roman" w:hAnsi="Times New Roman" w:cs="Times New Roman"/>
          <w:vertAlign w:val="superscript"/>
        </w:rPr>
        <w:footnoteReference w:id="232"/>
      </w:r>
      <w:r w:rsidRPr="0096658B">
        <w:rPr>
          <w:rFonts w:ascii="Times New Roman" w:hAnsi="Times New Roman" w:cs="Times New Roman"/>
          <w:iCs/>
        </w:rPr>
        <w:t>. En el segundo supuesto -</w:t>
      </w:r>
      <w:r w:rsidRPr="0096658B">
        <w:rPr>
          <w:rFonts w:ascii="Times New Roman" w:hAnsi="Times New Roman" w:cs="Times New Roman"/>
          <w:i/>
        </w:rPr>
        <w:t>inexequibilidad</w:t>
      </w:r>
      <w:r w:rsidRPr="0096658B">
        <w:rPr>
          <w:rFonts w:ascii="Times New Roman" w:hAnsi="Times New Roman" w:cs="Times New Roman"/>
          <w:iCs/>
        </w:rPr>
        <w:t>-, la Corte también deberá estarse a lo resuelto, pe</w:t>
      </w:r>
      <w:r w:rsidRPr="0096658B">
        <w:rPr>
          <w:rFonts w:ascii="Times New Roman" w:hAnsi="Times New Roman" w:cs="Times New Roman"/>
          <w:iCs/>
        </w:rPr>
        <w:t>ro en este caso la cosa juzgada es absoluta y no admite excepciones, dado que la declaratoria de inexequibilidad retira la norma demandada del ordenamiento jurídico</w:t>
      </w:r>
      <w:r w:rsidRPr="0096658B">
        <w:rPr>
          <w:rFonts w:ascii="Times New Roman" w:hAnsi="Times New Roman" w:cs="Times New Roman"/>
          <w:vertAlign w:val="superscript"/>
        </w:rPr>
        <w:footnoteReference w:id="233"/>
      </w:r>
      <w:r w:rsidRPr="0096658B">
        <w:rPr>
          <w:rFonts w:ascii="Times New Roman" w:hAnsi="Times New Roman" w:cs="Times New Roman"/>
        </w:rPr>
        <w:t>.</w:t>
      </w:r>
    </w:p>
    <w:p w:rsidR="00BF30D3" w:rsidRPr="0096658B" w:rsidRDefault="0096658B" w:rsidP="00BF30D3">
      <w:pPr>
        <w:pStyle w:val="Prrafodelista"/>
        <w:rPr>
          <w:rFonts w:ascii="Times New Roman" w:hAnsi="Times New Roman" w:cs="Times New Roman"/>
          <w:iCs/>
        </w:rPr>
      </w:pPr>
    </w:p>
    <w:p w:rsidR="00BF30D3" w:rsidRPr="0096658B" w:rsidRDefault="0096658B" w:rsidP="00BF30D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iCs/>
        </w:rPr>
      </w:pPr>
      <w:r w:rsidRPr="0096658B">
        <w:rPr>
          <w:rFonts w:ascii="Times New Roman" w:hAnsi="Times New Roman" w:cs="Times New Roman"/>
          <w:iCs/>
        </w:rPr>
        <w:t>En el caso concreto, la Sala Plena considera que no existe cosa juzgada constitucional en relación con lo decidido en las sentencias C-371 de 2000 y C-490 de 2011. Esto, en la medida en que no existe identidad de objeto o contenido normativo entre el PLE y</w:t>
      </w:r>
      <w:r w:rsidRPr="0096658B">
        <w:rPr>
          <w:rFonts w:ascii="Times New Roman" w:hAnsi="Times New Roman" w:cs="Times New Roman"/>
          <w:iCs/>
        </w:rPr>
        <w:t xml:space="preserve"> las normas estudiadas en esas oportunidades. En efecto, </w:t>
      </w:r>
      <w:r w:rsidRPr="0096658B">
        <w:rPr>
          <w:rFonts w:ascii="Times New Roman" w:hAnsi="Times New Roman" w:cs="Times New Roman"/>
          <w:i/>
        </w:rPr>
        <w:t>(i)</w:t>
      </w:r>
      <w:r w:rsidRPr="0096658B">
        <w:rPr>
          <w:rFonts w:ascii="Times New Roman" w:hAnsi="Times New Roman" w:cs="Times New Roman"/>
          <w:iCs/>
        </w:rPr>
        <w:t xml:space="preserve"> por medio de la Sentencia C-371 de 2000, la Corte analizó la constitucionalidad del proyecto que resultó en la Ley 581 de 2000, y </w:t>
      </w:r>
      <w:r w:rsidRPr="0096658B">
        <w:rPr>
          <w:rFonts w:ascii="Times New Roman" w:hAnsi="Times New Roman" w:cs="Times New Roman"/>
          <w:i/>
        </w:rPr>
        <w:t>(ii)</w:t>
      </w:r>
      <w:r w:rsidRPr="0096658B">
        <w:rPr>
          <w:rFonts w:ascii="Times New Roman" w:hAnsi="Times New Roman" w:cs="Times New Roman"/>
          <w:iCs/>
        </w:rPr>
        <w:t xml:space="preserve"> en la Sentencia C-490 de 2011, esta Corporación estudió el p</w:t>
      </w:r>
      <w:r w:rsidRPr="0096658B">
        <w:rPr>
          <w:rFonts w:ascii="Times New Roman" w:hAnsi="Times New Roman" w:cs="Times New Roman"/>
          <w:iCs/>
        </w:rPr>
        <w:t>royecto de la Ley 1475 de 2011, p</w:t>
      </w:r>
      <w:r w:rsidRPr="0096658B">
        <w:rPr>
          <w:rFonts w:ascii="Times New Roman" w:hAnsi="Times New Roman" w:cs="Times New Roman"/>
          <w:color w:val="000000"/>
          <w:shd w:val="clear" w:color="auto" w:fill="FFFFFF"/>
        </w:rPr>
        <w:t>or la cual se adoptan reglas de organización y funcionamiento de los partidos y movimientos políticos, de los procesos electorales y se dictan otras disposiciones. Ahora bien, el PLE objeto de estudio tiene la finalidad, en</w:t>
      </w:r>
      <w:r w:rsidRPr="0096658B">
        <w:rPr>
          <w:rFonts w:ascii="Times New Roman" w:hAnsi="Times New Roman" w:cs="Times New Roman"/>
          <w:color w:val="000000"/>
          <w:shd w:val="clear" w:color="auto" w:fill="FFFFFF"/>
        </w:rPr>
        <w:t>tre otras, de modificar la</w:t>
      </w:r>
      <w:r w:rsidRPr="0096658B">
        <w:rPr>
          <w:rFonts w:ascii="Times New Roman" w:hAnsi="Times New Roman" w:cs="Times New Roman"/>
          <w:color w:val="000000"/>
          <w:shd w:val="clear" w:color="auto" w:fill="FFFFFF"/>
        </w:rPr>
        <w:t>s</w:t>
      </w:r>
      <w:r w:rsidRPr="0096658B">
        <w:rPr>
          <w:rFonts w:ascii="Times New Roman" w:hAnsi="Times New Roman" w:cs="Times New Roman"/>
          <w:color w:val="000000"/>
          <w:shd w:val="clear" w:color="auto" w:fill="FFFFFF"/>
        </w:rPr>
        <w:t xml:space="preserve"> </w:t>
      </w:r>
      <w:r w:rsidRPr="0096658B">
        <w:rPr>
          <w:rFonts w:ascii="Times New Roman" w:hAnsi="Times New Roman" w:cs="Times New Roman"/>
          <w:color w:val="000000"/>
          <w:shd w:val="clear" w:color="auto" w:fill="FFFFFF"/>
        </w:rPr>
        <w:t>l</w:t>
      </w:r>
      <w:r w:rsidRPr="0096658B">
        <w:rPr>
          <w:rFonts w:ascii="Times New Roman" w:hAnsi="Times New Roman" w:cs="Times New Roman"/>
          <w:color w:val="000000"/>
          <w:shd w:val="clear" w:color="auto" w:fill="FFFFFF"/>
        </w:rPr>
        <w:t>ey</w:t>
      </w:r>
      <w:r w:rsidRPr="0096658B">
        <w:rPr>
          <w:rFonts w:ascii="Times New Roman" w:hAnsi="Times New Roman" w:cs="Times New Roman"/>
          <w:color w:val="000000"/>
          <w:shd w:val="clear" w:color="auto" w:fill="FFFFFF"/>
        </w:rPr>
        <w:t>es</w:t>
      </w:r>
      <w:r w:rsidRPr="0096658B">
        <w:rPr>
          <w:rFonts w:ascii="Times New Roman" w:hAnsi="Times New Roman" w:cs="Times New Roman"/>
          <w:color w:val="000000"/>
          <w:shd w:val="clear" w:color="auto" w:fill="FFFFFF"/>
        </w:rPr>
        <w:t xml:space="preserve"> 581 de 2000</w:t>
      </w:r>
      <w:r w:rsidRPr="0096658B">
        <w:rPr>
          <w:rFonts w:ascii="Times New Roman" w:hAnsi="Times New Roman" w:cs="Times New Roman"/>
          <w:color w:val="000000"/>
          <w:shd w:val="clear" w:color="auto" w:fill="FFFFFF"/>
        </w:rPr>
        <w:t xml:space="preserve"> y 1475 de 2011</w:t>
      </w:r>
      <w:r w:rsidRPr="0096658B">
        <w:rPr>
          <w:rFonts w:ascii="Times New Roman" w:hAnsi="Times New Roman" w:cs="Times New Roman"/>
          <w:color w:val="000000"/>
          <w:shd w:val="clear" w:color="auto" w:fill="FFFFFF"/>
        </w:rPr>
        <w:t xml:space="preserve">. Para estos efectos, introduce nuevas reglas relativas a los mínimos de participación de la mujer en </w:t>
      </w:r>
      <w:r w:rsidRPr="0096658B">
        <w:rPr>
          <w:rFonts w:ascii="Times New Roman" w:hAnsi="Times New Roman" w:cs="Times New Roman"/>
          <w:i/>
          <w:iCs/>
          <w:color w:val="000000"/>
          <w:shd w:val="clear" w:color="auto" w:fill="FFFFFF"/>
        </w:rPr>
        <w:t>(i)</w:t>
      </w:r>
      <w:r w:rsidRPr="0096658B">
        <w:rPr>
          <w:rFonts w:ascii="Times New Roman" w:hAnsi="Times New Roman" w:cs="Times New Roman"/>
          <w:color w:val="000000"/>
          <w:shd w:val="clear" w:color="auto" w:fill="FFFFFF"/>
        </w:rPr>
        <w:t xml:space="preserve"> los cargos de máximo nivel decisorio y de otros niveles decisorios, </w:t>
      </w:r>
      <w:r w:rsidRPr="0096658B">
        <w:rPr>
          <w:rFonts w:ascii="Times New Roman" w:hAnsi="Times New Roman" w:cs="Times New Roman"/>
          <w:i/>
          <w:iCs/>
          <w:color w:val="000000"/>
          <w:shd w:val="clear" w:color="auto" w:fill="FFFFFF"/>
        </w:rPr>
        <w:t>(ii)</w:t>
      </w:r>
      <w:r w:rsidRPr="0096658B">
        <w:rPr>
          <w:rFonts w:ascii="Times New Roman" w:hAnsi="Times New Roman" w:cs="Times New Roman"/>
          <w:color w:val="000000"/>
          <w:shd w:val="clear" w:color="auto" w:fill="FFFFFF"/>
        </w:rPr>
        <w:t xml:space="preserve"> la representación en el exterior y </w:t>
      </w:r>
      <w:r w:rsidRPr="0096658B">
        <w:rPr>
          <w:rFonts w:ascii="Times New Roman" w:hAnsi="Times New Roman" w:cs="Times New Roman"/>
          <w:i/>
          <w:iCs/>
          <w:color w:val="000000"/>
          <w:shd w:val="clear" w:color="auto" w:fill="FFFFFF"/>
        </w:rPr>
        <w:t>(iii)</w:t>
      </w:r>
      <w:r w:rsidRPr="0096658B">
        <w:rPr>
          <w:rFonts w:ascii="Times New Roman" w:hAnsi="Times New Roman" w:cs="Times New Roman"/>
          <w:color w:val="000000"/>
          <w:shd w:val="clear" w:color="auto" w:fill="FFFFFF"/>
        </w:rPr>
        <w:t xml:space="preserve"> la inscripción a candidatos para corporaciones de elección popular. En este contexto, la Corte concluye que el PLE introduce una variación en las normas objeto de control de las sentencias C-371 de 2000 y C-490 de </w:t>
      </w:r>
      <w:r w:rsidRPr="0096658B">
        <w:rPr>
          <w:rFonts w:ascii="Times New Roman" w:hAnsi="Times New Roman" w:cs="Times New Roman"/>
          <w:color w:val="000000"/>
          <w:shd w:val="clear" w:color="auto" w:fill="FFFFFF"/>
        </w:rPr>
        <w:t xml:space="preserve">2011, por lo que no se configura la cosa juzgada constitucional en el asunto </w:t>
      </w:r>
      <w:r w:rsidRPr="0096658B">
        <w:rPr>
          <w:rFonts w:ascii="Times New Roman" w:hAnsi="Times New Roman" w:cs="Times New Roman"/>
          <w:i/>
          <w:iCs/>
          <w:color w:val="000000"/>
          <w:shd w:val="clear" w:color="auto" w:fill="FFFFFF"/>
        </w:rPr>
        <w:t>sub judice</w:t>
      </w:r>
      <w:r w:rsidRPr="0096658B">
        <w:rPr>
          <w:rFonts w:ascii="Times New Roman" w:hAnsi="Times New Roman" w:cs="Times New Roman"/>
          <w:color w:val="000000"/>
          <w:shd w:val="clear" w:color="auto" w:fill="FFFFFF"/>
        </w:rPr>
        <w:t>.</w:t>
      </w:r>
    </w:p>
    <w:p w:rsidR="008D6FD6" w:rsidRPr="0096658B" w:rsidRDefault="0096658B" w:rsidP="003568F5">
      <w:pPr>
        <w:rPr>
          <w:rFonts w:ascii="Times New Roman" w:hAnsi="Times New Roman" w:cs="Times New Roman"/>
          <w:b/>
          <w:bCs/>
          <w:color w:val="000000" w:themeColor="text1"/>
          <w:sz w:val="28"/>
          <w:szCs w:val="28"/>
          <w:lang w:val="es-ES_tradnl"/>
        </w:rPr>
      </w:pPr>
    </w:p>
    <w:p w:rsidR="003568F5" w:rsidRPr="0096658B" w:rsidRDefault="0096658B" w:rsidP="003568F5">
      <w:pPr>
        <w:rPr>
          <w:rFonts w:ascii="Times New Roman" w:hAnsi="Times New Roman" w:cs="Times New Roman"/>
          <w:b/>
          <w:bCs/>
          <w:color w:val="000000" w:themeColor="text1"/>
          <w:sz w:val="28"/>
          <w:szCs w:val="28"/>
          <w:lang w:val="es-ES_tradnl"/>
        </w:rPr>
      </w:pPr>
      <w:r w:rsidRPr="0096658B">
        <w:rPr>
          <w:rFonts w:ascii="Times New Roman" w:hAnsi="Times New Roman" w:cs="Times New Roman"/>
          <w:b/>
          <w:bCs/>
          <w:color w:val="000000" w:themeColor="text1"/>
          <w:sz w:val="28"/>
          <w:szCs w:val="28"/>
          <w:lang w:val="es-ES_tradnl"/>
        </w:rPr>
        <w:t>Artículo 1°</w:t>
      </w:r>
    </w:p>
    <w:p w:rsidR="003568F5" w:rsidRPr="0096658B" w:rsidRDefault="0096658B" w:rsidP="003568F5">
      <w:pPr>
        <w:rPr>
          <w:rFonts w:ascii="Times New Roman" w:hAnsi="Times New Roman" w:cs="Times New Roman"/>
          <w:b/>
          <w:bCs/>
          <w:color w:val="000000" w:themeColor="text1"/>
          <w:sz w:val="28"/>
          <w:szCs w:val="28"/>
          <w:lang w:val="es-ES_tradnl"/>
        </w:rPr>
      </w:pPr>
    </w:p>
    <w:p w:rsidR="003568F5" w:rsidRPr="0096658B" w:rsidRDefault="0096658B" w:rsidP="00337A19">
      <w:pPr>
        <w:pStyle w:val="Prrafodelista"/>
        <w:widowControl w:val="0"/>
        <w:numPr>
          <w:ilvl w:val="0"/>
          <w:numId w:val="5"/>
        </w:numPr>
        <w:shd w:val="clear" w:color="auto" w:fill="FFFFFF"/>
        <w:tabs>
          <w:tab w:val="left" w:pos="0"/>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El artículo 1° del PLE </w:t>
      </w:r>
      <w:r w:rsidRPr="0096658B">
        <w:rPr>
          <w:rFonts w:ascii="Times New Roman" w:hAnsi="Times New Roman" w:cs="Times New Roman"/>
          <w:color w:val="000000" w:themeColor="text1"/>
          <w:lang w:val="es-ES_tradnl"/>
        </w:rPr>
        <w:t xml:space="preserve">reforma el artículo 4° de la Ley 581 de 2000 en dos aspectos: </w:t>
      </w:r>
      <w:r w:rsidRPr="0096658B">
        <w:rPr>
          <w:rFonts w:ascii="Times New Roman" w:hAnsi="Times New Roman" w:cs="Times New Roman"/>
          <w:i/>
          <w:iCs/>
          <w:color w:val="000000" w:themeColor="text1"/>
          <w:lang w:val="es-ES_tradnl"/>
        </w:rPr>
        <w:t>(i)</w:t>
      </w:r>
      <w:r w:rsidRPr="0096658B">
        <w:rPr>
          <w:rFonts w:ascii="Times New Roman" w:hAnsi="Times New Roman" w:cs="Times New Roman"/>
          <w:color w:val="000000" w:themeColor="text1"/>
          <w:lang w:val="es-ES_tradnl"/>
        </w:rPr>
        <w:t xml:space="preserve"> el aumento de la cuota de participación de las mujeres en los CM</w:t>
      </w:r>
      <w:r w:rsidRPr="0096658B">
        <w:rPr>
          <w:rFonts w:ascii="Times New Roman" w:hAnsi="Times New Roman" w:cs="Times New Roman"/>
          <w:color w:val="000000" w:themeColor="text1"/>
          <w:lang w:val="es-ES_tradnl"/>
        </w:rPr>
        <w:t xml:space="preserve">ND y los CND del 30% al 50%; y </w:t>
      </w:r>
      <w:r w:rsidRPr="0096658B">
        <w:rPr>
          <w:rFonts w:ascii="Times New Roman" w:hAnsi="Times New Roman" w:cs="Times New Roman"/>
          <w:i/>
          <w:iCs/>
          <w:color w:val="000000" w:themeColor="text1"/>
          <w:lang w:val="es-ES_tradnl"/>
        </w:rPr>
        <w:t>(ii)</w:t>
      </w:r>
      <w:r w:rsidRPr="0096658B">
        <w:rPr>
          <w:rFonts w:ascii="Times New Roman" w:hAnsi="Times New Roman" w:cs="Times New Roman"/>
          <w:color w:val="000000" w:themeColor="text1"/>
          <w:lang w:val="es-ES_tradnl"/>
        </w:rPr>
        <w:t xml:space="preserve"> la adscripción de la facultad al Gobierno </w:t>
      </w:r>
      <w:r w:rsidRPr="0096658B">
        <w:rPr>
          <w:rFonts w:ascii="Times New Roman" w:hAnsi="Times New Roman" w:cs="Times New Roman"/>
          <w:color w:val="000000" w:themeColor="text1"/>
          <w:lang w:val="es-ES_tradnl"/>
        </w:rPr>
        <w:t xml:space="preserve">Nacional para que reglamente los cargos a los cuales se les aplicará la ley mencionada. </w:t>
      </w:r>
    </w:p>
    <w:p w:rsidR="00AE5622" w:rsidRPr="0096658B" w:rsidRDefault="0096658B" w:rsidP="00AE5622">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color w:val="000000" w:themeColor="text1"/>
          <w:lang w:val="es-ES_tradnl"/>
        </w:rPr>
      </w:pPr>
    </w:p>
    <w:p w:rsidR="00AE5622" w:rsidRPr="0096658B" w:rsidRDefault="0096658B" w:rsidP="00AC18DE">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color w:val="000000" w:themeColor="text1"/>
          <w:lang w:val="es-ES_tradnl"/>
        </w:rPr>
        <w:t xml:space="preserve">Las reglas jurisprudenciales fijadas en la sentencia C-371 de 2000. </w:t>
      </w:r>
      <w:r w:rsidRPr="0096658B">
        <w:rPr>
          <w:rFonts w:ascii="Times New Roman" w:hAnsi="Times New Roman" w:cs="Times New Roman"/>
          <w:color w:val="000000" w:themeColor="text1"/>
          <w:lang w:val="es-ES_tradnl"/>
        </w:rPr>
        <w:t xml:space="preserve">La Corte considera necesario </w:t>
      </w:r>
      <w:r w:rsidRPr="0096658B">
        <w:rPr>
          <w:rFonts w:ascii="Times New Roman" w:hAnsi="Times New Roman" w:cs="Times New Roman"/>
          <w:color w:val="000000" w:themeColor="text1"/>
          <w:lang w:val="es-ES_tradnl"/>
        </w:rPr>
        <w:t>reiterar</w:t>
      </w:r>
      <w:r w:rsidRPr="0096658B">
        <w:rPr>
          <w:rFonts w:ascii="Times New Roman" w:hAnsi="Times New Roman" w:cs="Times New Roman"/>
          <w:color w:val="000000" w:themeColor="text1"/>
          <w:lang w:val="es-ES_tradnl"/>
        </w:rPr>
        <w:t>, esta vez de manera más específica,</w:t>
      </w:r>
      <w:r w:rsidRPr="0096658B">
        <w:rPr>
          <w:rFonts w:ascii="Times New Roman" w:hAnsi="Times New Roman" w:cs="Times New Roman"/>
          <w:color w:val="000000" w:themeColor="text1"/>
          <w:lang w:val="es-ES_tradnl"/>
        </w:rPr>
        <w:t xml:space="preserve"> las consideraciones expuestas en la sentencia C-371 de 2000 sobre el aspecto analizado. Si bien en lo que respecta a las materias reformadas por el PLE</w:t>
      </w:r>
      <w:r w:rsidRPr="0096658B">
        <w:rPr>
          <w:rFonts w:ascii="Times New Roman" w:hAnsi="Times New Roman" w:cs="Times New Roman"/>
          <w:color w:val="000000" w:themeColor="text1"/>
          <w:lang w:val="es-ES_tradnl"/>
        </w:rPr>
        <w:t xml:space="preserve"> y conforme a los argumentos ex</w:t>
      </w:r>
      <w:r w:rsidRPr="0096658B">
        <w:rPr>
          <w:rFonts w:ascii="Times New Roman" w:hAnsi="Times New Roman" w:cs="Times New Roman"/>
          <w:color w:val="000000" w:themeColor="text1"/>
          <w:lang w:val="es-ES_tradnl"/>
        </w:rPr>
        <w:t>puestos en precedencia</w:t>
      </w:r>
      <w:r w:rsidRPr="0096658B">
        <w:rPr>
          <w:rFonts w:ascii="Times New Roman" w:hAnsi="Times New Roman" w:cs="Times New Roman"/>
          <w:color w:val="000000" w:themeColor="text1"/>
          <w:lang w:val="es-ES_tradnl"/>
        </w:rPr>
        <w:t>, esa decisión no constituye cosa juzgada constitucional, en todo caso sí conforma un precedente vinculante y, además, confiere un importante contexto sobre el contenido y alcance de esta medida de cuota y las tensiones constitucional</w:t>
      </w:r>
      <w:r w:rsidRPr="0096658B">
        <w:rPr>
          <w:rFonts w:ascii="Times New Roman" w:hAnsi="Times New Roman" w:cs="Times New Roman"/>
          <w:color w:val="000000" w:themeColor="text1"/>
          <w:lang w:val="es-ES_tradnl"/>
        </w:rPr>
        <w:t xml:space="preserve">es que ofrece. Por ende, la Sala hará una síntesis de las reglas allí fijadas, para luego determinar la constitucionalidad de las reformas antes mencionadas. </w:t>
      </w:r>
    </w:p>
    <w:p w:rsidR="00694019" w:rsidRPr="0096658B" w:rsidRDefault="0096658B" w:rsidP="00694019">
      <w:pPr>
        <w:pStyle w:val="Prrafodelista"/>
        <w:rPr>
          <w:rFonts w:ascii="Times New Roman" w:hAnsi="Times New Roman" w:cs="Times New Roman"/>
          <w:color w:val="000000" w:themeColor="text1"/>
          <w:lang w:val="es-ES_tradnl"/>
        </w:rPr>
      </w:pPr>
    </w:p>
    <w:p w:rsidR="00694019" w:rsidRPr="0096658B" w:rsidRDefault="0096658B" w:rsidP="00AC18DE">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Previo a esta recapitulación de reglas jurisprudenciales, la Sala considera importante poner de </w:t>
      </w:r>
      <w:r w:rsidRPr="0096658B">
        <w:rPr>
          <w:rFonts w:ascii="Times New Roman" w:hAnsi="Times New Roman" w:cs="Times New Roman"/>
          <w:color w:val="000000" w:themeColor="text1"/>
          <w:lang w:val="es-ES_tradnl"/>
        </w:rPr>
        <w:t xml:space="preserve">presente que la legislación estatutaria identifica conceptualmente a los </w:t>
      </w:r>
      <w:r w:rsidRPr="0096658B">
        <w:rPr>
          <w:rFonts w:ascii="Times New Roman" w:hAnsi="Times New Roman" w:cs="Times New Roman"/>
          <w:color w:val="000000" w:themeColor="text1"/>
          <w:lang w:val="es-ES_tradnl"/>
        </w:rPr>
        <w:t>CMND</w:t>
      </w:r>
      <w:r w:rsidRPr="0096658B">
        <w:rPr>
          <w:rFonts w:ascii="Times New Roman" w:hAnsi="Times New Roman" w:cs="Times New Roman"/>
          <w:color w:val="000000" w:themeColor="text1"/>
          <w:lang w:val="es-ES_tradnl"/>
        </w:rPr>
        <w:t xml:space="preserve"> y los </w:t>
      </w:r>
      <w:r w:rsidRPr="0096658B">
        <w:rPr>
          <w:rFonts w:ascii="Times New Roman" w:hAnsi="Times New Roman" w:cs="Times New Roman"/>
          <w:color w:val="000000" w:themeColor="text1"/>
          <w:lang w:val="es-ES_tradnl"/>
        </w:rPr>
        <w:t>CND</w:t>
      </w:r>
      <w:r w:rsidRPr="0096658B">
        <w:rPr>
          <w:rFonts w:ascii="Times New Roman" w:hAnsi="Times New Roman" w:cs="Times New Roman"/>
          <w:color w:val="000000" w:themeColor="text1"/>
          <w:lang w:val="es-ES_tradnl"/>
        </w:rPr>
        <w:t xml:space="preserve">. Los </w:t>
      </w:r>
      <w:r w:rsidRPr="0096658B">
        <w:rPr>
          <w:rFonts w:ascii="Times New Roman" w:hAnsi="Times New Roman" w:cs="Times New Roman"/>
          <w:color w:val="000000" w:themeColor="text1"/>
          <w:lang w:val="es-ES_tradnl"/>
        </w:rPr>
        <w:t>primero</w:t>
      </w:r>
      <w:r w:rsidRPr="0096658B">
        <w:rPr>
          <w:rFonts w:ascii="Times New Roman" w:hAnsi="Times New Roman" w:cs="Times New Roman"/>
          <w:color w:val="000000" w:themeColor="text1"/>
          <w:lang w:val="es-ES_tradnl"/>
        </w:rPr>
        <w:t>s</w:t>
      </w:r>
      <w:r w:rsidRPr="0096658B">
        <w:rPr>
          <w:rFonts w:ascii="Times New Roman" w:hAnsi="Times New Roman" w:cs="Times New Roman"/>
          <w:color w:val="000000" w:themeColor="text1"/>
          <w:lang w:val="es-ES_tradnl"/>
        </w:rPr>
        <w:t>, de acuerdo con el artículo 2° de la Ley 581 de 2000, corresponden a los “cargos de mayor jerarquía en las entidades de las tres ramas y órganos del poder</w:t>
      </w:r>
      <w:r w:rsidRPr="0096658B">
        <w:rPr>
          <w:rFonts w:ascii="Times New Roman" w:hAnsi="Times New Roman" w:cs="Times New Roman"/>
          <w:color w:val="000000" w:themeColor="text1"/>
          <w:lang w:val="es-ES_tradnl"/>
        </w:rPr>
        <w:t xml:space="preserve"> público, en los niveles nacional, departamental, regional, provincial, distrital y municipal”</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A su turno, los </w:t>
      </w:r>
      <w:r w:rsidRPr="0096658B">
        <w:rPr>
          <w:rFonts w:ascii="Times New Roman" w:hAnsi="Times New Roman" w:cs="Times New Roman"/>
          <w:color w:val="000000" w:themeColor="text1"/>
          <w:lang w:val="es-ES_tradnl"/>
        </w:rPr>
        <w:t>segundos</w:t>
      </w:r>
      <w:r w:rsidRPr="0096658B">
        <w:rPr>
          <w:rFonts w:ascii="Times New Roman" w:hAnsi="Times New Roman" w:cs="Times New Roman"/>
          <w:color w:val="000000" w:themeColor="text1"/>
          <w:lang w:val="es-ES_tradnl"/>
        </w:rPr>
        <w:t xml:space="preserve">, en los términos del artículo 3° </w:t>
      </w:r>
      <w:r w:rsidRPr="0096658B">
        <w:rPr>
          <w:rFonts w:ascii="Times New Roman" w:hAnsi="Times New Roman" w:cs="Times New Roman"/>
          <w:i/>
          <w:iCs/>
          <w:color w:val="000000" w:themeColor="text1"/>
          <w:lang w:val="es-ES_tradnl"/>
        </w:rPr>
        <w:t>ejusdem</w:t>
      </w:r>
      <w:r w:rsidRPr="0096658B">
        <w:rPr>
          <w:rFonts w:ascii="Times New Roman" w:hAnsi="Times New Roman" w:cs="Times New Roman"/>
          <w:color w:val="000000" w:themeColor="text1"/>
          <w:lang w:val="es-ES_tradnl"/>
        </w:rPr>
        <w:t>, refieren a los empleos “que correspondan a cargos de libre nombramiento y remoción, de la Ram</w:t>
      </w:r>
      <w:r w:rsidRPr="0096658B">
        <w:rPr>
          <w:rFonts w:ascii="Times New Roman" w:hAnsi="Times New Roman" w:cs="Times New Roman"/>
          <w:color w:val="000000" w:themeColor="text1"/>
          <w:lang w:val="es-ES_tradnl"/>
        </w:rPr>
        <w:t>a Ejecutiva, del personal administrativo de la Rama Legislativa y de los demás órganos del poder público, diferentes a los contemplados en el artículo anterior, y que tengan atribuciones de dirección y mando en la formulación, planeación, coordinación, eje</w:t>
      </w:r>
      <w:r w:rsidRPr="0096658B">
        <w:rPr>
          <w:rFonts w:ascii="Times New Roman" w:hAnsi="Times New Roman" w:cs="Times New Roman"/>
          <w:color w:val="000000" w:themeColor="text1"/>
          <w:lang w:val="es-ES_tradnl"/>
        </w:rPr>
        <w:t>cución y control de las acciones y políticas del Estado, en los niveles nacional, departamental, regional, provincial, distrital y municipal, incluidos los cargos de libre nombramiento y remoción de la Rama Judicial”.</w:t>
      </w:r>
    </w:p>
    <w:p w:rsidR="00AE5622" w:rsidRPr="0096658B" w:rsidRDefault="0096658B" w:rsidP="00AE5622">
      <w:pPr>
        <w:pStyle w:val="Prrafodelista"/>
        <w:rPr>
          <w:rFonts w:ascii="Times New Roman" w:hAnsi="Times New Roman" w:cs="Times New Roman"/>
          <w:color w:val="000000" w:themeColor="text1"/>
          <w:lang w:val="es-ES_tradnl"/>
        </w:rPr>
      </w:pPr>
    </w:p>
    <w:p w:rsidR="00AE5622" w:rsidRPr="0096658B" w:rsidRDefault="0096658B" w:rsidP="00AC18DE">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De manera general, la sentencia C-317 de 2000 encontró que la instauración de una cuota del 30% en los CMND y los CND es una medida compatible con la Constitución. </w:t>
      </w:r>
      <w:r w:rsidRPr="0096658B">
        <w:rPr>
          <w:rFonts w:ascii="Times New Roman" w:hAnsi="Times New Roman" w:cs="Times New Roman"/>
          <w:color w:val="000000" w:themeColor="text1"/>
          <w:lang w:val="es-ES_tradnl"/>
        </w:rPr>
        <w:t xml:space="preserve">Para la Corte, se trata de una medida de acción afirmativa que cumple con las condiciones </w:t>
      </w:r>
      <w:r w:rsidRPr="0096658B">
        <w:rPr>
          <w:rFonts w:ascii="Times New Roman" w:hAnsi="Times New Roman" w:cs="Times New Roman"/>
          <w:color w:val="000000" w:themeColor="text1"/>
          <w:lang w:val="es-ES_tradnl"/>
        </w:rPr>
        <w:t>propias del juicio de proporcio</w:t>
      </w:r>
      <w:r w:rsidRPr="0096658B">
        <w:rPr>
          <w:rFonts w:ascii="Times New Roman" w:hAnsi="Times New Roman" w:cs="Times New Roman"/>
          <w:color w:val="000000" w:themeColor="text1"/>
          <w:lang w:val="es-ES_tradnl"/>
        </w:rPr>
        <w:t>nalidad. Ello en la medida en que la finalidad de la medida, consistente en acelerar la participación de las mujeres en los referidos cargos, desarrolla las disposiciones constitucionales que ordenan el tratamiento equitativo</w:t>
      </w:r>
      <w:r w:rsidRPr="0096658B">
        <w:rPr>
          <w:rFonts w:ascii="Times New Roman" w:hAnsi="Times New Roman" w:cs="Times New Roman"/>
          <w:color w:val="000000" w:themeColor="text1"/>
          <w:lang w:val="es-ES_tradnl"/>
        </w:rPr>
        <w:t xml:space="preserve"> entre hombres y mujeres en el acceso a la esfera pública y, correlativamente, proscriben la discriminación basada en género respecto de dicho acceso. Asimismo, la medida es adecuada para cumplir con el fin propuesto, puesto que la imposición de la cuota l</w:t>
      </w:r>
      <w:r w:rsidRPr="0096658B">
        <w:rPr>
          <w:rFonts w:ascii="Times New Roman" w:hAnsi="Times New Roman" w:cs="Times New Roman"/>
          <w:color w:val="000000" w:themeColor="text1"/>
          <w:lang w:val="es-ES_tradnl"/>
        </w:rPr>
        <w:t xml:space="preserve">leva al aumento del acceso de las mujeres a dichos cargos. </w:t>
      </w:r>
    </w:p>
    <w:p w:rsidR="00AB43A8" w:rsidRPr="0096658B" w:rsidRDefault="0096658B" w:rsidP="00AB43A8">
      <w:pPr>
        <w:pStyle w:val="Prrafodelista"/>
        <w:rPr>
          <w:rFonts w:ascii="Times New Roman" w:hAnsi="Times New Roman" w:cs="Times New Roman"/>
          <w:color w:val="000000" w:themeColor="text1"/>
          <w:lang w:val="es-ES_tradnl"/>
        </w:rPr>
      </w:pPr>
    </w:p>
    <w:p w:rsidR="00AB43A8" w:rsidRPr="0096658B" w:rsidRDefault="0096658B" w:rsidP="00AC18DE">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Ahora bien, frente a la </w:t>
      </w:r>
      <w:r w:rsidRPr="0096658B">
        <w:rPr>
          <w:rFonts w:ascii="Times New Roman" w:hAnsi="Times New Roman" w:cs="Times New Roman"/>
          <w:color w:val="000000" w:themeColor="text1"/>
          <w:lang w:val="es-ES_tradnl"/>
        </w:rPr>
        <w:t>necesidad de la medida</w:t>
      </w:r>
      <w:r w:rsidRPr="0096658B">
        <w:rPr>
          <w:rFonts w:ascii="Times New Roman" w:hAnsi="Times New Roman" w:cs="Times New Roman"/>
          <w:color w:val="000000" w:themeColor="text1"/>
          <w:lang w:val="es-ES_tradnl"/>
        </w:rPr>
        <w:t xml:space="preserve">, la Corte planteó varios asuntos. En primer lugar, </w:t>
      </w:r>
      <w:r w:rsidRPr="0096658B">
        <w:rPr>
          <w:rFonts w:ascii="Times New Roman" w:hAnsi="Times New Roman" w:cs="Times New Roman"/>
          <w:color w:val="000000" w:themeColor="text1"/>
          <w:lang w:val="es-ES_tradnl"/>
        </w:rPr>
        <w:t xml:space="preserve">consideró que el hecho de que la norma no dispusiese una cuota del 50%, que “correspondería a un </w:t>
      </w:r>
      <w:r w:rsidRPr="0096658B">
        <w:rPr>
          <w:rFonts w:ascii="Times New Roman" w:hAnsi="Times New Roman" w:cs="Times New Roman"/>
          <w:color w:val="000000" w:themeColor="text1"/>
          <w:lang w:val="es-ES_tradnl"/>
        </w:rPr>
        <w:t>porcentaje de participación verdaderamente equitativo”</w:t>
      </w:r>
      <w:r w:rsidRPr="0096658B">
        <w:rPr>
          <w:rStyle w:val="Refdenotaalpie"/>
          <w:rFonts w:ascii="Times New Roman" w:hAnsi="Times New Roman"/>
          <w:color w:val="000000" w:themeColor="text1"/>
          <w:lang w:val="es-ES_tradnl"/>
        </w:rPr>
        <w:footnoteReference w:id="234"/>
      </w:r>
      <w:r w:rsidRPr="0096658B">
        <w:rPr>
          <w:rFonts w:ascii="Times New Roman" w:hAnsi="Times New Roman" w:cs="Times New Roman"/>
          <w:color w:val="000000" w:themeColor="text1"/>
          <w:lang w:val="es-ES_tradnl"/>
        </w:rPr>
        <w:t xml:space="preserve">, no afectaba la constitucionalidad de la </w:t>
      </w:r>
      <w:r w:rsidRPr="0096658B">
        <w:rPr>
          <w:rFonts w:ascii="Times New Roman" w:hAnsi="Times New Roman" w:cs="Times New Roman"/>
          <w:color w:val="000000" w:themeColor="text1"/>
          <w:lang w:val="es-ES_tradnl"/>
        </w:rPr>
        <w:t>norma</w:t>
      </w:r>
      <w:r w:rsidRPr="0096658B">
        <w:rPr>
          <w:rFonts w:ascii="Times New Roman" w:hAnsi="Times New Roman" w:cs="Times New Roman"/>
          <w:color w:val="000000" w:themeColor="text1"/>
          <w:lang w:val="es-ES_tradnl"/>
        </w:rPr>
        <w:t>. Esto</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pues “la disposición en comento se refiere a por lo menos un 30%, de manera que no se cierran las puertas para que las mujeres accedan a un porcen</w:t>
      </w:r>
      <w:r w:rsidRPr="0096658B">
        <w:rPr>
          <w:rFonts w:ascii="Times New Roman" w:hAnsi="Times New Roman" w:cs="Times New Roman"/>
          <w:color w:val="000000" w:themeColor="text1"/>
          <w:lang w:val="es-ES_tradnl"/>
        </w:rPr>
        <w:t>taje mayor en el desempeño de esos cargos”</w:t>
      </w:r>
      <w:r w:rsidRPr="0096658B">
        <w:rPr>
          <w:rStyle w:val="Refdenotaalpie"/>
          <w:rFonts w:ascii="Times New Roman" w:hAnsi="Times New Roman"/>
          <w:color w:val="000000" w:themeColor="text1"/>
          <w:lang w:val="es-ES_tradnl"/>
        </w:rPr>
        <w:footnoteReference w:id="235"/>
      </w:r>
      <w:r w:rsidRPr="0096658B">
        <w:rPr>
          <w:rFonts w:ascii="Times New Roman" w:hAnsi="Times New Roman" w:cs="Times New Roman"/>
          <w:color w:val="000000" w:themeColor="text1"/>
          <w:lang w:val="es-ES_tradnl"/>
        </w:rPr>
        <w:t xml:space="preserve">. Además, la fijación </w:t>
      </w:r>
      <w:r w:rsidRPr="0096658B">
        <w:rPr>
          <w:rFonts w:ascii="Times New Roman" w:hAnsi="Times New Roman" w:cs="Times New Roman"/>
          <w:color w:val="000000" w:themeColor="text1"/>
          <w:lang w:val="es-ES_tradnl"/>
        </w:rPr>
        <w:t xml:space="preserve">de </w:t>
      </w:r>
      <w:r w:rsidRPr="0096658B">
        <w:rPr>
          <w:rFonts w:ascii="Times New Roman" w:hAnsi="Times New Roman" w:cs="Times New Roman"/>
          <w:color w:val="000000" w:themeColor="text1"/>
          <w:lang w:val="es-ES_tradnl"/>
        </w:rPr>
        <w:t xml:space="preserve">ese porcentaje no era </w:t>
      </w:r>
      <w:r w:rsidRPr="0096658B">
        <w:rPr>
          <w:rFonts w:ascii="Times New Roman" w:hAnsi="Times New Roman" w:cs="Times New Roman"/>
          <w:color w:val="000000" w:themeColor="text1"/>
          <w:lang w:val="es-ES_tradnl"/>
        </w:rPr>
        <w:t>caprichoso,</w:t>
      </w:r>
      <w:r w:rsidRPr="0096658B">
        <w:rPr>
          <w:rFonts w:ascii="Times New Roman" w:hAnsi="Times New Roman" w:cs="Times New Roman"/>
          <w:color w:val="000000" w:themeColor="text1"/>
          <w:lang w:val="es-ES_tradnl"/>
        </w:rPr>
        <w:t xml:space="preserve"> sino que tenía fundamento en varias recomendaciones de organismos internacionales, quienes con</w:t>
      </w:r>
      <w:r w:rsidRPr="0096658B">
        <w:rPr>
          <w:rFonts w:ascii="Times New Roman" w:hAnsi="Times New Roman" w:cs="Times New Roman"/>
          <w:color w:val="000000" w:themeColor="text1"/>
          <w:lang w:val="es-ES_tradnl"/>
        </w:rPr>
        <w:t>cordaban en</w:t>
      </w:r>
      <w:r w:rsidRPr="0096658B">
        <w:rPr>
          <w:rFonts w:ascii="Times New Roman" w:hAnsi="Times New Roman" w:cs="Times New Roman"/>
          <w:color w:val="000000" w:themeColor="text1"/>
          <w:lang w:val="es-ES_tradnl"/>
        </w:rPr>
        <w:t xml:space="preserve"> que la cuota del 30% de participación permite ll</w:t>
      </w:r>
      <w:r w:rsidRPr="0096658B">
        <w:rPr>
          <w:rFonts w:ascii="Times New Roman" w:hAnsi="Times New Roman" w:cs="Times New Roman"/>
          <w:color w:val="000000" w:themeColor="text1"/>
          <w:lang w:val="es-ES_tradnl"/>
        </w:rPr>
        <w:t xml:space="preserve">egar a </w:t>
      </w:r>
      <w:r w:rsidRPr="0096658B">
        <w:rPr>
          <w:rFonts w:ascii="Times New Roman" w:hAnsi="Times New Roman" w:cs="Times New Roman"/>
          <w:color w:val="000000" w:themeColor="text1"/>
          <w:lang w:val="es-ES_tradnl"/>
        </w:rPr>
        <w:t xml:space="preserve">una masa crítica para la superación de las barreras por discriminación </w:t>
      </w:r>
      <w:r w:rsidRPr="0096658B">
        <w:rPr>
          <w:rFonts w:ascii="Times New Roman" w:hAnsi="Times New Roman" w:cs="Times New Roman"/>
          <w:color w:val="000000" w:themeColor="text1"/>
          <w:lang w:val="es-ES_tradnl"/>
        </w:rPr>
        <w:t xml:space="preserve">en contra de las mujeres. </w:t>
      </w:r>
    </w:p>
    <w:p w:rsidR="004C5172" w:rsidRPr="0096658B" w:rsidRDefault="0096658B" w:rsidP="004C5172">
      <w:pPr>
        <w:pStyle w:val="Prrafodelista"/>
        <w:rPr>
          <w:rFonts w:ascii="Times New Roman" w:hAnsi="Times New Roman" w:cs="Times New Roman"/>
          <w:color w:val="000000" w:themeColor="text1"/>
          <w:lang w:val="es-ES_tradnl"/>
        </w:rPr>
      </w:pPr>
    </w:p>
    <w:p w:rsidR="004C5172" w:rsidRPr="0096658B" w:rsidRDefault="0096658B" w:rsidP="00AC18DE">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En segundo lugar, ante la objeción acerca de que las medidas de cuota solo disminuían la subrepresentación</w:t>
      </w:r>
      <w:r w:rsidRPr="0096658B">
        <w:rPr>
          <w:rFonts w:ascii="Times New Roman" w:hAnsi="Times New Roman" w:cs="Times New Roman"/>
          <w:color w:val="000000" w:themeColor="text1"/>
          <w:lang w:val="es-ES_tradnl"/>
        </w:rPr>
        <w:t xml:space="preserve"> de las mujeres,</w:t>
      </w:r>
      <w:r w:rsidRPr="0096658B">
        <w:rPr>
          <w:rFonts w:ascii="Times New Roman" w:hAnsi="Times New Roman" w:cs="Times New Roman"/>
          <w:color w:val="000000" w:themeColor="text1"/>
          <w:lang w:val="es-ES_tradnl"/>
        </w:rPr>
        <w:t xml:space="preserve"> pero no </w:t>
      </w:r>
      <w:r w:rsidRPr="0096658B">
        <w:rPr>
          <w:rFonts w:ascii="Times New Roman" w:hAnsi="Times New Roman" w:cs="Times New Roman"/>
          <w:color w:val="000000" w:themeColor="text1"/>
          <w:lang w:val="es-ES_tradnl"/>
        </w:rPr>
        <w:t>ataca</w:t>
      </w:r>
      <w:r w:rsidRPr="0096658B">
        <w:rPr>
          <w:rFonts w:ascii="Times New Roman" w:hAnsi="Times New Roman" w:cs="Times New Roman"/>
          <w:color w:val="000000" w:themeColor="text1"/>
          <w:lang w:val="es-ES_tradnl"/>
        </w:rPr>
        <w:t>ban</w:t>
      </w:r>
      <w:r w:rsidRPr="0096658B">
        <w:rPr>
          <w:rFonts w:ascii="Times New Roman" w:hAnsi="Times New Roman" w:cs="Times New Roman"/>
          <w:color w:val="000000" w:themeColor="text1"/>
          <w:lang w:val="es-ES_tradnl"/>
        </w:rPr>
        <w:t xml:space="preserve"> las razones sustantivas que generan la discriminación</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l</w:t>
      </w:r>
      <w:r w:rsidRPr="0096658B">
        <w:rPr>
          <w:rFonts w:ascii="Times New Roman" w:hAnsi="Times New Roman" w:cs="Times New Roman"/>
          <w:color w:val="000000" w:themeColor="text1"/>
          <w:lang w:val="es-ES_tradnl"/>
        </w:rPr>
        <w:t>a Corte encontró que</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si bien esta objeción partía de un supuesto correcto, en todo caso no podía perderse de vista que las medidas de cuota también eran adecuadas para modificar esas causas base de </w:t>
      </w:r>
      <w:r w:rsidRPr="0096658B">
        <w:rPr>
          <w:rFonts w:ascii="Times New Roman" w:hAnsi="Times New Roman" w:cs="Times New Roman"/>
          <w:color w:val="000000" w:themeColor="text1"/>
          <w:lang w:val="es-ES_tradnl"/>
        </w:rPr>
        <w:t xml:space="preserve">la discriminación. En particular, </w:t>
      </w:r>
      <w:r w:rsidRPr="0096658B">
        <w:rPr>
          <w:rFonts w:ascii="Times New Roman" w:hAnsi="Times New Roman" w:cs="Times New Roman"/>
          <w:color w:val="000000" w:themeColor="text1"/>
          <w:lang w:val="es-ES_tradnl"/>
        </w:rPr>
        <w:t>permite su visibilización y así</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rPr>
        <w:t xml:space="preserve">poco a poco, se va creando un hábito o una costumbre de pensar en ellas y reconocerlas como plenamente capaces para desempeñarse en </w:t>
      </w:r>
      <w:r w:rsidRPr="0096658B">
        <w:rPr>
          <w:rFonts w:ascii="Times New Roman" w:hAnsi="Times New Roman" w:cs="Times New Roman"/>
          <w:color w:val="000000" w:themeColor="text1"/>
        </w:rPr>
        <w:t>los cargos más altos</w:t>
      </w:r>
      <w:r w:rsidRPr="0096658B">
        <w:rPr>
          <w:rFonts w:ascii="Times New Roman" w:hAnsi="Times New Roman" w:cs="Times New Roman"/>
          <w:color w:val="000000" w:themeColor="text1"/>
        </w:rPr>
        <w:t xml:space="preserve"> de la esfera pública. En últimas se</w:t>
      </w:r>
      <w:r w:rsidRPr="0096658B">
        <w:rPr>
          <w:rFonts w:ascii="Times New Roman" w:hAnsi="Times New Roman" w:cs="Times New Roman"/>
          <w:color w:val="000000" w:themeColor="text1"/>
        </w:rPr>
        <w:t xml:space="preserve"> va entendiendo que esta esfera no puede ser ajena a la equidad entre los géneros</w:t>
      </w:r>
      <w:r w:rsidRPr="0096658B">
        <w:rPr>
          <w:rFonts w:ascii="Times New Roman" w:hAnsi="Times New Roman" w:cs="Times New Roman"/>
          <w:color w:val="000000" w:themeColor="text1"/>
        </w:rPr>
        <w:t>”</w:t>
      </w:r>
      <w:r w:rsidRPr="0096658B">
        <w:rPr>
          <w:rStyle w:val="Refdenotaalpie"/>
          <w:rFonts w:ascii="Times New Roman" w:hAnsi="Times New Roman"/>
          <w:color w:val="000000" w:themeColor="text1"/>
        </w:rPr>
        <w:footnoteReference w:id="236"/>
      </w:r>
      <w:r w:rsidRPr="0096658B">
        <w:rPr>
          <w:rFonts w:ascii="Times New Roman" w:hAnsi="Times New Roman" w:cs="Times New Roman"/>
          <w:color w:val="000000" w:themeColor="text1"/>
        </w:rPr>
        <w:t>. Además de este efecto simbólico, la Corte resaltó que las medidas de cuota abren “un campo para que se propongan y diseñen políticas que favorezcan a la población femenina</w:t>
      </w:r>
      <w:r w:rsidRPr="0096658B">
        <w:rPr>
          <w:rFonts w:ascii="Times New Roman" w:hAnsi="Times New Roman" w:cs="Times New Roman"/>
          <w:color w:val="000000" w:themeColor="text1"/>
        </w:rPr>
        <w:t xml:space="preserve"> en su conjunto”</w:t>
      </w:r>
      <w:r w:rsidRPr="0096658B">
        <w:rPr>
          <w:rStyle w:val="Refdenotaalpie"/>
          <w:rFonts w:ascii="Times New Roman" w:hAnsi="Times New Roman"/>
          <w:color w:val="000000" w:themeColor="text1"/>
        </w:rPr>
        <w:footnoteReference w:id="237"/>
      </w:r>
      <w:r w:rsidRPr="0096658B">
        <w:rPr>
          <w:rFonts w:ascii="Times New Roman" w:hAnsi="Times New Roman" w:cs="Times New Roman"/>
          <w:color w:val="000000" w:themeColor="text1"/>
        </w:rPr>
        <w:t>. En ese orden de ideas, si bien pueden establecerse otras medidas dirigidas a atacar las causas transversales de la discriminación de las mujeres, ninguna de ellas tiene el mismo nivel de eficacia, en términos de aumento de su participaci</w:t>
      </w:r>
      <w:r w:rsidRPr="0096658B">
        <w:rPr>
          <w:rFonts w:ascii="Times New Roman" w:hAnsi="Times New Roman" w:cs="Times New Roman"/>
          <w:color w:val="000000" w:themeColor="text1"/>
        </w:rPr>
        <w:t xml:space="preserve">ón en la esfera pública, lo que demostraba la necesidad de la medida. </w:t>
      </w:r>
    </w:p>
    <w:p w:rsidR="00085347" w:rsidRPr="0096658B" w:rsidRDefault="0096658B" w:rsidP="00085347">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color w:val="000000" w:themeColor="text1"/>
          <w:lang w:val="es-ES_tradnl"/>
        </w:rPr>
      </w:pPr>
    </w:p>
    <w:p w:rsidR="00085347" w:rsidRPr="0096658B" w:rsidRDefault="0096658B" w:rsidP="00AC18DE">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Ahora bien, en lo que respecta a la proporcionalidad </w:t>
      </w:r>
      <w:r w:rsidRPr="0096658B">
        <w:rPr>
          <w:rFonts w:ascii="Times New Roman" w:hAnsi="Times New Roman" w:cs="Times New Roman"/>
          <w:color w:val="000000" w:themeColor="text1"/>
          <w:lang w:val="es-ES_tradnl"/>
        </w:rPr>
        <w:t xml:space="preserve">de la medida </w:t>
      </w:r>
      <w:r w:rsidRPr="0096658B">
        <w:rPr>
          <w:rFonts w:ascii="Times New Roman" w:hAnsi="Times New Roman" w:cs="Times New Roman"/>
          <w:color w:val="000000" w:themeColor="text1"/>
          <w:lang w:val="es-ES_tradnl"/>
        </w:rPr>
        <w:t>en sentido estricto, la Corte desechó el argumento planteado por algunos intervinientes, según el cual la cuota del 30% vulneraba el derecho a la igualdad de los hombres, quienes no podrían acceder a ese mínimo de participación en los cargos mencionados. P</w:t>
      </w:r>
      <w:r w:rsidRPr="0096658B">
        <w:rPr>
          <w:rFonts w:ascii="Times New Roman" w:hAnsi="Times New Roman" w:cs="Times New Roman"/>
          <w:color w:val="000000" w:themeColor="text1"/>
          <w:lang w:val="es-ES_tradnl"/>
        </w:rPr>
        <w:t xml:space="preserve">ara ello, destacó que </w:t>
      </w:r>
      <w:r w:rsidRPr="0096658B">
        <w:rPr>
          <w:rFonts w:ascii="Times New Roman" w:hAnsi="Times New Roman" w:cs="Times New Roman"/>
          <w:i/>
          <w:iCs/>
          <w:color w:val="000000" w:themeColor="text1"/>
          <w:lang w:val="es-ES_tradnl"/>
        </w:rPr>
        <w:t>(i)</w:t>
      </w:r>
      <w:r w:rsidRPr="0096658B">
        <w:rPr>
          <w:rFonts w:ascii="Times New Roman" w:hAnsi="Times New Roman" w:cs="Times New Roman"/>
          <w:color w:val="000000" w:themeColor="text1"/>
          <w:lang w:val="es-ES_tradnl"/>
        </w:rPr>
        <w:t xml:space="preserve"> la medida no e</w:t>
      </w:r>
      <w:r w:rsidRPr="0096658B">
        <w:rPr>
          <w:rFonts w:ascii="Times New Roman" w:hAnsi="Times New Roman" w:cs="Times New Roman"/>
          <w:color w:val="000000" w:themeColor="text1"/>
          <w:lang w:val="es-ES_tradnl"/>
        </w:rPr>
        <w:t>ra</w:t>
      </w:r>
      <w:r w:rsidRPr="0096658B">
        <w:rPr>
          <w:rFonts w:ascii="Times New Roman" w:hAnsi="Times New Roman" w:cs="Times New Roman"/>
          <w:color w:val="000000" w:themeColor="text1"/>
          <w:lang w:val="es-ES_tradnl"/>
        </w:rPr>
        <w:t xml:space="preserve"> injustificada, puesto que respond</w:t>
      </w:r>
      <w:r w:rsidRPr="0096658B">
        <w:rPr>
          <w:rFonts w:ascii="Times New Roman" w:hAnsi="Times New Roman" w:cs="Times New Roman"/>
          <w:color w:val="000000" w:themeColor="text1"/>
          <w:lang w:val="es-ES_tradnl"/>
        </w:rPr>
        <w:t>ía</w:t>
      </w:r>
      <w:r w:rsidRPr="0096658B">
        <w:rPr>
          <w:rFonts w:ascii="Times New Roman" w:hAnsi="Times New Roman" w:cs="Times New Roman"/>
          <w:color w:val="000000" w:themeColor="text1"/>
          <w:lang w:val="es-ES_tradnl"/>
        </w:rPr>
        <w:t xml:space="preserve"> a la realidad objetiva del déficit de participación de las mujeres en los niveles decisorios del Estado, por lo que busca</w:t>
      </w:r>
      <w:r w:rsidRPr="0096658B">
        <w:rPr>
          <w:rFonts w:ascii="Times New Roman" w:hAnsi="Times New Roman" w:cs="Times New Roman"/>
          <w:color w:val="000000" w:themeColor="text1"/>
          <w:lang w:val="es-ES_tradnl"/>
        </w:rPr>
        <w:t>ba</w:t>
      </w:r>
      <w:r w:rsidRPr="0096658B">
        <w:rPr>
          <w:rFonts w:ascii="Times New Roman" w:hAnsi="Times New Roman" w:cs="Times New Roman"/>
          <w:color w:val="000000" w:themeColor="text1"/>
          <w:lang w:val="es-ES_tradnl"/>
        </w:rPr>
        <w:t xml:space="preserve"> cumplir con objetivos constitucionalmente importantes</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i/>
          <w:iCs/>
          <w:color w:val="000000" w:themeColor="text1"/>
          <w:lang w:val="es-ES_tradnl"/>
        </w:rPr>
        <w:t>(ii)</w:t>
      </w:r>
      <w:r w:rsidRPr="0096658B">
        <w:rPr>
          <w:rFonts w:ascii="Times New Roman" w:hAnsi="Times New Roman" w:cs="Times New Roman"/>
          <w:color w:val="000000" w:themeColor="text1"/>
          <w:lang w:val="es-ES_tradnl"/>
        </w:rPr>
        <w:t xml:space="preserve"> la cuota no involucra</w:t>
      </w:r>
      <w:r w:rsidRPr="0096658B">
        <w:rPr>
          <w:rFonts w:ascii="Times New Roman" w:hAnsi="Times New Roman" w:cs="Times New Roman"/>
          <w:color w:val="000000" w:themeColor="text1"/>
          <w:lang w:val="es-ES_tradnl"/>
        </w:rPr>
        <w:t>ba</w:t>
      </w:r>
      <w:r w:rsidRPr="0096658B">
        <w:rPr>
          <w:rFonts w:ascii="Times New Roman" w:hAnsi="Times New Roman" w:cs="Times New Roman"/>
          <w:color w:val="000000" w:themeColor="text1"/>
          <w:lang w:val="es-ES_tradnl"/>
        </w:rPr>
        <w:t xml:space="preserve"> una afectación significativa de las posibilidades de los hombres de acceder a dichos altos niveles decisorio</w:t>
      </w:r>
      <w:r w:rsidRPr="0096658B">
        <w:rPr>
          <w:rFonts w:ascii="Times New Roman" w:hAnsi="Times New Roman" w:cs="Times New Roman"/>
          <w:color w:val="000000" w:themeColor="text1"/>
          <w:lang w:val="es-ES_tradnl"/>
        </w:rPr>
        <w:t>s</w:t>
      </w:r>
      <w:r w:rsidRPr="0096658B">
        <w:rPr>
          <w:rFonts w:ascii="Times New Roman" w:hAnsi="Times New Roman" w:cs="Times New Roman"/>
          <w:color w:val="000000" w:themeColor="text1"/>
          <w:lang w:val="es-ES_tradnl"/>
        </w:rPr>
        <w:t xml:space="preserve">, lo cual es una condición indispensable para colegir la vulneración del principio de igualdad. Así “cosa distinta </w:t>
      </w:r>
      <w:r w:rsidRPr="0096658B">
        <w:rPr>
          <w:rFonts w:ascii="Times New Roman" w:hAnsi="Times New Roman" w:cs="Times New Roman"/>
          <w:color w:val="000000" w:themeColor="text1"/>
          <w:lang w:val="es-ES_tradnl"/>
        </w:rPr>
        <w:t>s</w:t>
      </w:r>
      <w:r w:rsidRPr="0096658B">
        <w:rPr>
          <w:rFonts w:ascii="Times New Roman" w:hAnsi="Times New Roman" w:cs="Times New Roman"/>
          <w:color w:val="000000" w:themeColor="text1"/>
          <w:lang w:val="es-ES_tradnl"/>
        </w:rPr>
        <w:t xml:space="preserve">ucedería si, por ejemplo, el legislador hubiera establecido una cuota que anulara o restringiera de manera exagerada las posibilidades de las personas del género masculino para acceder a tales cargos. Piénsese, por ejemplo, en un caso extremo en el que se </w:t>
      </w:r>
      <w:r w:rsidRPr="0096658B">
        <w:rPr>
          <w:rFonts w:ascii="Times New Roman" w:hAnsi="Times New Roman" w:cs="Times New Roman"/>
          <w:color w:val="000000" w:themeColor="text1"/>
          <w:lang w:val="es-ES_tradnl"/>
        </w:rPr>
        <w:t>dispusiera que el 80% de los empleos de mayor jerarquía del Estado han de ser desempeñados por mujeres. Si la finalidad principal de las cuotas es permitir una representación equitativa entre hombres y mujeres, es claro que una disposición de ese tipo no t</w:t>
      </w:r>
      <w:r w:rsidRPr="0096658B">
        <w:rPr>
          <w:rFonts w:ascii="Times New Roman" w:hAnsi="Times New Roman" w:cs="Times New Roman"/>
          <w:color w:val="000000" w:themeColor="text1"/>
          <w:lang w:val="es-ES_tradnl"/>
        </w:rPr>
        <w:t>endría razón de ser. Pero no e</w:t>
      </w:r>
      <w:r w:rsidRPr="0096658B">
        <w:rPr>
          <w:rFonts w:ascii="Times New Roman" w:hAnsi="Times New Roman" w:cs="Times New Roman"/>
          <w:color w:val="000000" w:themeColor="text1"/>
          <w:lang w:val="es-ES_tradnl"/>
        </w:rPr>
        <w:t>[ra]</w:t>
      </w:r>
      <w:r w:rsidRPr="0096658B">
        <w:rPr>
          <w:rFonts w:ascii="Times New Roman" w:hAnsi="Times New Roman" w:cs="Times New Roman"/>
          <w:color w:val="000000" w:themeColor="text1"/>
          <w:lang w:val="es-ES_tradnl"/>
        </w:rPr>
        <w:t xml:space="preserve"> éste el supuesto que se </w:t>
      </w:r>
      <w:r w:rsidRPr="0096658B">
        <w:rPr>
          <w:rFonts w:ascii="Times New Roman" w:hAnsi="Times New Roman" w:cs="Times New Roman"/>
          <w:color w:val="000000" w:themeColor="text1"/>
          <w:lang w:val="es-ES_tradnl"/>
        </w:rPr>
        <w:t xml:space="preserve">establec[ía] </w:t>
      </w:r>
      <w:r w:rsidRPr="0096658B">
        <w:rPr>
          <w:rFonts w:ascii="Times New Roman" w:hAnsi="Times New Roman" w:cs="Times New Roman"/>
          <w:color w:val="000000" w:themeColor="text1"/>
          <w:lang w:val="es-ES_tradnl"/>
        </w:rPr>
        <w:t>en el artículo 4° del proyecto de ley”</w:t>
      </w:r>
      <w:r w:rsidRPr="0096658B">
        <w:rPr>
          <w:rFonts w:ascii="Times New Roman" w:hAnsi="Times New Roman" w:cs="Times New Roman"/>
          <w:color w:val="000000" w:themeColor="text1"/>
          <w:lang w:val="es-ES_tradnl"/>
        </w:rPr>
        <w:t xml:space="preserve"> analizado</w:t>
      </w:r>
      <w:r w:rsidRPr="0096658B">
        <w:rPr>
          <w:rStyle w:val="Refdenotaalpie"/>
          <w:rFonts w:ascii="Times New Roman" w:hAnsi="Times New Roman"/>
          <w:color w:val="000000" w:themeColor="text1"/>
          <w:lang w:val="es-ES_tradnl"/>
        </w:rPr>
        <w:footnoteReference w:id="238"/>
      </w:r>
      <w:r w:rsidRPr="0096658B">
        <w:rPr>
          <w:rFonts w:ascii="Times New Roman" w:hAnsi="Times New Roman" w:cs="Times New Roman"/>
          <w:color w:val="000000" w:themeColor="text1"/>
          <w:lang w:val="es-ES_tradnl"/>
        </w:rPr>
        <w:t xml:space="preserve">; y </w:t>
      </w:r>
      <w:r w:rsidRPr="0096658B">
        <w:rPr>
          <w:rFonts w:ascii="Times New Roman" w:hAnsi="Times New Roman" w:cs="Times New Roman"/>
          <w:i/>
          <w:iCs/>
          <w:color w:val="000000" w:themeColor="text1"/>
          <w:lang w:val="es-ES_tradnl"/>
        </w:rPr>
        <w:t>(iii)</w:t>
      </w:r>
      <w:r w:rsidRPr="0096658B">
        <w:rPr>
          <w:rFonts w:ascii="Times New Roman" w:hAnsi="Times New Roman" w:cs="Times New Roman"/>
          <w:color w:val="000000" w:themeColor="text1"/>
          <w:lang w:val="es-ES_tradnl"/>
        </w:rPr>
        <w:t xml:space="preserve"> los cargos de niveles decisorios son usualmente de libre nombramiento y remoción, de manera que no </w:t>
      </w:r>
      <w:r w:rsidRPr="0096658B">
        <w:rPr>
          <w:rFonts w:ascii="Times New Roman" w:hAnsi="Times New Roman" w:cs="Times New Roman"/>
          <w:color w:val="000000" w:themeColor="text1"/>
          <w:lang w:val="es-ES_tradnl"/>
        </w:rPr>
        <w:t xml:space="preserve">era </w:t>
      </w:r>
      <w:r w:rsidRPr="0096658B">
        <w:rPr>
          <w:rFonts w:ascii="Times New Roman" w:hAnsi="Times New Roman" w:cs="Times New Roman"/>
          <w:color w:val="000000" w:themeColor="text1"/>
          <w:lang w:val="es-ES_tradnl"/>
        </w:rPr>
        <w:t xml:space="preserve">viable concluir que </w:t>
      </w:r>
      <w:r w:rsidRPr="0096658B">
        <w:rPr>
          <w:rFonts w:ascii="Times New Roman" w:hAnsi="Times New Roman" w:cs="Times New Roman"/>
          <w:color w:val="000000" w:themeColor="text1"/>
          <w:lang w:val="es-ES_tradnl"/>
        </w:rPr>
        <w:t>concurran derechos adquiridos</w:t>
      </w:r>
      <w:r w:rsidRPr="0096658B">
        <w:rPr>
          <w:rFonts w:ascii="Times New Roman" w:hAnsi="Times New Roman" w:cs="Times New Roman"/>
          <w:color w:val="000000" w:themeColor="text1"/>
          <w:lang w:val="es-ES_tradnl"/>
        </w:rPr>
        <w:t xml:space="preserve"> frente a aquellas posiciones que ostenta</w:t>
      </w:r>
      <w:r w:rsidRPr="0096658B">
        <w:rPr>
          <w:rFonts w:ascii="Times New Roman" w:hAnsi="Times New Roman" w:cs="Times New Roman"/>
          <w:color w:val="000000" w:themeColor="text1"/>
          <w:lang w:val="es-ES_tradnl"/>
        </w:rPr>
        <w:t>ba</w:t>
      </w:r>
      <w:r w:rsidRPr="0096658B">
        <w:rPr>
          <w:rFonts w:ascii="Times New Roman" w:hAnsi="Times New Roman" w:cs="Times New Roman"/>
          <w:color w:val="000000" w:themeColor="text1"/>
          <w:lang w:val="es-ES_tradnl"/>
        </w:rPr>
        <w:t>n</w:t>
      </w:r>
      <w:r w:rsidRPr="0096658B">
        <w:rPr>
          <w:rFonts w:ascii="Times New Roman" w:hAnsi="Times New Roman" w:cs="Times New Roman"/>
          <w:color w:val="000000" w:themeColor="text1"/>
          <w:lang w:val="es-ES_tradnl"/>
        </w:rPr>
        <w:t xml:space="preserve"> los hombres. </w:t>
      </w:r>
    </w:p>
    <w:p w:rsidR="00A91E9B" w:rsidRPr="0096658B" w:rsidRDefault="0096658B" w:rsidP="00A91E9B">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color w:val="000000" w:themeColor="text1"/>
          <w:lang w:val="es-ES_tradnl"/>
        </w:rPr>
      </w:pPr>
    </w:p>
    <w:p w:rsidR="0004512B" w:rsidRPr="0096658B" w:rsidRDefault="0096658B" w:rsidP="00AC18DE">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La Sala también se pronunció sobre la objeción </w:t>
      </w:r>
      <w:r w:rsidRPr="0096658B">
        <w:rPr>
          <w:rFonts w:ascii="Times New Roman" w:hAnsi="Times New Roman" w:cs="Times New Roman"/>
          <w:color w:val="000000" w:themeColor="text1"/>
          <w:lang w:val="es-ES_tradnl"/>
        </w:rPr>
        <w:t xml:space="preserve">según la cual </w:t>
      </w:r>
      <w:r w:rsidRPr="0096658B">
        <w:rPr>
          <w:rFonts w:ascii="Times New Roman" w:hAnsi="Times New Roman" w:cs="Times New Roman"/>
          <w:color w:val="000000" w:themeColor="text1"/>
          <w:lang w:val="es-ES_tradnl"/>
        </w:rPr>
        <w:t>la cuota discriminaba a las mismas mujeres, en tanto las considera</w:t>
      </w:r>
      <w:r w:rsidRPr="0096658B">
        <w:rPr>
          <w:rFonts w:ascii="Times New Roman" w:hAnsi="Times New Roman" w:cs="Times New Roman"/>
          <w:color w:val="000000" w:themeColor="text1"/>
          <w:lang w:val="es-ES_tradnl"/>
        </w:rPr>
        <w:t>ba</w:t>
      </w:r>
      <w:r w:rsidRPr="0096658B">
        <w:rPr>
          <w:rFonts w:ascii="Times New Roman" w:hAnsi="Times New Roman" w:cs="Times New Roman"/>
          <w:color w:val="000000" w:themeColor="text1"/>
          <w:lang w:val="es-ES_tradnl"/>
        </w:rPr>
        <w:t xml:space="preserve"> como “inferiores o discapacitadas, po</w:t>
      </w:r>
      <w:r w:rsidRPr="0096658B">
        <w:rPr>
          <w:rFonts w:ascii="Times New Roman" w:hAnsi="Times New Roman" w:cs="Times New Roman"/>
          <w:color w:val="000000" w:themeColor="text1"/>
          <w:lang w:val="es-ES_tradnl"/>
        </w:rPr>
        <w:t>rque por sus méritos no p</w:t>
      </w:r>
      <w:r w:rsidRPr="0096658B">
        <w:rPr>
          <w:rFonts w:ascii="Times New Roman" w:hAnsi="Times New Roman" w:cs="Times New Roman"/>
          <w:color w:val="000000" w:themeColor="text1"/>
          <w:lang w:val="es-ES_tradnl"/>
        </w:rPr>
        <w:t>[odían]</w:t>
      </w:r>
      <w:r w:rsidRPr="0096658B">
        <w:rPr>
          <w:rFonts w:ascii="Times New Roman" w:hAnsi="Times New Roman" w:cs="Times New Roman"/>
          <w:color w:val="000000" w:themeColor="text1"/>
          <w:lang w:val="es-ES_tradnl"/>
        </w:rPr>
        <w:t xml:space="preserve"> llegar a ocupar los cargos de </w:t>
      </w:r>
      <w:r w:rsidRPr="0096658B">
        <w:rPr>
          <w:rFonts w:ascii="Times New Roman" w:hAnsi="Times New Roman" w:cs="Times New Roman"/>
          <w:color w:val="000000" w:themeColor="text1"/>
          <w:lang w:val="es-ES_tradnl"/>
        </w:rPr>
        <w:t>mayor responsabilidad”</w:t>
      </w:r>
      <w:r w:rsidRPr="0096658B">
        <w:rPr>
          <w:rStyle w:val="Refdenotaalpie"/>
          <w:rFonts w:ascii="Times New Roman" w:hAnsi="Times New Roman"/>
          <w:color w:val="000000" w:themeColor="text1"/>
          <w:lang w:val="es-ES_tradnl"/>
        </w:rPr>
        <w:footnoteReference w:id="239"/>
      </w:r>
      <w:r w:rsidRPr="0096658B">
        <w:rPr>
          <w:rFonts w:ascii="Times New Roman" w:hAnsi="Times New Roman" w:cs="Times New Roman"/>
          <w:color w:val="000000" w:themeColor="text1"/>
          <w:lang w:val="es-ES_tradnl"/>
        </w:rPr>
        <w:t>. La Corte se opuso a esta consideración con el argumento de que, precisamente, las normas de cuota parte</w:t>
      </w:r>
      <w:r w:rsidRPr="0096658B">
        <w:rPr>
          <w:rFonts w:ascii="Times New Roman" w:hAnsi="Times New Roman" w:cs="Times New Roman"/>
          <w:color w:val="000000" w:themeColor="text1"/>
          <w:lang w:val="es-ES_tradnl"/>
        </w:rPr>
        <w:t>n</w:t>
      </w:r>
      <w:r w:rsidRPr="0096658B">
        <w:rPr>
          <w:rFonts w:ascii="Times New Roman" w:hAnsi="Times New Roman" w:cs="Times New Roman"/>
          <w:color w:val="000000" w:themeColor="text1"/>
          <w:lang w:val="es-ES_tradnl"/>
        </w:rPr>
        <w:t xml:space="preserve"> de la base de que las mujeres están capacitadas análogamente a los hombres para ejercer los CMND y los CND. Por tanto, la medida de acción afirmativa </w:t>
      </w:r>
      <w:r w:rsidRPr="0096658B">
        <w:rPr>
          <w:rFonts w:ascii="Times New Roman" w:hAnsi="Times New Roman" w:cs="Times New Roman"/>
          <w:color w:val="000000" w:themeColor="text1"/>
          <w:lang w:val="es-ES_tradnl"/>
        </w:rPr>
        <w:t xml:space="preserve">tenía </w:t>
      </w:r>
      <w:r w:rsidRPr="0096658B">
        <w:rPr>
          <w:rFonts w:ascii="Times New Roman" w:hAnsi="Times New Roman" w:cs="Times New Roman"/>
          <w:color w:val="000000" w:themeColor="text1"/>
          <w:lang w:val="es-ES_tradnl"/>
        </w:rPr>
        <w:t>sustento en que, a pesar de esa equivalencia, persist</w:t>
      </w:r>
      <w:r w:rsidRPr="0096658B">
        <w:rPr>
          <w:rFonts w:ascii="Times New Roman" w:hAnsi="Times New Roman" w:cs="Times New Roman"/>
          <w:color w:val="000000" w:themeColor="text1"/>
          <w:lang w:val="es-ES_tradnl"/>
        </w:rPr>
        <w:t>ían</w:t>
      </w:r>
      <w:r w:rsidRPr="0096658B">
        <w:rPr>
          <w:rFonts w:ascii="Times New Roman" w:hAnsi="Times New Roman" w:cs="Times New Roman"/>
          <w:color w:val="000000" w:themeColor="text1"/>
          <w:lang w:val="es-ES_tradnl"/>
        </w:rPr>
        <w:t xml:space="preserve"> las barreras para el acceso de las mujeres</w:t>
      </w:r>
      <w:r w:rsidRPr="0096658B">
        <w:rPr>
          <w:rFonts w:ascii="Times New Roman" w:hAnsi="Times New Roman" w:cs="Times New Roman"/>
          <w:color w:val="000000" w:themeColor="text1"/>
          <w:lang w:val="es-ES_tradnl"/>
        </w:rPr>
        <w:t xml:space="preserve"> en dichas posiciones en el Estado, las cuales buscan ser corregidas a través de la instauración de la cuota. </w:t>
      </w:r>
      <w:r w:rsidRPr="0096658B">
        <w:rPr>
          <w:rFonts w:ascii="Times New Roman" w:hAnsi="Times New Roman" w:cs="Times New Roman"/>
          <w:color w:val="000000" w:themeColor="text1"/>
          <w:lang w:val="es-ES_tradnl"/>
        </w:rPr>
        <w:t>A esta objeción también se sumaba aquella que consideraba que la cuota ante</w:t>
      </w:r>
      <w:r w:rsidRPr="0096658B">
        <w:rPr>
          <w:rFonts w:ascii="Times New Roman" w:hAnsi="Times New Roman" w:cs="Times New Roman"/>
          <w:color w:val="000000" w:themeColor="text1"/>
          <w:lang w:val="es-ES_tradnl"/>
        </w:rPr>
        <w:t>ponía el acceso de las mujeres a la eficacia y eficiencia de la adminis</w:t>
      </w:r>
      <w:r w:rsidRPr="0096658B">
        <w:rPr>
          <w:rFonts w:ascii="Times New Roman" w:hAnsi="Times New Roman" w:cs="Times New Roman"/>
          <w:color w:val="000000" w:themeColor="text1"/>
          <w:lang w:val="es-ES_tradnl"/>
        </w:rPr>
        <w:t xml:space="preserve">tración. </w:t>
      </w:r>
    </w:p>
    <w:p w:rsidR="0004512B" w:rsidRPr="0096658B" w:rsidRDefault="0096658B" w:rsidP="0004512B">
      <w:pPr>
        <w:pStyle w:val="Prrafodelista"/>
        <w:rPr>
          <w:rFonts w:ascii="Times New Roman" w:hAnsi="Times New Roman" w:cs="Times New Roman"/>
          <w:color w:val="000000" w:themeColor="text1"/>
          <w:lang w:val="es-ES_tradnl"/>
        </w:rPr>
      </w:pPr>
    </w:p>
    <w:p w:rsidR="00A91E9B" w:rsidRPr="0096658B" w:rsidRDefault="0096658B" w:rsidP="00AC18DE">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La Corte rebatió este argumento al considerar que </w:t>
      </w:r>
      <w:r w:rsidRPr="0096658B">
        <w:rPr>
          <w:rFonts w:ascii="Times New Roman" w:hAnsi="Times New Roman" w:cs="Times New Roman"/>
          <w:color w:val="000000" w:themeColor="text1"/>
          <w:lang w:val="es-ES_tradnl"/>
        </w:rPr>
        <w:t xml:space="preserve">la exigencia de la cuota no es en modo alguno incompatible con la comprobación de la capacidad profesional de las mujeres escogidas para los cargos de nivel decisorio. </w:t>
      </w:r>
      <w:r w:rsidRPr="0096658B">
        <w:rPr>
          <w:rFonts w:ascii="Times New Roman" w:hAnsi="Times New Roman" w:cs="Times New Roman"/>
          <w:color w:val="000000" w:themeColor="text1"/>
          <w:lang w:val="es-ES_tradnl"/>
        </w:rPr>
        <w:t>Incluso, el planteamiento m</w:t>
      </w:r>
      <w:r w:rsidRPr="0096658B">
        <w:rPr>
          <w:rFonts w:ascii="Times New Roman" w:hAnsi="Times New Roman" w:cs="Times New Roman"/>
          <w:color w:val="000000" w:themeColor="text1"/>
          <w:lang w:val="es-ES_tradnl"/>
        </w:rPr>
        <w:t>ismo de objeciones de esta naturaleza, a juicio de la Sala, confirma</w:t>
      </w:r>
      <w:r w:rsidRPr="0096658B">
        <w:rPr>
          <w:rFonts w:ascii="Times New Roman" w:hAnsi="Times New Roman" w:cs="Times New Roman"/>
          <w:color w:val="000000" w:themeColor="text1"/>
          <w:lang w:val="es-ES_tradnl"/>
        </w:rPr>
        <w:t>ba</w:t>
      </w:r>
      <w:r w:rsidRPr="0096658B">
        <w:rPr>
          <w:rFonts w:ascii="Times New Roman" w:hAnsi="Times New Roman" w:cs="Times New Roman"/>
          <w:color w:val="000000" w:themeColor="text1"/>
          <w:lang w:val="es-ES_tradnl"/>
        </w:rPr>
        <w:t xml:space="preserve"> “que cultural y socialmente sí </w:t>
      </w:r>
      <w:r w:rsidRPr="0096658B">
        <w:rPr>
          <w:rFonts w:ascii="Times New Roman" w:hAnsi="Times New Roman" w:cs="Times New Roman"/>
          <w:color w:val="000000" w:themeColor="text1"/>
          <w:lang w:val="es-ES_tradnl"/>
        </w:rPr>
        <w:t xml:space="preserve">exist[ía] </w:t>
      </w:r>
      <w:r w:rsidRPr="0096658B">
        <w:rPr>
          <w:rFonts w:ascii="Times New Roman" w:hAnsi="Times New Roman" w:cs="Times New Roman"/>
          <w:color w:val="000000" w:themeColor="text1"/>
          <w:lang w:val="es-ES_tradnl"/>
        </w:rPr>
        <w:t xml:space="preserve">discriminación. Afirmar </w:t>
      </w:r>
      <w:r w:rsidRPr="0096658B">
        <w:rPr>
          <w:rFonts w:ascii="Times New Roman" w:hAnsi="Times New Roman" w:cs="Times New Roman"/>
          <w:color w:val="000000" w:themeColor="text1"/>
          <w:lang w:val="es-ES_tradnl"/>
        </w:rPr>
        <w:t xml:space="preserve">que en virtud de la cuota se antepone </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el sexo al buen servicio</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o presumir siquiera que las mujeres no pueden desempeña</w:t>
      </w:r>
      <w:r w:rsidRPr="0096658B">
        <w:rPr>
          <w:rFonts w:ascii="Times New Roman" w:hAnsi="Times New Roman" w:cs="Times New Roman"/>
          <w:color w:val="000000" w:themeColor="text1"/>
          <w:lang w:val="es-ES_tradnl"/>
        </w:rPr>
        <w:t xml:space="preserve">rse eficientemente en el sector público o, en últimas, considerarlas como inferiores, desprovistas de razón, relegadas al ámbito de </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naturaleza</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Nada más contrario a la realidad y a los principios que defiende nuestro ordenamiento constitucional”</w:t>
      </w:r>
      <w:r w:rsidRPr="0096658B">
        <w:rPr>
          <w:rStyle w:val="Refdenotaalpie"/>
          <w:rFonts w:ascii="Times New Roman" w:hAnsi="Times New Roman"/>
          <w:color w:val="000000" w:themeColor="text1"/>
          <w:lang w:val="es-ES_tradnl"/>
        </w:rPr>
        <w:footnoteReference w:id="240"/>
      </w:r>
    </w:p>
    <w:p w:rsidR="00A16940" w:rsidRPr="0096658B" w:rsidRDefault="0096658B" w:rsidP="00A16940">
      <w:pPr>
        <w:pStyle w:val="Prrafodelista"/>
        <w:rPr>
          <w:rFonts w:ascii="Times New Roman" w:hAnsi="Times New Roman" w:cs="Times New Roman"/>
          <w:color w:val="000000" w:themeColor="text1"/>
          <w:lang w:val="es-ES_tradnl"/>
        </w:rPr>
      </w:pPr>
    </w:p>
    <w:p w:rsidR="00A16940" w:rsidRPr="0096658B" w:rsidRDefault="0096658B" w:rsidP="00AC18DE">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La tercera objeción rebatida por la Corte fue aquella sustentada en que la cuota desconoce la naturaleza de los cargos de libre nombramiento y remoción. Las medidas de cuota, a juicio de la Sala, no niegan la discrecionalidad existente para la escogencia d</w:t>
      </w:r>
      <w:r w:rsidRPr="0096658B">
        <w:rPr>
          <w:rFonts w:ascii="Times New Roman" w:hAnsi="Times New Roman" w:cs="Times New Roman"/>
          <w:color w:val="000000" w:themeColor="text1"/>
          <w:lang w:val="es-ES_tradnl"/>
        </w:rPr>
        <w:t xml:space="preserve">e los titulares de dichos cargos, puesto que aquella carece de carácter absoluto y debe siempre ejercerse </w:t>
      </w:r>
      <w:r w:rsidRPr="0096658B">
        <w:rPr>
          <w:rFonts w:ascii="Times New Roman" w:hAnsi="Times New Roman" w:cs="Times New Roman"/>
          <w:color w:val="000000" w:themeColor="text1"/>
          <w:lang w:val="es-ES_tradnl"/>
        </w:rPr>
        <w:t xml:space="preserve">bajo los cánones previstos en la Constitución y en la ley. Además, se está ante una limitación razonable a esa potestad. Esto debido a que </w:t>
      </w:r>
      <w:r w:rsidRPr="0096658B">
        <w:rPr>
          <w:rFonts w:ascii="Times New Roman" w:hAnsi="Times New Roman" w:cs="Times New Roman"/>
          <w:color w:val="000000" w:themeColor="text1"/>
          <w:lang w:val="es-ES_tradnl"/>
        </w:rPr>
        <w:t>“el nominad</w:t>
      </w:r>
      <w:r w:rsidRPr="0096658B">
        <w:rPr>
          <w:rFonts w:ascii="Times New Roman" w:hAnsi="Times New Roman" w:cs="Times New Roman"/>
          <w:color w:val="000000" w:themeColor="text1"/>
          <w:lang w:val="es-ES_tradnl"/>
        </w:rPr>
        <w:t xml:space="preserve">or tiene un universo muy amplio de donde elegir, el 51% de la población y </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porque tal límite se establece en función de una finalidad constitucional, como es la consignada en el artículo 40 de la Carta, a saber: garantizar en un Estado democrático la pa</w:t>
      </w:r>
      <w:r w:rsidRPr="0096658B">
        <w:rPr>
          <w:rFonts w:ascii="Times New Roman" w:hAnsi="Times New Roman" w:cs="Times New Roman"/>
          <w:color w:val="000000" w:themeColor="text1"/>
          <w:lang w:val="es-ES_tradnl"/>
        </w:rPr>
        <w:t>rticipación equitativa de la mujer en el ejercicio del poder</w:t>
      </w:r>
      <w:r w:rsidRPr="0096658B">
        <w:rPr>
          <w:rFonts w:ascii="Times New Roman" w:hAnsi="Times New Roman" w:cs="Times New Roman"/>
          <w:color w:val="000000" w:themeColor="text1"/>
          <w:lang w:val="es-ES_tradnl"/>
        </w:rPr>
        <w:t>”</w:t>
      </w:r>
      <w:r w:rsidRPr="0096658B">
        <w:rPr>
          <w:rStyle w:val="Refdenotaalpie"/>
          <w:rFonts w:ascii="Times New Roman" w:hAnsi="Times New Roman"/>
          <w:color w:val="000000" w:themeColor="text1"/>
          <w:lang w:val="es-ES_tradnl"/>
        </w:rPr>
        <w:footnoteReference w:id="241"/>
      </w:r>
      <w:r w:rsidRPr="0096658B">
        <w:rPr>
          <w:rFonts w:ascii="Times New Roman" w:hAnsi="Times New Roman" w:cs="Times New Roman"/>
          <w:color w:val="000000" w:themeColor="text1"/>
          <w:lang w:val="es-ES_tradnl"/>
        </w:rPr>
        <w:t xml:space="preserve">. </w:t>
      </w:r>
    </w:p>
    <w:p w:rsidR="00B55AF2" w:rsidRPr="0096658B" w:rsidRDefault="0096658B" w:rsidP="00B55AF2">
      <w:pPr>
        <w:pStyle w:val="Prrafodelista"/>
        <w:rPr>
          <w:rFonts w:ascii="Times New Roman" w:hAnsi="Times New Roman" w:cs="Times New Roman"/>
          <w:color w:val="000000" w:themeColor="text1"/>
          <w:lang w:val="es-ES_tradnl"/>
        </w:rPr>
      </w:pPr>
    </w:p>
    <w:p w:rsidR="00B55AF2" w:rsidRPr="0096658B" w:rsidRDefault="0096658B" w:rsidP="00AC18DE">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Por último, la Corte decidió dos tipos de asuntos: la forma de aplicación de la norma y la validez constitucional de las sanciones previstas por el Legislador estatutario ante su potencial incumplimiento. </w:t>
      </w:r>
    </w:p>
    <w:p w:rsidR="00B55AF2" w:rsidRPr="0096658B" w:rsidRDefault="0096658B" w:rsidP="00B55AF2">
      <w:pPr>
        <w:pStyle w:val="Prrafodelista"/>
        <w:rPr>
          <w:rFonts w:ascii="Times New Roman" w:hAnsi="Times New Roman" w:cs="Times New Roman"/>
          <w:color w:val="000000" w:themeColor="text1"/>
          <w:lang w:val="es-ES_tradnl"/>
        </w:rPr>
      </w:pPr>
    </w:p>
    <w:p w:rsidR="00B55AF2" w:rsidRPr="0096658B" w:rsidRDefault="0096658B" w:rsidP="00AC18DE">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En cuanto a lo primero, puso de presente que la a</w:t>
      </w:r>
      <w:r w:rsidRPr="0096658B">
        <w:rPr>
          <w:rFonts w:ascii="Times New Roman" w:hAnsi="Times New Roman" w:cs="Times New Roman"/>
          <w:color w:val="000000" w:themeColor="text1"/>
          <w:lang w:val="es-ES_tradnl"/>
        </w:rPr>
        <w:t xml:space="preserve">plicación inmediata del precepto incorporaría un trato desproporcionado para quienes ejerciesen los cargos de nivel decisorio a la entrada en vigencia de Ley de Cuotas. Esto exigía, entonces, que dicha aplicación se hiciese de manera sucesiva y paulatina. </w:t>
      </w:r>
      <w:r w:rsidRPr="0096658B">
        <w:rPr>
          <w:rFonts w:ascii="Times New Roman" w:hAnsi="Times New Roman" w:cs="Times New Roman"/>
          <w:color w:val="000000" w:themeColor="text1"/>
          <w:lang w:val="es-ES_tradnl"/>
        </w:rPr>
        <w:t xml:space="preserve">Por ende, dispuso el condicionamiento del precepto, en el entendido de que “la regla de </w:t>
      </w:r>
      <w:r w:rsidRPr="0096658B">
        <w:rPr>
          <w:rFonts w:ascii="Times New Roman" w:hAnsi="Times New Roman" w:cs="Times New Roman"/>
          <w:color w:val="000000" w:themeColor="text1"/>
          <w:lang w:val="es-ES_tradnl"/>
        </w:rPr>
        <w:t xml:space="preserve">selección que en él se consagra, se deberá aplicar de manera paulatina, en la medida en que los cargos del </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máximo nivel decisorio</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y de </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otros niveles decisorios</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vayan quedando vacantes.” </w:t>
      </w:r>
    </w:p>
    <w:p w:rsidR="005455C1" w:rsidRPr="0096658B" w:rsidRDefault="0096658B" w:rsidP="005455C1">
      <w:pPr>
        <w:pStyle w:val="Prrafodelista"/>
        <w:rPr>
          <w:rFonts w:ascii="Times New Roman" w:hAnsi="Times New Roman" w:cs="Times New Roman"/>
          <w:color w:val="000000" w:themeColor="text1"/>
          <w:lang w:val="es-ES_tradnl"/>
        </w:rPr>
      </w:pPr>
    </w:p>
    <w:p w:rsidR="005455C1" w:rsidRPr="0096658B" w:rsidRDefault="0096658B" w:rsidP="00AC18DE">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Asimismo, la Corte advirtió que la aplicación de la cuota sería de imposible cumplimiento en el caso en que los </w:t>
      </w:r>
      <w:r w:rsidRPr="0096658B">
        <w:rPr>
          <w:rFonts w:ascii="Times New Roman" w:hAnsi="Times New Roman" w:cs="Times New Roman"/>
          <w:color w:val="000000" w:themeColor="text1"/>
          <w:lang w:val="es-ES_tradnl"/>
        </w:rPr>
        <w:t xml:space="preserve">CMND o los CND </w:t>
      </w:r>
      <w:r w:rsidRPr="0096658B">
        <w:rPr>
          <w:rFonts w:ascii="Times New Roman" w:hAnsi="Times New Roman" w:cs="Times New Roman"/>
          <w:color w:val="000000" w:themeColor="text1"/>
          <w:lang w:val="es-ES_tradnl"/>
        </w:rPr>
        <w:t>sean elegidos</w:t>
      </w:r>
      <w:r w:rsidRPr="0096658B">
        <w:rPr>
          <w:rFonts w:ascii="Times New Roman" w:hAnsi="Times New Roman" w:cs="Times New Roman"/>
          <w:color w:val="000000" w:themeColor="text1"/>
          <w:lang w:val="es-ES_tradnl"/>
        </w:rPr>
        <w:t xml:space="preserve"> mediante nominación por</w:t>
      </w:r>
      <w:r w:rsidRPr="0096658B">
        <w:rPr>
          <w:rFonts w:ascii="Times New Roman" w:hAnsi="Times New Roman" w:cs="Times New Roman"/>
          <w:color w:val="000000" w:themeColor="text1"/>
          <w:lang w:val="es-ES_tradnl"/>
        </w:rPr>
        <w:t xml:space="preserve"> distintas personas, como sucede con algunas juntas directivas.</w:t>
      </w:r>
      <w:r w:rsidRPr="0096658B">
        <w:rPr>
          <w:rFonts w:ascii="Times New Roman" w:hAnsi="Times New Roman" w:cs="Times New Roman"/>
          <w:color w:val="000000" w:themeColor="text1"/>
          <w:lang w:val="es-ES_tradnl"/>
        </w:rPr>
        <w:t xml:space="preserve"> En esos casos, si la designación se realiza de manera simultánea, entonces “no sería viable determinar cuál de las autoridades nominadoras es la que debe designar una mujer como su representante, o en caso de hacerse sucesivamente, no se encuentra un crit</w:t>
      </w:r>
      <w:r w:rsidRPr="0096658B">
        <w:rPr>
          <w:rFonts w:ascii="Times New Roman" w:hAnsi="Times New Roman" w:cs="Times New Roman"/>
          <w:color w:val="000000" w:themeColor="text1"/>
          <w:lang w:val="es-ES_tradnl"/>
        </w:rPr>
        <w:t>erio claro para atribuir a alguna de tales autoridades la obligación de nombrar una mujer”</w:t>
      </w:r>
      <w:r w:rsidRPr="0096658B">
        <w:rPr>
          <w:rStyle w:val="Refdenotaalpie"/>
          <w:rFonts w:ascii="Times New Roman" w:hAnsi="Times New Roman"/>
          <w:color w:val="000000" w:themeColor="text1"/>
          <w:lang w:val="es-ES_tradnl"/>
        </w:rPr>
        <w:footnoteReference w:id="242"/>
      </w:r>
      <w:r w:rsidRPr="0096658B">
        <w:rPr>
          <w:rFonts w:ascii="Times New Roman" w:hAnsi="Times New Roman" w:cs="Times New Roman"/>
          <w:color w:val="000000" w:themeColor="text1"/>
          <w:lang w:val="es-ES_tradnl"/>
        </w:rPr>
        <w:t xml:space="preserve">. Por esta razón, la </w:t>
      </w:r>
      <w:r w:rsidRPr="0096658B">
        <w:rPr>
          <w:rFonts w:ascii="Times New Roman" w:hAnsi="Times New Roman" w:cs="Times New Roman"/>
          <w:color w:val="000000" w:themeColor="text1"/>
          <w:lang w:val="es-ES_tradnl"/>
        </w:rPr>
        <w:t>constitucionalidad</w:t>
      </w:r>
      <w:r w:rsidRPr="0096658B">
        <w:rPr>
          <w:rFonts w:ascii="Times New Roman" w:hAnsi="Times New Roman" w:cs="Times New Roman"/>
          <w:color w:val="000000" w:themeColor="text1"/>
          <w:lang w:val="es-ES_tradnl"/>
        </w:rPr>
        <w:t xml:space="preserve"> del artículo 4º mencionado fue declarada de forma condicionada, “en </w:t>
      </w:r>
      <w:r w:rsidRPr="0096658B">
        <w:rPr>
          <w:rFonts w:ascii="Times New Roman" w:hAnsi="Times New Roman" w:cs="Times New Roman"/>
          <w:color w:val="000000" w:themeColor="text1"/>
          <w:lang w:val="es-ES_tradnl"/>
        </w:rPr>
        <w:t xml:space="preserve">el sentido de que cuando en la designación de cargos del </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máximo nivel decisorio</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o de </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otros niveles decisorios</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concurran varias personas o entidades, se procurará que las mujeres tengan una adecuada representación conforme a la regla de selección allí prevista, sin que ésta sea inexorable.</w:t>
      </w:r>
      <w:r w:rsidRPr="0096658B">
        <w:rPr>
          <w:rFonts w:ascii="Times New Roman" w:hAnsi="Times New Roman" w:cs="Times New Roman"/>
          <w:color w:val="000000" w:themeColor="text1"/>
          <w:lang w:val="es-ES_tradnl"/>
        </w:rPr>
        <w:t>”</w:t>
      </w:r>
    </w:p>
    <w:p w:rsidR="00EE2CB7" w:rsidRPr="0096658B" w:rsidRDefault="0096658B" w:rsidP="00EE2CB7">
      <w:pPr>
        <w:pStyle w:val="Prrafodelista"/>
        <w:rPr>
          <w:rFonts w:ascii="Times New Roman" w:hAnsi="Times New Roman" w:cs="Times New Roman"/>
          <w:color w:val="000000" w:themeColor="text1"/>
          <w:lang w:val="es-ES_tradnl"/>
        </w:rPr>
      </w:pPr>
    </w:p>
    <w:p w:rsidR="00EE2CB7" w:rsidRPr="0096658B" w:rsidRDefault="0096658B" w:rsidP="00AC18DE">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En cuanto al segu</w:t>
      </w:r>
      <w:r w:rsidRPr="0096658B">
        <w:rPr>
          <w:rFonts w:ascii="Times New Roman" w:hAnsi="Times New Roman" w:cs="Times New Roman"/>
          <w:color w:val="000000" w:themeColor="text1"/>
          <w:lang w:val="es-ES_tradnl"/>
        </w:rPr>
        <w:t>ndo asunto, se consideró que la fijación de sanciones por el incumplimiento de las medidas de cuota no se opone a la Constitución. En cambio, se trata de un asunto propio del margen de configuración del Legislador estatutario</w:t>
      </w:r>
      <w:r w:rsidRPr="0096658B">
        <w:rPr>
          <w:rFonts w:ascii="Times New Roman" w:hAnsi="Times New Roman" w:cs="Times New Roman"/>
          <w:color w:val="000000" w:themeColor="text1"/>
          <w:lang w:val="es-ES_tradnl"/>
        </w:rPr>
        <w:t xml:space="preserve"> y son estipulaciones razonable</w:t>
      </w:r>
      <w:r w:rsidRPr="0096658B">
        <w:rPr>
          <w:rFonts w:ascii="Times New Roman" w:hAnsi="Times New Roman" w:cs="Times New Roman"/>
          <w:color w:val="000000" w:themeColor="text1"/>
          <w:lang w:val="es-ES_tradnl"/>
        </w:rPr>
        <w:t xml:space="preserve">s y proporcionadas. Con todo, debía aclararse que </w:t>
      </w:r>
      <w:r w:rsidRPr="0096658B">
        <w:rPr>
          <w:rFonts w:ascii="Times New Roman" w:hAnsi="Times New Roman" w:cs="Times New Roman"/>
          <w:i/>
          <w:iCs/>
          <w:color w:val="000000" w:themeColor="text1"/>
          <w:lang w:val="es-ES_tradnl"/>
        </w:rPr>
        <w:t xml:space="preserve">(i) </w:t>
      </w:r>
      <w:r w:rsidRPr="0096658B">
        <w:rPr>
          <w:rFonts w:ascii="Times New Roman" w:hAnsi="Times New Roman" w:cs="Times New Roman"/>
          <w:color w:val="000000" w:themeColor="text1"/>
          <w:lang w:val="es-ES_tradnl"/>
        </w:rPr>
        <w:t xml:space="preserve">los estatutos disciplinarios respectivos fijarían los servidores públicos competentes y el procedimiento aplicable; y </w:t>
      </w:r>
      <w:r w:rsidRPr="0096658B">
        <w:rPr>
          <w:rFonts w:ascii="Times New Roman" w:hAnsi="Times New Roman" w:cs="Times New Roman"/>
          <w:i/>
          <w:iCs/>
          <w:color w:val="000000" w:themeColor="text1"/>
          <w:lang w:val="es-ES_tradnl"/>
        </w:rPr>
        <w:t>(ii)</w:t>
      </w:r>
      <w:r w:rsidRPr="0096658B">
        <w:rPr>
          <w:rFonts w:ascii="Times New Roman" w:hAnsi="Times New Roman" w:cs="Times New Roman"/>
          <w:color w:val="000000" w:themeColor="text1"/>
          <w:lang w:val="es-ES_tradnl"/>
        </w:rPr>
        <w:t xml:space="preserve"> en los casos en que resulte imposible satisfacer el requisito de cuota y así lo</w:t>
      </w:r>
      <w:r w:rsidRPr="0096658B">
        <w:rPr>
          <w:rFonts w:ascii="Times New Roman" w:hAnsi="Times New Roman" w:cs="Times New Roman"/>
          <w:color w:val="000000" w:themeColor="text1"/>
          <w:lang w:val="es-ES_tradnl"/>
        </w:rPr>
        <w:t xml:space="preserve"> acredite el funcionario nominador, las </w:t>
      </w:r>
      <w:r w:rsidRPr="0096658B">
        <w:rPr>
          <w:rFonts w:ascii="Times New Roman" w:hAnsi="Times New Roman" w:cs="Times New Roman"/>
          <w:color w:val="000000" w:themeColor="text1"/>
          <w:lang w:val="es-ES_tradnl"/>
        </w:rPr>
        <w:t>sanciones</w:t>
      </w:r>
      <w:r w:rsidRPr="0096658B">
        <w:rPr>
          <w:rFonts w:ascii="Times New Roman" w:hAnsi="Times New Roman" w:cs="Times New Roman"/>
          <w:color w:val="000000" w:themeColor="text1"/>
          <w:lang w:val="es-ES_tradnl"/>
        </w:rPr>
        <w:t xml:space="preserve"> no resultan imponibles. </w:t>
      </w:r>
    </w:p>
    <w:p w:rsidR="00CA77C6" w:rsidRPr="0096658B" w:rsidRDefault="0096658B" w:rsidP="00CA77C6">
      <w:pPr>
        <w:pStyle w:val="Prrafodelista"/>
        <w:rPr>
          <w:rFonts w:ascii="Times New Roman" w:hAnsi="Times New Roman" w:cs="Times New Roman"/>
          <w:color w:val="000000" w:themeColor="text1"/>
          <w:lang w:val="es-ES_tradnl"/>
        </w:rPr>
      </w:pPr>
    </w:p>
    <w:p w:rsidR="00A16178" w:rsidRPr="0096658B" w:rsidRDefault="0096658B" w:rsidP="0005687C">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color w:val="000000" w:themeColor="text1"/>
          <w:lang w:val="es-ES_tradnl"/>
        </w:rPr>
        <w:t xml:space="preserve">La constitucionalidad del artículo 1°. </w:t>
      </w:r>
      <w:r w:rsidRPr="0096658B">
        <w:rPr>
          <w:rFonts w:ascii="Times New Roman" w:hAnsi="Times New Roman" w:cs="Times New Roman"/>
          <w:color w:val="000000" w:themeColor="text1"/>
          <w:lang w:val="es-ES_tradnl"/>
        </w:rPr>
        <w:t>Con base en las consideraciones expuestas, la Sala advierte que la modificación de la cuota del 30% al 50% en los CMND y los CND resulta compatible con la Constitución. Como lo señalaron varios intervinientes, esta disposición perfecciona el mandato de equ</w:t>
      </w:r>
      <w:r w:rsidRPr="0096658B">
        <w:rPr>
          <w:rFonts w:ascii="Times New Roman" w:hAnsi="Times New Roman" w:cs="Times New Roman"/>
          <w:color w:val="000000" w:themeColor="text1"/>
          <w:lang w:val="es-ES_tradnl"/>
        </w:rPr>
        <w:t xml:space="preserve">idad entre hombres y mujeres previsto </w:t>
      </w:r>
      <w:r w:rsidRPr="0096658B">
        <w:rPr>
          <w:rFonts w:ascii="Times New Roman" w:hAnsi="Times New Roman" w:cs="Times New Roman"/>
          <w:color w:val="000000" w:themeColor="text1"/>
          <w:lang w:val="es-ES_tradnl"/>
        </w:rPr>
        <w:t xml:space="preserve">por </w:t>
      </w:r>
      <w:r w:rsidRPr="0096658B">
        <w:rPr>
          <w:rFonts w:ascii="Times New Roman" w:hAnsi="Times New Roman" w:cs="Times New Roman"/>
          <w:color w:val="000000" w:themeColor="text1"/>
          <w:lang w:val="es-ES_tradnl"/>
        </w:rPr>
        <w:t>los artículos 13 y 4</w:t>
      </w:r>
      <w:r w:rsidRPr="0096658B">
        <w:rPr>
          <w:rFonts w:ascii="Times New Roman" w:hAnsi="Times New Roman" w:cs="Times New Roman"/>
          <w:color w:val="000000" w:themeColor="text1"/>
          <w:lang w:val="es-ES_tradnl"/>
        </w:rPr>
        <w:t>3</w:t>
      </w:r>
      <w:r w:rsidRPr="0096658B">
        <w:rPr>
          <w:rFonts w:ascii="Times New Roman" w:hAnsi="Times New Roman" w:cs="Times New Roman"/>
          <w:color w:val="000000" w:themeColor="text1"/>
          <w:lang w:val="es-ES_tradnl"/>
        </w:rPr>
        <w:t xml:space="preserve"> superiores, mediante un instrumento que asegura no solo determinado nivel de participación para estas, sino que instaura una regla de paridad. </w:t>
      </w:r>
      <w:r w:rsidRPr="0096658B">
        <w:rPr>
          <w:rFonts w:ascii="Times New Roman" w:hAnsi="Times New Roman" w:cs="Times New Roman"/>
          <w:color w:val="000000" w:themeColor="text1"/>
          <w:lang w:val="es-ES_tradnl"/>
        </w:rPr>
        <w:t>Esta previsión, además, se acompasa con las norma</w:t>
      </w:r>
      <w:r w:rsidRPr="0096658B">
        <w:rPr>
          <w:rFonts w:ascii="Times New Roman" w:hAnsi="Times New Roman" w:cs="Times New Roman"/>
          <w:color w:val="000000" w:themeColor="text1"/>
          <w:lang w:val="es-ES_tradnl"/>
        </w:rPr>
        <w:t xml:space="preserve">s del derecho internacional de los derechos humanos, explicadas en esta sentencia, las cuales no fijan un máximo deseable de cuota, sino que, antes bien, también propugnan por </w:t>
      </w:r>
      <w:r w:rsidRPr="0096658B">
        <w:rPr>
          <w:rFonts w:ascii="Times New Roman" w:hAnsi="Times New Roman" w:cs="Times New Roman"/>
          <w:color w:val="000000" w:themeColor="text1"/>
          <w:lang w:val="es-ES_tradnl"/>
        </w:rPr>
        <w:t xml:space="preserve">ese mismo </w:t>
      </w:r>
      <w:r w:rsidRPr="0096658B">
        <w:rPr>
          <w:rFonts w:ascii="Times New Roman" w:hAnsi="Times New Roman" w:cs="Times New Roman"/>
          <w:color w:val="000000" w:themeColor="text1"/>
          <w:lang w:val="es-ES_tradnl"/>
        </w:rPr>
        <w:t xml:space="preserve">criterio de paridad. </w:t>
      </w:r>
      <w:r w:rsidRPr="0096658B">
        <w:rPr>
          <w:rFonts w:ascii="Times New Roman" w:hAnsi="Times New Roman" w:cs="Times New Roman"/>
          <w:color w:val="000000" w:themeColor="text1"/>
          <w:lang w:val="es-ES_tradnl"/>
        </w:rPr>
        <w:t>Este criterio logra su mayor grado de realiza</w:t>
      </w:r>
      <w:r w:rsidRPr="0096658B">
        <w:rPr>
          <w:rFonts w:ascii="Times New Roman" w:hAnsi="Times New Roman" w:cs="Times New Roman"/>
          <w:color w:val="000000" w:themeColor="text1"/>
          <w:lang w:val="es-ES_tradnl"/>
        </w:rPr>
        <w:t>ción</w:t>
      </w:r>
      <w:r w:rsidRPr="0096658B">
        <w:rPr>
          <w:rFonts w:ascii="Times New Roman" w:hAnsi="Times New Roman" w:cs="Times New Roman"/>
          <w:color w:val="000000" w:themeColor="text1"/>
          <w:lang w:val="es-ES_tradnl"/>
        </w:rPr>
        <w:t xml:space="preserve"> cuando los cargos en mención son distribuidos bajo un criterio óptimo</w:t>
      </w:r>
      <w:r w:rsidRPr="0096658B">
        <w:rPr>
          <w:rStyle w:val="Refdenotaalpie"/>
          <w:rFonts w:ascii="Times New Roman" w:hAnsi="Times New Roman"/>
          <w:color w:val="000000" w:themeColor="text1"/>
          <w:lang w:val="es-ES_tradnl"/>
        </w:rPr>
        <w:footnoteReference w:id="243"/>
      </w:r>
      <w:r w:rsidRPr="0096658B">
        <w:rPr>
          <w:rFonts w:ascii="Times New Roman" w:hAnsi="Times New Roman" w:cs="Times New Roman"/>
          <w:color w:val="000000" w:themeColor="text1"/>
          <w:lang w:val="es-ES_tradnl"/>
        </w:rPr>
        <w:t xml:space="preserve">, esto es, de manera igualitaria. </w:t>
      </w:r>
      <w:r w:rsidRPr="0096658B">
        <w:rPr>
          <w:rFonts w:ascii="Times New Roman" w:hAnsi="Times New Roman" w:cs="Times New Roman"/>
          <w:color w:val="000000" w:themeColor="text1"/>
          <w:lang w:val="es-ES_tradnl"/>
        </w:rPr>
        <w:t xml:space="preserve"> </w:t>
      </w:r>
    </w:p>
    <w:p w:rsidR="00A16178" w:rsidRPr="0096658B" w:rsidRDefault="0096658B" w:rsidP="00A16178">
      <w:pPr>
        <w:pStyle w:val="Prrafodelista"/>
        <w:rPr>
          <w:rFonts w:ascii="Times New Roman" w:hAnsi="Times New Roman" w:cs="Times New Roman"/>
          <w:color w:val="000000" w:themeColor="text1"/>
          <w:lang w:val="es-ES_tradnl"/>
        </w:rPr>
      </w:pPr>
    </w:p>
    <w:p w:rsidR="0005687C" w:rsidRPr="0096658B" w:rsidRDefault="0096658B" w:rsidP="0067161C">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Adicionalmente, no puede perderse de vista que, como se explicó en </w:t>
      </w:r>
      <w:r w:rsidRPr="0096658B">
        <w:rPr>
          <w:rFonts w:ascii="Times New Roman" w:hAnsi="Times New Roman" w:cs="Times New Roman"/>
          <w:color w:val="000000" w:themeColor="text1"/>
          <w:lang w:val="es-ES_tradnl"/>
        </w:rPr>
        <w:t>fundamentos jurídicos anteriores,</w:t>
      </w:r>
      <w:r w:rsidRPr="0096658B">
        <w:rPr>
          <w:rFonts w:ascii="Times New Roman" w:hAnsi="Times New Roman" w:cs="Times New Roman"/>
          <w:color w:val="000000" w:themeColor="text1"/>
          <w:lang w:val="es-ES_tradnl"/>
        </w:rPr>
        <w:t xml:space="preserve"> la sentencia C-371 de 2000 determinó, ante la objeción por la presunta inconstitucionalidad derivada del hecho de que</w:t>
      </w:r>
      <w:r w:rsidRPr="0096658B">
        <w:rPr>
          <w:rFonts w:ascii="Times New Roman" w:hAnsi="Times New Roman" w:cs="Times New Roman"/>
          <w:color w:val="000000" w:themeColor="text1"/>
          <w:lang w:val="es-ES_tradnl"/>
        </w:rPr>
        <w:t xml:space="preserve"> la cuota imponía barreras de acceso a los cargos de dirección para los hombres, que esa medida solo resultaría contraria a los derechos d</w:t>
      </w:r>
      <w:r w:rsidRPr="0096658B">
        <w:rPr>
          <w:rFonts w:ascii="Times New Roman" w:hAnsi="Times New Roman" w:cs="Times New Roman"/>
          <w:color w:val="000000" w:themeColor="text1"/>
          <w:lang w:val="es-ES_tradnl"/>
        </w:rPr>
        <w:t>e ese grupo poblacional cuando resultase exagerada, por ejemplo, cuando ordenase una participación mayor a las mujeres que a los hombres. En el caso ahora analizado no se está ante esa hipótesis y, antes bien, el precepto equilibra, se insiste bajo un crit</w:t>
      </w:r>
      <w:r w:rsidRPr="0096658B">
        <w:rPr>
          <w:rFonts w:ascii="Times New Roman" w:hAnsi="Times New Roman" w:cs="Times New Roman"/>
          <w:color w:val="000000" w:themeColor="text1"/>
          <w:lang w:val="es-ES_tradnl"/>
        </w:rPr>
        <w:t xml:space="preserve">erio óptimo, la participación de </w:t>
      </w:r>
      <w:r w:rsidRPr="0096658B">
        <w:rPr>
          <w:rFonts w:ascii="Times New Roman" w:hAnsi="Times New Roman" w:cs="Times New Roman"/>
          <w:color w:val="000000" w:themeColor="text1"/>
          <w:lang w:val="es-ES_tradnl"/>
        </w:rPr>
        <w:t xml:space="preserve">los </w:t>
      </w:r>
      <w:r w:rsidRPr="0096658B">
        <w:rPr>
          <w:rFonts w:ascii="Times New Roman" w:hAnsi="Times New Roman" w:cs="Times New Roman"/>
          <w:color w:val="000000" w:themeColor="text1"/>
          <w:lang w:val="es-ES_tradnl"/>
        </w:rPr>
        <w:t xml:space="preserve">géneros en los CMND y los CND. </w:t>
      </w:r>
    </w:p>
    <w:p w:rsidR="0090281A" w:rsidRPr="0096658B" w:rsidRDefault="0096658B" w:rsidP="0090281A">
      <w:pPr>
        <w:pStyle w:val="Prrafodelista"/>
        <w:rPr>
          <w:rFonts w:ascii="Times New Roman" w:hAnsi="Times New Roman" w:cs="Times New Roman"/>
          <w:color w:val="000000" w:themeColor="text1"/>
          <w:lang w:val="es-ES_tradnl"/>
        </w:rPr>
      </w:pPr>
    </w:p>
    <w:p w:rsidR="0005687C" w:rsidRPr="0096658B" w:rsidRDefault="0096658B" w:rsidP="0005687C">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A pesar de esta comprobación general, la Corte considera que</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 xml:space="preserve">la </w:t>
      </w:r>
      <w:r w:rsidRPr="0096658B">
        <w:rPr>
          <w:rFonts w:ascii="Times New Roman" w:hAnsi="Times New Roman" w:cs="Times New Roman"/>
          <w:color w:val="000000" w:themeColor="text1"/>
          <w:lang w:val="es-ES_tradnl"/>
        </w:rPr>
        <w:t>constitucionalidad</w:t>
      </w:r>
      <w:r w:rsidRPr="0096658B">
        <w:rPr>
          <w:rFonts w:ascii="Times New Roman" w:hAnsi="Times New Roman" w:cs="Times New Roman"/>
          <w:color w:val="000000" w:themeColor="text1"/>
          <w:lang w:val="es-ES_tradnl"/>
        </w:rPr>
        <w:t xml:space="preserve"> de la medida depende de que se demuestre, de manera fehaciente, que es razonable y proporcionada, lo cual se acredita mediante el juicio correspondiente. Este análisis, al tratarse de un</w:t>
      </w:r>
      <w:r w:rsidRPr="0096658B">
        <w:rPr>
          <w:rFonts w:ascii="Times New Roman" w:hAnsi="Times New Roman" w:cs="Times New Roman"/>
          <w:color w:val="000000" w:themeColor="text1"/>
          <w:lang w:val="es-ES_tradnl"/>
        </w:rPr>
        <w:t>a medida de acción afirmativa,</w:t>
      </w:r>
      <w:r w:rsidRPr="0096658B">
        <w:rPr>
          <w:rFonts w:ascii="Times New Roman" w:hAnsi="Times New Roman" w:cs="Times New Roman"/>
          <w:color w:val="000000" w:themeColor="text1"/>
          <w:lang w:val="es-ES_tradnl"/>
        </w:rPr>
        <w:t xml:space="preserve"> tendiente a establecer una diferenciac</w:t>
      </w:r>
      <w:r w:rsidRPr="0096658B">
        <w:rPr>
          <w:rFonts w:ascii="Times New Roman" w:hAnsi="Times New Roman" w:cs="Times New Roman"/>
          <w:color w:val="000000" w:themeColor="text1"/>
          <w:lang w:val="es-ES_tradnl"/>
        </w:rPr>
        <w:t>ión para favorecer a las mujeres en tanto minoría históricamente discriminada,</w:t>
      </w:r>
      <w:r w:rsidRPr="0096658B">
        <w:rPr>
          <w:rFonts w:ascii="Times New Roman" w:hAnsi="Times New Roman" w:cs="Times New Roman"/>
          <w:color w:val="000000" w:themeColor="text1"/>
          <w:lang w:val="es-ES_tradnl"/>
        </w:rPr>
        <w:t xml:space="preserve"> debe efectuarse con un grado de intensidad intermedio y según se</w:t>
      </w:r>
      <w:r w:rsidRPr="0096658B">
        <w:rPr>
          <w:rFonts w:ascii="Times New Roman" w:hAnsi="Times New Roman" w:cs="Times New Roman"/>
          <w:color w:val="000000" w:themeColor="text1"/>
          <w:lang w:val="es-ES_tradnl"/>
        </w:rPr>
        <w:t xml:space="preserve"> ha</w:t>
      </w:r>
      <w:r w:rsidRPr="0096658B">
        <w:rPr>
          <w:rFonts w:ascii="Times New Roman" w:hAnsi="Times New Roman" w:cs="Times New Roman"/>
          <w:color w:val="000000" w:themeColor="text1"/>
          <w:lang w:val="es-ES_tradnl"/>
        </w:rPr>
        <w:t xml:space="preserve"> previsto jurisprudencialmente</w:t>
      </w:r>
      <w:r w:rsidRPr="0096658B">
        <w:rPr>
          <w:rFonts w:ascii="Times New Roman" w:hAnsi="Times New Roman" w:cs="Times New Roman"/>
          <w:color w:val="000000" w:themeColor="text1"/>
          <w:lang w:val="es-ES_tradnl"/>
        </w:rPr>
        <w:t xml:space="preserve"> por este Tribunal.</w:t>
      </w:r>
    </w:p>
    <w:p w:rsidR="008E5682" w:rsidRPr="0096658B" w:rsidRDefault="0096658B" w:rsidP="008E5682">
      <w:pPr>
        <w:pStyle w:val="Prrafodelista"/>
        <w:rPr>
          <w:rFonts w:ascii="Times New Roman" w:hAnsi="Times New Roman" w:cs="Times New Roman"/>
          <w:color w:val="000000" w:themeColor="text1"/>
          <w:lang w:val="es-ES_tradnl"/>
        </w:rPr>
      </w:pPr>
    </w:p>
    <w:p w:rsidR="008E5682" w:rsidRPr="0096658B" w:rsidRDefault="0096658B" w:rsidP="008E5682">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Sobre este aspecto, en las sentencias C-371 de 2000 y C-490</w:t>
      </w:r>
      <w:r w:rsidRPr="0096658B">
        <w:rPr>
          <w:rFonts w:ascii="Times New Roman" w:hAnsi="Times New Roman" w:cs="Times New Roman"/>
          <w:color w:val="000000" w:themeColor="text1"/>
          <w:lang w:val="es-ES_tradnl"/>
        </w:rPr>
        <w:t xml:space="preserve"> de 2011, la Corte analizó las medidas de cuotas a favor de las mujeres a la luz de los juicios de proporcionalidad estricto e intermedio. En efecto, en la primera sentencia, la Corte indicó que la medida era constitucional porque </w:t>
      </w:r>
      <w:r w:rsidRPr="0096658B">
        <w:rPr>
          <w:rFonts w:ascii="Times New Roman" w:hAnsi="Times New Roman" w:cs="Times New Roman"/>
          <w:i/>
          <w:iCs/>
          <w:color w:val="000000" w:themeColor="text1"/>
          <w:lang w:val="es-ES_tradnl"/>
        </w:rPr>
        <w:t>(i)</w:t>
      </w:r>
      <w:r w:rsidRPr="0096658B">
        <w:rPr>
          <w:rFonts w:ascii="Times New Roman" w:hAnsi="Times New Roman" w:cs="Times New Roman"/>
          <w:color w:val="000000" w:themeColor="text1"/>
          <w:lang w:val="es-ES_tradnl"/>
        </w:rPr>
        <w:t xml:space="preserve"> los objetivos que per</w:t>
      </w:r>
      <w:r w:rsidRPr="0096658B">
        <w:rPr>
          <w:rFonts w:ascii="Times New Roman" w:hAnsi="Times New Roman" w:cs="Times New Roman"/>
          <w:color w:val="000000" w:themeColor="text1"/>
          <w:lang w:val="es-ES_tradnl"/>
        </w:rPr>
        <w:t xml:space="preserve">seguía eran constitucionales; </w:t>
      </w:r>
      <w:r w:rsidRPr="0096658B">
        <w:rPr>
          <w:rFonts w:ascii="Times New Roman" w:hAnsi="Times New Roman" w:cs="Times New Roman"/>
          <w:i/>
          <w:iCs/>
          <w:color w:val="000000" w:themeColor="text1"/>
          <w:lang w:val="es-ES_tradnl"/>
        </w:rPr>
        <w:t>(ii)</w:t>
      </w:r>
      <w:r w:rsidRPr="0096658B">
        <w:rPr>
          <w:rFonts w:ascii="Times New Roman" w:hAnsi="Times New Roman" w:cs="Times New Roman"/>
          <w:color w:val="000000" w:themeColor="text1"/>
          <w:lang w:val="es-ES_tradnl"/>
        </w:rPr>
        <w:t xml:space="preserve"> era eficaz, en tanto que garantizaba que la finalidad “se concret[ara] en resultados”; </w:t>
      </w:r>
      <w:r w:rsidRPr="0096658B">
        <w:rPr>
          <w:rFonts w:ascii="Times New Roman" w:hAnsi="Times New Roman" w:cs="Times New Roman"/>
          <w:i/>
          <w:iCs/>
          <w:color w:val="000000" w:themeColor="text1"/>
          <w:lang w:val="es-ES_tradnl"/>
        </w:rPr>
        <w:t>(iii)</w:t>
      </w:r>
      <w:r w:rsidRPr="0096658B">
        <w:rPr>
          <w:rFonts w:ascii="Times New Roman" w:hAnsi="Times New Roman" w:cs="Times New Roman"/>
          <w:color w:val="000000" w:themeColor="text1"/>
          <w:lang w:val="es-ES_tradnl"/>
        </w:rPr>
        <w:t xml:space="preserve"> era necesaria, por cuanto no existían medidas tan eficaces</w:t>
      </w:r>
      <w:r w:rsidRPr="0096658B">
        <w:rPr>
          <w:rFonts w:ascii="Times New Roman" w:hAnsi="Times New Roman" w:cs="Times New Roman"/>
          <w:color w:val="000000" w:themeColor="text1"/>
          <w:lang w:val="es-ES_tradnl"/>
        </w:rPr>
        <w:t xml:space="preserve"> como la examinada</w:t>
      </w:r>
      <w:r w:rsidRPr="0096658B">
        <w:rPr>
          <w:rFonts w:ascii="Times New Roman" w:hAnsi="Times New Roman" w:cs="Times New Roman"/>
          <w:color w:val="000000" w:themeColor="text1"/>
          <w:lang w:val="es-ES_tradnl"/>
        </w:rPr>
        <w:t xml:space="preserve">, y </w:t>
      </w:r>
      <w:r w:rsidRPr="0096658B">
        <w:rPr>
          <w:rFonts w:ascii="Times New Roman" w:hAnsi="Times New Roman" w:cs="Times New Roman"/>
          <w:i/>
          <w:iCs/>
          <w:color w:val="000000" w:themeColor="text1"/>
          <w:lang w:val="es-ES_tradnl"/>
        </w:rPr>
        <w:t>(iv)</w:t>
      </w:r>
      <w:r w:rsidRPr="0096658B">
        <w:rPr>
          <w:rFonts w:ascii="Times New Roman" w:hAnsi="Times New Roman" w:cs="Times New Roman"/>
          <w:color w:val="000000" w:themeColor="text1"/>
          <w:lang w:val="es-ES_tradnl"/>
        </w:rPr>
        <w:t xml:space="preserve"> no sacrificaba derechos o principios que tuvieran un mayor peso que los que pretendía satisfacer. En la segunda, concluyó que la medida prevista por el artículo 28 del proyecto era constitucional, porque </w:t>
      </w:r>
      <w:r w:rsidRPr="0096658B">
        <w:rPr>
          <w:rFonts w:ascii="Times New Roman" w:hAnsi="Times New Roman" w:cs="Times New Roman"/>
          <w:i/>
          <w:iCs/>
          <w:color w:val="000000" w:themeColor="text1"/>
          <w:lang w:val="es-ES_tradnl"/>
        </w:rPr>
        <w:t xml:space="preserve">(i) </w:t>
      </w:r>
      <w:r w:rsidRPr="0096658B">
        <w:rPr>
          <w:rFonts w:ascii="Times New Roman" w:hAnsi="Times New Roman" w:cs="Times New Roman"/>
          <w:color w:val="000000" w:themeColor="text1"/>
          <w:lang w:val="es-ES_tradnl"/>
        </w:rPr>
        <w:t>desarrollaba “un fin constitucional que no sola</w:t>
      </w:r>
      <w:r w:rsidRPr="0096658B">
        <w:rPr>
          <w:rFonts w:ascii="Times New Roman" w:hAnsi="Times New Roman" w:cs="Times New Roman"/>
          <w:color w:val="000000" w:themeColor="text1"/>
          <w:lang w:val="es-ES_tradnl"/>
        </w:rPr>
        <w:t xml:space="preserve">mente e[ra] legítimo, sino importante; </w:t>
      </w:r>
      <w:r w:rsidRPr="0096658B">
        <w:rPr>
          <w:rFonts w:ascii="Times New Roman" w:hAnsi="Times New Roman" w:cs="Times New Roman"/>
          <w:i/>
          <w:iCs/>
          <w:color w:val="000000" w:themeColor="text1"/>
          <w:lang w:val="es-ES_tradnl"/>
        </w:rPr>
        <w:t xml:space="preserve">(ii) </w:t>
      </w:r>
      <w:r w:rsidRPr="0096658B">
        <w:rPr>
          <w:rFonts w:ascii="Times New Roman" w:hAnsi="Times New Roman" w:cs="Times New Roman"/>
          <w:color w:val="000000" w:themeColor="text1"/>
          <w:lang w:val="es-ES_tradnl"/>
        </w:rPr>
        <w:t xml:space="preserve">era “adecuada y efectivamente conducente para alcanzar esa importante finalidad”, y </w:t>
      </w:r>
      <w:r w:rsidRPr="0096658B">
        <w:rPr>
          <w:rFonts w:ascii="Times New Roman" w:hAnsi="Times New Roman" w:cs="Times New Roman"/>
          <w:i/>
          <w:iCs/>
          <w:color w:val="000000" w:themeColor="text1"/>
          <w:lang w:val="es-ES_tradnl"/>
        </w:rPr>
        <w:t>(iii)</w:t>
      </w:r>
      <w:r w:rsidRPr="0096658B">
        <w:rPr>
          <w:rFonts w:ascii="Times New Roman" w:hAnsi="Times New Roman" w:cs="Times New Roman"/>
          <w:color w:val="000000" w:themeColor="text1"/>
          <w:lang w:val="es-ES_tradnl"/>
        </w:rPr>
        <w:t xml:space="preserve"> no incorporaba “una restricción desproporcionada a la autonomía de los partidos y movimientos políticos”. En suma, la medi</w:t>
      </w:r>
      <w:r w:rsidRPr="0096658B">
        <w:rPr>
          <w:rFonts w:ascii="Times New Roman" w:hAnsi="Times New Roman" w:cs="Times New Roman"/>
          <w:color w:val="000000" w:themeColor="text1"/>
          <w:lang w:val="es-ES_tradnl"/>
        </w:rPr>
        <w:t>da era “proporcional en sentido estricto”.</w:t>
      </w:r>
    </w:p>
    <w:p w:rsidR="008E5682" w:rsidRPr="0096658B" w:rsidRDefault="0096658B" w:rsidP="008E5682">
      <w:pPr>
        <w:pStyle w:val="Prrafodelista"/>
        <w:widowControl w:val="0"/>
        <w:shd w:val="clear" w:color="auto" w:fill="FFFFFF"/>
        <w:tabs>
          <w:tab w:val="left" w:pos="0"/>
          <w:tab w:val="left" w:pos="284"/>
        </w:tabs>
        <w:autoSpaceDE w:val="0"/>
        <w:autoSpaceDN w:val="0"/>
        <w:adjustRightInd w:val="0"/>
        <w:ind w:left="0"/>
        <w:rPr>
          <w:rFonts w:ascii="Times New Roman" w:hAnsi="Times New Roman" w:cs="Times New Roman"/>
          <w:color w:val="000000" w:themeColor="text1"/>
          <w:lang w:val="es-ES_tradnl"/>
        </w:rPr>
      </w:pPr>
    </w:p>
    <w:p w:rsidR="008E5682" w:rsidRPr="0096658B" w:rsidRDefault="0096658B" w:rsidP="008E5682">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Sin embargo, mediante la sentencia C-345 de 2019, la Corte Constitucional unificó su jurisprudencia respecto del juicio de proporcionalidad. En concreto, indicó que la intensidad del juicio intermedio aplica, ent</w:t>
      </w:r>
      <w:r w:rsidRPr="0096658B">
        <w:rPr>
          <w:rFonts w:ascii="Times New Roman" w:hAnsi="Times New Roman" w:cs="Times New Roman"/>
          <w:color w:val="000000" w:themeColor="text1"/>
          <w:lang w:val="es-ES_tradnl"/>
        </w:rPr>
        <w:t>re otros, “en los casos en que existen normas basadas en criterios sospechosos pero con el fin de favorecer a grupos históricamente discriminados”. Es decir, aplica a “casos en los que se establecen acciones afirmativas, tales como las medidas que utilizan</w:t>
      </w:r>
      <w:r w:rsidRPr="0096658B">
        <w:rPr>
          <w:rFonts w:ascii="Times New Roman" w:hAnsi="Times New Roman" w:cs="Times New Roman"/>
          <w:color w:val="000000" w:themeColor="text1"/>
          <w:lang w:val="es-ES_tradnl"/>
        </w:rPr>
        <w:t xml:space="preserve"> un criterio de género […] para promover el acceso de la mujer a la política […]”. Este escrutinio “ordena que el fin sea constitucionalmente importante y que el medio para lograrlo sea efectivamente conducente”. Además, exige “verificar que la medida no s</w:t>
      </w:r>
      <w:r w:rsidRPr="0096658B">
        <w:rPr>
          <w:rFonts w:ascii="Times New Roman" w:hAnsi="Times New Roman" w:cs="Times New Roman"/>
          <w:color w:val="000000" w:themeColor="text1"/>
          <w:lang w:val="es-ES_tradnl"/>
        </w:rPr>
        <w:t>ea evidentemente desproporcionada”.</w:t>
      </w:r>
    </w:p>
    <w:p w:rsidR="00E17B0D" w:rsidRPr="0096658B" w:rsidRDefault="0096658B" w:rsidP="00E17B0D">
      <w:pPr>
        <w:pStyle w:val="Prrafodelista"/>
        <w:rPr>
          <w:rFonts w:ascii="Times New Roman" w:hAnsi="Times New Roman" w:cs="Times New Roman"/>
          <w:color w:val="000000" w:themeColor="text1"/>
          <w:lang w:val="es-ES_tradnl"/>
        </w:rPr>
      </w:pPr>
    </w:p>
    <w:p w:rsidR="00E17B0D" w:rsidRPr="0096658B" w:rsidRDefault="0096658B" w:rsidP="001569E9">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iCs/>
          <w:color w:val="000000" w:themeColor="text1"/>
          <w:lang w:val="es-ES_tradnl"/>
        </w:rPr>
        <w:t xml:space="preserve">La medida cumple con un fin constitucionalmente importante. </w:t>
      </w:r>
      <w:r w:rsidRPr="0096658B">
        <w:rPr>
          <w:rFonts w:ascii="Times New Roman" w:hAnsi="Times New Roman" w:cs="Times New Roman"/>
          <w:color w:val="000000" w:themeColor="text1"/>
          <w:lang w:val="es-ES_tradnl"/>
        </w:rPr>
        <w:t>En fundamentos jurídicos anteriores se ha establecido que el logro de la paridad entre hombres y mujeres en la esfera pública es un mandato constitucional, sop</w:t>
      </w:r>
      <w:r w:rsidRPr="0096658B">
        <w:rPr>
          <w:rFonts w:ascii="Times New Roman" w:hAnsi="Times New Roman" w:cs="Times New Roman"/>
          <w:color w:val="000000" w:themeColor="text1"/>
          <w:lang w:val="es-ES_tradnl"/>
        </w:rPr>
        <w:t xml:space="preserve">ortado cuando menos en los artículos 13 y 40 de la Constitución, a la vez que </w:t>
      </w:r>
      <w:r w:rsidRPr="0096658B">
        <w:rPr>
          <w:rFonts w:ascii="Times New Roman" w:hAnsi="Times New Roman" w:cs="Times New Roman"/>
          <w:color w:val="000000" w:themeColor="text1"/>
          <w:lang w:val="es-ES_tradnl"/>
        </w:rPr>
        <w:t xml:space="preserve">en </w:t>
      </w:r>
      <w:r w:rsidRPr="0096658B">
        <w:rPr>
          <w:rFonts w:ascii="Times New Roman" w:hAnsi="Times New Roman" w:cs="Times New Roman"/>
          <w:color w:val="000000" w:themeColor="text1"/>
          <w:lang w:val="es-ES_tradnl"/>
        </w:rPr>
        <w:t>varias normas de derechos humanos que hacen parte del bloque de constitucionalidad. En ese sentido, la Sala refiere a dichos argumentos que sustentan, de forma concluyente, la</w:t>
      </w:r>
      <w:r w:rsidRPr="0096658B">
        <w:rPr>
          <w:rFonts w:ascii="Times New Roman" w:hAnsi="Times New Roman" w:cs="Times New Roman"/>
          <w:color w:val="000000" w:themeColor="text1"/>
          <w:lang w:val="es-ES_tradnl"/>
        </w:rPr>
        <w:t xml:space="preserve"> importancia del logro de la paridad. </w:t>
      </w:r>
    </w:p>
    <w:p w:rsidR="00A21686" w:rsidRPr="0096658B" w:rsidRDefault="0096658B" w:rsidP="00A21686">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color w:val="000000" w:themeColor="text1"/>
          <w:lang w:val="es-ES_tradnl"/>
        </w:rPr>
      </w:pPr>
    </w:p>
    <w:p w:rsidR="00E17B0D" w:rsidRPr="0096658B" w:rsidRDefault="0096658B" w:rsidP="0005687C">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iCs/>
          <w:color w:val="000000" w:themeColor="text1"/>
          <w:lang w:val="es-ES_tradnl"/>
        </w:rPr>
        <w:t xml:space="preserve">La medida es adecuada y efectivamente conducente para cumplir con la finalidad. </w:t>
      </w:r>
      <w:r w:rsidRPr="0096658B">
        <w:rPr>
          <w:rFonts w:ascii="Times New Roman" w:hAnsi="Times New Roman" w:cs="Times New Roman"/>
          <w:color w:val="000000" w:themeColor="text1"/>
          <w:lang w:val="es-ES_tradnl"/>
        </w:rPr>
        <w:t xml:space="preserve">La disposición tiene como objeto garantizar que cuando menos el 50% de las mujeres ocupen los CMND y los CND. En ese sentido, se ajusta de manera plena al mandato de paridad antes explicado, puesto que obliga a que justamente la mitad de los cargos de los </w:t>
      </w:r>
      <w:r w:rsidRPr="0096658B">
        <w:rPr>
          <w:rFonts w:ascii="Times New Roman" w:hAnsi="Times New Roman" w:cs="Times New Roman"/>
          <w:color w:val="000000" w:themeColor="text1"/>
          <w:lang w:val="es-ES_tradnl"/>
        </w:rPr>
        <w:t xml:space="preserve">altos niveles decisorios del Estado, y con las excepciones que prevé la Ley 581 de 2000, </w:t>
      </w:r>
      <w:r w:rsidRPr="0096658B">
        <w:rPr>
          <w:rFonts w:ascii="Times New Roman" w:hAnsi="Times New Roman" w:cs="Times New Roman"/>
          <w:color w:val="000000" w:themeColor="text1"/>
          <w:lang w:val="es-ES_tradnl"/>
        </w:rPr>
        <w:t xml:space="preserve">sean ocupados por mujeres. Una medida de este carácter garantiza la paridad. </w:t>
      </w:r>
    </w:p>
    <w:p w:rsidR="002E789D" w:rsidRPr="0096658B" w:rsidRDefault="0096658B" w:rsidP="002E789D">
      <w:pPr>
        <w:pStyle w:val="Prrafodelista"/>
        <w:rPr>
          <w:rFonts w:ascii="Times New Roman" w:hAnsi="Times New Roman" w:cs="Times New Roman"/>
          <w:color w:val="000000" w:themeColor="text1"/>
          <w:lang w:val="es-ES_tradnl"/>
        </w:rPr>
      </w:pPr>
    </w:p>
    <w:p w:rsidR="00C74414" w:rsidRPr="0096658B" w:rsidRDefault="0096658B" w:rsidP="0005687C">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La Sala evidencia que en este caso no están probados los supuestos que permitan acredita</w:t>
      </w:r>
      <w:r w:rsidRPr="0096658B">
        <w:rPr>
          <w:rFonts w:ascii="Times New Roman" w:hAnsi="Times New Roman" w:cs="Times New Roman"/>
          <w:color w:val="000000" w:themeColor="text1"/>
          <w:lang w:val="es-ES_tradnl"/>
        </w:rPr>
        <w:t xml:space="preserve">r que se han surtido los cambios laborales y sociales que eliminen la necesidad de las medidas de cuota a favor de las mujeres. Aunque, como se explicó en apartado anterior, en la actualidad diversos sectores de la alta dirección del Estado </w:t>
      </w:r>
      <w:r w:rsidRPr="0096658B">
        <w:rPr>
          <w:rFonts w:ascii="Times New Roman" w:hAnsi="Times New Roman" w:cs="Times New Roman"/>
          <w:color w:val="000000" w:themeColor="text1"/>
          <w:lang w:val="es-ES_tradnl"/>
        </w:rPr>
        <w:t xml:space="preserve">están </w:t>
      </w:r>
      <w:r w:rsidRPr="0096658B">
        <w:rPr>
          <w:rFonts w:ascii="Times New Roman" w:hAnsi="Times New Roman" w:cs="Times New Roman"/>
          <w:color w:val="000000" w:themeColor="text1"/>
          <w:lang w:val="es-ES_tradnl"/>
        </w:rPr>
        <w:t>distribuidos de manera cercana a la paridad</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i/>
          <w:iCs/>
          <w:color w:val="000000" w:themeColor="text1"/>
          <w:lang w:val="es-ES_tradnl"/>
        </w:rPr>
        <w:t xml:space="preserve">supra </w:t>
      </w:r>
      <w:r w:rsidRPr="0096658B">
        <w:rPr>
          <w:rFonts w:ascii="Times New Roman" w:hAnsi="Times New Roman" w:cs="Times New Roman"/>
          <w:color w:val="000000" w:themeColor="text1"/>
          <w:lang w:val="es-ES_tradnl"/>
        </w:rPr>
        <w:t>fundamento jurídico</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1</w:t>
      </w:r>
      <w:r w:rsidRPr="0096658B">
        <w:rPr>
          <w:rFonts w:ascii="Times New Roman" w:hAnsi="Times New Roman" w:cs="Times New Roman"/>
          <w:color w:val="000000" w:themeColor="text1"/>
          <w:lang w:val="es-ES_tradnl"/>
        </w:rPr>
        <w:t>3</w:t>
      </w:r>
      <w:r w:rsidRPr="0096658B">
        <w:rPr>
          <w:rFonts w:ascii="Times New Roman" w:hAnsi="Times New Roman" w:cs="Times New Roman"/>
          <w:color w:val="000000" w:themeColor="text1"/>
          <w:lang w:val="es-ES_tradnl"/>
        </w:rPr>
        <w:t>4</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esa sola comprobación no es suficiente para demostrar la falta de </w:t>
      </w:r>
      <w:r w:rsidRPr="0096658B">
        <w:rPr>
          <w:rFonts w:ascii="Times New Roman" w:hAnsi="Times New Roman" w:cs="Times New Roman"/>
          <w:color w:val="000000" w:themeColor="text1"/>
          <w:lang w:val="es-ES_tradnl"/>
        </w:rPr>
        <w:t>conducencia</w:t>
      </w:r>
      <w:r w:rsidRPr="0096658B">
        <w:rPr>
          <w:rFonts w:ascii="Times New Roman" w:hAnsi="Times New Roman" w:cs="Times New Roman"/>
          <w:color w:val="000000" w:themeColor="text1"/>
          <w:lang w:val="es-ES_tradnl"/>
        </w:rPr>
        <w:t xml:space="preserve"> de la cuota. En efecto, las medidas de cuota no solo están dirigidas a facilitar la inclusión nominal</w:t>
      </w:r>
      <w:r w:rsidRPr="0096658B">
        <w:rPr>
          <w:rFonts w:ascii="Times New Roman" w:hAnsi="Times New Roman" w:cs="Times New Roman"/>
          <w:color w:val="000000" w:themeColor="text1"/>
          <w:lang w:val="es-ES_tradnl"/>
        </w:rPr>
        <w:t xml:space="preserve"> de las mujeres en los cargos directivos del Estado, sino también a </w:t>
      </w:r>
      <w:r w:rsidRPr="0096658B">
        <w:rPr>
          <w:rFonts w:ascii="Times New Roman" w:hAnsi="Times New Roman" w:cs="Times New Roman"/>
          <w:color w:val="000000" w:themeColor="text1"/>
          <w:lang w:val="es-ES_tradnl"/>
        </w:rPr>
        <w:t>promover las</w:t>
      </w:r>
      <w:r w:rsidRPr="0096658B">
        <w:rPr>
          <w:rFonts w:ascii="Times New Roman" w:hAnsi="Times New Roman" w:cs="Times New Roman"/>
          <w:color w:val="000000" w:themeColor="text1"/>
          <w:lang w:val="es-ES_tradnl"/>
        </w:rPr>
        <w:t xml:space="preserve"> condiciones para, cuando menos, la superación de los estereotipos y prejuicios en su contra y, en particular, los efectos que para el ámbito laboral de las mujeres tiene la di</w:t>
      </w:r>
      <w:r w:rsidRPr="0096658B">
        <w:rPr>
          <w:rFonts w:ascii="Times New Roman" w:hAnsi="Times New Roman" w:cs="Times New Roman"/>
          <w:color w:val="000000" w:themeColor="text1"/>
          <w:lang w:val="es-ES_tradnl"/>
        </w:rPr>
        <w:t>stribución desigual de las cargas en la asunción de las labores de cuidado. Como estos asuntos persiste</w:t>
      </w:r>
      <w:r w:rsidRPr="0096658B">
        <w:rPr>
          <w:rFonts w:ascii="Times New Roman" w:hAnsi="Times New Roman" w:cs="Times New Roman"/>
          <w:color w:val="000000" w:themeColor="text1"/>
          <w:lang w:val="es-ES_tradnl"/>
        </w:rPr>
        <w:t>n,</w:t>
      </w:r>
      <w:r w:rsidRPr="0096658B">
        <w:rPr>
          <w:rFonts w:ascii="Times New Roman" w:hAnsi="Times New Roman" w:cs="Times New Roman"/>
          <w:color w:val="000000" w:themeColor="text1"/>
          <w:lang w:val="es-ES_tradnl"/>
        </w:rPr>
        <w:t xml:space="preserve"> según se ha explicado en este fallo, entonces </w:t>
      </w:r>
      <w:r w:rsidRPr="0096658B">
        <w:rPr>
          <w:rFonts w:ascii="Times New Roman" w:hAnsi="Times New Roman" w:cs="Times New Roman"/>
          <w:color w:val="000000" w:themeColor="text1"/>
          <w:lang w:val="es-ES_tradnl"/>
        </w:rPr>
        <w:t>subsisten</w:t>
      </w:r>
      <w:r w:rsidRPr="0096658B">
        <w:rPr>
          <w:rFonts w:ascii="Times New Roman" w:hAnsi="Times New Roman" w:cs="Times New Roman"/>
          <w:color w:val="000000" w:themeColor="text1"/>
          <w:lang w:val="es-ES_tradnl"/>
        </w:rPr>
        <w:t xml:space="preserve"> las condiciones sustantivas para el mantenimiento e inclusive ampliación, como sucede en el pr</w:t>
      </w:r>
      <w:r w:rsidRPr="0096658B">
        <w:rPr>
          <w:rFonts w:ascii="Times New Roman" w:hAnsi="Times New Roman" w:cs="Times New Roman"/>
          <w:color w:val="000000" w:themeColor="text1"/>
          <w:lang w:val="es-ES_tradnl"/>
        </w:rPr>
        <w:t>esente caso, de los instrumentos de cuota.</w:t>
      </w:r>
    </w:p>
    <w:p w:rsidR="00C74414" w:rsidRPr="0096658B" w:rsidRDefault="0096658B" w:rsidP="00C74414">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color w:val="000000" w:themeColor="text1"/>
          <w:lang w:val="es-ES_tradnl"/>
        </w:rPr>
      </w:pPr>
    </w:p>
    <w:p w:rsidR="002E789D" w:rsidRPr="0096658B" w:rsidRDefault="0096658B" w:rsidP="0005687C">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Ahora bien, la Corte reitera que las medidas de cuota, en cuanto excepciones al principio de igualdad formal y mecanismos de aceleración de la inclusión de las mujeres en la esfera pública, están vinculadas a un</w:t>
      </w:r>
      <w:r w:rsidRPr="0096658B">
        <w:rPr>
          <w:rFonts w:ascii="Times New Roman" w:hAnsi="Times New Roman" w:cs="Times New Roman"/>
          <w:color w:val="000000" w:themeColor="text1"/>
          <w:lang w:val="es-ES_tradnl"/>
        </w:rPr>
        <w:t xml:space="preserve"> criterio de temporalidad que, como se ha explicado en esta sentencia, involucra el análisis de distintas variables, varias de ellas de conveniencia política y social, por lo que es un asunto inserto exclusivamente en la órbita del legislador estatutario. </w:t>
      </w:r>
    </w:p>
    <w:p w:rsidR="00A20109" w:rsidRPr="0096658B" w:rsidRDefault="0096658B" w:rsidP="00A20109">
      <w:pPr>
        <w:pStyle w:val="Prrafodelista"/>
        <w:rPr>
          <w:rFonts w:ascii="Times New Roman" w:hAnsi="Times New Roman" w:cs="Times New Roman"/>
          <w:color w:val="000000" w:themeColor="text1"/>
          <w:lang w:val="es-ES_tradnl"/>
        </w:rPr>
      </w:pPr>
    </w:p>
    <w:p w:rsidR="00A20109" w:rsidRPr="0096658B" w:rsidRDefault="0096658B" w:rsidP="00A20109">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iCs/>
          <w:color w:val="000000" w:themeColor="text1"/>
          <w:lang w:val="es-ES_tradnl"/>
        </w:rPr>
        <w:t>La medida no involucra un tratamiento desproporcionado</w:t>
      </w:r>
      <w:r w:rsidRPr="0096658B">
        <w:rPr>
          <w:rFonts w:ascii="Times New Roman" w:hAnsi="Times New Roman" w:cs="Times New Roman"/>
          <w:i/>
          <w:iCs/>
          <w:color w:val="000000" w:themeColor="text1"/>
          <w:lang w:val="es-ES_tradnl"/>
        </w:rPr>
        <w:t xml:space="preserve">. </w:t>
      </w:r>
      <w:r w:rsidRPr="0096658B">
        <w:rPr>
          <w:rFonts w:ascii="Times New Roman" w:hAnsi="Times New Roman" w:cs="Times New Roman"/>
          <w:color w:val="000000" w:themeColor="text1"/>
          <w:lang w:val="es-ES_tradnl"/>
        </w:rPr>
        <w:t>La Corte advierte que buena parte de las objeciones sobre potenciales efectos discriminatorios o desproporcionados de las medidas de cuota fueron desvirtuados en la sentencia C-371 de 2000 (</w:t>
      </w:r>
      <w:r w:rsidRPr="0096658B">
        <w:rPr>
          <w:rFonts w:ascii="Times New Roman" w:hAnsi="Times New Roman" w:cs="Times New Roman"/>
          <w:i/>
          <w:iCs/>
          <w:color w:val="000000" w:themeColor="text1"/>
          <w:lang w:val="es-ES_tradnl"/>
        </w:rPr>
        <w:t xml:space="preserve">supra </w:t>
      </w:r>
      <w:r w:rsidRPr="0096658B">
        <w:rPr>
          <w:rFonts w:ascii="Times New Roman" w:hAnsi="Times New Roman" w:cs="Times New Roman"/>
          <w:color w:val="000000" w:themeColor="text1"/>
          <w:lang w:val="es-ES_tradnl"/>
        </w:rPr>
        <w:t>fundamentos jurídicos</w:t>
      </w:r>
      <w:r w:rsidRPr="0096658B">
        <w:rPr>
          <w:rFonts w:ascii="Times New Roman" w:hAnsi="Times New Roman" w:cs="Times New Roman"/>
          <w:color w:val="000000" w:themeColor="text1"/>
          <w:lang w:val="es-ES_tradnl"/>
        </w:rPr>
        <w:t xml:space="preserve"> 161 a 170</w:t>
      </w:r>
      <w:r w:rsidRPr="0096658B">
        <w:rPr>
          <w:rFonts w:ascii="Times New Roman" w:hAnsi="Times New Roman" w:cs="Times New Roman"/>
          <w:color w:val="000000" w:themeColor="text1"/>
          <w:lang w:val="es-ES_tradnl"/>
        </w:rPr>
        <w:t>), razón por la cual la Sala se abstiene de reiterar esos argumentos. Con todo, también considera impor</w:t>
      </w:r>
      <w:r w:rsidRPr="0096658B">
        <w:rPr>
          <w:rFonts w:ascii="Times New Roman" w:hAnsi="Times New Roman" w:cs="Times New Roman"/>
          <w:color w:val="000000" w:themeColor="text1"/>
          <w:lang w:val="es-ES_tradnl"/>
        </w:rPr>
        <w:t xml:space="preserve">tante plantear algunos aspectos adicionales a este respecto. </w:t>
      </w:r>
    </w:p>
    <w:p w:rsidR="00297128" w:rsidRPr="0096658B" w:rsidRDefault="0096658B" w:rsidP="00297128">
      <w:pPr>
        <w:pStyle w:val="Prrafodelista"/>
        <w:rPr>
          <w:rFonts w:ascii="Times New Roman" w:hAnsi="Times New Roman" w:cs="Times New Roman"/>
          <w:color w:val="000000" w:themeColor="text1"/>
          <w:lang w:val="es-ES_tradnl"/>
        </w:rPr>
      </w:pPr>
    </w:p>
    <w:p w:rsidR="00297128" w:rsidRPr="0096658B" w:rsidRDefault="0096658B" w:rsidP="00A20109">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En primer lugar, </w:t>
      </w:r>
      <w:r w:rsidRPr="0096658B">
        <w:rPr>
          <w:rFonts w:ascii="Times New Roman" w:hAnsi="Times New Roman" w:cs="Times New Roman"/>
          <w:color w:val="000000" w:themeColor="text1"/>
          <w:lang w:val="es-ES_tradnl"/>
        </w:rPr>
        <w:t>de acuerdo a lo explicado en esta sentenci</w:t>
      </w:r>
      <w:r w:rsidRPr="0096658B">
        <w:rPr>
          <w:rFonts w:ascii="Times New Roman" w:hAnsi="Times New Roman" w:cs="Times New Roman"/>
          <w:color w:val="000000" w:themeColor="text1"/>
          <w:lang w:val="es-ES_tradnl"/>
        </w:rPr>
        <w:t>a, existe evidencia empírica acerca de la actual equivalencia en la formación universitaria entre hombres y mujeres e, incluso, la tendencia se dirige a que las segundas tengan una participación mayoritaria en el total de colombianos que acceden a la educa</w:t>
      </w:r>
      <w:r w:rsidRPr="0096658B">
        <w:rPr>
          <w:rFonts w:ascii="Times New Roman" w:hAnsi="Times New Roman" w:cs="Times New Roman"/>
          <w:color w:val="000000" w:themeColor="text1"/>
          <w:lang w:val="es-ES_tradnl"/>
        </w:rPr>
        <w:t xml:space="preserve">ción superior. Esta comprobación es importante porque demuestra que la paridad prevista por el artículo 1° del PLE en nada se opone al cumplimiento adecuado de las finalidades de la función pública, en tanto existen personas de </w:t>
      </w:r>
      <w:r w:rsidRPr="0096658B">
        <w:rPr>
          <w:rFonts w:ascii="Times New Roman" w:hAnsi="Times New Roman" w:cs="Times New Roman"/>
          <w:color w:val="000000" w:themeColor="text1"/>
          <w:lang w:val="es-ES_tradnl"/>
        </w:rPr>
        <w:t>distintos</w:t>
      </w:r>
      <w:r w:rsidRPr="0096658B">
        <w:rPr>
          <w:rFonts w:ascii="Times New Roman" w:hAnsi="Times New Roman" w:cs="Times New Roman"/>
          <w:color w:val="000000" w:themeColor="text1"/>
          <w:lang w:val="es-ES_tradnl"/>
        </w:rPr>
        <w:t xml:space="preserve"> géneros con nivele</w:t>
      </w:r>
      <w:r w:rsidRPr="0096658B">
        <w:rPr>
          <w:rFonts w:ascii="Times New Roman" w:hAnsi="Times New Roman" w:cs="Times New Roman"/>
          <w:color w:val="000000" w:themeColor="text1"/>
          <w:lang w:val="es-ES_tradnl"/>
        </w:rPr>
        <w:t>s similares de formación académica y profesional en términos estadísticos</w:t>
      </w:r>
      <w:r w:rsidRPr="0096658B">
        <w:rPr>
          <w:rFonts w:ascii="Times New Roman" w:hAnsi="Times New Roman" w:cs="Times New Roman"/>
          <w:color w:val="000000" w:themeColor="text1"/>
          <w:lang w:val="es-ES_tradnl"/>
        </w:rPr>
        <w:t xml:space="preserve">, que están suficientemente capacitadas para ejercer los cargos de nivel directivo. </w:t>
      </w:r>
      <w:r w:rsidRPr="0096658B">
        <w:rPr>
          <w:rFonts w:ascii="Times New Roman" w:hAnsi="Times New Roman" w:cs="Times New Roman"/>
          <w:color w:val="000000" w:themeColor="text1"/>
          <w:lang w:val="es-ES_tradnl"/>
        </w:rPr>
        <w:t xml:space="preserve">Esto, a su turno, concuerda con la distribución demográfica entre los géneros en Colombia. </w:t>
      </w:r>
      <w:r w:rsidRPr="0096658B">
        <w:rPr>
          <w:rFonts w:ascii="Times New Roman" w:hAnsi="Times New Roman" w:cs="Times New Roman"/>
          <w:color w:val="000000" w:themeColor="text1"/>
          <w:lang w:val="es-ES_tradnl"/>
        </w:rPr>
        <w:t>Por ende</w:t>
      </w:r>
      <w:r w:rsidRPr="0096658B">
        <w:rPr>
          <w:rFonts w:ascii="Times New Roman" w:hAnsi="Times New Roman" w:cs="Times New Roman"/>
          <w:color w:val="000000" w:themeColor="text1"/>
          <w:lang w:val="es-ES_tradnl"/>
        </w:rPr>
        <w:t>, la existencia de barreras a la paridad solo se explicaría por las razones reiteradas en esta sentencia y que, en sí mismas, justifican</w:t>
      </w:r>
      <w:r w:rsidRPr="0096658B">
        <w:rPr>
          <w:rFonts w:ascii="Times New Roman" w:hAnsi="Times New Roman" w:cs="Times New Roman"/>
          <w:color w:val="000000" w:themeColor="text1"/>
          <w:lang w:val="es-ES_tradnl"/>
        </w:rPr>
        <w:t xml:space="preserve"> la preservación y ampliación de</w:t>
      </w:r>
      <w:r w:rsidRPr="0096658B">
        <w:rPr>
          <w:rFonts w:ascii="Times New Roman" w:hAnsi="Times New Roman" w:cs="Times New Roman"/>
          <w:color w:val="000000" w:themeColor="text1"/>
          <w:lang w:val="es-ES_tradnl"/>
        </w:rPr>
        <w:t xml:space="preserve"> las medidas de cuota. </w:t>
      </w:r>
    </w:p>
    <w:p w:rsidR="00A26190" w:rsidRPr="0096658B" w:rsidRDefault="0096658B" w:rsidP="00A26190">
      <w:pPr>
        <w:pStyle w:val="Prrafodelista"/>
        <w:rPr>
          <w:rFonts w:ascii="Times New Roman" w:hAnsi="Times New Roman" w:cs="Times New Roman"/>
          <w:color w:val="000000" w:themeColor="text1"/>
          <w:lang w:val="es-ES_tradnl"/>
        </w:rPr>
      </w:pPr>
    </w:p>
    <w:p w:rsidR="00A26190" w:rsidRPr="0096658B" w:rsidRDefault="0096658B" w:rsidP="00A20109">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En segundo lugar, </w:t>
      </w:r>
      <w:r w:rsidRPr="0096658B">
        <w:rPr>
          <w:rFonts w:ascii="Times New Roman" w:hAnsi="Times New Roman" w:cs="Times New Roman"/>
          <w:color w:val="000000" w:themeColor="text1"/>
          <w:lang w:val="es-ES_tradnl"/>
        </w:rPr>
        <w:t xml:space="preserve">la medida contenida en el artículo 1° del PLE no afecta los derechos de los hombres a acceder a los </w:t>
      </w:r>
      <w:r w:rsidRPr="0096658B">
        <w:rPr>
          <w:rFonts w:ascii="Times New Roman" w:hAnsi="Times New Roman" w:cs="Times New Roman"/>
          <w:color w:val="000000" w:themeColor="text1"/>
          <w:lang w:val="es-ES_tradnl"/>
        </w:rPr>
        <w:t xml:space="preserve">CMND y </w:t>
      </w:r>
      <w:r w:rsidRPr="0096658B">
        <w:rPr>
          <w:rFonts w:ascii="Times New Roman" w:hAnsi="Times New Roman" w:cs="Times New Roman"/>
          <w:color w:val="000000" w:themeColor="text1"/>
          <w:lang w:val="es-ES_tradnl"/>
        </w:rPr>
        <w:t>CND, puesto que el mandato de paridad necesariamente involucra una concepción igualitaria de la sociedad, en donde</w:t>
      </w:r>
      <w:r w:rsidRPr="0096658B">
        <w:rPr>
          <w:rFonts w:ascii="Times New Roman" w:hAnsi="Times New Roman" w:cs="Times New Roman"/>
          <w:color w:val="000000" w:themeColor="text1"/>
          <w:lang w:val="es-ES_tradnl"/>
        </w:rPr>
        <w:t xml:space="preserve"> distintos</w:t>
      </w:r>
      <w:r w:rsidRPr="0096658B">
        <w:rPr>
          <w:rFonts w:ascii="Times New Roman" w:hAnsi="Times New Roman" w:cs="Times New Roman"/>
          <w:color w:val="000000" w:themeColor="text1"/>
          <w:lang w:val="es-ES_tradnl"/>
        </w:rPr>
        <w:t xml:space="preserve"> géneros concurren, dotad</w:t>
      </w:r>
      <w:r w:rsidRPr="0096658B">
        <w:rPr>
          <w:rFonts w:ascii="Times New Roman" w:hAnsi="Times New Roman" w:cs="Times New Roman"/>
          <w:color w:val="000000" w:themeColor="text1"/>
          <w:lang w:val="es-ES_tradnl"/>
        </w:rPr>
        <w:t>os</w:t>
      </w:r>
      <w:r w:rsidRPr="0096658B">
        <w:rPr>
          <w:rFonts w:ascii="Times New Roman" w:hAnsi="Times New Roman" w:cs="Times New Roman"/>
          <w:color w:val="000000" w:themeColor="text1"/>
          <w:lang w:val="es-ES_tradnl"/>
        </w:rPr>
        <w:t xml:space="preserve"> como están de análogas capacidades y nivel formativo, en la dirección del Estado y la formulación de sus principales políticas. En ese orden de ideas, la medida examinada </w:t>
      </w:r>
      <w:r w:rsidRPr="0096658B">
        <w:rPr>
          <w:rFonts w:ascii="Times New Roman" w:hAnsi="Times New Roman" w:cs="Times New Roman"/>
          <w:color w:val="000000" w:themeColor="text1"/>
          <w:lang w:val="es-ES_tradnl"/>
        </w:rPr>
        <w:t xml:space="preserve">resulta neutra en lo que respecta a los derechos de participación de los hombres, </w:t>
      </w:r>
      <w:r w:rsidRPr="0096658B">
        <w:rPr>
          <w:rFonts w:ascii="Times New Roman" w:hAnsi="Times New Roman" w:cs="Times New Roman"/>
          <w:color w:val="000000" w:themeColor="text1"/>
          <w:lang w:val="es-ES_tradnl"/>
        </w:rPr>
        <w:t xml:space="preserve">puesto que en modo alguno puede considerarse que exista algún fundamento jurídico constitucional que privilegie su acceso a los cargos directivos respecto de las mujeres. </w:t>
      </w:r>
    </w:p>
    <w:p w:rsidR="0069681D" w:rsidRPr="0096658B" w:rsidRDefault="0096658B" w:rsidP="0069681D">
      <w:pPr>
        <w:pStyle w:val="Prrafodelista"/>
        <w:rPr>
          <w:rFonts w:ascii="Times New Roman" w:hAnsi="Times New Roman" w:cs="Times New Roman"/>
          <w:color w:val="000000" w:themeColor="text1"/>
          <w:lang w:val="es-ES_tradnl"/>
        </w:rPr>
      </w:pPr>
    </w:p>
    <w:p w:rsidR="0069681D" w:rsidRPr="0096658B" w:rsidRDefault="0096658B" w:rsidP="00A20109">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bookmarkStart w:id="5" w:name="OLE_LINK5"/>
      <w:bookmarkStart w:id="6" w:name="OLE_LINK6"/>
      <w:bookmarkStart w:id="7" w:name="OLE_LINK7"/>
      <w:bookmarkStart w:id="8" w:name="OLE_LINK8"/>
      <w:r w:rsidRPr="0096658B">
        <w:rPr>
          <w:rFonts w:ascii="Times New Roman" w:hAnsi="Times New Roman" w:cs="Times New Roman"/>
          <w:color w:val="000000" w:themeColor="text1"/>
          <w:lang w:val="es-ES_tradnl"/>
        </w:rPr>
        <w:t xml:space="preserve">En tercer lugar, </w:t>
      </w:r>
      <w:bookmarkEnd w:id="5"/>
      <w:bookmarkEnd w:id="6"/>
      <w:r w:rsidRPr="0096658B">
        <w:rPr>
          <w:rFonts w:ascii="Times New Roman" w:hAnsi="Times New Roman" w:cs="Times New Roman"/>
          <w:color w:val="000000" w:themeColor="text1"/>
          <w:lang w:val="es-ES_tradnl"/>
        </w:rPr>
        <w:t xml:space="preserve">surge un </w:t>
      </w:r>
      <w:r w:rsidRPr="0096658B">
        <w:rPr>
          <w:rFonts w:ascii="Times New Roman" w:hAnsi="Times New Roman" w:cs="Times New Roman"/>
          <w:color w:val="000000" w:themeColor="text1"/>
          <w:lang w:val="es-ES_tradnl"/>
        </w:rPr>
        <w:t>interrogante para el caso de las personas no binarias, pu</w:t>
      </w:r>
      <w:r w:rsidRPr="0096658B">
        <w:rPr>
          <w:rFonts w:ascii="Times New Roman" w:hAnsi="Times New Roman" w:cs="Times New Roman"/>
          <w:color w:val="000000" w:themeColor="text1"/>
          <w:lang w:val="es-ES_tradnl"/>
        </w:rPr>
        <w:t xml:space="preserve">esto que la interpretación literal del artículo 1° del PLE </w:t>
      </w:r>
      <w:r w:rsidRPr="0096658B">
        <w:rPr>
          <w:rFonts w:ascii="Times New Roman" w:hAnsi="Times New Roman" w:cs="Times New Roman"/>
          <w:color w:val="000000" w:themeColor="text1"/>
          <w:lang w:val="es-ES_tradnl"/>
        </w:rPr>
        <w:t>permitiría</w:t>
      </w:r>
      <w:r w:rsidRPr="0096658B">
        <w:rPr>
          <w:rFonts w:ascii="Times New Roman" w:hAnsi="Times New Roman" w:cs="Times New Roman"/>
          <w:color w:val="000000" w:themeColor="text1"/>
          <w:lang w:val="es-ES_tradnl"/>
        </w:rPr>
        <w:t xml:space="preserve"> concluir que la distribución de los CMND y los CND se centraría exclusivamente en los hombres y </w:t>
      </w:r>
      <w:r w:rsidRPr="0096658B">
        <w:rPr>
          <w:rFonts w:ascii="Times New Roman" w:hAnsi="Times New Roman" w:cs="Times New Roman"/>
          <w:color w:val="000000" w:themeColor="text1"/>
          <w:lang w:val="es-ES_tradnl"/>
        </w:rPr>
        <w:t xml:space="preserve">en </w:t>
      </w:r>
      <w:r w:rsidRPr="0096658B">
        <w:rPr>
          <w:rFonts w:ascii="Times New Roman" w:hAnsi="Times New Roman" w:cs="Times New Roman"/>
          <w:color w:val="000000" w:themeColor="text1"/>
          <w:lang w:val="es-ES_tradnl"/>
        </w:rPr>
        <w:t xml:space="preserve">las mujeres, con exclusión de quienes no se reconocen en ninguno de estos dos géneros. </w:t>
      </w:r>
      <w:r w:rsidRPr="0096658B">
        <w:rPr>
          <w:rFonts w:ascii="Times New Roman" w:hAnsi="Times New Roman" w:cs="Times New Roman"/>
          <w:color w:val="000000" w:themeColor="text1"/>
          <w:lang w:val="es-ES_tradnl"/>
        </w:rPr>
        <w:t xml:space="preserve">Pasa la Sala a analizar esta cuestión. </w:t>
      </w:r>
    </w:p>
    <w:p w:rsidR="00B70FBE" w:rsidRPr="0096658B" w:rsidRDefault="0096658B" w:rsidP="00B70FBE">
      <w:pPr>
        <w:pStyle w:val="Prrafodelista"/>
        <w:rPr>
          <w:rFonts w:ascii="Times New Roman" w:hAnsi="Times New Roman" w:cs="Times New Roman"/>
          <w:color w:val="000000" w:themeColor="text1"/>
          <w:lang w:val="es-ES_tradnl"/>
        </w:rPr>
      </w:pPr>
    </w:p>
    <w:p w:rsidR="003F137D" w:rsidRPr="0096658B" w:rsidRDefault="0096658B" w:rsidP="003F137D">
      <w:pPr>
        <w:pStyle w:val="Prrafodelista"/>
        <w:numPr>
          <w:ilvl w:val="0"/>
          <w:numId w:val="5"/>
        </w:numPr>
        <w:ind w:left="0" w:firstLine="0"/>
        <w:jc w:val="both"/>
        <w:rPr>
          <w:rFonts w:ascii="Times New Roman" w:hAnsi="Times New Roman" w:cs="Times New Roman"/>
          <w:color w:val="000000" w:themeColor="text1"/>
        </w:rPr>
      </w:pPr>
      <w:r w:rsidRPr="0096658B">
        <w:rPr>
          <w:rFonts w:ascii="Times New Roman" w:hAnsi="Times New Roman" w:cs="Times New Roman"/>
          <w:i/>
          <w:iCs/>
          <w:color w:val="000000" w:themeColor="text1"/>
        </w:rPr>
        <w:t>Los conceptos de sexo, género e identidad de género.</w:t>
      </w:r>
      <w:r w:rsidRPr="0096658B">
        <w:rPr>
          <w:rFonts w:ascii="Times New Roman" w:hAnsi="Times New Roman" w:cs="Times New Roman"/>
          <w:color w:val="000000" w:themeColor="text1"/>
        </w:rPr>
        <w:t xml:space="preserve"> La jurisprudencia constitucional ha reconocido la diferencia entre los conceptos de sexo, género e identidad de género. El sexo ha sido definido como “las caracte</w:t>
      </w:r>
      <w:r w:rsidRPr="0096658B">
        <w:rPr>
          <w:rFonts w:ascii="Times New Roman" w:hAnsi="Times New Roman" w:cs="Times New Roman"/>
          <w:color w:val="000000" w:themeColor="text1"/>
        </w:rPr>
        <w:t>rísticas biológicas y fisiológicas (anatómicas, físicas, genéticas, hormonales y cromosómicas) con base en las cuales las personas son clasificadas como hombres (de sexo masculino), mujeres (de sexo femenino) o personas intersexuales (con ambigüedad sexual</w:t>
      </w:r>
      <w:r w:rsidRPr="0096658B">
        <w:rPr>
          <w:rFonts w:ascii="Times New Roman" w:hAnsi="Times New Roman" w:cs="Times New Roman"/>
          <w:color w:val="000000" w:themeColor="text1"/>
        </w:rPr>
        <w:t xml:space="preserve"> o genital) al momento del nacimiento”</w:t>
      </w:r>
      <w:r w:rsidRPr="0096658B">
        <w:rPr>
          <w:rStyle w:val="Refdenotaalpie"/>
          <w:rFonts w:ascii="Times New Roman" w:hAnsi="Times New Roman"/>
          <w:color w:val="000000" w:themeColor="text1"/>
        </w:rPr>
        <w:footnoteReference w:id="244"/>
      </w:r>
      <w:r w:rsidRPr="0096658B">
        <w:rPr>
          <w:rFonts w:ascii="Times New Roman" w:hAnsi="Times New Roman" w:cs="Times New Roman"/>
          <w:color w:val="000000" w:themeColor="text1"/>
        </w:rPr>
        <w:t>. Por su parte, el género “es el concepto con el cual una sociedad o cultura, en un momento histórico determinado, se refiere a ciertos roles, atributos y comportamientos de los hombres y de las mujeres, según el sign</w:t>
      </w:r>
      <w:r w:rsidRPr="0096658B">
        <w:rPr>
          <w:rFonts w:ascii="Times New Roman" w:hAnsi="Times New Roman" w:cs="Times New Roman"/>
          <w:color w:val="000000" w:themeColor="text1"/>
        </w:rPr>
        <w:t>ificado que [culturalmente se] le da a sus características biológicas y fisiológicas”</w:t>
      </w:r>
      <w:r w:rsidRPr="0096658B">
        <w:rPr>
          <w:rStyle w:val="Refdenotaalpie"/>
          <w:rFonts w:ascii="Times New Roman" w:hAnsi="Times New Roman"/>
          <w:color w:val="000000" w:themeColor="text1"/>
        </w:rPr>
        <w:footnoteReference w:id="245"/>
      </w:r>
      <w:r w:rsidRPr="0096658B">
        <w:rPr>
          <w:rFonts w:ascii="Times New Roman" w:hAnsi="Times New Roman" w:cs="Times New Roman"/>
          <w:color w:val="000000" w:themeColor="text1"/>
        </w:rPr>
        <w:t>. En este contexto, la Corte ha precisado que, mientras que el sexo es, en principio, un concepto objetivo, “el género es subjetivo, pues depende tanto de la evolución so</w:t>
      </w:r>
      <w:r w:rsidRPr="0096658B">
        <w:rPr>
          <w:rFonts w:ascii="Times New Roman" w:hAnsi="Times New Roman" w:cs="Times New Roman"/>
          <w:color w:val="000000" w:themeColor="text1"/>
        </w:rPr>
        <w:t>ciocultural como de la percepción que cada persona tenga respecto de su propio género”</w:t>
      </w:r>
      <w:r w:rsidRPr="0096658B">
        <w:rPr>
          <w:rStyle w:val="Refdenotaalpie"/>
          <w:rFonts w:ascii="Times New Roman" w:hAnsi="Times New Roman"/>
          <w:color w:val="000000" w:themeColor="text1"/>
        </w:rPr>
        <w:footnoteReference w:id="246"/>
      </w:r>
      <w:r w:rsidRPr="0096658B">
        <w:rPr>
          <w:rFonts w:ascii="Times New Roman" w:hAnsi="Times New Roman" w:cs="Times New Roman"/>
          <w:color w:val="000000" w:themeColor="text1"/>
        </w:rPr>
        <w:t>. Es más, la identidad de género se refiere a dicha autopercepción. En efecto, este último concepto ha sido definido como “la vivencia interna e individual del género ta</w:t>
      </w:r>
      <w:r w:rsidRPr="0096658B">
        <w:rPr>
          <w:rFonts w:ascii="Times New Roman" w:hAnsi="Times New Roman" w:cs="Times New Roman"/>
          <w:color w:val="000000" w:themeColor="text1"/>
        </w:rPr>
        <w:t>l como cada persona la siente profundamente, y que puede corresponder o no con el sexo al momento del nacimiento”</w:t>
      </w:r>
      <w:r w:rsidRPr="0096658B">
        <w:rPr>
          <w:rStyle w:val="Refdenotaalpie"/>
          <w:rFonts w:ascii="Times New Roman" w:hAnsi="Times New Roman"/>
          <w:color w:val="000000" w:themeColor="text1"/>
        </w:rPr>
        <w:footnoteReference w:id="247"/>
      </w:r>
      <w:r w:rsidRPr="0096658B">
        <w:rPr>
          <w:rFonts w:ascii="Times New Roman" w:hAnsi="Times New Roman" w:cs="Times New Roman"/>
          <w:color w:val="000000" w:themeColor="text1"/>
        </w:rPr>
        <w:t>. Es decir, la identidad de género responde a “una construcción individual que depende de las elecciones personales sobre la forma de vivir la</w:t>
      </w:r>
      <w:r w:rsidRPr="0096658B">
        <w:rPr>
          <w:rFonts w:ascii="Times New Roman" w:hAnsi="Times New Roman" w:cs="Times New Roman"/>
          <w:color w:val="000000" w:themeColor="text1"/>
        </w:rPr>
        <w:t xml:space="preserve"> propia sexualidad tanto en el plano personal como en su proyección en la sociedad”</w:t>
      </w:r>
      <w:r w:rsidRPr="0096658B">
        <w:rPr>
          <w:rStyle w:val="Refdenotaalpie"/>
          <w:rFonts w:ascii="Times New Roman" w:hAnsi="Times New Roman"/>
          <w:color w:val="000000" w:themeColor="text1"/>
        </w:rPr>
        <w:footnoteReference w:id="248"/>
      </w:r>
      <w:r w:rsidRPr="0096658B">
        <w:rPr>
          <w:rFonts w:ascii="Times New Roman" w:hAnsi="Times New Roman" w:cs="Times New Roman"/>
          <w:color w:val="000000" w:themeColor="text1"/>
        </w:rPr>
        <w:t xml:space="preserve">. </w:t>
      </w:r>
    </w:p>
    <w:p w:rsidR="003F137D" w:rsidRPr="0096658B" w:rsidRDefault="0096658B" w:rsidP="003F137D">
      <w:pPr>
        <w:pStyle w:val="Prrafodelista"/>
        <w:ind w:left="0"/>
        <w:rPr>
          <w:rFonts w:ascii="Times New Roman" w:hAnsi="Times New Roman" w:cs="Times New Roman"/>
          <w:color w:val="000000" w:themeColor="text1"/>
        </w:rPr>
      </w:pPr>
    </w:p>
    <w:p w:rsidR="003F137D" w:rsidRPr="0096658B" w:rsidRDefault="0096658B" w:rsidP="003F137D">
      <w:pPr>
        <w:pStyle w:val="Prrafodelista"/>
        <w:numPr>
          <w:ilvl w:val="0"/>
          <w:numId w:val="5"/>
        </w:numPr>
        <w:ind w:left="0" w:firstLine="0"/>
        <w:jc w:val="both"/>
        <w:rPr>
          <w:rFonts w:ascii="Times New Roman" w:hAnsi="Times New Roman" w:cs="Times New Roman"/>
          <w:color w:val="000000" w:themeColor="text1"/>
        </w:rPr>
      </w:pPr>
      <w:r w:rsidRPr="0096658B">
        <w:rPr>
          <w:rFonts w:ascii="Times New Roman" w:hAnsi="Times New Roman" w:cs="Times New Roman"/>
          <w:i/>
          <w:iCs/>
          <w:color w:val="000000" w:themeColor="text1"/>
        </w:rPr>
        <w:t>Población trans y no binaria</w:t>
      </w:r>
      <w:r w:rsidRPr="0096658B">
        <w:rPr>
          <w:rFonts w:ascii="Times New Roman" w:hAnsi="Times New Roman" w:cs="Times New Roman"/>
          <w:color w:val="000000" w:themeColor="text1"/>
        </w:rPr>
        <w:t xml:space="preserve">. Por medio de la Sentencia SU-440 de 2021, la Sala Plena indicó que el término </w:t>
      </w:r>
      <w:r w:rsidRPr="0096658B">
        <w:rPr>
          <w:rFonts w:ascii="Times New Roman" w:hAnsi="Times New Roman" w:cs="Times New Roman"/>
          <w:i/>
          <w:iCs/>
          <w:color w:val="000000" w:themeColor="text1"/>
        </w:rPr>
        <w:t>trans</w:t>
      </w:r>
      <w:r w:rsidRPr="0096658B">
        <w:rPr>
          <w:rFonts w:ascii="Times New Roman" w:hAnsi="Times New Roman" w:cs="Times New Roman"/>
          <w:color w:val="000000" w:themeColor="text1"/>
        </w:rPr>
        <w:t xml:space="preserve"> es un “término paraguas usado para describir las diferentes variantes de identidad de género de las personas cuya expresión no coincide con las identidades socialmente establecidas para el sexo asignado al nacer”</w:t>
      </w:r>
      <w:r w:rsidRPr="0096658B">
        <w:rPr>
          <w:rStyle w:val="Refdenotaalpie"/>
          <w:rFonts w:ascii="Times New Roman" w:hAnsi="Times New Roman"/>
          <w:color w:val="000000" w:themeColor="text1"/>
        </w:rPr>
        <w:footnoteReference w:id="249"/>
      </w:r>
      <w:r w:rsidRPr="0096658B">
        <w:rPr>
          <w:rFonts w:ascii="Times New Roman" w:hAnsi="Times New Roman" w:cs="Times New Roman"/>
          <w:color w:val="000000" w:themeColor="text1"/>
        </w:rPr>
        <w:t xml:space="preserve">. Por su parte, el término </w:t>
      </w:r>
      <w:r w:rsidRPr="0096658B">
        <w:rPr>
          <w:rFonts w:ascii="Times New Roman" w:hAnsi="Times New Roman" w:cs="Times New Roman"/>
          <w:i/>
          <w:iCs/>
          <w:color w:val="000000" w:themeColor="text1"/>
        </w:rPr>
        <w:t>no binario</w:t>
      </w:r>
      <w:r w:rsidRPr="0096658B">
        <w:rPr>
          <w:rFonts w:ascii="Times New Roman" w:hAnsi="Times New Roman" w:cs="Times New Roman"/>
          <w:color w:val="000000" w:themeColor="text1"/>
        </w:rPr>
        <w:t xml:space="preserve"> ha s</w:t>
      </w:r>
      <w:r w:rsidRPr="0096658B">
        <w:rPr>
          <w:rFonts w:ascii="Times New Roman" w:hAnsi="Times New Roman" w:cs="Times New Roman"/>
          <w:color w:val="000000" w:themeColor="text1"/>
        </w:rPr>
        <w:t>ido definido como aquellas personas que “se identifican con vivencias que no se encuadran en lo social y culturalmente definido como femenino o masculino […] no se identifican con el sexo asignado al nacer, por cuanto no se identifican con ninguna de las c</w:t>
      </w:r>
      <w:r w:rsidRPr="0096658B">
        <w:rPr>
          <w:rFonts w:ascii="Times New Roman" w:hAnsi="Times New Roman" w:cs="Times New Roman"/>
          <w:color w:val="000000" w:themeColor="text1"/>
        </w:rPr>
        <w:t>ategorías identitarias tradicionales, es decir, que se apartan de las clasificaciones binarias hombre/mujer y masculino/femenino”</w:t>
      </w:r>
      <w:r w:rsidRPr="0096658B">
        <w:rPr>
          <w:rStyle w:val="Refdenotaalpie"/>
          <w:rFonts w:ascii="Times New Roman" w:hAnsi="Times New Roman"/>
          <w:color w:val="000000" w:themeColor="text1"/>
        </w:rPr>
        <w:footnoteReference w:id="250"/>
      </w:r>
      <w:r w:rsidRPr="0096658B">
        <w:rPr>
          <w:rFonts w:ascii="Times New Roman" w:hAnsi="Times New Roman" w:cs="Times New Roman"/>
          <w:color w:val="000000" w:themeColor="text1"/>
        </w:rPr>
        <w:t>. En todo caso, la Corte ha reconocido que, si bien la población trans y la población no binaria comparten una inconformidad c</w:t>
      </w:r>
      <w:r w:rsidRPr="0096658B">
        <w:rPr>
          <w:rFonts w:ascii="Times New Roman" w:hAnsi="Times New Roman" w:cs="Times New Roman"/>
          <w:color w:val="000000" w:themeColor="text1"/>
        </w:rPr>
        <w:t>on el género asignado al nacer, lo cierto es que “</w:t>
      </w:r>
      <w:r w:rsidRPr="0096658B">
        <w:rPr>
          <w:rFonts w:ascii="Times New Roman" w:hAnsi="Times New Roman" w:cs="Times New Roman"/>
          <w:color w:val="000000" w:themeColor="text1"/>
          <w:shd w:val="clear" w:color="auto" w:fill="FFFFFF"/>
        </w:rPr>
        <w:t>no puede establecerse una relación necesaria entre la condición de intersexual o transexual y la de persona con identidad no binaria”</w:t>
      </w:r>
      <w:r w:rsidRPr="0096658B">
        <w:rPr>
          <w:rStyle w:val="Refdenotaalpie"/>
          <w:rFonts w:ascii="Times New Roman" w:hAnsi="Times New Roman"/>
          <w:color w:val="000000" w:themeColor="text1"/>
          <w:shd w:val="clear" w:color="auto" w:fill="FFFFFF"/>
        </w:rPr>
        <w:footnoteReference w:id="251"/>
      </w:r>
      <w:r w:rsidRPr="0096658B">
        <w:rPr>
          <w:rFonts w:ascii="Times New Roman" w:hAnsi="Times New Roman" w:cs="Times New Roman"/>
          <w:color w:val="000000" w:themeColor="text1"/>
          <w:shd w:val="clear" w:color="auto" w:fill="FFFFFF"/>
        </w:rPr>
        <w:t>. Ahora bien,</w:t>
      </w:r>
      <w:r w:rsidRPr="0096658B">
        <w:rPr>
          <w:rFonts w:ascii="Times New Roman" w:hAnsi="Times New Roman" w:cs="Times New Roman"/>
          <w:color w:val="000000" w:themeColor="text1"/>
        </w:rPr>
        <w:t xml:space="preserve"> en el sistema interamericano de derechos humanos, la Comis</w:t>
      </w:r>
      <w:r w:rsidRPr="0096658B">
        <w:rPr>
          <w:rFonts w:ascii="Times New Roman" w:hAnsi="Times New Roman" w:cs="Times New Roman"/>
          <w:color w:val="000000" w:themeColor="text1"/>
        </w:rPr>
        <w:t xml:space="preserve">ión ha precisado que las identidades no binarias reúnen, entre otras categorías identitarias, </w:t>
      </w:r>
      <w:r w:rsidRPr="0096658B">
        <w:rPr>
          <w:rFonts w:ascii="Times New Roman" w:hAnsi="Times New Roman" w:cs="Times New Roman"/>
          <w:i/>
          <w:color w:val="000000" w:themeColor="text1"/>
        </w:rPr>
        <w:t>(i)</w:t>
      </w:r>
      <w:r w:rsidRPr="0096658B">
        <w:rPr>
          <w:rFonts w:ascii="Times New Roman" w:hAnsi="Times New Roman" w:cs="Times New Roman"/>
          <w:i/>
          <w:iCs/>
          <w:color w:val="000000" w:themeColor="text1"/>
        </w:rPr>
        <w:t xml:space="preserve"> </w:t>
      </w:r>
      <w:r w:rsidRPr="0096658B">
        <w:rPr>
          <w:rFonts w:ascii="Times New Roman" w:hAnsi="Times New Roman" w:cs="Times New Roman"/>
          <w:color w:val="000000" w:themeColor="text1"/>
        </w:rPr>
        <w:t xml:space="preserve">“a personas que se identifican con una única posición fija de género distinta de mujer u hombre”, </w:t>
      </w:r>
      <w:r w:rsidRPr="0096658B">
        <w:rPr>
          <w:rFonts w:ascii="Times New Roman" w:hAnsi="Times New Roman" w:cs="Times New Roman"/>
          <w:i/>
          <w:color w:val="000000" w:themeColor="text1"/>
        </w:rPr>
        <w:t>(ii)</w:t>
      </w:r>
      <w:r w:rsidRPr="0096658B">
        <w:rPr>
          <w:rFonts w:ascii="Times New Roman" w:hAnsi="Times New Roman" w:cs="Times New Roman"/>
          <w:i/>
          <w:iCs/>
          <w:color w:val="000000" w:themeColor="text1"/>
        </w:rPr>
        <w:t xml:space="preserve"> </w:t>
      </w:r>
      <w:r w:rsidRPr="0096658B">
        <w:rPr>
          <w:rFonts w:ascii="Times New Roman" w:hAnsi="Times New Roman" w:cs="Times New Roman"/>
          <w:color w:val="000000" w:themeColor="text1"/>
        </w:rPr>
        <w:t xml:space="preserve">“personas que se identifican parcialmente como tales”, </w:t>
      </w:r>
      <w:r w:rsidRPr="0096658B">
        <w:rPr>
          <w:rFonts w:ascii="Times New Roman" w:hAnsi="Times New Roman" w:cs="Times New Roman"/>
          <w:i/>
          <w:color w:val="000000" w:themeColor="text1"/>
        </w:rPr>
        <w:t>(iii)</w:t>
      </w:r>
      <w:r w:rsidRPr="0096658B">
        <w:rPr>
          <w:rFonts w:ascii="Times New Roman" w:hAnsi="Times New Roman" w:cs="Times New Roman"/>
          <w:i/>
          <w:iCs/>
          <w:color w:val="000000" w:themeColor="text1"/>
        </w:rPr>
        <w:t xml:space="preserve"> </w:t>
      </w:r>
      <w:r w:rsidRPr="0096658B">
        <w:rPr>
          <w:rFonts w:ascii="Times New Roman" w:hAnsi="Times New Roman" w:cs="Times New Roman"/>
          <w:color w:val="000000" w:themeColor="text1"/>
        </w:rPr>
        <w:t xml:space="preserve">“personas que fluyen entre los géneros por períodos de tiempo”, </w:t>
      </w:r>
      <w:r w:rsidRPr="0096658B">
        <w:rPr>
          <w:rFonts w:ascii="Times New Roman" w:hAnsi="Times New Roman" w:cs="Times New Roman"/>
          <w:i/>
          <w:color w:val="000000" w:themeColor="text1"/>
        </w:rPr>
        <w:t>(iv)</w:t>
      </w:r>
      <w:r w:rsidRPr="0096658B">
        <w:rPr>
          <w:rFonts w:ascii="Times New Roman" w:hAnsi="Times New Roman" w:cs="Times New Roman"/>
          <w:color w:val="000000" w:themeColor="text1"/>
        </w:rPr>
        <w:t xml:space="preserve"> “personas que no se identifican con ningún género” y </w:t>
      </w:r>
      <w:r w:rsidRPr="0096658B">
        <w:rPr>
          <w:rFonts w:ascii="Times New Roman" w:hAnsi="Times New Roman" w:cs="Times New Roman"/>
          <w:i/>
          <w:color w:val="000000" w:themeColor="text1"/>
        </w:rPr>
        <w:t>(v)</w:t>
      </w:r>
      <w:r w:rsidRPr="0096658B">
        <w:rPr>
          <w:rFonts w:ascii="Times New Roman" w:hAnsi="Times New Roman" w:cs="Times New Roman"/>
          <w:color w:val="000000" w:themeColor="text1"/>
        </w:rPr>
        <w:t xml:space="preserve"> “personas que disienten de la idea misma del género”</w:t>
      </w:r>
      <w:r w:rsidRPr="0096658B">
        <w:rPr>
          <w:rStyle w:val="Refdenotaalpie"/>
          <w:rFonts w:ascii="Times New Roman" w:hAnsi="Times New Roman"/>
          <w:color w:val="000000" w:themeColor="text1"/>
        </w:rPr>
        <w:footnoteReference w:id="252"/>
      </w:r>
      <w:r w:rsidRPr="0096658B">
        <w:rPr>
          <w:rFonts w:ascii="Times New Roman" w:hAnsi="Times New Roman" w:cs="Times New Roman"/>
          <w:color w:val="000000" w:themeColor="text1"/>
        </w:rPr>
        <w:t>.</w:t>
      </w:r>
    </w:p>
    <w:p w:rsidR="003F137D" w:rsidRPr="0096658B" w:rsidRDefault="0096658B" w:rsidP="003F137D">
      <w:pPr>
        <w:pStyle w:val="Prrafodelista"/>
        <w:ind w:left="0"/>
        <w:rPr>
          <w:rFonts w:ascii="Times New Roman" w:hAnsi="Times New Roman" w:cs="Times New Roman"/>
          <w:color w:val="000000" w:themeColor="text1"/>
        </w:rPr>
      </w:pPr>
    </w:p>
    <w:p w:rsidR="003F137D" w:rsidRPr="0096658B" w:rsidRDefault="0096658B" w:rsidP="003F137D">
      <w:pPr>
        <w:pStyle w:val="Prrafodelista"/>
        <w:numPr>
          <w:ilvl w:val="0"/>
          <w:numId w:val="5"/>
        </w:numPr>
        <w:ind w:left="0" w:firstLine="0"/>
        <w:jc w:val="both"/>
        <w:rPr>
          <w:rFonts w:ascii="Times New Roman" w:hAnsi="Times New Roman" w:cs="Times New Roman"/>
          <w:color w:val="000000" w:themeColor="text1"/>
        </w:rPr>
      </w:pPr>
      <w:r w:rsidRPr="0096658B">
        <w:rPr>
          <w:rFonts w:ascii="Times New Roman" w:hAnsi="Times New Roman" w:cs="Times New Roman"/>
          <w:i/>
          <w:iCs/>
          <w:color w:val="000000" w:themeColor="text1"/>
        </w:rPr>
        <w:t>Reconocimiento del derecho fundamental a la identidad de género</w:t>
      </w:r>
      <w:r w:rsidRPr="0096658B">
        <w:rPr>
          <w:rFonts w:ascii="Times New Roman" w:hAnsi="Times New Roman" w:cs="Times New Roman"/>
          <w:color w:val="000000" w:themeColor="text1"/>
        </w:rPr>
        <w:t xml:space="preserve">. El </w:t>
      </w:r>
      <w:r w:rsidRPr="0096658B">
        <w:rPr>
          <w:rFonts w:ascii="Times New Roman" w:hAnsi="Times New Roman" w:cs="Times New Roman"/>
          <w:color w:val="000000" w:themeColor="text1"/>
        </w:rPr>
        <w:t>derecho fundamental a la identidad de género no está consagrado expresamente en la Constitución. Sin embargo, la Corte Constitucional ha reconocido su existencia como derecho fundamental innominado</w:t>
      </w:r>
      <w:r w:rsidRPr="0096658B">
        <w:rPr>
          <w:rStyle w:val="Refdenotaalpie"/>
          <w:rFonts w:ascii="Times New Roman" w:hAnsi="Times New Roman"/>
          <w:color w:val="000000" w:themeColor="text1"/>
          <w:lang w:val="es-CO"/>
        </w:rPr>
        <w:footnoteReference w:id="253"/>
      </w:r>
      <w:r w:rsidRPr="0096658B">
        <w:rPr>
          <w:rFonts w:ascii="Times New Roman" w:hAnsi="Times New Roman" w:cs="Times New Roman"/>
          <w:color w:val="000000" w:themeColor="text1"/>
        </w:rPr>
        <w:t>, bajo el entendido de que es difícil encontrar un aspecto</w:t>
      </w:r>
      <w:r w:rsidRPr="0096658B">
        <w:rPr>
          <w:rFonts w:ascii="Times New Roman" w:hAnsi="Times New Roman" w:cs="Times New Roman"/>
          <w:color w:val="000000" w:themeColor="text1"/>
        </w:rPr>
        <w:t xml:space="preserve"> más estrechamente relacionado con la construcción del proyecto de vida e </w:t>
      </w:r>
      <w:r w:rsidRPr="0096658B">
        <w:rPr>
          <w:rFonts w:ascii="Times New Roman" w:hAnsi="Times New Roman" w:cs="Times New Roman"/>
          <w:i/>
          <w:iCs/>
          <w:color w:val="000000" w:themeColor="text1"/>
        </w:rPr>
        <w:t>individualidad del ser humano</w:t>
      </w:r>
      <w:r w:rsidRPr="0096658B">
        <w:rPr>
          <w:rFonts w:ascii="Times New Roman" w:hAnsi="Times New Roman" w:cs="Times New Roman"/>
          <w:color w:val="000000" w:themeColor="text1"/>
          <w:vertAlign w:val="superscript"/>
        </w:rPr>
        <w:footnoteReference w:id="254"/>
      </w:r>
      <w:r w:rsidRPr="0096658B">
        <w:rPr>
          <w:rFonts w:ascii="Times New Roman" w:hAnsi="Times New Roman" w:cs="Times New Roman"/>
          <w:color w:val="000000" w:themeColor="text1"/>
        </w:rPr>
        <w:t xml:space="preserve"> que la definición del propio género</w:t>
      </w:r>
      <w:r w:rsidRPr="0096658B">
        <w:rPr>
          <w:rStyle w:val="Refdenotaalpie"/>
          <w:rFonts w:ascii="Times New Roman" w:hAnsi="Times New Roman"/>
          <w:color w:val="000000" w:themeColor="text1"/>
          <w:lang w:val="es-CO"/>
        </w:rPr>
        <w:footnoteReference w:id="255"/>
      </w:r>
      <w:r w:rsidRPr="0096658B">
        <w:rPr>
          <w:rFonts w:ascii="Times New Roman" w:hAnsi="Times New Roman" w:cs="Times New Roman"/>
          <w:color w:val="000000" w:themeColor="text1"/>
        </w:rPr>
        <w:t>. Este derecho ha sido definido como aquel “</w:t>
      </w:r>
      <w:r w:rsidRPr="0096658B">
        <w:rPr>
          <w:rFonts w:ascii="Times New Roman" w:hAnsi="Times New Roman" w:cs="Times New Roman"/>
          <w:iCs/>
          <w:color w:val="000000" w:themeColor="text1"/>
        </w:rPr>
        <w:t>que le asiste a toda persona de construir, desarrollar y expresar su vi</w:t>
      </w:r>
      <w:r w:rsidRPr="0096658B">
        <w:rPr>
          <w:rFonts w:ascii="Times New Roman" w:hAnsi="Times New Roman" w:cs="Times New Roman"/>
          <w:iCs/>
          <w:color w:val="000000" w:themeColor="text1"/>
        </w:rPr>
        <w:t xml:space="preserve">vencia de género de manera </w:t>
      </w:r>
      <w:r w:rsidRPr="0096658B">
        <w:rPr>
          <w:rFonts w:ascii="Times New Roman" w:hAnsi="Times New Roman" w:cs="Times New Roman"/>
          <w:color w:val="000000" w:themeColor="text1"/>
        </w:rPr>
        <w:t>libre y autónoma</w:t>
      </w:r>
      <w:r w:rsidRPr="0096658B">
        <w:rPr>
          <w:rFonts w:ascii="Times New Roman" w:hAnsi="Times New Roman" w:cs="Times New Roman"/>
          <w:iCs/>
          <w:color w:val="000000" w:themeColor="text1"/>
        </w:rPr>
        <w:t>, así como de reivindicar para sí la categoría social identitaria</w:t>
      </w:r>
      <w:r w:rsidRPr="0096658B">
        <w:rPr>
          <w:rFonts w:ascii="Times New Roman" w:hAnsi="Times New Roman" w:cs="Times New Roman"/>
          <w:i/>
          <w:iCs/>
          <w:color w:val="000000" w:themeColor="text1"/>
        </w:rPr>
        <w:t xml:space="preserve"> </w:t>
      </w:r>
      <w:r w:rsidRPr="0096658B">
        <w:rPr>
          <w:rFonts w:ascii="Times New Roman" w:hAnsi="Times New Roman" w:cs="Times New Roman"/>
          <w:iCs/>
          <w:color w:val="000000" w:themeColor="text1"/>
        </w:rPr>
        <w:t>que mejor la represente”</w:t>
      </w:r>
      <w:r w:rsidRPr="0096658B">
        <w:rPr>
          <w:rStyle w:val="Refdenotaalpie"/>
          <w:rFonts w:ascii="Times New Roman" w:hAnsi="Times New Roman"/>
          <w:iCs/>
          <w:color w:val="000000" w:themeColor="text1"/>
        </w:rPr>
        <w:footnoteReference w:id="256"/>
      </w:r>
      <w:r w:rsidRPr="0096658B">
        <w:rPr>
          <w:rFonts w:ascii="Times New Roman" w:hAnsi="Times New Roman" w:cs="Times New Roman"/>
          <w:iCs/>
          <w:color w:val="000000" w:themeColor="text1"/>
        </w:rPr>
        <w:t xml:space="preserve">. La Corte ha precisado que el derecho a la identidad de género comprende tres garantías </w:t>
      </w:r>
      <w:r w:rsidRPr="0096658B">
        <w:rPr>
          <w:rFonts w:ascii="Times New Roman" w:hAnsi="Times New Roman" w:cs="Times New Roman"/>
          <w:i/>
          <w:color w:val="000000" w:themeColor="text1"/>
        </w:rPr>
        <w:t>iusfundamentales</w:t>
      </w:r>
      <w:r w:rsidRPr="0096658B">
        <w:rPr>
          <w:rFonts w:ascii="Times New Roman" w:hAnsi="Times New Roman" w:cs="Times New Roman"/>
          <w:iCs/>
          <w:color w:val="000000" w:themeColor="text1"/>
        </w:rPr>
        <w:t xml:space="preserve">: </w:t>
      </w:r>
      <w:r w:rsidRPr="0096658B">
        <w:rPr>
          <w:rFonts w:ascii="Times New Roman" w:hAnsi="Times New Roman" w:cs="Times New Roman"/>
          <w:bCs/>
          <w:i/>
          <w:iCs/>
          <w:color w:val="000000" w:themeColor="text1"/>
        </w:rPr>
        <w:t>(i)</w:t>
      </w:r>
      <w:r w:rsidRPr="0096658B">
        <w:rPr>
          <w:rFonts w:ascii="Times New Roman" w:hAnsi="Times New Roman" w:cs="Times New Roman"/>
          <w:bCs/>
          <w:iCs/>
          <w:color w:val="000000" w:themeColor="text1"/>
        </w:rPr>
        <w:t xml:space="preserve"> la facultad de desarrollar la identidad de género de forma libre y autónoma, </w:t>
      </w:r>
      <w:r w:rsidRPr="0096658B">
        <w:rPr>
          <w:rFonts w:ascii="Times New Roman" w:hAnsi="Times New Roman" w:cs="Times New Roman"/>
          <w:bCs/>
          <w:i/>
          <w:color w:val="000000" w:themeColor="text1"/>
        </w:rPr>
        <w:t>(ii)</w:t>
      </w:r>
      <w:r w:rsidRPr="0096658B">
        <w:rPr>
          <w:rFonts w:ascii="Times New Roman" w:hAnsi="Times New Roman" w:cs="Times New Roman"/>
          <w:bCs/>
          <w:color w:val="000000" w:themeColor="text1"/>
        </w:rPr>
        <w:t xml:space="preserve"> el derecho a la expresión del género </w:t>
      </w:r>
      <w:r w:rsidRPr="0096658B">
        <w:rPr>
          <w:rFonts w:ascii="Times New Roman" w:hAnsi="Times New Roman" w:cs="Times New Roman"/>
          <w:bCs/>
          <w:iCs/>
          <w:color w:val="000000" w:themeColor="text1"/>
        </w:rPr>
        <w:t xml:space="preserve">y </w:t>
      </w:r>
      <w:r w:rsidRPr="0096658B">
        <w:rPr>
          <w:rFonts w:ascii="Times New Roman" w:hAnsi="Times New Roman" w:cs="Times New Roman"/>
          <w:bCs/>
          <w:i/>
          <w:color w:val="000000" w:themeColor="text1"/>
        </w:rPr>
        <w:t>(iii)</w:t>
      </w:r>
      <w:r w:rsidRPr="0096658B">
        <w:rPr>
          <w:rFonts w:ascii="Times New Roman" w:hAnsi="Times New Roman" w:cs="Times New Roman"/>
          <w:bCs/>
          <w:iCs/>
          <w:color w:val="000000" w:themeColor="text1"/>
        </w:rPr>
        <w:t xml:space="preserve"> la prohibición de discriminación en razón de la identidad de género</w:t>
      </w:r>
      <w:r w:rsidRPr="0096658B">
        <w:rPr>
          <w:rStyle w:val="Refdenotaalpie"/>
          <w:rFonts w:ascii="Times New Roman" w:hAnsi="Times New Roman"/>
          <w:bCs/>
          <w:iCs/>
          <w:color w:val="000000" w:themeColor="text1"/>
          <w:lang w:val="es-CO" w:eastAsia="en-US"/>
        </w:rPr>
        <w:footnoteReference w:id="257"/>
      </w:r>
      <w:r w:rsidRPr="0096658B">
        <w:rPr>
          <w:rFonts w:ascii="Times New Roman" w:hAnsi="Times New Roman" w:cs="Times New Roman"/>
          <w:bCs/>
          <w:iCs/>
          <w:color w:val="000000" w:themeColor="text1"/>
        </w:rPr>
        <w:t>.</w:t>
      </w:r>
    </w:p>
    <w:p w:rsidR="003F137D" w:rsidRPr="0096658B" w:rsidRDefault="0096658B" w:rsidP="003F137D">
      <w:pPr>
        <w:rPr>
          <w:rFonts w:ascii="Times New Roman" w:hAnsi="Times New Roman" w:cs="Times New Roman"/>
          <w:i/>
          <w:iCs/>
          <w:color w:val="000000" w:themeColor="text1"/>
          <w:sz w:val="28"/>
        </w:rPr>
      </w:pPr>
    </w:p>
    <w:p w:rsidR="003F137D" w:rsidRPr="0096658B" w:rsidRDefault="0096658B" w:rsidP="003F137D">
      <w:pPr>
        <w:pStyle w:val="Prrafodelista"/>
        <w:numPr>
          <w:ilvl w:val="0"/>
          <w:numId w:val="5"/>
        </w:numPr>
        <w:ind w:left="0" w:firstLine="0"/>
        <w:jc w:val="both"/>
        <w:rPr>
          <w:rFonts w:ascii="Times New Roman" w:hAnsi="Times New Roman" w:cs="Times New Roman"/>
          <w:color w:val="000000" w:themeColor="text1"/>
        </w:rPr>
      </w:pPr>
      <w:r w:rsidRPr="0096658B">
        <w:rPr>
          <w:rFonts w:ascii="Times New Roman" w:hAnsi="Times New Roman" w:cs="Times New Roman"/>
          <w:i/>
          <w:iCs/>
          <w:color w:val="000000" w:themeColor="text1"/>
        </w:rPr>
        <w:t>Protección de los derechos de las personas no binarias</w:t>
      </w:r>
      <w:r w:rsidRPr="0096658B">
        <w:rPr>
          <w:rFonts w:ascii="Times New Roman" w:hAnsi="Times New Roman" w:cs="Times New Roman"/>
          <w:color w:val="000000" w:themeColor="text1"/>
        </w:rPr>
        <w:t>. E</w:t>
      </w:r>
      <w:r w:rsidRPr="0096658B">
        <w:rPr>
          <w:rFonts w:ascii="Times New Roman" w:hAnsi="Times New Roman" w:cs="Times New Roman"/>
          <w:color w:val="000000" w:themeColor="text1"/>
        </w:rPr>
        <w:t xml:space="preserve">n pasadas oportunidades, la Corte Constitucional ha protegido los derechos fundamentales de las personas no binarias, cuando estos se ven vulnerados o amenazados por su identidad de género. Por una parte, en la sentencia T-033 de 2022, la Corte amparó los </w:t>
      </w:r>
      <w:r w:rsidRPr="0096658B">
        <w:rPr>
          <w:rFonts w:ascii="Times New Roman" w:hAnsi="Times New Roman" w:cs="Times New Roman"/>
          <w:color w:val="000000" w:themeColor="text1"/>
        </w:rPr>
        <w:t>derechos a la igualdad, a la dignidad humana, a la personalidad jurídica y al libre desarrollo de la personalidad de una persona no binaria que pretendía el cambio del componente sexo de su documento de identidad. En esa ocasión, la Corte reconoció la exis</w:t>
      </w:r>
      <w:r w:rsidRPr="0096658B">
        <w:rPr>
          <w:rFonts w:ascii="Times New Roman" w:hAnsi="Times New Roman" w:cs="Times New Roman"/>
          <w:color w:val="000000" w:themeColor="text1"/>
        </w:rPr>
        <w:t>tencia de un “déficit de protección de algunas personas no binarias</w:t>
      </w:r>
      <w:r w:rsidRPr="0096658B">
        <w:rPr>
          <w:rFonts w:ascii="Times New Roman" w:hAnsi="Times New Roman" w:cs="Times New Roman"/>
          <w:color w:val="000000" w:themeColor="text1"/>
        </w:rPr>
        <w:t xml:space="preserve"> </w:t>
      </w:r>
      <w:r w:rsidRPr="0096658B">
        <w:rPr>
          <w:rFonts w:ascii="Times New Roman" w:hAnsi="Times New Roman" w:cs="Times New Roman"/>
          <w:color w:val="000000" w:themeColor="text1"/>
        </w:rPr>
        <w:t>[que se concreta] en la ausencia de mecanismos registrales para integrar las identidades no binarias al sistema de identificación ciudadana”. Es más, advirtió que la aproximación binaria d</w:t>
      </w:r>
      <w:r w:rsidRPr="0096658B">
        <w:rPr>
          <w:rFonts w:ascii="Times New Roman" w:hAnsi="Times New Roman" w:cs="Times New Roman"/>
          <w:color w:val="000000" w:themeColor="text1"/>
        </w:rPr>
        <w:t>el género que “opera actualmente [en] el Estado, sus instituciones, la sociedad y la misma ciudadanía, y que se proyecta en el sistema de identificación vigente, resulta contraria a la Constitución”. Esto último, toda vez que la ausencia del reconocimiento</w:t>
      </w:r>
      <w:r w:rsidRPr="0096658B">
        <w:rPr>
          <w:rFonts w:ascii="Times New Roman" w:hAnsi="Times New Roman" w:cs="Times New Roman"/>
          <w:color w:val="000000" w:themeColor="text1"/>
        </w:rPr>
        <w:t xml:space="preserve"> de su identidad de género en su documento de identidad constituye un trato diferenciado hacia las personas no binarias, en relación con las personas cisgénero, transgénero e intersexuales, que se identifican con alguna identidad de género binaria.</w:t>
      </w:r>
    </w:p>
    <w:p w:rsidR="003F137D" w:rsidRPr="0096658B" w:rsidRDefault="0096658B" w:rsidP="003F137D">
      <w:pPr>
        <w:pStyle w:val="Prrafodelista"/>
        <w:rPr>
          <w:rFonts w:ascii="Times New Roman" w:hAnsi="Times New Roman" w:cs="Times New Roman"/>
          <w:color w:val="000000" w:themeColor="text1"/>
        </w:rPr>
      </w:pPr>
    </w:p>
    <w:p w:rsidR="003F137D" w:rsidRPr="0096658B" w:rsidRDefault="0096658B" w:rsidP="003F137D">
      <w:pPr>
        <w:pStyle w:val="Prrafodelista"/>
        <w:numPr>
          <w:ilvl w:val="0"/>
          <w:numId w:val="5"/>
        </w:numPr>
        <w:ind w:left="0" w:firstLine="0"/>
        <w:jc w:val="both"/>
        <w:rPr>
          <w:rFonts w:ascii="Times New Roman" w:hAnsi="Times New Roman" w:cs="Times New Roman"/>
          <w:color w:val="000000" w:themeColor="text1"/>
        </w:rPr>
      </w:pPr>
      <w:r w:rsidRPr="0096658B">
        <w:rPr>
          <w:rFonts w:ascii="Times New Roman" w:hAnsi="Times New Roman" w:cs="Times New Roman"/>
          <w:color w:val="000000" w:themeColor="text1"/>
        </w:rPr>
        <w:t>En est</w:t>
      </w:r>
      <w:r w:rsidRPr="0096658B">
        <w:rPr>
          <w:rFonts w:ascii="Times New Roman" w:hAnsi="Times New Roman" w:cs="Times New Roman"/>
          <w:color w:val="000000" w:themeColor="text1"/>
        </w:rPr>
        <w:t xml:space="preserve">e mismo sentido, por medio de la Sentencia C-408 de 2023, la Sala Plena </w:t>
      </w:r>
      <w:r w:rsidRPr="0096658B">
        <w:rPr>
          <w:rFonts w:ascii="Times New Roman" w:hAnsi="Times New Roman" w:cs="Times New Roman"/>
          <w:color w:val="000000" w:themeColor="text1"/>
        </w:rPr>
        <w:t xml:space="preserve">constató </w:t>
      </w:r>
      <w:r w:rsidRPr="0096658B">
        <w:rPr>
          <w:rFonts w:ascii="Times New Roman" w:hAnsi="Times New Roman" w:cs="Times New Roman"/>
          <w:color w:val="000000" w:themeColor="text1"/>
        </w:rPr>
        <w:t>una omisión legislativa absoluta respecto de los requisitos que debe cumplir una persona no binaria para acceder a su pensión de vejez. En esa ocasión, la Corte recordó que el</w:t>
      </w:r>
      <w:r w:rsidRPr="0096658B">
        <w:rPr>
          <w:rFonts w:ascii="Times New Roman" w:hAnsi="Times New Roman" w:cs="Times New Roman"/>
          <w:color w:val="000000" w:themeColor="text1"/>
        </w:rPr>
        <w:t xml:space="preserve"> derecho al reconocimiento jurídico de la población con identidad de género diversa tiene una protección constitucional reforzada. Esto, toda vez que “dicho reconocimiento es una herramienta que puede reducir sensiblemente la exclusión social y la falta de</w:t>
      </w:r>
      <w:r w:rsidRPr="0096658B">
        <w:rPr>
          <w:rFonts w:ascii="Times New Roman" w:hAnsi="Times New Roman" w:cs="Times New Roman"/>
          <w:color w:val="000000" w:themeColor="text1"/>
        </w:rPr>
        <w:t xml:space="preserve"> oportunidades de esta población”. Es más, afirmó que “la ausencia de reconocimiento de los efectos del cambio o la corrección de la identidad de género de estas personas por parte de las autoridades y los particulares constituye un obstáculo al reconocimi</w:t>
      </w:r>
      <w:r w:rsidRPr="0096658B">
        <w:rPr>
          <w:rFonts w:ascii="Times New Roman" w:hAnsi="Times New Roman" w:cs="Times New Roman"/>
          <w:color w:val="000000" w:themeColor="text1"/>
        </w:rPr>
        <w:t>ento pleno de su personalidad jurídica y crea diferencias de trato y oportunidades entre las personas cisgénero y las personas con identidad de género diversa”.</w:t>
      </w:r>
    </w:p>
    <w:p w:rsidR="00113515" w:rsidRPr="0096658B" w:rsidRDefault="0096658B" w:rsidP="00113515">
      <w:pPr>
        <w:pStyle w:val="Prrafodelista"/>
        <w:rPr>
          <w:rFonts w:ascii="Times New Roman" w:hAnsi="Times New Roman" w:cs="Times New Roman"/>
          <w:color w:val="000000" w:themeColor="text1"/>
        </w:rPr>
      </w:pPr>
    </w:p>
    <w:p w:rsidR="00B70FBE" w:rsidRPr="0096658B" w:rsidRDefault="0096658B" w:rsidP="00362095">
      <w:pPr>
        <w:pStyle w:val="Prrafodelista"/>
        <w:numPr>
          <w:ilvl w:val="0"/>
          <w:numId w:val="5"/>
        </w:numPr>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color w:val="000000" w:themeColor="text1"/>
        </w:rPr>
        <w:t xml:space="preserve">El artículo 1° no </w:t>
      </w:r>
      <w:r w:rsidRPr="0096658B">
        <w:rPr>
          <w:rFonts w:ascii="Times New Roman" w:hAnsi="Times New Roman" w:cs="Times New Roman"/>
          <w:i/>
          <w:color w:val="000000" w:themeColor="text1"/>
        </w:rPr>
        <w:t>regula</w:t>
      </w:r>
      <w:r w:rsidRPr="0096658B">
        <w:rPr>
          <w:rFonts w:ascii="Times New Roman" w:hAnsi="Times New Roman" w:cs="Times New Roman"/>
          <w:i/>
          <w:color w:val="000000" w:themeColor="text1"/>
        </w:rPr>
        <w:t xml:space="preserve"> los derechos de las personas no binarias. </w:t>
      </w:r>
      <w:r w:rsidRPr="0096658B">
        <w:rPr>
          <w:rFonts w:ascii="Times New Roman" w:hAnsi="Times New Roman" w:cs="Times New Roman"/>
          <w:color w:val="000000" w:themeColor="text1"/>
        </w:rPr>
        <w:t xml:space="preserve">La Corte encuentra que la </w:t>
      </w:r>
      <w:r w:rsidRPr="0096658B">
        <w:rPr>
          <w:rFonts w:ascii="Times New Roman" w:hAnsi="Times New Roman" w:cs="Times New Roman"/>
          <w:color w:val="000000" w:themeColor="text1"/>
        </w:rPr>
        <w:t>disposición analizada no involucra la negación de los derechos de las personas no binarias</w:t>
      </w:r>
      <w:r w:rsidRPr="0096658B">
        <w:rPr>
          <w:rFonts w:ascii="Times New Roman" w:hAnsi="Times New Roman" w:cs="Times New Roman"/>
          <w:color w:val="000000" w:themeColor="text1"/>
        </w:rPr>
        <w:t>, en tanto que su objeto de regulación no se predica de ellas, sino que está concentrado exclusivamente en los derechos de participación de las mujeres</w:t>
      </w:r>
      <w:r w:rsidRPr="0096658B">
        <w:rPr>
          <w:rFonts w:ascii="Times New Roman" w:hAnsi="Times New Roman" w:cs="Times New Roman"/>
          <w:color w:val="000000" w:themeColor="text1"/>
        </w:rPr>
        <w:t>.</w:t>
      </w:r>
      <w:r w:rsidRPr="0096658B">
        <w:rPr>
          <w:rFonts w:ascii="Times New Roman" w:hAnsi="Times New Roman" w:cs="Times New Roman"/>
          <w:color w:val="000000" w:themeColor="text1"/>
        </w:rPr>
        <w:t xml:space="preserve"> Como se evide</w:t>
      </w:r>
      <w:r w:rsidRPr="0096658B">
        <w:rPr>
          <w:rFonts w:ascii="Times New Roman" w:hAnsi="Times New Roman" w:cs="Times New Roman"/>
          <w:color w:val="000000" w:themeColor="text1"/>
        </w:rPr>
        <w:t>nció por parte de la Cámara de Representantes durante el trámite legislativo</w:t>
      </w:r>
      <w:r w:rsidRPr="0096658B">
        <w:rPr>
          <w:rFonts w:ascii="Times New Roman" w:hAnsi="Times New Roman" w:cs="Times New Roman"/>
          <w:color w:val="000000" w:themeColor="text1"/>
        </w:rPr>
        <w:t xml:space="preserve"> (</w:t>
      </w:r>
      <w:r w:rsidRPr="0096658B">
        <w:rPr>
          <w:rFonts w:ascii="Times New Roman" w:hAnsi="Times New Roman" w:cs="Times New Roman"/>
          <w:i/>
          <w:iCs/>
          <w:color w:val="000000" w:themeColor="text1"/>
        </w:rPr>
        <w:t xml:space="preserve">supra </w:t>
      </w:r>
      <w:r w:rsidRPr="0096658B">
        <w:rPr>
          <w:rFonts w:ascii="Times New Roman" w:hAnsi="Times New Roman" w:cs="Times New Roman"/>
          <w:color w:val="000000" w:themeColor="text1"/>
        </w:rPr>
        <w:t>fundamento 38)</w:t>
      </w:r>
      <w:r w:rsidRPr="0096658B">
        <w:rPr>
          <w:rFonts w:ascii="Times New Roman" w:hAnsi="Times New Roman" w:cs="Times New Roman"/>
          <w:color w:val="000000" w:themeColor="text1"/>
        </w:rPr>
        <w:t xml:space="preserve"> y ante el cuestionamiento de un congresista sobre ese particular, la regulación de los derechos de acceso a los </w:t>
      </w:r>
      <w:r w:rsidRPr="0096658B">
        <w:rPr>
          <w:rFonts w:ascii="Times New Roman" w:hAnsi="Times New Roman" w:cs="Times New Roman"/>
          <w:color w:val="000000" w:themeColor="text1"/>
        </w:rPr>
        <w:t>CMND y los CND</w:t>
      </w:r>
      <w:r w:rsidRPr="0096658B">
        <w:rPr>
          <w:rFonts w:ascii="Times New Roman" w:hAnsi="Times New Roman" w:cs="Times New Roman"/>
          <w:color w:val="000000" w:themeColor="text1"/>
        </w:rPr>
        <w:t xml:space="preserve"> de las personas no binarias es</w:t>
      </w:r>
      <w:r w:rsidRPr="0096658B">
        <w:rPr>
          <w:rFonts w:ascii="Times New Roman" w:hAnsi="Times New Roman" w:cs="Times New Roman"/>
          <w:color w:val="000000" w:themeColor="text1"/>
        </w:rPr>
        <w:t xml:space="preserve"> un asunto diferente al contemplado en el PLE. Adicionalmente, no puede perderse de vista que la problemática propia de las barreras de acceso de las mujeres a los cargos directivos del Estado no es asimilable a la condición de las personas no binarias. De</w:t>
      </w:r>
      <w:r w:rsidRPr="0096658B">
        <w:rPr>
          <w:rFonts w:ascii="Times New Roman" w:hAnsi="Times New Roman" w:cs="Times New Roman"/>
          <w:color w:val="000000" w:themeColor="text1"/>
        </w:rPr>
        <w:t xml:space="preserve"> esta manera, la Corte encuentra que en este caso se está ante una omisión legislativa absoluta, </w:t>
      </w:r>
      <w:r w:rsidRPr="0096658B">
        <w:rPr>
          <w:rFonts w:ascii="Times New Roman" w:hAnsi="Times New Roman" w:cs="Times New Roman"/>
          <w:color w:val="000000" w:themeColor="text1"/>
        </w:rPr>
        <w:t>respecto de la cual carece de competencia</w:t>
      </w:r>
      <w:r w:rsidRPr="0096658B">
        <w:rPr>
          <w:rStyle w:val="Refdenotaalpie"/>
          <w:rFonts w:ascii="Times New Roman" w:hAnsi="Times New Roman"/>
          <w:color w:val="000000" w:themeColor="text1"/>
        </w:rPr>
        <w:footnoteReference w:id="258"/>
      </w:r>
      <w:r w:rsidRPr="0096658B">
        <w:rPr>
          <w:rFonts w:ascii="Times New Roman" w:hAnsi="Times New Roman" w:cs="Times New Roman"/>
          <w:color w:val="000000" w:themeColor="text1"/>
        </w:rPr>
        <w:t xml:space="preserve">, </w:t>
      </w:r>
      <w:r w:rsidRPr="0096658B">
        <w:rPr>
          <w:rFonts w:ascii="Times New Roman" w:hAnsi="Times New Roman" w:cs="Times New Roman"/>
          <w:color w:val="000000" w:themeColor="text1"/>
        </w:rPr>
        <w:t>lo cual impide un pronunciamiento sobre la constitucionalidad de ese asunto. Así, de manera correlativa, hace parte</w:t>
      </w:r>
      <w:r w:rsidRPr="0096658B">
        <w:rPr>
          <w:rFonts w:ascii="Times New Roman" w:hAnsi="Times New Roman" w:cs="Times New Roman"/>
          <w:color w:val="000000" w:themeColor="text1"/>
        </w:rPr>
        <w:t xml:space="preserve"> de la competencia del Legislador estatutario optar por regular ese asunto si así lo considera conveniente y fundado en el análisis de las condiciones específicas de la población no binaria.  </w:t>
      </w:r>
      <w:r w:rsidRPr="0096658B">
        <w:rPr>
          <w:rFonts w:ascii="Times New Roman" w:hAnsi="Times New Roman" w:cs="Times New Roman"/>
          <w:color w:val="000000" w:themeColor="text1"/>
        </w:rPr>
        <w:t xml:space="preserve"> </w:t>
      </w:r>
    </w:p>
    <w:p w:rsidR="004A50B7" w:rsidRPr="0096658B" w:rsidRDefault="0096658B" w:rsidP="004A50B7">
      <w:pPr>
        <w:pStyle w:val="Prrafodelista"/>
        <w:ind w:left="0"/>
        <w:jc w:val="both"/>
        <w:rPr>
          <w:rFonts w:ascii="Times New Roman" w:hAnsi="Times New Roman" w:cs="Times New Roman"/>
          <w:color w:val="000000" w:themeColor="text1"/>
          <w:lang w:val="es-ES_tradnl"/>
        </w:rPr>
      </w:pPr>
    </w:p>
    <w:p w:rsidR="0023654F" w:rsidRPr="0096658B" w:rsidRDefault="0096658B" w:rsidP="0023654F">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iCs/>
          <w:color w:val="000000" w:themeColor="text1"/>
          <w:lang w:val="es-ES_tradnl"/>
        </w:rPr>
        <w:t>Constitucionalidad</w:t>
      </w:r>
      <w:r w:rsidRPr="0096658B">
        <w:rPr>
          <w:rFonts w:ascii="Times New Roman" w:hAnsi="Times New Roman" w:cs="Times New Roman"/>
          <w:i/>
          <w:iCs/>
          <w:color w:val="000000" w:themeColor="text1"/>
          <w:lang w:val="es-ES_tradnl"/>
        </w:rPr>
        <w:t xml:space="preserve"> condicionada</w:t>
      </w:r>
      <w:r w:rsidRPr="0096658B">
        <w:rPr>
          <w:rFonts w:ascii="Times New Roman" w:hAnsi="Times New Roman" w:cs="Times New Roman"/>
          <w:i/>
          <w:iCs/>
          <w:color w:val="000000" w:themeColor="text1"/>
          <w:lang w:val="es-ES_tradnl"/>
        </w:rPr>
        <w:t xml:space="preserve"> del parágrafo</w:t>
      </w:r>
      <w:r w:rsidRPr="0096658B">
        <w:rPr>
          <w:rFonts w:ascii="Times New Roman" w:hAnsi="Times New Roman" w:cs="Times New Roman"/>
          <w:i/>
          <w:iCs/>
          <w:color w:val="000000" w:themeColor="text1"/>
          <w:lang w:val="es-ES_tradnl"/>
        </w:rPr>
        <w:t xml:space="preserve"> segundo</w:t>
      </w:r>
      <w:r w:rsidRPr="0096658B">
        <w:rPr>
          <w:rFonts w:ascii="Times New Roman" w:hAnsi="Times New Roman" w:cs="Times New Roman"/>
          <w:i/>
          <w:iCs/>
          <w:color w:val="000000" w:themeColor="text1"/>
          <w:lang w:val="es-ES_tradnl"/>
        </w:rPr>
        <w:t xml:space="preserve">. </w:t>
      </w:r>
      <w:r w:rsidRPr="0096658B">
        <w:rPr>
          <w:rFonts w:ascii="Times New Roman" w:hAnsi="Times New Roman" w:cs="Times New Roman"/>
          <w:color w:val="000000" w:themeColor="text1"/>
          <w:lang w:val="es-ES_tradnl"/>
        </w:rPr>
        <w:t xml:space="preserve">El artículo 1° del PLE adiciona un parágrafo </w:t>
      </w:r>
      <w:r w:rsidRPr="0096658B">
        <w:rPr>
          <w:rFonts w:ascii="Times New Roman" w:hAnsi="Times New Roman" w:cs="Times New Roman"/>
          <w:color w:val="000000" w:themeColor="text1"/>
          <w:lang w:val="es-ES_tradnl"/>
        </w:rPr>
        <w:t>al artículo 4° de la Ley 581 de 2000</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con el fin de investir al Gobierno Nacional de la facultad para</w:t>
      </w:r>
      <w:r w:rsidRPr="0096658B">
        <w:rPr>
          <w:rFonts w:ascii="Times New Roman" w:hAnsi="Times New Roman" w:cs="Times New Roman"/>
          <w:color w:val="000000" w:themeColor="text1"/>
          <w:lang w:val="es-ES_tradnl"/>
        </w:rPr>
        <w:t xml:space="preserve"> que</w:t>
      </w:r>
      <w:r w:rsidRPr="0096658B">
        <w:rPr>
          <w:rFonts w:ascii="Times New Roman" w:hAnsi="Times New Roman" w:cs="Times New Roman"/>
          <w:color w:val="000000" w:themeColor="text1"/>
          <w:lang w:val="es-ES_tradnl"/>
        </w:rPr>
        <w:t xml:space="preserve">, en el plazo de seis meses, reglamente los cargos a los que se les aplicará la disposición analizada. La </w:t>
      </w:r>
      <w:r w:rsidRPr="0096658B">
        <w:rPr>
          <w:rFonts w:ascii="Times New Roman" w:hAnsi="Times New Roman" w:cs="Times New Roman"/>
          <w:color w:val="000000" w:themeColor="text1"/>
          <w:lang w:val="es-ES_tradnl"/>
        </w:rPr>
        <w:t>Corte considera que esta disposición es</w:t>
      </w:r>
      <w:r w:rsidRPr="0096658B">
        <w:rPr>
          <w:rFonts w:ascii="Times New Roman" w:hAnsi="Times New Roman" w:cs="Times New Roman"/>
          <w:color w:val="000000" w:themeColor="text1"/>
          <w:lang w:val="es-ES_tradnl"/>
        </w:rPr>
        <w:t xml:space="preserve">, de manera general, </w:t>
      </w:r>
      <w:r w:rsidRPr="0096658B">
        <w:rPr>
          <w:rFonts w:ascii="Times New Roman" w:hAnsi="Times New Roman" w:cs="Times New Roman"/>
          <w:color w:val="000000" w:themeColor="text1"/>
          <w:lang w:val="es-ES_tradnl"/>
        </w:rPr>
        <w:t>compatible con la Carta Política</w:t>
      </w:r>
      <w:r w:rsidRPr="0096658B">
        <w:rPr>
          <w:rFonts w:ascii="Times New Roman" w:hAnsi="Times New Roman" w:cs="Times New Roman"/>
          <w:color w:val="000000" w:themeColor="text1"/>
          <w:lang w:val="es-ES_tradnl"/>
        </w:rPr>
        <w:t xml:space="preserve">, puesto que </w:t>
      </w:r>
      <w:r w:rsidRPr="0096658B">
        <w:rPr>
          <w:rFonts w:ascii="Times New Roman" w:hAnsi="Times New Roman" w:cs="Times New Roman"/>
          <w:i/>
          <w:iCs/>
          <w:color w:val="000000" w:themeColor="text1"/>
          <w:lang w:val="es-ES_tradnl"/>
        </w:rPr>
        <w:t>(i)</w:t>
      </w:r>
      <w:r w:rsidRPr="0096658B">
        <w:rPr>
          <w:rFonts w:ascii="Times New Roman" w:hAnsi="Times New Roman" w:cs="Times New Roman"/>
          <w:color w:val="000000" w:themeColor="text1"/>
          <w:lang w:val="es-ES_tradnl"/>
        </w:rPr>
        <w:t xml:space="preserve"> reitera la competencia constitucional del Gobierno para ejercer la facultad reglamentaria; y </w:t>
      </w:r>
      <w:r w:rsidRPr="0096658B">
        <w:rPr>
          <w:rFonts w:ascii="Times New Roman" w:hAnsi="Times New Roman" w:cs="Times New Roman"/>
          <w:i/>
          <w:iCs/>
          <w:color w:val="000000" w:themeColor="text1"/>
          <w:lang w:val="es-ES_tradnl"/>
        </w:rPr>
        <w:t>(ii)</w:t>
      </w:r>
      <w:r w:rsidRPr="0096658B">
        <w:rPr>
          <w:rFonts w:ascii="Times New Roman" w:hAnsi="Times New Roman" w:cs="Times New Roman"/>
          <w:color w:val="000000" w:themeColor="text1"/>
          <w:lang w:val="es-ES_tradnl"/>
        </w:rPr>
        <w:t xml:space="preserve"> la materia mencionada no está </w:t>
      </w:r>
      <w:r w:rsidRPr="0096658B">
        <w:rPr>
          <w:rFonts w:ascii="Times New Roman" w:hAnsi="Times New Roman" w:cs="Times New Roman"/>
          <w:i/>
          <w:iCs/>
          <w:color w:val="000000" w:themeColor="text1"/>
          <w:lang w:val="es-ES_tradnl"/>
        </w:rPr>
        <w:t xml:space="preserve">prima facie </w:t>
      </w:r>
      <w:r w:rsidRPr="0096658B">
        <w:rPr>
          <w:rFonts w:ascii="Times New Roman" w:hAnsi="Times New Roman" w:cs="Times New Roman"/>
          <w:color w:val="000000" w:themeColor="text1"/>
          <w:lang w:val="es-ES_tradnl"/>
        </w:rPr>
        <w:t>sometid</w:t>
      </w:r>
      <w:r w:rsidRPr="0096658B">
        <w:rPr>
          <w:rFonts w:ascii="Times New Roman" w:hAnsi="Times New Roman" w:cs="Times New Roman"/>
          <w:color w:val="000000" w:themeColor="text1"/>
          <w:lang w:val="es-ES_tradnl"/>
        </w:rPr>
        <w:t xml:space="preserve">a a reserva de ley, de modo que no se está ante un escenario de inválida deslegalización. </w:t>
      </w:r>
    </w:p>
    <w:p w:rsidR="0023654F" w:rsidRPr="0096658B" w:rsidRDefault="0096658B" w:rsidP="0023654F">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color w:val="000000" w:themeColor="text1"/>
          <w:lang w:val="es-ES_tradnl"/>
        </w:rPr>
      </w:pPr>
    </w:p>
    <w:p w:rsidR="0084620C" w:rsidRPr="0096658B" w:rsidRDefault="0096658B" w:rsidP="0067161C">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color w:val="000000" w:themeColor="text1"/>
          <w:lang w:val="es-ES_tradnl"/>
        </w:rPr>
        <w:t xml:space="preserve">El legislador estatutario no puede limitar temporalmente el ejercicio de la potestad reglamentaria. </w:t>
      </w:r>
      <w:r w:rsidRPr="0096658B">
        <w:rPr>
          <w:rFonts w:ascii="Times New Roman" w:hAnsi="Times New Roman" w:cs="Times New Roman"/>
          <w:color w:val="000000" w:themeColor="text1"/>
          <w:lang w:val="es-ES_tradnl"/>
        </w:rPr>
        <w:t>L</w:t>
      </w:r>
      <w:r w:rsidRPr="0096658B">
        <w:rPr>
          <w:rFonts w:ascii="Times New Roman" w:hAnsi="Times New Roman" w:cs="Times New Roman"/>
          <w:color w:val="000000" w:themeColor="text1"/>
          <w:lang w:val="es-ES_tradnl"/>
        </w:rPr>
        <w:t xml:space="preserve">a Sala encuentra que la disposición se limita a fijar un plazo </w:t>
      </w:r>
      <w:r w:rsidRPr="0096658B">
        <w:rPr>
          <w:rFonts w:ascii="Times New Roman" w:hAnsi="Times New Roman" w:cs="Times New Roman"/>
          <w:color w:val="000000" w:themeColor="text1"/>
          <w:lang w:val="es-ES_tradnl"/>
        </w:rPr>
        <w:t xml:space="preserve">para el ejercicio de una </w:t>
      </w:r>
      <w:r w:rsidRPr="0096658B">
        <w:rPr>
          <w:rFonts w:ascii="Times New Roman" w:hAnsi="Times New Roman" w:cs="Times New Roman"/>
          <w:color w:val="000000" w:themeColor="text1"/>
          <w:lang w:val="es-ES_tradnl"/>
        </w:rPr>
        <w:t>función que el artículo 189</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11 de la Constitución confiere al Gobierno de manera permanente, como es la de ejercer la actividad reglamentaria.</w:t>
      </w:r>
      <w:r w:rsidRPr="0096658B">
        <w:rPr>
          <w:rFonts w:ascii="Times New Roman" w:hAnsi="Times New Roman" w:cs="Times New Roman"/>
          <w:color w:val="000000" w:themeColor="text1"/>
          <w:lang w:val="es-ES_tradnl"/>
        </w:rPr>
        <w:t xml:space="preserve"> No se trata, en modo alguno, de una disposición que confiera facultades extraordinarias </w:t>
      </w:r>
      <w:r w:rsidRPr="0096658B">
        <w:rPr>
          <w:rFonts w:ascii="Times New Roman" w:hAnsi="Times New Roman" w:cs="Times New Roman"/>
          <w:color w:val="000000" w:themeColor="text1"/>
          <w:lang w:val="es-ES_tradnl"/>
        </w:rPr>
        <w:t>al Gobierno, puesto que simplemente reitera la competencia reglamentaria que, se insiste, tiene fundamento constitucional.</w:t>
      </w:r>
      <w:r w:rsidRPr="0096658B">
        <w:rPr>
          <w:rFonts w:ascii="Times New Roman" w:hAnsi="Times New Roman" w:cs="Times New Roman"/>
          <w:color w:val="000000" w:themeColor="text1"/>
          <w:lang w:val="es-ES_tradnl"/>
        </w:rPr>
        <w:t xml:space="preserve"> </w:t>
      </w:r>
    </w:p>
    <w:p w:rsidR="0084620C" w:rsidRPr="0096658B" w:rsidRDefault="0096658B" w:rsidP="0084620C">
      <w:pPr>
        <w:pStyle w:val="Prrafodelista"/>
        <w:rPr>
          <w:rFonts w:ascii="Times New Roman" w:hAnsi="Times New Roman" w:cs="Times New Roman"/>
          <w:color w:val="000000" w:themeColor="text1"/>
          <w:lang w:val="es-ES_tradnl"/>
        </w:rPr>
      </w:pPr>
    </w:p>
    <w:p w:rsidR="00D42AFC" w:rsidRPr="0096658B" w:rsidRDefault="0096658B" w:rsidP="0067161C">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En ese sentido, la norma reitera la titularidad de esa función</w:t>
      </w:r>
      <w:r w:rsidRPr="0096658B">
        <w:rPr>
          <w:rFonts w:ascii="Times New Roman" w:hAnsi="Times New Roman" w:cs="Times New Roman"/>
          <w:color w:val="000000" w:themeColor="text1"/>
          <w:lang w:val="es-ES_tradnl"/>
        </w:rPr>
        <w:t xml:space="preserve">, aunque la regla de determinación de plazo sí contradice la Carta </w:t>
      </w:r>
      <w:r w:rsidRPr="0096658B">
        <w:rPr>
          <w:rFonts w:ascii="Times New Roman" w:hAnsi="Times New Roman" w:cs="Times New Roman"/>
          <w:color w:val="000000" w:themeColor="text1"/>
          <w:lang w:val="es-ES_tradnl"/>
        </w:rPr>
        <w:t>Política.</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Una previsión</w:t>
      </w:r>
      <w:r w:rsidRPr="0096658B">
        <w:rPr>
          <w:rFonts w:ascii="Times New Roman" w:hAnsi="Times New Roman" w:cs="Times New Roman"/>
          <w:color w:val="000000" w:themeColor="text1"/>
          <w:lang w:val="es-ES_tradnl"/>
        </w:rPr>
        <w:t xml:space="preserve"> de esa naturaleza es incompatible con la mencionada disposición constitucional, puesto que la Carta adscribe al </w:t>
      </w:r>
      <w:r w:rsidRPr="0096658B">
        <w:rPr>
          <w:rFonts w:ascii="Times New Roman" w:hAnsi="Times New Roman" w:cs="Times New Roman"/>
          <w:color w:val="000000" w:themeColor="text1"/>
          <w:lang w:val="es-ES_tradnl"/>
        </w:rPr>
        <w:t>p</w:t>
      </w:r>
      <w:r w:rsidRPr="0096658B">
        <w:rPr>
          <w:rFonts w:ascii="Times New Roman" w:hAnsi="Times New Roman" w:cs="Times New Roman"/>
          <w:color w:val="000000" w:themeColor="text1"/>
          <w:lang w:val="es-ES_tradnl"/>
        </w:rPr>
        <w:t>residente</w:t>
      </w:r>
      <w:r w:rsidRPr="0096658B">
        <w:rPr>
          <w:rFonts w:ascii="Times New Roman" w:hAnsi="Times New Roman" w:cs="Times New Roman"/>
          <w:color w:val="000000" w:themeColor="text1"/>
          <w:lang w:val="es-ES_tradnl"/>
        </w:rPr>
        <w:t xml:space="preserve"> de la República</w:t>
      </w:r>
      <w:r w:rsidRPr="0096658B">
        <w:rPr>
          <w:rFonts w:ascii="Times New Roman" w:hAnsi="Times New Roman" w:cs="Times New Roman"/>
          <w:color w:val="000000" w:themeColor="text1"/>
          <w:lang w:val="es-ES_tradnl"/>
        </w:rPr>
        <w:t xml:space="preserve"> la potestad reglamentaria</w:t>
      </w:r>
      <w:r w:rsidRPr="0096658B">
        <w:rPr>
          <w:rFonts w:ascii="Times New Roman" w:hAnsi="Times New Roman" w:cs="Times New Roman"/>
          <w:color w:val="000000" w:themeColor="text1"/>
          <w:lang w:val="es-ES_tradnl"/>
        </w:rPr>
        <w:t xml:space="preserve"> con carácter permanente</w:t>
      </w:r>
      <w:r w:rsidRPr="0096658B">
        <w:rPr>
          <w:rFonts w:ascii="Times New Roman" w:hAnsi="Times New Roman" w:cs="Times New Roman"/>
          <w:color w:val="000000" w:themeColor="text1"/>
          <w:lang w:val="es-ES_tradnl"/>
        </w:rPr>
        <w:t xml:space="preserve"> y no confiere al Congreso la posibilidad de</w:t>
      </w:r>
      <w:r w:rsidRPr="0096658B">
        <w:rPr>
          <w:rFonts w:ascii="Times New Roman" w:hAnsi="Times New Roman" w:cs="Times New Roman"/>
          <w:color w:val="000000" w:themeColor="text1"/>
          <w:lang w:val="es-ES_tradnl"/>
        </w:rPr>
        <w:t xml:space="preserve"> circunscribirla temporal o materialmente. </w:t>
      </w:r>
    </w:p>
    <w:p w:rsidR="00B33579" w:rsidRPr="0096658B" w:rsidRDefault="0096658B" w:rsidP="00B33579">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color w:val="000000" w:themeColor="text1"/>
          <w:lang w:val="es-ES_tradnl"/>
        </w:rPr>
      </w:pPr>
    </w:p>
    <w:p w:rsidR="009841CC" w:rsidRPr="0096658B" w:rsidRDefault="0096658B" w:rsidP="0067161C">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Ante esta circunstancia, la jurisprudencia constitucional ha establecido dos tipos de soluciones.</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 xml:space="preserve">La primera solución consiste en la declaratoria de inconstitucionalidad de </w:t>
      </w:r>
      <w:r w:rsidRPr="0096658B">
        <w:rPr>
          <w:rFonts w:ascii="Times New Roman" w:hAnsi="Times New Roman" w:cs="Times New Roman"/>
          <w:color w:val="000000" w:themeColor="text1"/>
          <w:lang w:val="es-ES_tradnl"/>
        </w:rPr>
        <w:t>estas fórmulas normativas</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al oponerse</w:t>
      </w:r>
      <w:r w:rsidRPr="0096658B">
        <w:rPr>
          <w:rFonts w:ascii="Times New Roman" w:hAnsi="Times New Roman" w:cs="Times New Roman"/>
          <w:color w:val="000000" w:themeColor="text1"/>
          <w:lang w:val="es-ES_tradnl"/>
        </w:rPr>
        <w:t xml:space="preserve"> al carácter permanente del ejercicio de la facultad reglamentaria. Ejemplo de esta alternativa es l</w:t>
      </w:r>
      <w:r w:rsidRPr="0096658B">
        <w:rPr>
          <w:rFonts w:ascii="Times New Roman" w:hAnsi="Times New Roman" w:cs="Times New Roman"/>
          <w:color w:val="000000" w:themeColor="text1"/>
          <w:lang w:val="es-ES_tradnl"/>
        </w:rPr>
        <w:t xml:space="preserve">a sentencia C-066 de 1999. En esa oportunidad la Corte declaró inexequible </w:t>
      </w:r>
      <w:r w:rsidRPr="0096658B">
        <w:rPr>
          <w:rFonts w:ascii="Times New Roman" w:hAnsi="Times New Roman" w:cs="Times New Roman"/>
          <w:color w:val="000000" w:themeColor="text1"/>
          <w:lang w:val="es-ES_tradnl"/>
        </w:rPr>
        <w:t>el parágrafo del artículo 11</w:t>
      </w:r>
      <w:r w:rsidRPr="0096658B">
        <w:rPr>
          <w:rFonts w:ascii="Times New Roman" w:hAnsi="Times New Roman" w:cs="Times New Roman"/>
          <w:color w:val="000000" w:themeColor="text1"/>
          <w:lang w:val="es-ES_tradnl"/>
        </w:rPr>
        <w:t xml:space="preserve"> de la Ley </w:t>
      </w:r>
      <w:r w:rsidRPr="0096658B">
        <w:rPr>
          <w:rFonts w:ascii="Times New Roman" w:hAnsi="Times New Roman" w:cs="Times New Roman"/>
          <w:color w:val="000000" w:themeColor="text1"/>
          <w:lang w:val="es-ES_tradnl"/>
        </w:rPr>
        <w:t xml:space="preserve">336 de 1996, conforme al cual el Gobierno Nacional tendría seis meses, a partir de la entrada en vigencia de dicha ley, para </w:t>
      </w:r>
      <w:r w:rsidRPr="0096658B">
        <w:rPr>
          <w:rFonts w:ascii="Times New Roman" w:hAnsi="Times New Roman" w:cs="Times New Roman"/>
          <w:color w:val="000000" w:themeColor="text1"/>
          <w:lang w:val="es-ES_tradnl"/>
        </w:rPr>
        <w:t>reglamentar la habilitación de cada modo de transporte.</w:t>
      </w:r>
      <w:bookmarkEnd w:id="7"/>
      <w:bookmarkEnd w:id="8"/>
      <w:r w:rsidRPr="0096658B">
        <w:rPr>
          <w:rFonts w:ascii="Times New Roman" w:hAnsi="Times New Roman" w:cs="Times New Roman"/>
          <w:color w:val="000000" w:themeColor="text1"/>
          <w:lang w:val="es-ES_tradnl"/>
        </w:rPr>
        <w:t xml:space="preserve"> Este Tribunal concluyó que esa previsión resulta</w:t>
      </w:r>
      <w:r w:rsidRPr="0096658B">
        <w:rPr>
          <w:rFonts w:ascii="Times New Roman" w:hAnsi="Times New Roman" w:cs="Times New Roman"/>
          <w:color w:val="000000" w:themeColor="text1"/>
          <w:lang w:val="es-ES_tradnl"/>
        </w:rPr>
        <w:t>ba</w:t>
      </w:r>
      <w:r w:rsidRPr="0096658B">
        <w:rPr>
          <w:rFonts w:ascii="Times New Roman" w:hAnsi="Times New Roman" w:cs="Times New Roman"/>
          <w:color w:val="000000" w:themeColor="text1"/>
          <w:lang w:val="es-ES_tradnl"/>
        </w:rPr>
        <w:t xml:space="preserve"> inexequible “en razón de</w:t>
      </w:r>
      <w:r w:rsidRPr="0096658B">
        <w:rPr>
          <w:rFonts w:ascii="Times New Roman" w:hAnsi="Times New Roman" w:cs="Times New Roman"/>
          <w:color w:val="000000" w:themeColor="text1"/>
          <w:lang w:val="es-ES_tradnl"/>
        </w:rPr>
        <w:t xml:space="preserve"> la limitación de carácter temporal que en él se incluye al Gobierno Nacional para el ejercicio de la potestad reglamentaria, pues, se reitera ella corresponde al Presidente de la República como suprema autoridad administrativa conforme a lo dispuesto por </w:t>
      </w:r>
      <w:r w:rsidRPr="0096658B">
        <w:rPr>
          <w:rFonts w:ascii="Times New Roman" w:hAnsi="Times New Roman" w:cs="Times New Roman"/>
          <w:color w:val="000000" w:themeColor="text1"/>
          <w:lang w:val="es-ES_tradnl"/>
        </w:rPr>
        <w:t>el artículo 189, numeral 11 de la Constitución Nacional, quien la conserva durante todo el tiempo de vigencia de la ley sobre la cual pueda recaer el reglamento para su cumplida ejecución, lo que significa que el legislador no puede someterla a ningún plaz</w:t>
      </w:r>
      <w:r w:rsidRPr="0096658B">
        <w:rPr>
          <w:rFonts w:ascii="Times New Roman" w:hAnsi="Times New Roman" w:cs="Times New Roman"/>
          <w:color w:val="000000" w:themeColor="text1"/>
          <w:lang w:val="es-ES_tradnl"/>
        </w:rPr>
        <w:t>o, como lo hizo en el parágrafo que aquí se analiza”</w:t>
      </w:r>
      <w:r w:rsidRPr="0096658B">
        <w:rPr>
          <w:rStyle w:val="Refdenotaalpie"/>
          <w:rFonts w:ascii="Times New Roman" w:hAnsi="Times New Roman"/>
          <w:color w:val="000000" w:themeColor="text1"/>
          <w:lang w:val="es-ES_tradnl"/>
        </w:rPr>
        <w:footnoteReference w:id="259"/>
      </w:r>
      <w:r w:rsidRPr="0096658B">
        <w:rPr>
          <w:rFonts w:ascii="Times New Roman" w:hAnsi="Times New Roman" w:cs="Times New Roman"/>
          <w:color w:val="000000" w:themeColor="text1"/>
          <w:lang w:val="es-ES_tradnl"/>
        </w:rPr>
        <w:t>.</w:t>
      </w:r>
    </w:p>
    <w:p w:rsidR="005A68BB" w:rsidRPr="0096658B" w:rsidRDefault="0096658B" w:rsidP="005A68BB">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color w:val="000000" w:themeColor="text1"/>
          <w:lang w:val="es-ES_tradnl"/>
        </w:rPr>
      </w:pPr>
    </w:p>
    <w:p w:rsidR="005A68BB" w:rsidRPr="0096658B" w:rsidRDefault="0096658B" w:rsidP="0067161C">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La segunda alternativa adoptada por la Corte ha sido declarar la exequibilidad condicionada de las disposiciones que establecen límites temporales a la facultad reglamentaria</w:t>
      </w:r>
      <w:r w:rsidRPr="0096658B">
        <w:rPr>
          <w:rFonts w:ascii="Times New Roman" w:hAnsi="Times New Roman" w:cs="Times New Roman"/>
          <w:color w:val="000000" w:themeColor="text1"/>
          <w:lang w:val="es-ES_tradnl"/>
        </w:rPr>
        <w:t>, en el entendido de que el plazo previsto por el legislador carece de carácter preclusivo. Así por ejemplo, en la sentencia C-158 de 2021 se estudió la constitucionalidad del artículo 9º de la Ley 2038 de 2020, que faculta al Gobierno Nacional para que, e</w:t>
      </w:r>
      <w:r w:rsidRPr="0096658B">
        <w:rPr>
          <w:rFonts w:ascii="Times New Roman" w:hAnsi="Times New Roman" w:cs="Times New Roman"/>
          <w:color w:val="000000" w:themeColor="text1"/>
          <w:lang w:val="es-ES_tradnl"/>
        </w:rPr>
        <w:t xml:space="preserve">n el término de seis meses, reglamentara el Fondo de Sustentabilidad Pro-Cartagena 500 años, regulado en </w:t>
      </w:r>
      <w:r w:rsidRPr="0096658B">
        <w:rPr>
          <w:rFonts w:ascii="Times New Roman" w:hAnsi="Times New Roman" w:cs="Times New Roman"/>
          <w:color w:val="000000" w:themeColor="text1"/>
          <w:lang w:val="es-ES_tradnl"/>
        </w:rPr>
        <w:t xml:space="preserve">esa </w:t>
      </w:r>
      <w:r w:rsidRPr="0096658B">
        <w:rPr>
          <w:rFonts w:ascii="Times New Roman" w:hAnsi="Times New Roman" w:cs="Times New Roman"/>
          <w:color w:val="000000" w:themeColor="text1"/>
          <w:lang w:val="es-ES_tradnl"/>
        </w:rPr>
        <w:t>normativa</w:t>
      </w:r>
      <w:r w:rsidRPr="0096658B">
        <w:rPr>
          <w:rFonts w:ascii="Times New Roman" w:hAnsi="Times New Roman" w:cs="Times New Roman"/>
          <w:color w:val="000000" w:themeColor="text1"/>
          <w:lang w:val="es-ES_tradnl"/>
        </w:rPr>
        <w:t>. En dicha sentencia, la Corte sostuvo que “el Congreso no se extralimitó al determinar un tiempo en el que debía ejercerse la función reg</w:t>
      </w:r>
      <w:r w:rsidRPr="0096658B">
        <w:rPr>
          <w:rFonts w:ascii="Times New Roman" w:hAnsi="Times New Roman" w:cs="Times New Roman"/>
          <w:color w:val="000000" w:themeColor="text1"/>
          <w:lang w:val="es-ES_tradnl"/>
        </w:rPr>
        <w:t>lamentaria, en tanto que su intención apuntaba a garantizar el pronto funcionamiento del mecanismo creado”. Con todo, también se insistió en que “</w:t>
      </w:r>
      <w:r w:rsidRPr="0096658B">
        <w:rPr>
          <w:rFonts w:ascii="Times New Roman" w:hAnsi="Times New Roman" w:cs="Times New Roman"/>
          <w:color w:val="000000" w:themeColor="text1"/>
          <w:lang w:val="es-ES_tradnl"/>
        </w:rPr>
        <w:t>la posibilidad del Presidente de reglamentar este asunto no se reduce al tiempo de 6 meses determinado en el a</w:t>
      </w:r>
      <w:r w:rsidRPr="0096658B">
        <w:rPr>
          <w:rFonts w:ascii="Times New Roman" w:hAnsi="Times New Roman" w:cs="Times New Roman"/>
          <w:color w:val="000000" w:themeColor="text1"/>
          <w:lang w:val="es-ES_tradnl"/>
        </w:rPr>
        <w:t>rtículo 9 de la Ley 2038 de 2020. Por el contrario, la facultad del Presidente está sujeta a la vigencia de ley”</w:t>
      </w:r>
      <w:r w:rsidRPr="0096658B">
        <w:rPr>
          <w:rStyle w:val="Refdenotaalpie"/>
          <w:rFonts w:ascii="Times New Roman" w:hAnsi="Times New Roman"/>
          <w:color w:val="000000" w:themeColor="text1"/>
          <w:lang w:val="es-ES_tradnl"/>
        </w:rPr>
        <w:footnoteReference w:id="260"/>
      </w:r>
      <w:r w:rsidRPr="0096658B">
        <w:rPr>
          <w:rFonts w:ascii="Times New Roman" w:hAnsi="Times New Roman" w:cs="Times New Roman"/>
          <w:color w:val="000000" w:themeColor="text1"/>
          <w:lang w:val="es-ES_tradnl"/>
        </w:rPr>
        <w:t>.</w:t>
      </w:r>
    </w:p>
    <w:p w:rsidR="008C7739" w:rsidRPr="0096658B" w:rsidRDefault="0096658B" w:rsidP="008C7739">
      <w:pPr>
        <w:pStyle w:val="Prrafodelista"/>
        <w:rPr>
          <w:rFonts w:ascii="Times New Roman" w:hAnsi="Times New Roman" w:cs="Times New Roman"/>
          <w:color w:val="000000" w:themeColor="text1"/>
          <w:lang w:val="es-ES_tradnl"/>
        </w:rPr>
      </w:pPr>
    </w:p>
    <w:p w:rsidR="008C7739" w:rsidRPr="0096658B" w:rsidRDefault="0096658B" w:rsidP="0067161C">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La Sala considera que</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a partir de los principios democrático y de conservación del derecho, </w:t>
      </w:r>
      <w:r w:rsidRPr="0096658B">
        <w:rPr>
          <w:rFonts w:ascii="Times New Roman" w:hAnsi="Times New Roman" w:cs="Times New Roman"/>
          <w:color w:val="000000" w:themeColor="text1"/>
          <w:lang w:val="es-ES_tradnl"/>
        </w:rPr>
        <w:t xml:space="preserve">los que </w:t>
      </w:r>
      <w:r w:rsidRPr="0096658B">
        <w:rPr>
          <w:rFonts w:ascii="Times New Roman" w:hAnsi="Times New Roman" w:cs="Times New Roman"/>
          <w:color w:val="000000" w:themeColor="text1"/>
          <w:lang w:val="es-ES_tradnl"/>
        </w:rPr>
        <w:t xml:space="preserve">para este caso también configuran pautas interpretativas para el </w:t>
      </w:r>
      <w:r w:rsidRPr="0096658B">
        <w:rPr>
          <w:rFonts w:ascii="Times New Roman" w:hAnsi="Times New Roman" w:cs="Times New Roman"/>
          <w:color w:val="000000" w:themeColor="text1"/>
          <w:lang w:val="es-ES_tradnl"/>
        </w:rPr>
        <w:t xml:space="preserve">ejercicio del </w:t>
      </w:r>
      <w:r w:rsidRPr="0096658B">
        <w:rPr>
          <w:rFonts w:ascii="Times New Roman" w:hAnsi="Times New Roman" w:cs="Times New Roman"/>
          <w:color w:val="000000" w:themeColor="text1"/>
          <w:lang w:val="es-ES_tradnl"/>
        </w:rPr>
        <w:t>control de constitucionalidad, resulta necesario utilizar la segunda alternativa</w:t>
      </w:r>
      <w:r w:rsidRPr="0096658B">
        <w:rPr>
          <w:rFonts w:ascii="Times New Roman" w:hAnsi="Times New Roman" w:cs="Times New Roman"/>
          <w:color w:val="000000" w:themeColor="text1"/>
          <w:lang w:val="es-ES_tradnl"/>
        </w:rPr>
        <w:t>, que además corresponde con la jurisprudencia vigente sobre la materia</w:t>
      </w:r>
      <w:r w:rsidRPr="0096658B">
        <w:rPr>
          <w:rFonts w:ascii="Times New Roman" w:hAnsi="Times New Roman" w:cs="Times New Roman"/>
          <w:color w:val="000000" w:themeColor="text1"/>
          <w:lang w:val="es-ES_tradnl"/>
        </w:rPr>
        <w:t>. Esto debido a que permit</w:t>
      </w:r>
      <w:r w:rsidRPr="0096658B">
        <w:rPr>
          <w:rFonts w:ascii="Times New Roman" w:hAnsi="Times New Roman" w:cs="Times New Roman"/>
          <w:color w:val="000000" w:themeColor="text1"/>
          <w:lang w:val="es-ES_tradnl"/>
        </w:rPr>
        <w:t xml:space="preserve">e, simultáneamente, mantener la decisión legislativa, que en todo caso debe considerarse como un llamado a la pronta reglamentación de la ley estatutaria y, a su vez, reconocer la naturaleza permanente de la facultad reglamentaria en cabeza del presidente </w:t>
      </w:r>
      <w:r w:rsidRPr="0096658B">
        <w:rPr>
          <w:rFonts w:ascii="Times New Roman" w:hAnsi="Times New Roman" w:cs="Times New Roman"/>
          <w:color w:val="000000" w:themeColor="text1"/>
          <w:lang w:val="es-ES_tradnl"/>
        </w:rPr>
        <w:t>de la República. Por lo tanto, la Corte declarará la constitucionalidad condicionada del parágrafo segundo del artículo 1º del PLE</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en el entendido de que el plazo de seis meses allí previsto no limita el ejercicio de la facultad reglamentaria del </w:t>
      </w:r>
      <w:r w:rsidRPr="0096658B">
        <w:rPr>
          <w:rFonts w:ascii="Times New Roman" w:hAnsi="Times New Roman" w:cs="Times New Roman"/>
          <w:color w:val="000000" w:themeColor="text1"/>
          <w:lang w:val="es-ES_tradnl"/>
        </w:rPr>
        <w:t>p</w:t>
      </w:r>
      <w:r w:rsidRPr="0096658B">
        <w:rPr>
          <w:rFonts w:ascii="Times New Roman" w:hAnsi="Times New Roman" w:cs="Times New Roman"/>
          <w:color w:val="000000" w:themeColor="text1"/>
          <w:lang w:val="es-ES_tradnl"/>
        </w:rPr>
        <w:t>residen</w:t>
      </w:r>
      <w:r w:rsidRPr="0096658B">
        <w:rPr>
          <w:rFonts w:ascii="Times New Roman" w:hAnsi="Times New Roman" w:cs="Times New Roman"/>
          <w:color w:val="000000" w:themeColor="text1"/>
          <w:lang w:val="es-ES_tradnl"/>
        </w:rPr>
        <w:t xml:space="preserve">te </w:t>
      </w:r>
      <w:r w:rsidRPr="0096658B">
        <w:rPr>
          <w:rFonts w:ascii="Times New Roman" w:hAnsi="Times New Roman" w:cs="Times New Roman"/>
          <w:color w:val="000000" w:themeColor="text1"/>
          <w:lang w:val="es-ES_tradnl"/>
        </w:rPr>
        <w:t>a su vencimiento</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de acuerdo con lo considerado en esta sentencia. </w:t>
      </w:r>
    </w:p>
    <w:p w:rsidR="00040DF3" w:rsidRPr="0096658B" w:rsidRDefault="0096658B" w:rsidP="00040DF3">
      <w:pPr>
        <w:pStyle w:val="Prrafodelista"/>
        <w:rPr>
          <w:rFonts w:ascii="Times New Roman" w:hAnsi="Times New Roman" w:cs="Times New Roman"/>
          <w:color w:val="000000" w:themeColor="text1"/>
          <w:lang w:val="es-ES_tradnl"/>
        </w:rPr>
      </w:pPr>
    </w:p>
    <w:p w:rsidR="00040DF3" w:rsidRPr="0096658B" w:rsidRDefault="0096658B" w:rsidP="0067161C">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Adicionalmente, la Sala considera pertinente realizar dos precisiones acerca del alcance del mencionado parágrafo segundo. En primer lugar, debe tenerse en cuenta que la facultad regla</w:t>
      </w:r>
      <w:r w:rsidRPr="0096658B">
        <w:rPr>
          <w:rFonts w:ascii="Times New Roman" w:hAnsi="Times New Roman" w:cs="Times New Roman"/>
          <w:color w:val="000000" w:themeColor="text1"/>
          <w:lang w:val="es-ES_tradnl"/>
        </w:rPr>
        <w:t>mentaria es una competencia constitucional amplia, lo que implica que, para el caso analizado, no se restringe a la materia vinculada a los cargos directivos, sino que incluye todas aquellas medidas que, respetuosas del marco regulatorio fijado por el legi</w:t>
      </w:r>
      <w:r w:rsidRPr="0096658B">
        <w:rPr>
          <w:rFonts w:ascii="Times New Roman" w:hAnsi="Times New Roman" w:cs="Times New Roman"/>
          <w:color w:val="000000" w:themeColor="text1"/>
          <w:lang w:val="es-ES_tradnl"/>
        </w:rPr>
        <w:t>slador estatutario, sean necesarias para la debida ejecución de la ley. En segundo lugar, también debe resaltarse que</w:t>
      </w:r>
      <w:r w:rsidRPr="0096658B">
        <w:rPr>
          <w:rFonts w:ascii="Times New Roman" w:hAnsi="Times New Roman" w:cs="Times New Roman"/>
          <w:color w:val="000000" w:themeColor="text1"/>
          <w:lang w:val="es-ES_tradnl"/>
        </w:rPr>
        <w:t>, como parte</w:t>
      </w:r>
      <w:r w:rsidRPr="0096658B">
        <w:rPr>
          <w:rFonts w:ascii="Times New Roman" w:hAnsi="Times New Roman" w:cs="Times New Roman"/>
          <w:color w:val="000000" w:themeColor="text1"/>
          <w:lang w:val="es-ES_tradnl"/>
        </w:rPr>
        <w:t xml:space="preserve"> de ese marco</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el legislador estatutario ya ha previsto el concepto de CMND y CND. En efecto, </w:t>
      </w:r>
      <w:r w:rsidRPr="0096658B">
        <w:rPr>
          <w:rFonts w:ascii="Times New Roman" w:hAnsi="Times New Roman" w:cs="Times New Roman"/>
          <w:color w:val="000000" w:themeColor="text1"/>
          <w:lang w:val="es-ES_tradnl"/>
        </w:rPr>
        <w:t>los artículos 2º y 3º de la Ley 5</w:t>
      </w:r>
      <w:r w:rsidRPr="0096658B">
        <w:rPr>
          <w:rFonts w:ascii="Times New Roman" w:hAnsi="Times New Roman" w:cs="Times New Roman"/>
          <w:color w:val="000000" w:themeColor="text1"/>
          <w:lang w:val="es-ES_tradnl"/>
        </w:rPr>
        <w:t xml:space="preserve">81 de 2000 definen cada uno de estos cargos y estas disposiciones, como es natural a partir de un criterio de jerarquía normativa, subordinan el ejercicio de la facultad reglamentaria. </w:t>
      </w:r>
    </w:p>
    <w:p w:rsidR="005A60AF" w:rsidRPr="0096658B" w:rsidRDefault="0096658B" w:rsidP="009841CC">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 </w:t>
      </w:r>
    </w:p>
    <w:p w:rsidR="009841CC" w:rsidRPr="0096658B" w:rsidRDefault="0096658B" w:rsidP="0067161C">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color w:val="000000" w:themeColor="text1"/>
          <w:lang w:val="es-ES_tradnl"/>
        </w:rPr>
        <w:t>El reconocimiento del legislador estatutario a una competencia const</w:t>
      </w:r>
      <w:r w:rsidRPr="0096658B">
        <w:rPr>
          <w:rFonts w:ascii="Times New Roman" w:hAnsi="Times New Roman" w:cs="Times New Roman"/>
          <w:i/>
          <w:color w:val="000000" w:themeColor="text1"/>
          <w:lang w:val="es-ES_tradnl"/>
        </w:rPr>
        <w:t xml:space="preserve">itucional del Presidente. </w:t>
      </w:r>
      <w:r w:rsidRPr="0096658B">
        <w:rPr>
          <w:rFonts w:ascii="Times New Roman" w:hAnsi="Times New Roman" w:cs="Times New Roman"/>
          <w:color w:val="000000" w:themeColor="text1"/>
          <w:lang w:val="es-ES_tradnl"/>
        </w:rPr>
        <w:t xml:space="preserve">Ahora bien, en lo que respecta al segundo aspecto, la Sala evidencia que la identificación </w:t>
      </w:r>
      <w:r w:rsidRPr="0096658B">
        <w:rPr>
          <w:rFonts w:ascii="Times New Roman" w:hAnsi="Times New Roman" w:cs="Times New Roman"/>
          <w:color w:val="000000" w:themeColor="text1"/>
          <w:lang w:val="es-ES_tradnl"/>
        </w:rPr>
        <w:t xml:space="preserve">específica </w:t>
      </w:r>
      <w:r w:rsidRPr="0096658B">
        <w:rPr>
          <w:rFonts w:ascii="Times New Roman" w:hAnsi="Times New Roman" w:cs="Times New Roman"/>
          <w:color w:val="000000" w:themeColor="text1"/>
          <w:lang w:val="es-ES_tradnl"/>
        </w:rPr>
        <w:t xml:space="preserve">de los CMND y los CND es un asunto que se inserta en la competencia gubernamental prevista en el artículo </w:t>
      </w:r>
      <w:r w:rsidRPr="0096658B">
        <w:rPr>
          <w:rFonts w:ascii="Times New Roman" w:hAnsi="Times New Roman" w:cs="Times New Roman"/>
          <w:color w:val="000000" w:themeColor="text1"/>
          <w:lang w:val="es-ES_tradnl"/>
        </w:rPr>
        <w:t>189</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14, esto es, </w:t>
      </w:r>
      <w:r w:rsidRPr="0096658B">
        <w:rPr>
          <w:rFonts w:ascii="Times New Roman" w:hAnsi="Times New Roman" w:cs="Times New Roman"/>
          <w:color w:val="000000" w:themeColor="text1"/>
          <w:lang w:val="es-ES_tradnl"/>
        </w:rPr>
        <w:t xml:space="preserve">crear, fusionar o suprimir, conforme a la ley, los empleos que demande la administración central, señalar sus funciones especiales y fijar sus dotaciones y emolumentos. En el caso planteado, el legislador estatutario ha identificado los cargos respecto de </w:t>
      </w:r>
      <w:r w:rsidRPr="0096658B">
        <w:rPr>
          <w:rFonts w:ascii="Times New Roman" w:hAnsi="Times New Roman" w:cs="Times New Roman"/>
          <w:color w:val="000000" w:themeColor="text1"/>
          <w:lang w:val="es-ES_tradnl"/>
        </w:rPr>
        <w:t>los cuales se aplica la medida de cuota</w:t>
      </w:r>
      <w:r w:rsidRPr="0096658B">
        <w:rPr>
          <w:rFonts w:ascii="Times New Roman" w:hAnsi="Times New Roman" w:cs="Times New Roman"/>
          <w:color w:val="000000" w:themeColor="text1"/>
          <w:lang w:val="es-ES_tradnl"/>
        </w:rPr>
        <w:t xml:space="preserve"> (Ley 581 de 2000, artículos 2° y 3°</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y, por ende, corresponde al Gobierno, en virtud de la citada atribución constitucional, definir las funciones especiales que le confieren carácter decisorio o máximo nivel decisor</w:t>
      </w:r>
      <w:r w:rsidRPr="0096658B">
        <w:rPr>
          <w:rFonts w:ascii="Times New Roman" w:hAnsi="Times New Roman" w:cs="Times New Roman"/>
          <w:color w:val="000000" w:themeColor="text1"/>
          <w:lang w:val="es-ES_tradnl"/>
        </w:rPr>
        <w:t xml:space="preserve">io a esos empleos públicos. </w:t>
      </w:r>
    </w:p>
    <w:p w:rsidR="00D86440" w:rsidRPr="0096658B" w:rsidRDefault="0096658B" w:rsidP="00D86440">
      <w:pPr>
        <w:pStyle w:val="Prrafodelista"/>
        <w:rPr>
          <w:rFonts w:ascii="Times New Roman" w:hAnsi="Times New Roman" w:cs="Times New Roman"/>
          <w:color w:val="000000" w:themeColor="text1"/>
          <w:lang w:val="es-ES_tradnl"/>
        </w:rPr>
      </w:pPr>
    </w:p>
    <w:p w:rsidR="00F90068" w:rsidRPr="0096658B" w:rsidRDefault="0096658B" w:rsidP="00890A6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A este respecto, la jurisprudencia constitucional</w:t>
      </w:r>
      <w:r w:rsidRPr="0096658B">
        <w:rPr>
          <w:rStyle w:val="Refdenotaalpie"/>
          <w:rFonts w:ascii="Times New Roman" w:hAnsi="Times New Roman"/>
          <w:color w:val="000000" w:themeColor="text1"/>
          <w:lang w:val="es-ES_tradnl"/>
        </w:rPr>
        <w:footnoteReference w:id="261"/>
      </w:r>
      <w:r w:rsidRPr="0096658B">
        <w:rPr>
          <w:rFonts w:ascii="Times New Roman" w:hAnsi="Times New Roman" w:cs="Times New Roman"/>
          <w:color w:val="000000" w:themeColor="text1"/>
          <w:lang w:val="es-ES_tradnl"/>
        </w:rPr>
        <w:t xml:space="preserve"> ha indicado que sobre la materia analizada existen competencias compartidas entre el Congreso y el Presidente de la República. Así, de acuerdo con artículo 150</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7 de la Consti</w:t>
      </w:r>
      <w:r w:rsidRPr="0096658B">
        <w:rPr>
          <w:rFonts w:ascii="Times New Roman" w:hAnsi="Times New Roman" w:cs="Times New Roman"/>
          <w:color w:val="000000" w:themeColor="text1"/>
          <w:lang w:val="es-ES_tradnl"/>
        </w:rPr>
        <w:t>tución, el Congreso mediante leyes está facultado para determinar la estructura de la administración, crear, suprimir o fusionar Ministerios, Departamentos Administrativos, entre otros organismos de orden nacional, función que constitucionalmente puede del</w:t>
      </w:r>
      <w:r w:rsidRPr="0096658B">
        <w:rPr>
          <w:rFonts w:ascii="Times New Roman" w:hAnsi="Times New Roman" w:cs="Times New Roman"/>
          <w:color w:val="000000" w:themeColor="text1"/>
          <w:lang w:val="es-ES_tradnl"/>
        </w:rPr>
        <w:t xml:space="preserve">egar en el </w:t>
      </w:r>
      <w:r w:rsidRPr="0096658B">
        <w:rPr>
          <w:rFonts w:ascii="Times New Roman" w:hAnsi="Times New Roman" w:cs="Times New Roman"/>
          <w:color w:val="000000" w:themeColor="text1"/>
          <w:lang w:val="es-ES_tradnl"/>
        </w:rPr>
        <w:t>p</w:t>
      </w:r>
      <w:r w:rsidRPr="0096658B">
        <w:rPr>
          <w:rFonts w:ascii="Times New Roman" w:hAnsi="Times New Roman" w:cs="Times New Roman"/>
          <w:color w:val="000000" w:themeColor="text1"/>
          <w:lang w:val="es-ES_tradnl"/>
        </w:rPr>
        <w:t>residente</w:t>
      </w:r>
      <w:r w:rsidRPr="0096658B">
        <w:rPr>
          <w:rFonts w:ascii="Times New Roman" w:hAnsi="Times New Roman" w:cs="Times New Roman"/>
          <w:color w:val="000000" w:themeColor="text1"/>
          <w:lang w:val="es-ES_tradnl"/>
        </w:rPr>
        <w:t xml:space="preserve"> de la República</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Asimismo, el artículo 150</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10 permite al legislador </w:t>
      </w:r>
      <w:r w:rsidRPr="0096658B">
        <w:rPr>
          <w:rFonts w:ascii="Times New Roman" w:hAnsi="Times New Roman" w:cs="Times New Roman"/>
          <w:color w:val="000000" w:themeColor="text1"/>
          <w:lang w:val="es-ES_tradnl"/>
        </w:rPr>
        <w:t xml:space="preserve">dotar excepcionalmente al </w:t>
      </w:r>
      <w:r w:rsidRPr="0096658B">
        <w:rPr>
          <w:rFonts w:ascii="Times New Roman" w:hAnsi="Times New Roman" w:cs="Times New Roman"/>
          <w:color w:val="000000" w:themeColor="text1"/>
          <w:lang w:val="es-ES_tradnl"/>
        </w:rPr>
        <w:t>presidente</w:t>
      </w:r>
      <w:r w:rsidRPr="0096658B">
        <w:rPr>
          <w:rFonts w:ascii="Times New Roman" w:hAnsi="Times New Roman" w:cs="Times New Roman"/>
          <w:color w:val="000000" w:themeColor="text1"/>
          <w:lang w:val="es-ES_tradnl"/>
        </w:rPr>
        <w:t xml:space="preserve"> de facultades extraordinarias para expedir normas con fuerza de ley, salvo las excepciones allí contenidas, donde en modo alguno se impide al Congreso trasladar la potestad para estructurar la administración central.</w:t>
      </w:r>
      <w:r w:rsidRPr="0096658B">
        <w:rPr>
          <w:rFonts w:ascii="Times New Roman" w:hAnsi="Times New Roman" w:cs="Times New Roman"/>
          <w:color w:val="000000" w:themeColor="text1"/>
          <w:lang w:val="es-ES_tradnl"/>
        </w:rPr>
        <w:t xml:space="preserve"> Por último, </w:t>
      </w:r>
      <w:r w:rsidRPr="0096658B">
        <w:rPr>
          <w:rFonts w:ascii="Times New Roman" w:hAnsi="Times New Roman" w:cs="Times New Roman"/>
          <w:color w:val="000000" w:themeColor="text1"/>
          <w:lang w:val="es-ES_tradnl"/>
        </w:rPr>
        <w:t xml:space="preserve">el </w:t>
      </w:r>
      <w:r w:rsidRPr="0096658B">
        <w:rPr>
          <w:rFonts w:ascii="Times New Roman" w:hAnsi="Times New Roman" w:cs="Times New Roman"/>
          <w:color w:val="000000" w:themeColor="text1"/>
          <w:lang w:val="es-ES_tradnl"/>
        </w:rPr>
        <w:t>p</w:t>
      </w:r>
      <w:r w:rsidRPr="0096658B">
        <w:rPr>
          <w:rFonts w:ascii="Times New Roman" w:hAnsi="Times New Roman" w:cs="Times New Roman"/>
          <w:color w:val="000000" w:themeColor="text1"/>
          <w:lang w:val="es-ES_tradnl"/>
        </w:rPr>
        <w:t>residente</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como suprem</w:t>
      </w:r>
      <w:r w:rsidRPr="0096658B">
        <w:rPr>
          <w:rFonts w:ascii="Times New Roman" w:hAnsi="Times New Roman" w:cs="Times New Roman"/>
          <w:color w:val="000000" w:themeColor="text1"/>
          <w:lang w:val="es-ES_tradnl"/>
        </w:rPr>
        <w:t>a autoridad administrativa</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está facultado por disposición expresa del artículo 189 de la Constitución y conforme a la ley, para </w:t>
      </w:r>
      <w:r w:rsidRPr="0096658B">
        <w:rPr>
          <w:rFonts w:ascii="Times New Roman" w:hAnsi="Times New Roman" w:cs="Times New Roman"/>
          <w:i/>
          <w:iCs/>
          <w:color w:val="000000" w:themeColor="text1"/>
          <w:lang w:val="es-ES_tradnl"/>
        </w:rPr>
        <w:t>(i)</w:t>
      </w:r>
      <w:r w:rsidRPr="0096658B">
        <w:rPr>
          <w:rFonts w:ascii="Times New Roman" w:hAnsi="Times New Roman" w:cs="Times New Roman"/>
          <w:color w:val="000000" w:themeColor="text1"/>
          <w:lang w:val="es-ES_tradnl"/>
        </w:rPr>
        <w:t xml:space="preserve"> crear, fusionar o suprimir los empleos que demande la administración central (num. 14); </w:t>
      </w:r>
      <w:r w:rsidRPr="0096658B">
        <w:rPr>
          <w:rFonts w:ascii="Times New Roman" w:hAnsi="Times New Roman" w:cs="Times New Roman"/>
          <w:i/>
          <w:iCs/>
          <w:color w:val="000000" w:themeColor="text1"/>
          <w:lang w:val="es-ES_tradnl"/>
        </w:rPr>
        <w:t>(ii)</w:t>
      </w:r>
      <w:r w:rsidRPr="0096658B">
        <w:rPr>
          <w:rFonts w:ascii="Times New Roman" w:hAnsi="Times New Roman" w:cs="Times New Roman"/>
          <w:color w:val="000000" w:themeColor="text1"/>
          <w:lang w:val="es-ES_tradnl"/>
        </w:rPr>
        <w:t xml:space="preserve"> suprimir o fusionar entidades </w:t>
      </w:r>
      <w:r w:rsidRPr="0096658B">
        <w:rPr>
          <w:rFonts w:ascii="Times New Roman" w:hAnsi="Times New Roman" w:cs="Times New Roman"/>
          <w:color w:val="000000" w:themeColor="text1"/>
          <w:lang w:val="es-ES_tradnl"/>
        </w:rPr>
        <w:t xml:space="preserve">u organismos administrativos nacionales (num. 15) y </w:t>
      </w:r>
      <w:r w:rsidRPr="0096658B">
        <w:rPr>
          <w:rFonts w:ascii="Times New Roman" w:hAnsi="Times New Roman" w:cs="Times New Roman"/>
          <w:i/>
          <w:iCs/>
          <w:color w:val="000000" w:themeColor="text1"/>
          <w:lang w:val="es-ES_tradnl"/>
        </w:rPr>
        <w:t>(iii)</w:t>
      </w:r>
      <w:r w:rsidRPr="0096658B">
        <w:rPr>
          <w:rFonts w:ascii="Times New Roman" w:hAnsi="Times New Roman" w:cs="Times New Roman"/>
          <w:color w:val="000000" w:themeColor="text1"/>
          <w:lang w:val="es-ES_tradnl"/>
        </w:rPr>
        <w:t xml:space="preserve"> modificar la estructura de los Ministerios y los Departamentos Administrativos (num. 16).</w:t>
      </w:r>
    </w:p>
    <w:p w:rsidR="00BE0548" w:rsidRPr="0096658B" w:rsidRDefault="0096658B" w:rsidP="00BE0548">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color w:val="000000" w:themeColor="text1"/>
          <w:lang w:val="es-ES_tradnl"/>
        </w:rPr>
      </w:pPr>
    </w:p>
    <w:p w:rsidR="00E23BBB" w:rsidRPr="0096658B" w:rsidRDefault="0096658B" w:rsidP="00890A6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Con base en estas previsiones superiores, la Corte ha concluido que “</w:t>
      </w:r>
      <w:r w:rsidRPr="0096658B">
        <w:rPr>
          <w:rFonts w:ascii="Times New Roman" w:hAnsi="Times New Roman" w:cs="Times New Roman"/>
          <w:color w:val="000000" w:themeColor="text1"/>
          <w:lang w:val="es-ES_tradnl"/>
        </w:rPr>
        <w:t xml:space="preserve">una vez establecidos los parámetros </w:t>
      </w:r>
      <w:r w:rsidRPr="0096658B">
        <w:rPr>
          <w:rFonts w:ascii="Times New Roman" w:hAnsi="Times New Roman" w:cs="Times New Roman"/>
          <w:color w:val="000000" w:themeColor="text1"/>
          <w:lang w:val="es-ES_tradnl"/>
        </w:rPr>
        <w:t>por el legislador mediante la ley, la Rama Ejecutiva puede dentro de dicho marco adelantar todas la</w:t>
      </w:r>
      <w:r w:rsidRPr="0096658B">
        <w:rPr>
          <w:rFonts w:ascii="Times New Roman" w:hAnsi="Times New Roman" w:cs="Times New Roman"/>
          <w:color w:val="000000" w:themeColor="text1"/>
          <w:lang w:val="es-ES_tradnl"/>
        </w:rPr>
        <w:t>s</w:t>
      </w:r>
      <w:r w:rsidRPr="0096658B">
        <w:rPr>
          <w:rFonts w:ascii="Times New Roman" w:hAnsi="Times New Roman" w:cs="Times New Roman"/>
          <w:color w:val="000000" w:themeColor="text1"/>
          <w:lang w:val="es-ES_tradnl"/>
        </w:rPr>
        <w:t xml:space="preserve"> facultades</w:t>
      </w:r>
      <w:r w:rsidRPr="0096658B">
        <w:rPr>
          <w:rFonts w:ascii="Times New Roman" w:hAnsi="Times New Roman" w:cs="Times New Roman"/>
          <w:color w:val="000000" w:themeColor="text1"/>
          <w:lang w:val="es-ES_tradnl"/>
        </w:rPr>
        <w:t xml:space="preserve"> mencionadas</w:t>
      </w:r>
      <w:r w:rsidRPr="0096658B">
        <w:rPr>
          <w:rFonts w:ascii="Times New Roman" w:hAnsi="Times New Roman" w:cs="Times New Roman"/>
          <w:color w:val="000000" w:themeColor="text1"/>
          <w:lang w:val="es-ES_tradnl"/>
        </w:rPr>
        <w:t xml:space="preserve"> y efectuar aquellas otras que le son permitidas directamente por la </w:t>
      </w:r>
      <w:r w:rsidRPr="0096658B">
        <w:rPr>
          <w:rFonts w:ascii="Times New Roman" w:hAnsi="Times New Roman" w:cs="Times New Roman"/>
          <w:color w:val="000000" w:themeColor="text1"/>
          <w:lang w:val="es-ES_tradnl"/>
        </w:rPr>
        <w:t>Carta Política”</w:t>
      </w:r>
      <w:r w:rsidRPr="0096658B">
        <w:rPr>
          <w:rStyle w:val="Refdenotaalpie"/>
          <w:rFonts w:ascii="Times New Roman" w:hAnsi="Times New Roman"/>
          <w:color w:val="000000" w:themeColor="text1"/>
          <w:lang w:val="es-ES_tradnl"/>
        </w:rPr>
        <w:footnoteReference w:id="262"/>
      </w:r>
      <w:r w:rsidRPr="0096658B">
        <w:rPr>
          <w:rFonts w:ascii="Times New Roman" w:hAnsi="Times New Roman" w:cs="Times New Roman"/>
          <w:color w:val="000000" w:themeColor="text1"/>
          <w:lang w:val="es-ES_tradnl"/>
        </w:rPr>
        <w:t>. A partir de esa regla jurisprudencial, se encu</w:t>
      </w:r>
      <w:r w:rsidRPr="0096658B">
        <w:rPr>
          <w:rFonts w:ascii="Times New Roman" w:hAnsi="Times New Roman" w:cs="Times New Roman"/>
          <w:color w:val="000000" w:themeColor="text1"/>
          <w:lang w:val="es-ES_tradnl"/>
        </w:rPr>
        <w:t xml:space="preserve">entra que en el caso analizado el legislador estatutario identificó </w:t>
      </w:r>
      <w:r w:rsidRPr="0096658B">
        <w:rPr>
          <w:rFonts w:ascii="Times New Roman" w:hAnsi="Times New Roman" w:cs="Times New Roman"/>
          <w:color w:val="000000" w:themeColor="text1"/>
          <w:lang w:val="es-ES_tradnl"/>
        </w:rPr>
        <w:t xml:space="preserve">y definió </w:t>
      </w:r>
      <w:r w:rsidRPr="0096658B">
        <w:rPr>
          <w:rFonts w:ascii="Times New Roman" w:hAnsi="Times New Roman" w:cs="Times New Roman"/>
          <w:color w:val="000000" w:themeColor="text1"/>
          <w:lang w:val="es-ES_tradnl"/>
        </w:rPr>
        <w:t>los CMND y los CND</w:t>
      </w:r>
      <w:r w:rsidRPr="0096658B">
        <w:rPr>
          <w:rFonts w:ascii="Times New Roman" w:hAnsi="Times New Roman" w:cs="Times New Roman"/>
          <w:color w:val="000000" w:themeColor="text1"/>
          <w:lang w:val="es-ES_tradnl"/>
        </w:rPr>
        <w:t>, a la vez que</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con la disposición analizada</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reconoció la competencia del Gobierno </w:t>
      </w:r>
      <w:r w:rsidRPr="0096658B">
        <w:rPr>
          <w:rFonts w:ascii="Times New Roman" w:hAnsi="Times New Roman" w:cs="Times New Roman"/>
          <w:color w:val="000000" w:themeColor="text1"/>
          <w:lang w:val="es-ES_tradnl"/>
        </w:rPr>
        <w:t xml:space="preserve">Nacional </w:t>
      </w:r>
      <w:r w:rsidRPr="0096658B">
        <w:rPr>
          <w:rFonts w:ascii="Times New Roman" w:hAnsi="Times New Roman" w:cs="Times New Roman"/>
          <w:color w:val="000000" w:themeColor="text1"/>
          <w:lang w:val="es-ES_tradnl"/>
        </w:rPr>
        <w:t xml:space="preserve">para </w:t>
      </w:r>
      <w:r w:rsidRPr="0096658B">
        <w:rPr>
          <w:rFonts w:ascii="Times New Roman" w:hAnsi="Times New Roman" w:cs="Times New Roman"/>
          <w:color w:val="000000" w:themeColor="text1"/>
          <w:lang w:val="es-ES_tradnl"/>
        </w:rPr>
        <w:t>reglamentar</w:t>
      </w:r>
      <w:r w:rsidRPr="0096658B">
        <w:rPr>
          <w:rFonts w:ascii="Times New Roman" w:hAnsi="Times New Roman" w:cs="Times New Roman"/>
          <w:color w:val="000000" w:themeColor="text1"/>
          <w:lang w:val="es-ES_tradnl"/>
        </w:rPr>
        <w:t>. La Sala Plena insiste en que esta</w:t>
      </w:r>
      <w:r w:rsidRPr="0096658B">
        <w:rPr>
          <w:rFonts w:ascii="Times New Roman" w:hAnsi="Times New Roman" w:cs="Times New Roman"/>
          <w:color w:val="000000" w:themeColor="text1"/>
          <w:lang w:val="es-ES_tradnl"/>
        </w:rPr>
        <w:t xml:space="preserve"> facultad hace parte de la distribución de atribuciones prevista en la Constitución y, en particular, la expresada en el artículo 189</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14 superior. </w:t>
      </w:r>
    </w:p>
    <w:p w:rsidR="00E23BBB" w:rsidRPr="0096658B" w:rsidRDefault="0096658B" w:rsidP="00E23BBB">
      <w:pPr>
        <w:pStyle w:val="Prrafodelista"/>
        <w:rPr>
          <w:rFonts w:ascii="Times New Roman" w:hAnsi="Times New Roman" w:cs="Times New Roman"/>
          <w:color w:val="000000" w:themeColor="text1"/>
          <w:lang w:val="es-ES_tradnl"/>
        </w:rPr>
      </w:pPr>
    </w:p>
    <w:p w:rsidR="00F4079F" w:rsidRPr="0096658B" w:rsidRDefault="0096658B" w:rsidP="00890A6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color w:val="000000" w:themeColor="text1"/>
          <w:lang w:val="es-ES_tradnl"/>
        </w:rPr>
        <w:t xml:space="preserve">Criterios para el ejercicio de la facultad reglamentaria frente a la medida de cuota. </w:t>
      </w:r>
      <w:r w:rsidRPr="0096658B">
        <w:rPr>
          <w:rFonts w:ascii="Times New Roman" w:hAnsi="Times New Roman" w:cs="Times New Roman"/>
          <w:color w:val="000000" w:themeColor="text1"/>
          <w:lang w:val="es-ES_tradnl"/>
        </w:rPr>
        <w:t xml:space="preserve">No obstante, la Sala </w:t>
      </w:r>
      <w:r w:rsidRPr="0096658B">
        <w:rPr>
          <w:rFonts w:ascii="Times New Roman" w:hAnsi="Times New Roman" w:cs="Times New Roman"/>
          <w:color w:val="000000" w:themeColor="text1"/>
          <w:lang w:val="es-ES_tradnl"/>
        </w:rPr>
        <w:t xml:space="preserve">considera importante </w:t>
      </w:r>
      <w:r w:rsidRPr="0096658B">
        <w:rPr>
          <w:rFonts w:ascii="Times New Roman" w:hAnsi="Times New Roman" w:cs="Times New Roman"/>
          <w:color w:val="000000" w:themeColor="text1"/>
          <w:lang w:val="es-ES_tradnl"/>
        </w:rPr>
        <w:t xml:space="preserve">resaltar que en el ejercicio de la facultad reglamentaria el Gobierno Nacional deberá tener en cuenta los condicionamientos </w:t>
      </w:r>
      <w:r w:rsidRPr="0096658B">
        <w:rPr>
          <w:rFonts w:ascii="Times New Roman" w:hAnsi="Times New Roman" w:cs="Times New Roman"/>
          <w:color w:val="000000" w:themeColor="text1"/>
          <w:lang w:val="es-ES_tradnl"/>
        </w:rPr>
        <w:t>a la</w:t>
      </w:r>
      <w:r w:rsidRPr="0096658B">
        <w:rPr>
          <w:rFonts w:ascii="Times New Roman" w:hAnsi="Times New Roman" w:cs="Times New Roman"/>
          <w:color w:val="000000" w:themeColor="text1"/>
          <w:lang w:val="es-ES_tradnl"/>
        </w:rPr>
        <w:t xml:space="preserve"> constitucionalidad</w:t>
      </w:r>
      <w:r w:rsidRPr="0096658B">
        <w:rPr>
          <w:rFonts w:ascii="Times New Roman" w:hAnsi="Times New Roman" w:cs="Times New Roman"/>
          <w:color w:val="000000" w:themeColor="text1"/>
          <w:lang w:val="es-ES_tradnl"/>
        </w:rPr>
        <w:t xml:space="preserve"> de las medidas de </w:t>
      </w:r>
      <w:r w:rsidRPr="0096658B">
        <w:rPr>
          <w:rFonts w:ascii="Times New Roman" w:hAnsi="Times New Roman" w:cs="Times New Roman"/>
          <w:color w:val="000000" w:themeColor="text1"/>
          <w:lang w:val="es-ES_tradnl"/>
        </w:rPr>
        <w:t>cuota</w:t>
      </w:r>
      <w:r w:rsidRPr="0096658B">
        <w:rPr>
          <w:rFonts w:ascii="Times New Roman" w:hAnsi="Times New Roman" w:cs="Times New Roman"/>
          <w:color w:val="000000" w:themeColor="text1"/>
          <w:lang w:val="es-ES_tradnl"/>
        </w:rPr>
        <w:t xml:space="preserve"> planteadas en la sentencia C-371 de 2000 respecto de la impleme</w:t>
      </w:r>
      <w:r w:rsidRPr="0096658B">
        <w:rPr>
          <w:rFonts w:ascii="Times New Roman" w:hAnsi="Times New Roman" w:cs="Times New Roman"/>
          <w:color w:val="000000" w:themeColor="text1"/>
          <w:lang w:val="es-ES_tradnl"/>
        </w:rPr>
        <w:t>ntación de la medida de cuota</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Así, la reglamentación prescribirá que la medida de cuota en los cargos en mención, ahora tendiente a la paridad</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“se deberá aplicar de manera paulatina, en la medida en que los cargos del </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máximo nivel decisorio</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 xml:space="preserve">y de </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otros</w:t>
      </w:r>
      <w:r w:rsidRPr="0096658B">
        <w:rPr>
          <w:rFonts w:ascii="Times New Roman" w:hAnsi="Times New Roman" w:cs="Times New Roman"/>
          <w:color w:val="000000" w:themeColor="text1"/>
          <w:lang w:val="es-ES_tradnl"/>
        </w:rPr>
        <w:t xml:space="preserve"> niveles decisorios</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vayan quedando vacantes”</w:t>
      </w:r>
      <w:r w:rsidRPr="0096658B">
        <w:rPr>
          <w:rStyle w:val="Refdenotaalpie"/>
          <w:rFonts w:ascii="Times New Roman" w:hAnsi="Times New Roman"/>
          <w:color w:val="000000" w:themeColor="text1"/>
          <w:lang w:val="es-ES_tradnl"/>
        </w:rPr>
        <w:footnoteReference w:id="263"/>
      </w:r>
      <w:r w:rsidRPr="0096658B">
        <w:rPr>
          <w:rFonts w:ascii="Times New Roman" w:hAnsi="Times New Roman" w:cs="Times New Roman"/>
          <w:color w:val="000000" w:themeColor="text1"/>
          <w:lang w:val="es-ES_tradnl"/>
        </w:rPr>
        <w:t>. Esto siempre bajo la condición de que dicha aplicación paulatina “no puede convertirse en pretexto para que, cuando las correspondientes vacantes se produzcan, se siga relegando a las mujeres en el nombramien</w:t>
      </w:r>
      <w:r w:rsidRPr="0096658B">
        <w:rPr>
          <w:rFonts w:ascii="Times New Roman" w:hAnsi="Times New Roman" w:cs="Times New Roman"/>
          <w:color w:val="000000" w:themeColor="text1"/>
          <w:lang w:val="es-ES_tradnl"/>
        </w:rPr>
        <w:t>to para los cargos que deben ser provistos”</w:t>
      </w:r>
      <w:r w:rsidRPr="0096658B">
        <w:rPr>
          <w:rStyle w:val="Refdenotaalpie"/>
          <w:rFonts w:ascii="Times New Roman" w:hAnsi="Times New Roman"/>
          <w:color w:val="000000" w:themeColor="text1"/>
          <w:lang w:val="es-ES_tradnl"/>
        </w:rPr>
        <w:footnoteReference w:id="264"/>
      </w:r>
      <w:r w:rsidRPr="0096658B">
        <w:rPr>
          <w:rFonts w:ascii="Times New Roman" w:hAnsi="Times New Roman" w:cs="Times New Roman"/>
          <w:color w:val="000000" w:themeColor="text1"/>
          <w:lang w:val="es-ES_tradnl"/>
        </w:rPr>
        <w:t>.</w:t>
      </w:r>
    </w:p>
    <w:p w:rsidR="00F4079F" w:rsidRPr="0096658B" w:rsidRDefault="0096658B" w:rsidP="00F4079F">
      <w:pPr>
        <w:pStyle w:val="Prrafodelista"/>
        <w:rPr>
          <w:rFonts w:ascii="Times New Roman" w:hAnsi="Times New Roman" w:cs="Times New Roman"/>
          <w:color w:val="000000" w:themeColor="text1"/>
          <w:lang w:val="es-ES_tradnl"/>
        </w:rPr>
      </w:pPr>
    </w:p>
    <w:p w:rsidR="00F90068" w:rsidRPr="0096658B" w:rsidRDefault="0096658B" w:rsidP="00890A6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Asimismo, la mencionada reglamentación tendrá en cuenta que “</w:t>
      </w:r>
      <w:r w:rsidRPr="0096658B">
        <w:rPr>
          <w:rFonts w:ascii="Times New Roman" w:hAnsi="Times New Roman" w:cs="Times New Roman"/>
          <w:color w:val="000000" w:themeColor="text1"/>
          <w:lang w:val="es-ES_tradnl"/>
        </w:rPr>
        <w:t xml:space="preserve">cuando en la designación de cargos del </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máximo nivel decisorio</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o de </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otros niveles decisorios</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concurran varias personas o entidades, se procurará </w:t>
      </w:r>
      <w:r w:rsidRPr="0096658B">
        <w:rPr>
          <w:rFonts w:ascii="Times New Roman" w:hAnsi="Times New Roman" w:cs="Times New Roman"/>
          <w:color w:val="000000" w:themeColor="text1"/>
          <w:lang w:val="es-ES_tradnl"/>
        </w:rPr>
        <w:t>que las mujeres tengan una adecuada representación conforme a la regla de selección allí prevista, sin que ésta sea inexorable”</w:t>
      </w:r>
      <w:r w:rsidRPr="0096658B">
        <w:rPr>
          <w:rStyle w:val="Refdenotaalpie"/>
          <w:rFonts w:ascii="Times New Roman" w:hAnsi="Times New Roman"/>
          <w:color w:val="000000" w:themeColor="text1"/>
          <w:lang w:val="es-ES_tradnl"/>
        </w:rPr>
        <w:footnoteReference w:id="265"/>
      </w:r>
      <w:r w:rsidRPr="0096658B">
        <w:rPr>
          <w:rFonts w:ascii="Times New Roman" w:hAnsi="Times New Roman" w:cs="Times New Roman"/>
          <w:color w:val="000000" w:themeColor="text1"/>
          <w:lang w:val="es-ES_tradnl"/>
        </w:rPr>
        <w:t>.</w:t>
      </w:r>
    </w:p>
    <w:p w:rsidR="003747B7" w:rsidRPr="0096658B" w:rsidRDefault="0096658B" w:rsidP="003747B7">
      <w:pPr>
        <w:pStyle w:val="Prrafodelista"/>
        <w:rPr>
          <w:rFonts w:ascii="Times New Roman" w:hAnsi="Times New Roman" w:cs="Times New Roman"/>
          <w:color w:val="000000" w:themeColor="text1"/>
          <w:lang w:val="es-ES_tradnl"/>
        </w:rPr>
      </w:pPr>
    </w:p>
    <w:p w:rsidR="00400A9B" w:rsidRPr="0096658B" w:rsidRDefault="0096658B" w:rsidP="00890A6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 A este respecto, la Corte se aparta de lo solicitado por algunos intervinientes, en el sentido de que deben reiterarse en la parte resolutiva de esta sentencia los condicionamientos fijados en su momento por la sentencia C-371 de 2000. Esto debido a que, </w:t>
      </w:r>
      <w:r w:rsidRPr="0096658B">
        <w:rPr>
          <w:rFonts w:ascii="Times New Roman" w:hAnsi="Times New Roman" w:cs="Times New Roman"/>
          <w:color w:val="000000" w:themeColor="text1"/>
          <w:lang w:val="es-ES_tradnl"/>
        </w:rPr>
        <w:t>como se explicó en el apartado introductorio de esta decisión, las previsiones del PLE se limitan a modificar algunos asuntos puntuales de la Ley 581 de 200</w:t>
      </w:r>
      <w:r w:rsidRPr="0096658B">
        <w:rPr>
          <w:rFonts w:ascii="Times New Roman" w:hAnsi="Times New Roman" w:cs="Times New Roman"/>
          <w:color w:val="000000" w:themeColor="text1"/>
          <w:lang w:val="es-ES_tradnl"/>
        </w:rPr>
        <w:t>0, de modo que se mantienen los mandatos imperativos de interpretación de esas disposiciones, sin qu</w:t>
      </w:r>
      <w:r w:rsidRPr="0096658B">
        <w:rPr>
          <w:rFonts w:ascii="Times New Roman" w:hAnsi="Times New Roman" w:cs="Times New Roman"/>
          <w:color w:val="000000" w:themeColor="text1"/>
          <w:lang w:val="es-ES_tradnl"/>
        </w:rPr>
        <w:t>e result</w:t>
      </w:r>
      <w:r w:rsidRPr="0096658B">
        <w:rPr>
          <w:rFonts w:ascii="Times New Roman" w:hAnsi="Times New Roman" w:cs="Times New Roman"/>
          <w:color w:val="000000" w:themeColor="text1"/>
          <w:lang w:val="es-ES_tradnl"/>
        </w:rPr>
        <w:t>e</w:t>
      </w:r>
      <w:r w:rsidRPr="0096658B">
        <w:rPr>
          <w:rFonts w:ascii="Times New Roman" w:hAnsi="Times New Roman" w:cs="Times New Roman"/>
          <w:color w:val="000000" w:themeColor="text1"/>
          <w:lang w:val="es-ES_tradnl"/>
        </w:rPr>
        <w:t xml:space="preserve"> necesario ahora reiterarlos. Nótese que los aspectos sobre los cuales recaen los condicionamientos: naturaleza paulatina de la aplicación de la medida de cuota y la regla especial para el caso de que la provisión del cargo se realice por la postu</w:t>
      </w:r>
      <w:r w:rsidRPr="0096658B">
        <w:rPr>
          <w:rFonts w:ascii="Times New Roman" w:hAnsi="Times New Roman" w:cs="Times New Roman"/>
          <w:color w:val="000000" w:themeColor="text1"/>
          <w:lang w:val="es-ES_tradnl"/>
        </w:rPr>
        <w:t xml:space="preserve">lación de varias entidades, </w:t>
      </w:r>
      <w:r w:rsidRPr="0096658B">
        <w:rPr>
          <w:rFonts w:ascii="Times New Roman" w:hAnsi="Times New Roman" w:cs="Times New Roman"/>
          <w:color w:val="000000" w:themeColor="text1"/>
          <w:lang w:val="es-ES_tradnl"/>
        </w:rPr>
        <w:t>refieren a</w:t>
      </w:r>
      <w:r w:rsidRPr="0096658B">
        <w:rPr>
          <w:rFonts w:ascii="Times New Roman" w:hAnsi="Times New Roman" w:cs="Times New Roman"/>
          <w:color w:val="000000" w:themeColor="text1"/>
          <w:lang w:val="es-ES_tradnl"/>
        </w:rPr>
        <w:t xml:space="preserve"> apartes normativos que no sufrieron modificaciones por parte del PLE. Esto quiere decir que los condicionamientos en comento conservan plena vigencia</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como lo ha reconocido la Corte en esta sentencia.</w:t>
      </w:r>
    </w:p>
    <w:p w:rsidR="00400A9B" w:rsidRPr="0096658B" w:rsidRDefault="0096658B" w:rsidP="00400A9B">
      <w:pPr>
        <w:pStyle w:val="Prrafodelista"/>
        <w:rPr>
          <w:rFonts w:ascii="Times New Roman" w:hAnsi="Times New Roman" w:cs="Times New Roman"/>
          <w:color w:val="000000" w:themeColor="text1"/>
          <w:lang w:val="es-ES_tradnl"/>
        </w:rPr>
      </w:pPr>
    </w:p>
    <w:p w:rsidR="00B3762D" w:rsidRPr="0096658B" w:rsidRDefault="0096658B" w:rsidP="00890A6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En conclusión, </w:t>
      </w:r>
      <w:r w:rsidRPr="0096658B">
        <w:rPr>
          <w:rFonts w:ascii="Times New Roman" w:hAnsi="Times New Roman" w:cs="Times New Roman"/>
          <w:color w:val="000000" w:themeColor="text1"/>
          <w:lang w:val="es-ES_tradnl"/>
        </w:rPr>
        <w:t xml:space="preserve">la Sala declarará la </w:t>
      </w:r>
      <w:r w:rsidRPr="0096658B">
        <w:rPr>
          <w:rFonts w:ascii="Times New Roman" w:hAnsi="Times New Roman" w:cs="Times New Roman"/>
          <w:color w:val="000000" w:themeColor="text1"/>
          <w:lang w:val="es-ES_tradnl"/>
        </w:rPr>
        <w:t>constitucionalidad</w:t>
      </w:r>
      <w:r w:rsidRPr="0096658B">
        <w:rPr>
          <w:rFonts w:ascii="Times New Roman" w:hAnsi="Times New Roman" w:cs="Times New Roman"/>
          <w:color w:val="000000" w:themeColor="text1"/>
          <w:lang w:val="es-ES_tradnl"/>
        </w:rPr>
        <w:t xml:space="preserve"> del artículo 1° del PLE. </w:t>
      </w:r>
      <w:r w:rsidRPr="0096658B">
        <w:rPr>
          <w:rFonts w:ascii="Times New Roman" w:hAnsi="Times New Roman" w:cs="Times New Roman"/>
          <w:color w:val="000000" w:themeColor="text1"/>
          <w:lang w:val="es-ES_tradnl"/>
        </w:rPr>
        <w:t>Esto, salvo</w:t>
      </w:r>
      <w:r w:rsidRPr="0096658B">
        <w:rPr>
          <w:rFonts w:ascii="Times New Roman" w:hAnsi="Times New Roman" w:cs="Times New Roman"/>
          <w:color w:val="000000" w:themeColor="text1"/>
          <w:lang w:val="es-ES_tradnl"/>
        </w:rPr>
        <w:t xml:space="preserve"> la expresión “</w:t>
      </w:r>
      <w:r w:rsidRPr="0096658B">
        <w:rPr>
          <w:rFonts w:ascii="Times New Roman" w:hAnsi="Times New Roman" w:cs="Times New Roman"/>
          <w:color w:val="000000" w:themeColor="text1"/>
          <w:lang w:val="es-ES_tradnl"/>
        </w:rPr>
        <w:t xml:space="preserve">en el plazo de seis meses, contados a partir de la entrada en vigencia de la presente Ley”, contenida en el parágrafo </w:t>
      </w:r>
      <w:r w:rsidRPr="0096658B">
        <w:rPr>
          <w:rFonts w:ascii="Times New Roman" w:hAnsi="Times New Roman" w:cs="Times New Roman"/>
          <w:color w:val="000000" w:themeColor="text1"/>
          <w:lang w:val="es-ES_tradnl"/>
        </w:rPr>
        <w:t>segundo de dicho artículo, cuya constitucionali</w:t>
      </w:r>
      <w:r w:rsidRPr="0096658B">
        <w:rPr>
          <w:rFonts w:ascii="Times New Roman" w:hAnsi="Times New Roman" w:cs="Times New Roman"/>
          <w:color w:val="000000" w:themeColor="text1"/>
          <w:lang w:val="es-ES_tradnl"/>
        </w:rPr>
        <w:t>dad se condicionará en el entendido de que ese plazo no limita el carácter permanente de la potestad reglamentaria</w:t>
      </w:r>
      <w:r w:rsidRPr="0096658B">
        <w:rPr>
          <w:rFonts w:ascii="Times New Roman" w:hAnsi="Times New Roman" w:cs="Times New Roman"/>
          <w:color w:val="000000" w:themeColor="text1"/>
          <w:lang w:val="es-ES_tradnl"/>
        </w:rPr>
        <w:t xml:space="preserve"> del presidente de la República</w:t>
      </w:r>
      <w:r w:rsidRPr="0096658B">
        <w:rPr>
          <w:rFonts w:ascii="Times New Roman" w:hAnsi="Times New Roman" w:cs="Times New Roman"/>
          <w:color w:val="000000" w:themeColor="text1"/>
          <w:lang w:val="es-ES_tradnl"/>
        </w:rPr>
        <w:t xml:space="preserve">. </w:t>
      </w:r>
    </w:p>
    <w:p w:rsidR="00A5409D" w:rsidRPr="0096658B" w:rsidRDefault="0096658B" w:rsidP="00A5409D">
      <w:pPr>
        <w:pStyle w:val="Prrafodelista"/>
        <w:rPr>
          <w:rFonts w:ascii="Times New Roman" w:hAnsi="Times New Roman" w:cs="Times New Roman"/>
          <w:color w:val="000000" w:themeColor="text1"/>
          <w:lang w:val="es-ES_tradnl"/>
        </w:rPr>
      </w:pPr>
    </w:p>
    <w:p w:rsidR="00A5409D" w:rsidRPr="0096658B" w:rsidRDefault="0096658B" w:rsidP="00A5409D">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b/>
          <w:color w:val="000000" w:themeColor="text1"/>
          <w:lang w:val="es-ES_tradnl"/>
        </w:rPr>
      </w:pPr>
      <w:r w:rsidRPr="0096658B">
        <w:rPr>
          <w:rFonts w:ascii="Times New Roman" w:hAnsi="Times New Roman" w:cs="Times New Roman"/>
          <w:b/>
          <w:color w:val="000000" w:themeColor="text1"/>
          <w:lang w:val="es-ES_tradnl"/>
        </w:rPr>
        <w:t>Artículo 2°</w:t>
      </w:r>
    </w:p>
    <w:p w:rsidR="00A5409D" w:rsidRPr="0096658B" w:rsidRDefault="0096658B" w:rsidP="00A5409D">
      <w:pPr>
        <w:pStyle w:val="Prrafodelista"/>
        <w:rPr>
          <w:rFonts w:ascii="Times New Roman" w:hAnsi="Times New Roman" w:cs="Times New Roman"/>
          <w:color w:val="000000" w:themeColor="text1"/>
          <w:lang w:val="es-ES_tradnl"/>
        </w:rPr>
      </w:pPr>
    </w:p>
    <w:p w:rsidR="00A5409D" w:rsidRPr="0096658B" w:rsidRDefault="0096658B" w:rsidP="00890A6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El artículo 2° del PLE</w:t>
      </w:r>
      <w:r w:rsidRPr="0096658B">
        <w:rPr>
          <w:rFonts w:ascii="Times New Roman" w:hAnsi="Times New Roman" w:cs="Times New Roman"/>
          <w:color w:val="000000" w:themeColor="text1"/>
          <w:lang w:val="es-ES_tradnl"/>
        </w:rPr>
        <w:t xml:space="preserve"> adiciona el artículo 13 de la Ley 581 de 2000 con el fin de determinar que</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en las delegaciones de colombianos en comisiones oficiales a conferencias diplomáticas, reuniones, foros internacionales, comités de expertos y eventos de naturaleza similar</w:t>
      </w:r>
      <w:r w:rsidRPr="0096658B">
        <w:rPr>
          <w:rFonts w:ascii="Times New Roman" w:hAnsi="Times New Roman" w:cs="Times New Roman"/>
          <w:color w:val="000000" w:themeColor="text1"/>
          <w:lang w:val="es-ES_tradnl"/>
        </w:rPr>
        <w:t>, se d</w:t>
      </w:r>
      <w:r w:rsidRPr="0096658B">
        <w:rPr>
          <w:rFonts w:ascii="Times New Roman" w:hAnsi="Times New Roman" w:cs="Times New Roman"/>
          <w:color w:val="000000" w:themeColor="text1"/>
          <w:lang w:val="es-ES_tradnl"/>
        </w:rPr>
        <w:t xml:space="preserve">eberán incluir mujeres “de forma paritaria”. </w:t>
      </w:r>
    </w:p>
    <w:p w:rsidR="00CC4F3E" w:rsidRPr="0096658B" w:rsidRDefault="0096658B" w:rsidP="00CC4F3E">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color w:val="000000" w:themeColor="text1"/>
          <w:lang w:val="es-ES_tradnl"/>
        </w:rPr>
      </w:pPr>
    </w:p>
    <w:p w:rsidR="002E7694" w:rsidRPr="0096658B" w:rsidRDefault="0096658B" w:rsidP="00890A6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De manera similar a c</w:t>
      </w:r>
      <w:r w:rsidRPr="0096658B">
        <w:rPr>
          <w:rFonts w:ascii="Times New Roman" w:hAnsi="Times New Roman" w:cs="Times New Roman"/>
          <w:color w:val="000000" w:themeColor="text1"/>
          <w:lang w:val="es-ES_tradnl"/>
        </w:rPr>
        <w:t>o</w:t>
      </w:r>
      <w:r w:rsidRPr="0096658B">
        <w:rPr>
          <w:rFonts w:ascii="Times New Roman" w:hAnsi="Times New Roman" w:cs="Times New Roman"/>
          <w:color w:val="000000" w:themeColor="text1"/>
          <w:lang w:val="es-ES_tradnl"/>
        </w:rPr>
        <w:t xml:space="preserve">mo se expuso respecto del artículo 1° del PLE, la Corte referirá las reglas fijadas en la sentencia C-371 de 2000 en cuanto a la constitucionalidad del artículo 11 de la Ley </w:t>
      </w:r>
      <w:r w:rsidRPr="0096658B">
        <w:rPr>
          <w:rFonts w:ascii="Times New Roman" w:hAnsi="Times New Roman" w:cs="Times New Roman"/>
          <w:color w:val="000000" w:themeColor="text1"/>
          <w:lang w:val="es-ES_tradnl"/>
        </w:rPr>
        <w:t>581 de 2000</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a manera de contexto y precedente vinculante</w:t>
      </w:r>
      <w:r w:rsidRPr="0096658B">
        <w:rPr>
          <w:rFonts w:ascii="Times New Roman" w:hAnsi="Times New Roman" w:cs="Times New Roman"/>
          <w:color w:val="000000" w:themeColor="text1"/>
          <w:lang w:val="es-ES_tradnl"/>
        </w:rPr>
        <w:t xml:space="preserve"> en esta oportunidad. Luego de esa recapitulación se pronunciará sobre</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 xml:space="preserve">la </w:t>
      </w:r>
      <w:r w:rsidRPr="0096658B">
        <w:rPr>
          <w:rFonts w:ascii="Times New Roman" w:hAnsi="Times New Roman" w:cs="Times New Roman"/>
          <w:color w:val="000000" w:themeColor="text1"/>
          <w:lang w:val="es-ES_tradnl"/>
        </w:rPr>
        <w:t>constitucionalidad</w:t>
      </w:r>
      <w:r w:rsidRPr="0096658B">
        <w:rPr>
          <w:rFonts w:ascii="Times New Roman" w:hAnsi="Times New Roman" w:cs="Times New Roman"/>
          <w:color w:val="000000" w:themeColor="text1"/>
          <w:lang w:val="es-ES_tradnl"/>
        </w:rPr>
        <w:t xml:space="preserve"> del artículo 2° del PLE. </w:t>
      </w:r>
    </w:p>
    <w:p w:rsidR="006F5B35" w:rsidRPr="0096658B" w:rsidRDefault="0096658B" w:rsidP="006F5B35">
      <w:pPr>
        <w:pStyle w:val="Prrafodelista"/>
        <w:rPr>
          <w:rFonts w:ascii="Times New Roman" w:hAnsi="Times New Roman" w:cs="Times New Roman"/>
          <w:color w:val="000000" w:themeColor="text1"/>
          <w:lang w:val="es-ES_tradnl"/>
        </w:rPr>
      </w:pPr>
    </w:p>
    <w:p w:rsidR="006F5B35" w:rsidRPr="0096658B" w:rsidRDefault="0096658B" w:rsidP="00890A6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color w:val="000000" w:themeColor="text1"/>
          <w:lang w:val="es-ES_tradnl"/>
        </w:rPr>
        <w:t xml:space="preserve">La regla jurisprudencial aplicable. </w:t>
      </w:r>
      <w:r w:rsidRPr="0096658B">
        <w:rPr>
          <w:rFonts w:ascii="Times New Roman" w:hAnsi="Times New Roman" w:cs="Times New Roman"/>
          <w:color w:val="000000" w:themeColor="text1"/>
          <w:lang w:val="es-ES_tradnl"/>
        </w:rPr>
        <w:t>Las consideraciones planteadas por la mencionada sentenc</w:t>
      </w:r>
      <w:r w:rsidRPr="0096658B">
        <w:rPr>
          <w:rFonts w:ascii="Times New Roman" w:hAnsi="Times New Roman" w:cs="Times New Roman"/>
          <w:color w:val="000000" w:themeColor="text1"/>
          <w:lang w:val="es-ES_tradnl"/>
        </w:rPr>
        <w:t xml:space="preserve">ia sobre este particular fueron breves. </w:t>
      </w:r>
      <w:r w:rsidRPr="0096658B">
        <w:rPr>
          <w:rFonts w:ascii="Times New Roman" w:hAnsi="Times New Roman" w:cs="Times New Roman"/>
          <w:color w:val="000000" w:themeColor="text1"/>
          <w:lang w:val="es-ES_tradnl"/>
        </w:rPr>
        <w:t>En primer lugar, llamó la atención acerca de que la inclusión de las mujeres en las delegaciones internacionales de ninguna manera involucraba que estas carecieran de los méritos y competencias para ello. Así, las “m</w:t>
      </w:r>
      <w:r w:rsidRPr="0096658B">
        <w:rPr>
          <w:rFonts w:ascii="Times New Roman" w:hAnsi="Times New Roman" w:cs="Times New Roman"/>
          <w:color w:val="000000" w:themeColor="text1"/>
          <w:lang w:val="es-ES_tradnl"/>
        </w:rPr>
        <w:t>ujeres designadas deberán ser personas que trabajen en temas relacionados con los que se traten en las correspondientes conferencias diplomáticas, reuniones, foros internacionales, comités de expertos y eventos de naturaleza similar, y no meras acompañante</w:t>
      </w:r>
      <w:r w:rsidRPr="0096658B">
        <w:rPr>
          <w:rFonts w:ascii="Times New Roman" w:hAnsi="Times New Roman" w:cs="Times New Roman"/>
          <w:color w:val="000000" w:themeColor="text1"/>
          <w:lang w:val="es-ES_tradnl"/>
        </w:rPr>
        <w:t>s de los delegados, pues esto sólo continuaría las prácticas degradantes de la mujer, que el proyecto se propone erradicar”</w:t>
      </w:r>
      <w:r w:rsidRPr="0096658B">
        <w:rPr>
          <w:rStyle w:val="Refdenotaalpie"/>
          <w:rFonts w:ascii="Times New Roman" w:hAnsi="Times New Roman"/>
          <w:color w:val="000000" w:themeColor="text1"/>
          <w:lang w:val="es-ES_tradnl"/>
        </w:rPr>
        <w:footnoteReference w:id="266"/>
      </w:r>
      <w:r w:rsidRPr="0096658B">
        <w:rPr>
          <w:rFonts w:ascii="Times New Roman" w:hAnsi="Times New Roman" w:cs="Times New Roman"/>
          <w:color w:val="000000" w:themeColor="text1"/>
          <w:lang w:val="es-ES_tradnl"/>
        </w:rPr>
        <w:t xml:space="preserve">. Adicionalmente, señaló que </w:t>
      </w:r>
      <w:r w:rsidRPr="0096658B">
        <w:rPr>
          <w:rFonts w:ascii="Times New Roman" w:hAnsi="Times New Roman" w:cs="Times New Roman"/>
          <w:color w:val="000000" w:themeColor="text1"/>
          <w:lang w:val="es-ES_tradnl"/>
        </w:rPr>
        <w:t xml:space="preserve">la regla que prevé el incumplimiento de esta disposición como causal de mala conducta debía </w:t>
      </w:r>
      <w:r w:rsidRPr="0096658B">
        <w:rPr>
          <w:rFonts w:ascii="Times New Roman" w:hAnsi="Times New Roman" w:cs="Times New Roman"/>
          <w:color w:val="000000" w:themeColor="text1"/>
          <w:lang w:val="es-ES_tradnl"/>
        </w:rPr>
        <w:t>interpretarse de manera que “se debe tener en cuenta eventos de fuerza mayor, como, por ejemplo, que la composición y número de la delegación no permita satisfacer el propósito que la norma persigue”</w:t>
      </w:r>
      <w:r w:rsidRPr="0096658B">
        <w:rPr>
          <w:rStyle w:val="Refdenotaalpie"/>
          <w:rFonts w:ascii="Times New Roman" w:hAnsi="Times New Roman"/>
          <w:color w:val="000000" w:themeColor="text1"/>
          <w:lang w:val="es-ES_tradnl"/>
        </w:rPr>
        <w:footnoteReference w:id="267"/>
      </w:r>
      <w:r w:rsidRPr="0096658B">
        <w:rPr>
          <w:rFonts w:ascii="Times New Roman" w:hAnsi="Times New Roman" w:cs="Times New Roman"/>
          <w:color w:val="000000" w:themeColor="text1"/>
          <w:lang w:val="es-ES_tradnl"/>
        </w:rPr>
        <w:t>.</w:t>
      </w:r>
    </w:p>
    <w:p w:rsidR="00F15094" w:rsidRPr="0096658B" w:rsidRDefault="0096658B" w:rsidP="00F15094">
      <w:pPr>
        <w:pStyle w:val="Prrafodelista"/>
        <w:rPr>
          <w:rFonts w:ascii="Times New Roman" w:hAnsi="Times New Roman" w:cs="Times New Roman"/>
          <w:color w:val="000000" w:themeColor="text1"/>
          <w:lang w:val="es-ES_tradnl"/>
        </w:rPr>
      </w:pPr>
    </w:p>
    <w:p w:rsidR="00254B75" w:rsidRPr="0096658B" w:rsidRDefault="0096658B" w:rsidP="00F64D44">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color w:val="000000" w:themeColor="text1"/>
          <w:lang w:val="es-ES_tradnl"/>
        </w:rPr>
        <w:t xml:space="preserve">El artículo 2° del PLE es </w:t>
      </w:r>
      <w:r w:rsidRPr="0096658B">
        <w:rPr>
          <w:rFonts w:ascii="Times New Roman" w:hAnsi="Times New Roman" w:cs="Times New Roman"/>
          <w:i/>
          <w:color w:val="000000" w:themeColor="text1"/>
          <w:lang w:val="es-ES_tradnl"/>
        </w:rPr>
        <w:t>constitucional</w:t>
      </w:r>
      <w:r w:rsidRPr="0096658B">
        <w:rPr>
          <w:rFonts w:ascii="Times New Roman" w:hAnsi="Times New Roman" w:cs="Times New Roman"/>
          <w:i/>
          <w:color w:val="000000" w:themeColor="text1"/>
          <w:lang w:val="es-ES_tradnl"/>
        </w:rPr>
        <w:t xml:space="preserve">. </w:t>
      </w:r>
      <w:r w:rsidRPr="0096658B">
        <w:rPr>
          <w:rFonts w:ascii="Times New Roman" w:hAnsi="Times New Roman" w:cs="Times New Roman"/>
          <w:color w:val="000000" w:themeColor="text1"/>
          <w:lang w:val="es-ES_tradnl"/>
        </w:rPr>
        <w:t>La Corte ad</w:t>
      </w:r>
      <w:r w:rsidRPr="0096658B">
        <w:rPr>
          <w:rFonts w:ascii="Times New Roman" w:hAnsi="Times New Roman" w:cs="Times New Roman"/>
          <w:color w:val="000000" w:themeColor="text1"/>
          <w:lang w:val="es-ES_tradnl"/>
        </w:rPr>
        <w:t>vierte que la disposición examinada es plenamente compatible con la Constitución</w:t>
      </w:r>
      <w:r w:rsidRPr="0096658B">
        <w:rPr>
          <w:rFonts w:ascii="Times New Roman" w:hAnsi="Times New Roman" w:cs="Times New Roman"/>
          <w:color w:val="000000" w:themeColor="text1"/>
          <w:lang w:val="es-ES_tradnl"/>
        </w:rPr>
        <w:t>, al cumplir con un juicio intermedio de proporcionalidad y conforme los siguientes argumentos.</w:t>
      </w:r>
    </w:p>
    <w:p w:rsidR="00F64D44" w:rsidRPr="0096658B" w:rsidRDefault="0096658B" w:rsidP="00F64D44">
      <w:pPr>
        <w:pStyle w:val="Prrafodelista"/>
        <w:rPr>
          <w:rFonts w:ascii="Times New Roman" w:hAnsi="Times New Roman" w:cs="Times New Roman"/>
          <w:color w:val="000000" w:themeColor="text1"/>
          <w:lang w:val="es-ES_tradnl"/>
        </w:rPr>
      </w:pPr>
    </w:p>
    <w:p w:rsidR="00F64D44" w:rsidRPr="0096658B" w:rsidRDefault="0096658B" w:rsidP="00F64D44">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iCs/>
          <w:color w:val="000000" w:themeColor="text1"/>
          <w:lang w:val="es-ES_tradnl"/>
        </w:rPr>
        <w:t>La medida cumple con un fin constitucionalmente importante</w:t>
      </w:r>
      <w:r w:rsidRPr="0096658B">
        <w:rPr>
          <w:rFonts w:ascii="Times New Roman" w:hAnsi="Times New Roman" w:cs="Times New Roman"/>
          <w:color w:val="000000" w:themeColor="text1"/>
          <w:lang w:val="es-ES_tradnl"/>
        </w:rPr>
        <w:t>. Como lo ha señalado</w:t>
      </w:r>
      <w:r w:rsidRPr="0096658B">
        <w:rPr>
          <w:rFonts w:ascii="Times New Roman" w:hAnsi="Times New Roman" w:cs="Times New Roman"/>
          <w:color w:val="000000" w:themeColor="text1"/>
          <w:lang w:val="es-ES_tradnl"/>
        </w:rPr>
        <w:t xml:space="preserve"> la Corte, la igualdad y la paridad entre hombres y mujeres en la esfera pública tiene como fundamento los artículos 13, 40 y 43 de la Constitución, así como normas de derechos humanos que forman parte del bloque de constitucionalidad. Al respecto, la Sala</w:t>
      </w:r>
      <w:r w:rsidRPr="0096658B">
        <w:rPr>
          <w:rFonts w:ascii="Times New Roman" w:hAnsi="Times New Roman" w:cs="Times New Roman"/>
          <w:color w:val="000000" w:themeColor="text1"/>
          <w:lang w:val="es-ES_tradnl"/>
        </w:rPr>
        <w:t xml:space="preserve"> resalta que, como se ha indicado, la paridad es la distribución que mejor desarrolla el mandato de igualdad entre hombres y mujeres en el acceso a la esfera pública y, en particular, al cumplimiento de las principales funciones en el Estado.</w:t>
      </w:r>
    </w:p>
    <w:p w:rsidR="00F64D44" w:rsidRPr="0096658B" w:rsidRDefault="0096658B" w:rsidP="00F64D44">
      <w:pPr>
        <w:pStyle w:val="Prrafodelista"/>
        <w:jc w:val="both"/>
        <w:rPr>
          <w:rFonts w:ascii="Times New Roman" w:hAnsi="Times New Roman" w:cs="Times New Roman"/>
          <w:color w:val="000000" w:themeColor="text1"/>
          <w:lang w:val="es-ES_tradnl"/>
        </w:rPr>
      </w:pPr>
    </w:p>
    <w:p w:rsidR="00F64D44" w:rsidRPr="0096658B" w:rsidRDefault="0096658B" w:rsidP="00F64D44">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iCs/>
          <w:color w:val="000000" w:themeColor="text1"/>
          <w:lang w:val="es-ES_tradnl"/>
        </w:rPr>
        <w:t>La medida es</w:t>
      </w:r>
      <w:r w:rsidRPr="0096658B">
        <w:rPr>
          <w:rFonts w:ascii="Times New Roman" w:hAnsi="Times New Roman" w:cs="Times New Roman"/>
          <w:i/>
          <w:iCs/>
          <w:color w:val="000000" w:themeColor="text1"/>
          <w:lang w:val="es-ES_tradnl"/>
        </w:rPr>
        <w:t xml:space="preserve"> adecuada y efectivamente conducente para cumplir con la </w:t>
      </w:r>
      <w:r w:rsidRPr="0096658B">
        <w:rPr>
          <w:rFonts w:ascii="Times New Roman" w:hAnsi="Times New Roman" w:cs="Times New Roman"/>
          <w:color w:val="000000" w:themeColor="text1"/>
          <w:lang w:val="es-ES_tradnl"/>
        </w:rPr>
        <w:t>finalidad</w:t>
      </w:r>
      <w:r w:rsidRPr="0096658B">
        <w:rPr>
          <w:rFonts w:ascii="Times New Roman" w:hAnsi="Times New Roman" w:cs="Times New Roman"/>
          <w:i/>
          <w:iCs/>
          <w:color w:val="000000" w:themeColor="text1"/>
          <w:lang w:val="es-ES_tradnl"/>
        </w:rPr>
        <w:t xml:space="preserve">. </w:t>
      </w:r>
      <w:r w:rsidRPr="0096658B">
        <w:rPr>
          <w:rFonts w:ascii="Times New Roman" w:hAnsi="Times New Roman" w:cs="Times New Roman"/>
          <w:color w:val="000000" w:themeColor="text1"/>
          <w:lang w:val="es-ES_tradnl"/>
        </w:rPr>
        <w:t xml:space="preserve">El artículo </w:t>
      </w:r>
      <w:r w:rsidRPr="0096658B">
        <w:rPr>
          <w:rFonts w:ascii="Times New Roman" w:hAnsi="Times New Roman" w:cs="Times New Roman"/>
          <w:i/>
          <w:iCs/>
          <w:color w:val="000000" w:themeColor="text1"/>
          <w:lang w:val="es-ES_tradnl"/>
        </w:rPr>
        <w:t>sub examine</w:t>
      </w:r>
      <w:r w:rsidRPr="0096658B">
        <w:rPr>
          <w:rFonts w:ascii="Times New Roman" w:hAnsi="Times New Roman" w:cs="Times New Roman"/>
          <w:color w:val="000000" w:themeColor="text1"/>
          <w:lang w:val="es-ES_tradnl"/>
        </w:rPr>
        <w:t xml:space="preserve"> tiene como finalidad lograr la paridad entre hombres y mujeres en delegaciones de colombianos que en comisiones oficiales atiendan algunos eventos. Asimismo, busca </w:t>
      </w:r>
      <w:r w:rsidRPr="0096658B">
        <w:rPr>
          <w:rFonts w:ascii="Times New Roman" w:hAnsi="Times New Roman" w:cs="Times New Roman"/>
          <w:color w:val="000000" w:themeColor="text1"/>
          <w:lang w:val="es-ES_tradnl"/>
        </w:rPr>
        <w:t>garantizar la participación de las mujeres en cursos y seminarios de capacitación en el exterior para servidores públicos colombianos. Para la Sala, estas medidas permiten lograr los mandatos de paridad y de igualdad, en tanto que exigen y garantizan la pa</w:t>
      </w:r>
      <w:r w:rsidRPr="0096658B">
        <w:rPr>
          <w:rFonts w:ascii="Times New Roman" w:hAnsi="Times New Roman" w:cs="Times New Roman"/>
          <w:color w:val="000000" w:themeColor="text1"/>
          <w:lang w:val="es-ES_tradnl"/>
        </w:rPr>
        <w:t xml:space="preserve">rticipación de las mujeres en dichos escenarios, en los términos mencionados. </w:t>
      </w:r>
    </w:p>
    <w:p w:rsidR="00F64D44" w:rsidRPr="0096658B" w:rsidRDefault="0096658B" w:rsidP="00F64D44">
      <w:pPr>
        <w:pStyle w:val="Prrafodelista"/>
        <w:jc w:val="both"/>
        <w:rPr>
          <w:rFonts w:ascii="Times New Roman" w:hAnsi="Times New Roman" w:cs="Times New Roman"/>
          <w:i/>
          <w:iCs/>
          <w:color w:val="000000" w:themeColor="text1"/>
          <w:lang w:val="es-ES_tradnl"/>
        </w:rPr>
      </w:pPr>
    </w:p>
    <w:p w:rsidR="00F64D44" w:rsidRPr="0096658B" w:rsidRDefault="0096658B" w:rsidP="00F64D44">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iCs/>
          <w:color w:val="000000" w:themeColor="text1"/>
          <w:lang w:val="es-ES_tradnl"/>
        </w:rPr>
        <w:t>La medida no es evidentemente desproporcionada</w:t>
      </w:r>
      <w:r w:rsidRPr="0096658B">
        <w:rPr>
          <w:rFonts w:ascii="Times New Roman" w:hAnsi="Times New Roman" w:cs="Times New Roman"/>
          <w:color w:val="000000" w:themeColor="text1"/>
          <w:lang w:val="es-ES_tradnl"/>
        </w:rPr>
        <w:t>. Esto, por cuanto no implica una limitación excesiva a los derechos de los hombres. Las medidas examinadas no circunscriben la pa</w:t>
      </w:r>
      <w:r w:rsidRPr="0096658B">
        <w:rPr>
          <w:rFonts w:ascii="Times New Roman" w:hAnsi="Times New Roman" w:cs="Times New Roman"/>
          <w:color w:val="000000" w:themeColor="text1"/>
          <w:lang w:val="es-ES_tradnl"/>
        </w:rPr>
        <w:t>rticipación en los escenarios referidos únicamente a las mujeres. En contraste, garantizan que, junto con los hombres, participen en estos. De esta forma, no se limita o reduce, de manera desproporcionada, la participación de estos últimos. En todo caso, l</w:t>
      </w:r>
      <w:r w:rsidRPr="0096658B">
        <w:rPr>
          <w:rFonts w:ascii="Times New Roman" w:hAnsi="Times New Roman" w:cs="Times New Roman"/>
          <w:color w:val="000000" w:themeColor="text1"/>
          <w:lang w:val="es-ES_tradnl"/>
        </w:rPr>
        <w:t>a Sala resalta que la evidencia empírica explicada en esta sentencia permite inferir que existe una similar distribución de las competencias y habilidades profesionales entre hombres y mujeres, por lo que el establecimiento de una regla de paridad en la pa</w:t>
      </w:r>
      <w:r w:rsidRPr="0096658B">
        <w:rPr>
          <w:rFonts w:ascii="Times New Roman" w:hAnsi="Times New Roman" w:cs="Times New Roman"/>
          <w:color w:val="000000" w:themeColor="text1"/>
          <w:lang w:val="es-ES_tradnl"/>
        </w:rPr>
        <w:t>rticipación en las delegaciones internacionales resulta neutro en términos de la adecuada representación del Estado colombiano en esas instancias y certámenes. De esta manera, la previsión de la paridad en este caso desarrolla adecuadamente los fines de la</w:t>
      </w:r>
      <w:r w:rsidRPr="0096658B">
        <w:rPr>
          <w:rFonts w:ascii="Times New Roman" w:hAnsi="Times New Roman" w:cs="Times New Roman"/>
          <w:color w:val="000000" w:themeColor="text1"/>
          <w:lang w:val="es-ES_tradnl"/>
        </w:rPr>
        <w:t xml:space="preserve"> función administrativa de que trata el artículo 209 de la Constitución, en especial los de igualdad, eficacia e imparcialidad.</w:t>
      </w:r>
    </w:p>
    <w:p w:rsidR="00F64D44" w:rsidRPr="0096658B" w:rsidRDefault="0096658B" w:rsidP="00706266">
      <w:pPr>
        <w:pStyle w:val="Prrafodelista"/>
        <w:jc w:val="both"/>
        <w:rPr>
          <w:rFonts w:ascii="Times New Roman" w:hAnsi="Times New Roman" w:cs="Times New Roman"/>
          <w:color w:val="000000" w:themeColor="text1"/>
          <w:lang w:val="es-ES_tradnl"/>
        </w:rPr>
      </w:pPr>
    </w:p>
    <w:p w:rsidR="00F64D44" w:rsidRPr="0096658B" w:rsidRDefault="0096658B" w:rsidP="00706266">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Además, el mandato de paridad analizado está plenamente justificado, no solo por las razones anotadas, sino también ante la </w:t>
      </w:r>
      <w:r w:rsidRPr="0096658B">
        <w:rPr>
          <w:rFonts w:ascii="Times New Roman" w:hAnsi="Times New Roman" w:cs="Times New Roman"/>
          <w:color w:val="000000" w:themeColor="text1"/>
          <w:lang w:val="es-ES_tradnl"/>
        </w:rPr>
        <w:t>prevalencia de la distribución inequitativa de las labores de cuidado entre hombres y mujeres. Ante esta situación, las mujeres tienen mayores barreras para asistir a las delegaciones mencionadas, puesto que, al efectuarse en el extranjero, resultan más de</w:t>
      </w:r>
      <w:r w:rsidRPr="0096658B">
        <w:rPr>
          <w:rFonts w:ascii="Times New Roman" w:hAnsi="Times New Roman" w:cs="Times New Roman"/>
          <w:color w:val="000000" w:themeColor="text1"/>
          <w:lang w:val="es-ES_tradnl"/>
        </w:rPr>
        <w:t>mandantes para quienes ejercen esas labores, en particular para quienes son madres y/o cuidadoras de personas que no pueden valerse por sí mismas. En ese sentido, la fijación de un criterio de paridad es una medida adecuada para promover una mayor particip</w:t>
      </w:r>
      <w:r w:rsidRPr="0096658B">
        <w:rPr>
          <w:rFonts w:ascii="Times New Roman" w:hAnsi="Times New Roman" w:cs="Times New Roman"/>
          <w:color w:val="000000" w:themeColor="text1"/>
          <w:lang w:val="es-ES_tradnl"/>
        </w:rPr>
        <w:t>ación de las mujeres y, por la vía indirecta, tender hacia un mayor equilibrio en la distribución de las labores de cuidado.</w:t>
      </w:r>
    </w:p>
    <w:p w:rsidR="00F64D44" w:rsidRPr="0096658B" w:rsidRDefault="0096658B" w:rsidP="00460E45">
      <w:pPr>
        <w:rPr>
          <w:rFonts w:ascii="Times New Roman" w:hAnsi="Times New Roman" w:cs="Times New Roman"/>
          <w:color w:val="000000" w:themeColor="text1"/>
          <w:sz w:val="28"/>
          <w:lang w:val="es-ES_tradnl"/>
        </w:rPr>
      </w:pPr>
    </w:p>
    <w:p w:rsidR="00F64D44" w:rsidRPr="0096658B" w:rsidRDefault="0096658B" w:rsidP="00706266">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Explicados estos asuntos, la Corte declarara la constitucionalidad del artículo 2° del PLE. </w:t>
      </w:r>
    </w:p>
    <w:p w:rsidR="003434AF" w:rsidRPr="0096658B" w:rsidRDefault="0096658B" w:rsidP="00254B75">
      <w:pPr>
        <w:rPr>
          <w:rFonts w:ascii="Times New Roman" w:hAnsi="Times New Roman" w:cs="Times New Roman"/>
          <w:color w:val="000000" w:themeColor="text1"/>
          <w:sz w:val="28"/>
          <w:lang w:val="es-ES_tradnl"/>
        </w:rPr>
      </w:pPr>
    </w:p>
    <w:p w:rsidR="00FA4E04" w:rsidRPr="0096658B" w:rsidRDefault="0096658B" w:rsidP="00254B75">
      <w:pPr>
        <w:rPr>
          <w:rFonts w:ascii="Times New Roman" w:hAnsi="Times New Roman" w:cs="Times New Roman"/>
          <w:b/>
          <w:color w:val="000000" w:themeColor="text1"/>
          <w:sz w:val="28"/>
          <w:szCs w:val="28"/>
          <w:lang w:val="es-ES_tradnl"/>
        </w:rPr>
      </w:pPr>
      <w:r w:rsidRPr="0096658B">
        <w:rPr>
          <w:rFonts w:ascii="Times New Roman" w:hAnsi="Times New Roman" w:cs="Times New Roman"/>
          <w:b/>
          <w:color w:val="000000" w:themeColor="text1"/>
          <w:sz w:val="28"/>
          <w:szCs w:val="28"/>
          <w:lang w:val="es-ES_tradnl"/>
        </w:rPr>
        <w:t>Artículo 3°</w:t>
      </w:r>
    </w:p>
    <w:p w:rsidR="00254B75" w:rsidRPr="0096658B" w:rsidRDefault="0096658B" w:rsidP="00254B75">
      <w:pPr>
        <w:rPr>
          <w:rFonts w:ascii="Times New Roman" w:hAnsi="Times New Roman" w:cs="Times New Roman"/>
          <w:b/>
          <w:color w:val="000000" w:themeColor="text1"/>
          <w:sz w:val="28"/>
          <w:lang w:val="es-ES_tradnl"/>
        </w:rPr>
      </w:pPr>
    </w:p>
    <w:p w:rsidR="003E24EE" w:rsidRPr="0096658B" w:rsidRDefault="0096658B" w:rsidP="003E24EE">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 El artículo 3° del PLE adiciona un parágrafo el artículo 28 de la Ley 1475 de 2011</w:t>
      </w:r>
      <w:r w:rsidRPr="0096658B">
        <w:rPr>
          <w:rFonts w:ascii="Times New Roman" w:hAnsi="Times New Roman" w:cs="Times New Roman"/>
          <w:color w:val="000000" w:themeColor="text1"/>
          <w:lang w:val="es-ES_tradnl"/>
        </w:rPr>
        <w:t>, con el fin de que</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a partir de 2026, en las listas donde se elijan menos de cinco curules para corporaciones de elección popular o las que se sometan a con</w:t>
      </w:r>
      <w:r w:rsidRPr="0096658B">
        <w:rPr>
          <w:rFonts w:ascii="Times New Roman" w:hAnsi="Times New Roman" w:cs="Times New Roman"/>
          <w:color w:val="000000" w:themeColor="text1"/>
          <w:lang w:val="es-ES_tradnl"/>
        </w:rPr>
        <w:t>sulta -exceptuan</w:t>
      </w:r>
      <w:r w:rsidRPr="0096658B">
        <w:rPr>
          <w:rFonts w:ascii="Times New Roman" w:hAnsi="Times New Roman" w:cs="Times New Roman"/>
          <w:color w:val="000000" w:themeColor="text1"/>
          <w:lang w:val="es-ES_tradnl"/>
        </w:rPr>
        <w:t xml:space="preserve">do su resultado- deberán integrarse por al menos una mujer. </w:t>
      </w:r>
    </w:p>
    <w:p w:rsidR="003E24EE" w:rsidRPr="0096658B" w:rsidRDefault="0096658B" w:rsidP="003E24EE">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color w:val="000000" w:themeColor="text1"/>
          <w:lang w:val="es-ES_tradnl"/>
        </w:rPr>
      </w:pPr>
    </w:p>
    <w:p w:rsidR="00991027" w:rsidRPr="0096658B" w:rsidRDefault="0096658B" w:rsidP="003E24EE">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color w:val="000000" w:themeColor="text1"/>
          <w:lang w:val="es-ES_tradnl"/>
        </w:rPr>
        <w:t xml:space="preserve">Consideraciones en el proceso legislativo. </w:t>
      </w:r>
      <w:r w:rsidRPr="0096658B">
        <w:rPr>
          <w:rFonts w:ascii="Times New Roman" w:hAnsi="Times New Roman" w:cs="Times New Roman"/>
          <w:color w:val="000000" w:themeColor="text1"/>
          <w:lang w:val="es-ES_tradnl"/>
        </w:rPr>
        <w:t>En el trámite legislativo se expuso que esta disposición tiene como objeto solucionar una injusta disconformidad en la redacción del artículo 28 mencio</w:t>
      </w:r>
      <w:r w:rsidRPr="0096658B">
        <w:rPr>
          <w:rFonts w:ascii="Times New Roman" w:hAnsi="Times New Roman" w:cs="Times New Roman"/>
          <w:color w:val="000000" w:themeColor="text1"/>
          <w:lang w:val="es-ES_tradnl"/>
        </w:rPr>
        <w:t>nado. Esto debido a que si bien existía una regla conform</w:t>
      </w:r>
      <w:r w:rsidRPr="0096658B">
        <w:rPr>
          <w:rFonts w:ascii="Times New Roman" w:hAnsi="Times New Roman" w:cs="Times New Roman"/>
          <w:color w:val="000000" w:themeColor="text1"/>
          <w:lang w:val="es-ES_tradnl"/>
        </w:rPr>
        <w:t>e</w:t>
      </w:r>
      <w:r w:rsidRPr="0096658B">
        <w:rPr>
          <w:rFonts w:ascii="Times New Roman" w:hAnsi="Times New Roman" w:cs="Times New Roman"/>
          <w:color w:val="000000" w:themeColor="text1"/>
          <w:lang w:val="es-ES_tradnl"/>
        </w:rPr>
        <w:t xml:space="preserve"> a la cual en las listas donde se eligieran cinco o más curules </w:t>
      </w:r>
      <w:r w:rsidRPr="0096658B">
        <w:rPr>
          <w:rFonts w:ascii="Times New Roman" w:hAnsi="Times New Roman" w:cs="Times New Roman"/>
          <w:color w:val="000000" w:themeColor="text1"/>
          <w:lang w:val="es-ES_tradnl"/>
        </w:rPr>
        <w:t>debían conformarse por mínimo un 30% de uno de los géneros, no sucedía lo mismo en las listas para proveer menos curules y en perjuici</w:t>
      </w:r>
      <w:r w:rsidRPr="0096658B">
        <w:rPr>
          <w:rFonts w:ascii="Times New Roman" w:hAnsi="Times New Roman" w:cs="Times New Roman"/>
          <w:color w:val="000000" w:themeColor="text1"/>
          <w:lang w:val="es-ES_tradnl"/>
        </w:rPr>
        <w:t>o de las mujeres que aspirasen a candidatizarse en ese supuesto.</w:t>
      </w:r>
      <w:r w:rsidRPr="0096658B">
        <w:rPr>
          <w:rFonts w:ascii="Times New Roman" w:hAnsi="Times New Roman" w:cs="Times New Roman"/>
          <w:color w:val="000000" w:themeColor="text1"/>
          <w:lang w:val="es-ES_tradnl"/>
        </w:rPr>
        <w:t xml:space="preserve"> Cabe anotar que </w:t>
      </w:r>
      <w:r w:rsidRPr="0096658B">
        <w:rPr>
          <w:rFonts w:ascii="Times New Roman" w:hAnsi="Times New Roman" w:cs="Times New Roman"/>
          <w:color w:val="000000" w:themeColor="text1"/>
          <w:lang w:val="es-ES_tradnl"/>
        </w:rPr>
        <w:t>a lo largo d</w:t>
      </w:r>
      <w:r w:rsidRPr="0096658B">
        <w:rPr>
          <w:rFonts w:ascii="Times New Roman" w:hAnsi="Times New Roman" w:cs="Times New Roman"/>
          <w:color w:val="000000" w:themeColor="text1"/>
          <w:lang w:val="es-ES_tradnl"/>
        </w:rPr>
        <w:t xml:space="preserve">el trámite se mantuvo la idea de extender la regla de paridad a todas las listas, pero durante la plenaria en la Cámara de Representantes </w:t>
      </w:r>
      <w:r w:rsidRPr="0096658B">
        <w:rPr>
          <w:rFonts w:ascii="Times New Roman" w:hAnsi="Times New Roman" w:cs="Times New Roman"/>
          <w:color w:val="000000" w:themeColor="text1"/>
          <w:lang w:val="es-ES_tradnl"/>
        </w:rPr>
        <w:t xml:space="preserve">algunos congresistas </w:t>
      </w:r>
      <w:r w:rsidRPr="0096658B">
        <w:rPr>
          <w:rFonts w:ascii="Times New Roman" w:hAnsi="Times New Roman" w:cs="Times New Roman"/>
          <w:color w:val="000000" w:themeColor="text1"/>
          <w:lang w:val="es-ES_tradnl"/>
        </w:rPr>
        <w:t>presentaron reparos a esa regla con el argumento que, en especial en las regiones, resultaba particularmente difícil encontrar candidatas suficientes. En ese sentido, se nombró una comisión para estudiar la materia, la cual concluyó que era necesario corre</w:t>
      </w:r>
      <w:r w:rsidRPr="0096658B">
        <w:rPr>
          <w:rFonts w:ascii="Times New Roman" w:hAnsi="Times New Roman" w:cs="Times New Roman"/>
          <w:color w:val="000000" w:themeColor="text1"/>
          <w:lang w:val="es-ES_tradnl"/>
        </w:rPr>
        <w:t>gir la inequidad existente en las lista</w:t>
      </w:r>
      <w:r w:rsidRPr="0096658B">
        <w:rPr>
          <w:rFonts w:ascii="Times New Roman" w:hAnsi="Times New Roman" w:cs="Times New Roman"/>
          <w:color w:val="000000" w:themeColor="text1"/>
          <w:lang w:val="es-ES_tradnl"/>
        </w:rPr>
        <w:t>s</w:t>
      </w:r>
      <w:r w:rsidRPr="0096658B">
        <w:rPr>
          <w:rFonts w:ascii="Times New Roman" w:hAnsi="Times New Roman" w:cs="Times New Roman"/>
          <w:color w:val="000000" w:themeColor="text1"/>
          <w:lang w:val="es-ES_tradnl"/>
        </w:rPr>
        <w:t xml:space="preserve"> para proveer menos curules </w:t>
      </w:r>
      <w:r w:rsidRPr="0096658B">
        <w:rPr>
          <w:rFonts w:ascii="Times New Roman" w:hAnsi="Times New Roman" w:cs="Times New Roman"/>
          <w:color w:val="000000" w:themeColor="text1"/>
          <w:lang w:val="es-ES_tradnl"/>
        </w:rPr>
        <w:t>y, a su turno, fijar la entrada en vigencia de la medida en 2026, para que coincidiera con las próximas elecciones de Congreso y los partidos y movimientos políticos tuvieran tiempo sufici</w:t>
      </w:r>
      <w:r w:rsidRPr="0096658B">
        <w:rPr>
          <w:rFonts w:ascii="Times New Roman" w:hAnsi="Times New Roman" w:cs="Times New Roman"/>
          <w:color w:val="000000" w:themeColor="text1"/>
          <w:lang w:val="es-ES_tradnl"/>
        </w:rPr>
        <w:t>ente para hacer los ajustes correspondientes</w:t>
      </w:r>
      <w:r w:rsidRPr="0096658B">
        <w:rPr>
          <w:rFonts w:ascii="Times New Roman" w:hAnsi="Times New Roman" w:cs="Times New Roman"/>
          <w:color w:val="000000" w:themeColor="text1"/>
          <w:lang w:val="es-ES_tradnl"/>
        </w:rPr>
        <w:t>. En particular, argumentaron que era necesario evitar una precipitada e hipotética aplicación de la disposición en las pasadas elecciones locales de octubre de 202</w:t>
      </w:r>
      <w:r w:rsidRPr="0096658B">
        <w:rPr>
          <w:rFonts w:ascii="Times New Roman" w:hAnsi="Times New Roman" w:cs="Times New Roman"/>
          <w:color w:val="000000" w:themeColor="text1"/>
          <w:lang w:val="es-ES_tradnl"/>
        </w:rPr>
        <w:t>3</w:t>
      </w:r>
      <w:r w:rsidRPr="0096658B">
        <w:rPr>
          <w:rStyle w:val="Refdenotaalpie"/>
          <w:rFonts w:ascii="Times New Roman" w:hAnsi="Times New Roman"/>
          <w:color w:val="000000" w:themeColor="text1"/>
          <w:lang w:val="es-ES_tradnl"/>
        </w:rPr>
        <w:footnoteReference w:id="268"/>
      </w:r>
      <w:r w:rsidRPr="0096658B">
        <w:rPr>
          <w:rFonts w:ascii="Times New Roman" w:hAnsi="Times New Roman" w:cs="Times New Roman"/>
          <w:color w:val="000000" w:themeColor="text1"/>
          <w:lang w:val="es-ES_tradnl"/>
        </w:rPr>
        <w:t>.</w:t>
      </w:r>
    </w:p>
    <w:p w:rsidR="00991027" w:rsidRPr="0096658B" w:rsidRDefault="0096658B" w:rsidP="00991027">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color w:val="000000" w:themeColor="text1"/>
          <w:lang w:val="es-ES_tradnl"/>
        </w:rPr>
      </w:pPr>
    </w:p>
    <w:p w:rsidR="003E24EE" w:rsidRPr="0096658B" w:rsidRDefault="0096658B" w:rsidP="003E24EE">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color w:val="000000" w:themeColor="text1"/>
          <w:lang w:val="es-ES_tradnl"/>
        </w:rPr>
        <w:t>El precedente contenido en la sentencia C-4</w:t>
      </w:r>
      <w:r w:rsidRPr="0096658B">
        <w:rPr>
          <w:rFonts w:ascii="Times New Roman" w:hAnsi="Times New Roman" w:cs="Times New Roman"/>
          <w:i/>
          <w:color w:val="000000" w:themeColor="text1"/>
          <w:lang w:val="es-ES_tradnl"/>
        </w:rPr>
        <w:t xml:space="preserve">90 de 2011. </w:t>
      </w:r>
      <w:r w:rsidRPr="0096658B">
        <w:rPr>
          <w:rFonts w:ascii="Times New Roman" w:hAnsi="Times New Roman" w:cs="Times New Roman"/>
          <w:color w:val="000000" w:themeColor="text1"/>
          <w:lang w:val="es-ES_tradnl"/>
        </w:rPr>
        <w:t xml:space="preserve">La sentencia C-490 de 2011 </w:t>
      </w:r>
      <w:r w:rsidRPr="0096658B">
        <w:rPr>
          <w:rFonts w:ascii="Times New Roman" w:hAnsi="Times New Roman" w:cs="Times New Roman"/>
          <w:color w:val="000000" w:themeColor="text1"/>
          <w:lang w:val="es-ES_tradnl"/>
        </w:rPr>
        <w:t xml:space="preserve">concluyó que la inclusión de la regla que exigía el 30% de participación de uno de los géneros es compatible con la </w:t>
      </w:r>
      <w:r w:rsidRPr="0096658B">
        <w:rPr>
          <w:rFonts w:ascii="Times New Roman" w:hAnsi="Times New Roman" w:cs="Times New Roman"/>
          <w:color w:val="000000" w:themeColor="text1"/>
          <w:lang w:val="es-ES_tradnl"/>
        </w:rPr>
        <w:t>Constitución. Si bien esta previsión legal no fue objeto de reforma por el artículo 3º del PLE, en to</w:t>
      </w:r>
      <w:r w:rsidRPr="0096658B">
        <w:rPr>
          <w:rFonts w:ascii="Times New Roman" w:hAnsi="Times New Roman" w:cs="Times New Roman"/>
          <w:color w:val="000000" w:themeColor="text1"/>
          <w:lang w:val="es-ES_tradnl"/>
        </w:rPr>
        <w:t xml:space="preserve">do caso la Corte considera necesario referirse brevemente a las reglas allí fijadas, en cuanto constituyen precedente para la decisión sobre la constitucionalidad de dicha disposición. </w:t>
      </w:r>
    </w:p>
    <w:p w:rsidR="00397221" w:rsidRPr="0096658B" w:rsidRDefault="0096658B" w:rsidP="00397221">
      <w:pPr>
        <w:pStyle w:val="Prrafodelista"/>
        <w:rPr>
          <w:rFonts w:ascii="Times New Roman" w:hAnsi="Times New Roman" w:cs="Times New Roman"/>
          <w:color w:val="000000" w:themeColor="text1"/>
          <w:lang w:val="es-ES_tradnl"/>
        </w:rPr>
      </w:pPr>
    </w:p>
    <w:p w:rsidR="00397221" w:rsidRPr="0096658B" w:rsidRDefault="0096658B" w:rsidP="003E24EE">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La Sala puso de presente que si bien en la sentencia C-371 de 2000 se</w:t>
      </w:r>
      <w:r w:rsidRPr="0096658B">
        <w:rPr>
          <w:rFonts w:ascii="Times New Roman" w:hAnsi="Times New Roman" w:cs="Times New Roman"/>
          <w:color w:val="000000" w:themeColor="text1"/>
          <w:lang w:val="es-ES_tradnl"/>
        </w:rPr>
        <w:t xml:space="preserve"> había declarado in</w:t>
      </w:r>
      <w:r w:rsidRPr="0096658B">
        <w:rPr>
          <w:rFonts w:ascii="Times New Roman" w:hAnsi="Times New Roman" w:cs="Times New Roman"/>
          <w:color w:val="000000" w:themeColor="text1"/>
          <w:lang w:val="es-ES_tradnl"/>
        </w:rPr>
        <w:t xml:space="preserve">constitucional </w:t>
      </w:r>
      <w:r w:rsidRPr="0096658B">
        <w:rPr>
          <w:rFonts w:ascii="Times New Roman" w:hAnsi="Times New Roman" w:cs="Times New Roman"/>
          <w:color w:val="000000" w:themeColor="text1"/>
          <w:lang w:val="es-ES_tradnl"/>
        </w:rPr>
        <w:t>una medida similar</w:t>
      </w:r>
      <w:r w:rsidRPr="0096658B">
        <w:rPr>
          <w:rStyle w:val="Refdenotaalpie"/>
          <w:rFonts w:ascii="Times New Roman" w:hAnsi="Times New Roman"/>
          <w:color w:val="000000" w:themeColor="text1"/>
          <w:lang w:val="es-ES_tradnl"/>
        </w:rPr>
        <w:footnoteReference w:id="269"/>
      </w:r>
      <w:r w:rsidRPr="0096658B">
        <w:rPr>
          <w:rFonts w:ascii="Times New Roman" w:hAnsi="Times New Roman" w:cs="Times New Roman"/>
          <w:color w:val="000000" w:themeColor="text1"/>
          <w:lang w:val="es-ES_tradnl"/>
        </w:rPr>
        <w:t xml:space="preserve">, esa decisión no configuraba cosa juzgada constitucional, en virtud del cambio en el parámetro del control de constitucionalidad. </w:t>
      </w:r>
      <w:r w:rsidRPr="0096658B">
        <w:rPr>
          <w:rFonts w:ascii="Times New Roman" w:hAnsi="Times New Roman" w:cs="Times New Roman"/>
          <w:color w:val="000000" w:themeColor="text1"/>
          <w:lang w:val="es-ES_tradnl"/>
        </w:rPr>
        <w:t>En efecto, indicó que los artículos 40</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3 y 108 de la </w:t>
      </w:r>
      <w:r w:rsidRPr="0096658B">
        <w:rPr>
          <w:rFonts w:ascii="Times New Roman" w:hAnsi="Times New Roman" w:cs="Times New Roman"/>
          <w:color w:val="000000" w:themeColor="text1"/>
          <w:lang w:val="es-ES_tradnl"/>
        </w:rPr>
        <w:t>Constitución, este</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 xml:space="preserve">último en su versión original, establecían que la ley no podía establecer exigencias sobre la organización interna de los partidos y movimientos políticos. </w:t>
      </w:r>
      <w:r w:rsidRPr="0096658B">
        <w:rPr>
          <w:rFonts w:ascii="Times New Roman" w:hAnsi="Times New Roman" w:cs="Times New Roman"/>
          <w:color w:val="000000" w:themeColor="text1"/>
          <w:lang w:val="es-ES_tradnl"/>
        </w:rPr>
        <w:t>Sin embargo, luego de esa decisión el Congreso adoptó los actos legislativos 1º de 2003 y 1º de 2009</w:t>
      </w:r>
      <w:r w:rsidRPr="0096658B">
        <w:rPr>
          <w:rFonts w:ascii="Times New Roman" w:hAnsi="Times New Roman" w:cs="Times New Roman"/>
          <w:color w:val="000000" w:themeColor="text1"/>
          <w:lang w:val="es-ES_tradnl"/>
        </w:rPr>
        <w:t>, los cuales elim</w:t>
      </w:r>
      <w:r w:rsidRPr="0096658B">
        <w:rPr>
          <w:rFonts w:ascii="Times New Roman" w:hAnsi="Times New Roman" w:cs="Times New Roman"/>
          <w:color w:val="000000" w:themeColor="text1"/>
          <w:lang w:val="es-ES_tradnl"/>
        </w:rPr>
        <w:t>inaron “la prohibición impuesta al legislador para intervenir en su organización interna, redujo sustancialmente el nivel de autonomía y discrecionalidad con que venían actuando dichas organizaciones. Esta nueva posición del legislador fre</w:t>
      </w:r>
      <w:r w:rsidRPr="0096658B">
        <w:rPr>
          <w:rFonts w:ascii="Times New Roman" w:hAnsi="Times New Roman" w:cs="Times New Roman"/>
          <w:color w:val="000000" w:themeColor="text1"/>
          <w:lang w:val="es-ES_tradnl"/>
        </w:rPr>
        <w:t>nte a los partidos y movimientos políticos le permitió establecer algunos condicionamientos como la prohibición de la doble militancia, la limitación del número de listas, así como la sujeción de su organización a una serie de principios, entre ellos, la e</w:t>
      </w:r>
      <w:r w:rsidRPr="0096658B">
        <w:rPr>
          <w:rFonts w:ascii="Times New Roman" w:hAnsi="Times New Roman" w:cs="Times New Roman"/>
          <w:color w:val="000000" w:themeColor="text1"/>
          <w:lang w:val="es-ES_tradnl"/>
        </w:rPr>
        <w:t>quidad de género”</w:t>
      </w:r>
      <w:r w:rsidRPr="0096658B">
        <w:rPr>
          <w:rStyle w:val="Refdenotaalpie"/>
          <w:rFonts w:ascii="Times New Roman" w:hAnsi="Times New Roman"/>
          <w:color w:val="000000" w:themeColor="text1"/>
          <w:lang w:val="es-ES_tradnl"/>
        </w:rPr>
        <w:footnoteReference w:id="270"/>
      </w:r>
      <w:r w:rsidRPr="0096658B">
        <w:rPr>
          <w:rFonts w:ascii="Times New Roman" w:hAnsi="Times New Roman" w:cs="Times New Roman"/>
          <w:color w:val="000000" w:themeColor="text1"/>
          <w:lang w:val="es-ES_tradnl"/>
        </w:rPr>
        <w:t xml:space="preserve">. </w:t>
      </w:r>
    </w:p>
    <w:p w:rsidR="00061407" w:rsidRPr="0096658B" w:rsidRDefault="0096658B" w:rsidP="00061407">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color w:val="000000" w:themeColor="text1"/>
          <w:lang w:val="es-ES_tradnl"/>
        </w:rPr>
      </w:pPr>
    </w:p>
    <w:p w:rsidR="00061407" w:rsidRPr="0096658B" w:rsidRDefault="0096658B" w:rsidP="003E24EE">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Bajo esa nueva perspectiva, la medida de cuota en las listas para las corporaciones públicas resultaba constitucional en tanto </w:t>
      </w:r>
      <w:r w:rsidRPr="0096658B">
        <w:rPr>
          <w:rFonts w:ascii="Times New Roman" w:hAnsi="Times New Roman" w:cs="Times New Roman"/>
          <w:i/>
          <w:iCs/>
          <w:color w:val="000000" w:themeColor="text1"/>
          <w:lang w:val="es-ES_tradnl"/>
        </w:rPr>
        <w:t>(i)</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cumplía con la finalidad de remover las barreras discriminatorias en contra de las mujeres en el ámbito</w:t>
      </w:r>
      <w:r w:rsidRPr="0096658B">
        <w:rPr>
          <w:rFonts w:ascii="Times New Roman" w:hAnsi="Times New Roman" w:cs="Times New Roman"/>
          <w:color w:val="000000" w:themeColor="text1"/>
          <w:lang w:val="es-ES_tradnl"/>
        </w:rPr>
        <w:t xml:space="preserve"> de la participación política, demostradas por su escaso número en los cargos de elección popular; </w:t>
      </w:r>
      <w:r w:rsidRPr="0096658B">
        <w:rPr>
          <w:rFonts w:ascii="Times New Roman" w:hAnsi="Times New Roman" w:cs="Times New Roman"/>
          <w:i/>
          <w:iCs/>
          <w:color w:val="000000" w:themeColor="text1"/>
          <w:lang w:val="es-ES_tradnl"/>
        </w:rPr>
        <w:t>(ii)</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promovía mandatos del derecho internacional de los derechos humanos</w:t>
      </w:r>
      <w:r w:rsidRPr="0096658B">
        <w:rPr>
          <w:rFonts w:ascii="Times New Roman" w:hAnsi="Times New Roman" w:cs="Times New Roman"/>
          <w:color w:val="000000" w:themeColor="text1"/>
          <w:lang w:val="es-ES_tradnl"/>
        </w:rPr>
        <w:t xml:space="preserve">, así como las previsiones de los artículos 40 y 43 de la Constitución, a partir de razones similares a las que se han planteado en la presente sentencia; </w:t>
      </w:r>
      <w:r w:rsidRPr="0096658B">
        <w:rPr>
          <w:rFonts w:ascii="Times New Roman" w:hAnsi="Times New Roman" w:cs="Times New Roman"/>
          <w:i/>
          <w:iCs/>
          <w:color w:val="000000" w:themeColor="text1"/>
          <w:lang w:val="es-ES_tradnl"/>
        </w:rPr>
        <w:t>(iii)</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desarrollaba</w:t>
      </w:r>
      <w:r w:rsidRPr="0096658B">
        <w:rPr>
          <w:rFonts w:ascii="Times New Roman" w:hAnsi="Times New Roman" w:cs="Times New Roman"/>
          <w:color w:val="000000" w:themeColor="text1"/>
          <w:lang w:val="es-ES_tradnl"/>
        </w:rPr>
        <w:t xml:space="preserve"> los principios democrático y de equidad de género, aplicable</w:t>
      </w:r>
      <w:r w:rsidRPr="0096658B">
        <w:rPr>
          <w:rFonts w:ascii="Times New Roman" w:hAnsi="Times New Roman" w:cs="Times New Roman"/>
          <w:color w:val="000000" w:themeColor="text1"/>
          <w:lang w:val="es-ES_tradnl"/>
        </w:rPr>
        <w:t>s</w:t>
      </w:r>
      <w:r w:rsidRPr="0096658B">
        <w:rPr>
          <w:rFonts w:ascii="Times New Roman" w:hAnsi="Times New Roman" w:cs="Times New Roman"/>
          <w:color w:val="000000" w:themeColor="text1"/>
          <w:lang w:val="es-ES_tradnl"/>
        </w:rPr>
        <w:t xml:space="preserve"> a</w:t>
      </w:r>
      <w:r w:rsidRPr="0096658B">
        <w:rPr>
          <w:rFonts w:ascii="Times New Roman" w:hAnsi="Times New Roman" w:cs="Times New Roman"/>
          <w:color w:val="000000" w:themeColor="text1"/>
          <w:lang w:val="es-ES_tradnl"/>
        </w:rPr>
        <w:t xml:space="preserve"> la organización de</w:t>
      </w:r>
      <w:r w:rsidRPr="0096658B">
        <w:rPr>
          <w:rFonts w:ascii="Times New Roman" w:hAnsi="Times New Roman" w:cs="Times New Roman"/>
          <w:color w:val="000000" w:themeColor="text1"/>
          <w:lang w:val="es-ES_tradnl"/>
        </w:rPr>
        <w:t xml:space="preserve"> los partidos </w:t>
      </w:r>
      <w:r w:rsidRPr="0096658B">
        <w:rPr>
          <w:rFonts w:ascii="Times New Roman" w:hAnsi="Times New Roman" w:cs="Times New Roman"/>
          <w:color w:val="000000" w:themeColor="text1"/>
          <w:lang w:val="es-ES_tradnl"/>
        </w:rPr>
        <w:t xml:space="preserve">y movimientos </w:t>
      </w:r>
      <w:r w:rsidRPr="0096658B">
        <w:rPr>
          <w:rFonts w:ascii="Times New Roman" w:hAnsi="Times New Roman" w:cs="Times New Roman"/>
          <w:color w:val="000000" w:themeColor="text1"/>
          <w:lang w:val="es-ES_tradnl"/>
        </w:rPr>
        <w:t>políticos de acuerdo con el artículo 107 superior</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i/>
          <w:iCs/>
          <w:color w:val="000000" w:themeColor="text1"/>
          <w:lang w:val="es-ES_tradnl"/>
        </w:rPr>
        <w:t>(iv)</w:t>
      </w:r>
      <w:r w:rsidRPr="0096658B">
        <w:rPr>
          <w:rFonts w:ascii="Times New Roman" w:hAnsi="Times New Roman" w:cs="Times New Roman"/>
          <w:color w:val="000000" w:themeColor="text1"/>
          <w:lang w:val="es-ES_tradnl"/>
        </w:rPr>
        <w:t xml:space="preserve"> era una limitación proporcionada y razonable a la autonomía de los partidos y movimientos políticos. Esto debido a que </w:t>
      </w:r>
      <w:r w:rsidRPr="0096658B">
        <w:rPr>
          <w:rFonts w:ascii="Times New Roman" w:hAnsi="Times New Roman" w:cs="Times New Roman"/>
          <w:i/>
          <w:iCs/>
          <w:color w:val="000000" w:themeColor="text1"/>
          <w:lang w:val="es-ES_tradnl"/>
        </w:rPr>
        <w:t>(a)</w:t>
      </w:r>
      <w:r w:rsidRPr="0096658B">
        <w:rPr>
          <w:rFonts w:ascii="Times New Roman" w:hAnsi="Times New Roman" w:cs="Times New Roman"/>
          <w:color w:val="000000" w:themeColor="text1"/>
          <w:lang w:val="es-ES_tradnl"/>
        </w:rPr>
        <w:t xml:space="preserve"> estaba dirigida a garantizar un fin constituciona</w:t>
      </w:r>
      <w:r w:rsidRPr="0096658B">
        <w:rPr>
          <w:rFonts w:ascii="Times New Roman" w:hAnsi="Times New Roman" w:cs="Times New Roman"/>
          <w:color w:val="000000" w:themeColor="text1"/>
          <w:lang w:val="es-ES_tradnl"/>
        </w:rPr>
        <w:t xml:space="preserve">lmente importante, como es otorgar eficacia a los principios de igualdad y equidad de género; </w:t>
      </w:r>
      <w:r w:rsidRPr="0096658B">
        <w:rPr>
          <w:rFonts w:ascii="Times New Roman" w:hAnsi="Times New Roman" w:cs="Times New Roman"/>
          <w:i/>
          <w:iCs/>
          <w:color w:val="000000" w:themeColor="text1"/>
          <w:lang w:val="es-ES_tradnl"/>
        </w:rPr>
        <w:t>(b)</w:t>
      </w:r>
      <w:r w:rsidRPr="0096658B">
        <w:rPr>
          <w:rFonts w:ascii="Times New Roman" w:hAnsi="Times New Roman" w:cs="Times New Roman"/>
          <w:color w:val="000000" w:themeColor="text1"/>
          <w:lang w:val="es-ES_tradnl"/>
        </w:rPr>
        <w:t xml:space="preserve"> era una medida adecuada y efectivamente conducente para cumplir con ese objetivo, esto en tanto la medida de cuota</w:t>
      </w:r>
      <w:r w:rsidRPr="0096658B">
        <w:rPr>
          <w:rFonts w:ascii="Times New Roman" w:hAnsi="Times New Roman" w:cs="Times New Roman"/>
          <w:color w:val="000000" w:themeColor="text1"/>
          <w:lang w:val="es-ES_tradnl"/>
        </w:rPr>
        <w:t xml:space="preserve"> constituía</w:t>
      </w:r>
      <w:r w:rsidRPr="0096658B">
        <w:rPr>
          <w:rFonts w:ascii="Times New Roman" w:hAnsi="Times New Roman" w:cs="Times New Roman"/>
          <w:color w:val="000000" w:themeColor="text1"/>
          <w:lang w:val="es-ES_tradnl"/>
        </w:rPr>
        <w:t xml:space="preserve"> “una estrategia directamente enc</w:t>
      </w:r>
      <w:r w:rsidRPr="0096658B">
        <w:rPr>
          <w:rFonts w:ascii="Times New Roman" w:hAnsi="Times New Roman" w:cs="Times New Roman"/>
          <w:color w:val="000000" w:themeColor="text1"/>
          <w:lang w:val="es-ES_tradnl"/>
        </w:rPr>
        <w:t>aminada a incrementar los niveles de participación de las mujeres en la política, a fin de hacerla más igualitaria</w:t>
      </w:r>
      <w:r w:rsidRPr="0096658B">
        <w:rPr>
          <w:rFonts w:ascii="Times New Roman" w:hAnsi="Times New Roman" w:cs="Times New Roman"/>
          <w:color w:val="000000" w:themeColor="text1"/>
          <w:lang w:val="es-ES_tradnl"/>
        </w:rPr>
        <w:t>”</w:t>
      </w:r>
      <w:r w:rsidRPr="0096658B">
        <w:rPr>
          <w:rStyle w:val="Refdenotaalpie"/>
          <w:rFonts w:ascii="Times New Roman" w:hAnsi="Times New Roman"/>
          <w:color w:val="000000" w:themeColor="text1"/>
          <w:lang w:val="es-ES_tradnl"/>
        </w:rPr>
        <w:footnoteReference w:id="271"/>
      </w:r>
      <w:r w:rsidRPr="0096658B">
        <w:rPr>
          <w:rFonts w:ascii="Times New Roman" w:hAnsi="Times New Roman" w:cs="Times New Roman"/>
          <w:color w:val="000000" w:themeColor="text1"/>
          <w:lang w:val="es-ES_tradnl"/>
        </w:rPr>
        <w:t xml:space="preserve">; y </w:t>
      </w:r>
      <w:r w:rsidRPr="0096658B">
        <w:rPr>
          <w:rFonts w:ascii="Times New Roman" w:hAnsi="Times New Roman" w:cs="Times New Roman"/>
          <w:i/>
          <w:iCs/>
          <w:color w:val="000000" w:themeColor="text1"/>
          <w:lang w:val="es-ES_tradnl"/>
        </w:rPr>
        <w:t>(c)</w:t>
      </w:r>
      <w:r w:rsidRPr="0096658B">
        <w:rPr>
          <w:rFonts w:ascii="Times New Roman" w:hAnsi="Times New Roman" w:cs="Times New Roman"/>
          <w:color w:val="000000" w:themeColor="text1"/>
          <w:lang w:val="es-ES_tradnl"/>
        </w:rPr>
        <w:t xml:space="preserve"> era resultado de una válida intervención en los partidos y movimientos políticos, quienes mantenían un amplio margen de maniobra par</w:t>
      </w:r>
      <w:r w:rsidRPr="0096658B">
        <w:rPr>
          <w:rFonts w:ascii="Times New Roman" w:hAnsi="Times New Roman" w:cs="Times New Roman"/>
          <w:color w:val="000000" w:themeColor="text1"/>
          <w:lang w:val="es-ES_tradnl"/>
        </w:rPr>
        <w:t xml:space="preserve">a la configuración de las diferentes listas que, en todo caso, debían guiarse por los principios constitucionales que supeditan la actividad electoral. </w:t>
      </w:r>
    </w:p>
    <w:p w:rsidR="00997D53" w:rsidRPr="0096658B" w:rsidRDefault="0096658B" w:rsidP="00997D53">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color w:val="000000" w:themeColor="text1"/>
          <w:lang w:val="es-ES_tradnl"/>
        </w:rPr>
      </w:pPr>
    </w:p>
    <w:p w:rsidR="00997D53" w:rsidRPr="0096658B" w:rsidRDefault="0096658B" w:rsidP="00997D5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Con base en estas consideraciones la Corte concluyó sobre el asunto analizado lo siguiente, que por su importancia para decidir sobre la constitucionalidad del artículo 3º del PLE se reproduce </w:t>
      </w:r>
      <w:r w:rsidRPr="0096658B">
        <w:rPr>
          <w:rFonts w:ascii="Times New Roman" w:hAnsi="Times New Roman" w:cs="Times New Roman"/>
          <w:i/>
          <w:iCs/>
          <w:color w:val="000000" w:themeColor="text1"/>
          <w:lang w:val="es-ES_tradnl"/>
        </w:rPr>
        <w:t>in extenso</w:t>
      </w:r>
      <w:r w:rsidRPr="0096658B">
        <w:rPr>
          <w:rFonts w:ascii="Times New Roman" w:hAnsi="Times New Roman" w:cs="Times New Roman"/>
          <w:color w:val="000000" w:themeColor="text1"/>
          <w:lang w:val="es-ES_tradnl"/>
        </w:rPr>
        <w:t>:</w:t>
      </w:r>
    </w:p>
    <w:p w:rsidR="00997D53" w:rsidRPr="0096658B" w:rsidRDefault="0096658B" w:rsidP="00997D53">
      <w:pPr>
        <w:rPr>
          <w:rFonts w:ascii="Times New Roman" w:hAnsi="Times New Roman" w:cs="Times New Roman"/>
          <w:color w:val="000000" w:themeColor="text1"/>
          <w:sz w:val="28"/>
          <w:lang w:val="es-ES_tradnl"/>
        </w:rPr>
      </w:pPr>
    </w:p>
    <w:p w:rsidR="00997D53" w:rsidRPr="0096658B" w:rsidRDefault="0096658B" w:rsidP="00337A19">
      <w:pPr>
        <w:ind w:left="567" w:right="567"/>
        <w:jc w:val="both"/>
        <w:rPr>
          <w:rFonts w:ascii="Times New Roman" w:hAnsi="Times New Roman" w:cs="Times New Roman"/>
          <w:color w:val="000000" w:themeColor="text1"/>
          <w:sz w:val="28"/>
          <w:lang w:val="es-ES_tradnl"/>
        </w:rPr>
      </w:pPr>
      <w:r w:rsidRPr="0096658B">
        <w:rPr>
          <w:rFonts w:ascii="Times New Roman" w:hAnsi="Times New Roman" w:cs="Times New Roman"/>
          <w:color w:val="000000" w:themeColor="text1"/>
          <w:sz w:val="28"/>
          <w:lang w:val="es-ES_tradnl"/>
        </w:rPr>
        <w:t>“En suma, la disposición contenida en el aparte fi</w:t>
      </w:r>
      <w:r w:rsidRPr="0096658B">
        <w:rPr>
          <w:rFonts w:ascii="Times New Roman" w:hAnsi="Times New Roman" w:cs="Times New Roman"/>
          <w:color w:val="000000" w:themeColor="text1"/>
          <w:sz w:val="28"/>
          <w:lang w:val="es-ES_tradnl"/>
        </w:rPr>
        <w:t>nal del artículo 28 del proyecto analizado, resulta plenamente ajustada a la Constitución, toda vez que promueve la igualdad sustancial en la participación de las mujeres en la política, estableciendo una medida de carácter remedial, compensador, emancipat</w:t>
      </w:r>
      <w:r w:rsidRPr="0096658B">
        <w:rPr>
          <w:rFonts w:ascii="Times New Roman" w:hAnsi="Times New Roman" w:cs="Times New Roman"/>
          <w:color w:val="000000" w:themeColor="text1"/>
          <w:sz w:val="28"/>
          <w:lang w:val="es-ES_tradnl"/>
        </w:rPr>
        <w:t>orio y corrector a favor de un grupo de personas ubicado en situación sistémica de discriminación; realiza los principios democrático y de equidad de género que rigen la organización de los partidos y movimientos políticos, a la vez que desarrolla los mand</w:t>
      </w:r>
      <w:r w:rsidRPr="0096658B">
        <w:rPr>
          <w:rFonts w:ascii="Times New Roman" w:hAnsi="Times New Roman" w:cs="Times New Roman"/>
          <w:color w:val="000000" w:themeColor="text1"/>
          <w:sz w:val="28"/>
          <w:lang w:val="es-ES_tradnl"/>
        </w:rPr>
        <w:t>atos internacionales y de la Constitución sobre el deber de las autoridades de garantizar la adecuada y efectiva participación de la mujer en los niveles decisorios de la administración pública. Se trata además, de una medida que si bien puede limitar algu</w:t>
      </w:r>
      <w:r w:rsidRPr="0096658B">
        <w:rPr>
          <w:rFonts w:ascii="Times New Roman" w:hAnsi="Times New Roman" w:cs="Times New Roman"/>
          <w:color w:val="000000" w:themeColor="text1"/>
          <w:sz w:val="28"/>
          <w:lang w:val="es-ES_tradnl"/>
        </w:rPr>
        <w:t xml:space="preserve">nos de los contenidos de la autonomía de los partidos y movimientos políticos, persigue una finalidad importante, es adecuada y necesaria para alcanzar dicho fin, a la vez que resulta proporcional en sentido estricto. </w:t>
      </w:r>
    </w:p>
    <w:p w:rsidR="00997D53" w:rsidRPr="0096658B" w:rsidRDefault="0096658B" w:rsidP="00C209FC">
      <w:pPr>
        <w:ind w:left="567" w:right="474"/>
        <w:jc w:val="both"/>
        <w:rPr>
          <w:rFonts w:ascii="Times New Roman" w:hAnsi="Times New Roman" w:cs="Times New Roman"/>
          <w:color w:val="000000" w:themeColor="text1"/>
          <w:sz w:val="28"/>
          <w:lang w:val="es-ES_tradnl"/>
        </w:rPr>
      </w:pPr>
    </w:p>
    <w:p w:rsidR="00997D53" w:rsidRPr="0096658B" w:rsidRDefault="0096658B" w:rsidP="00337A19">
      <w:pPr>
        <w:ind w:left="567" w:right="567"/>
        <w:jc w:val="both"/>
        <w:rPr>
          <w:rFonts w:ascii="Times New Roman" w:hAnsi="Times New Roman" w:cs="Times New Roman"/>
          <w:color w:val="000000" w:themeColor="text1"/>
          <w:sz w:val="28"/>
          <w:lang w:val="es-ES_tradnl"/>
        </w:rPr>
      </w:pPr>
      <w:r w:rsidRPr="0096658B">
        <w:rPr>
          <w:rFonts w:ascii="Times New Roman" w:hAnsi="Times New Roman" w:cs="Times New Roman"/>
          <w:color w:val="000000" w:themeColor="text1"/>
          <w:sz w:val="28"/>
          <w:lang w:val="es-ES_tradnl"/>
        </w:rPr>
        <w:t xml:space="preserve">Por último, considera la Corte </w:t>
      </w:r>
      <w:r w:rsidRPr="0096658B">
        <w:rPr>
          <w:rFonts w:ascii="Times New Roman" w:hAnsi="Times New Roman" w:cs="Times New Roman"/>
          <w:color w:val="000000" w:themeColor="text1"/>
          <w:sz w:val="28"/>
          <w:lang w:val="es-ES_tradnl"/>
        </w:rPr>
        <w:t>importante aclarar que la distinción de género hecha por el legislador estatutario, que distingue entre hombres y mujeres, es válida en tanto sirve de fundamento para garantizar la igualdad de oportunidades y de acceso al poder político para estas. Ello no</w:t>
      </w:r>
      <w:r w:rsidRPr="0096658B">
        <w:rPr>
          <w:rFonts w:ascii="Times New Roman" w:hAnsi="Times New Roman" w:cs="Times New Roman"/>
          <w:color w:val="000000" w:themeColor="text1"/>
          <w:sz w:val="28"/>
          <w:lang w:val="es-ES_tradnl"/>
        </w:rPr>
        <w:t xml:space="preserve"> significa, en modo alguno, que esa válida alternativa sea incompatible con la inclusión en la representación democrática de otras modalidades de identidad sexual, pues este mandato es corolario propio del principio de pluralismo, rector de la organización</w:t>
      </w:r>
      <w:r w:rsidRPr="0096658B">
        <w:rPr>
          <w:rFonts w:ascii="Times New Roman" w:hAnsi="Times New Roman" w:cs="Times New Roman"/>
          <w:color w:val="000000" w:themeColor="text1"/>
          <w:sz w:val="28"/>
          <w:lang w:val="es-ES_tradnl"/>
        </w:rPr>
        <w:t xml:space="preserve"> y funcionamiento de los partidos y movimientos políticos, el cual incorpora como mandato la inclusión de las minorías, entre ellas las de definición sexual. Por lo tanto, la distinción de género que usa el artículo 28 del Proyecto es armónica con dicha in</w:t>
      </w:r>
      <w:r w:rsidRPr="0096658B">
        <w:rPr>
          <w:rFonts w:ascii="Times New Roman" w:hAnsi="Times New Roman" w:cs="Times New Roman"/>
          <w:color w:val="000000" w:themeColor="text1"/>
          <w:sz w:val="28"/>
          <w:lang w:val="es-ES_tradnl"/>
        </w:rPr>
        <w:t>clusión, puesto que la norma estatutaria, en varias de sus regulaciones, confiere sustento jurídico tanto a la promoción de la participación de la política de las mujeres, a través de un sistema de cuota, como a la inclusión de las mencionadas minorías, ta</w:t>
      </w:r>
      <w:r w:rsidRPr="0096658B">
        <w:rPr>
          <w:rFonts w:ascii="Times New Roman" w:hAnsi="Times New Roman" w:cs="Times New Roman"/>
          <w:color w:val="000000" w:themeColor="text1"/>
          <w:sz w:val="28"/>
          <w:lang w:val="es-ES_tradnl"/>
        </w:rPr>
        <w:t>nto en el funcionamiento y organización de las agrupaciones políticas, como en la representación democrática que éstas agencian</w:t>
      </w:r>
      <w:r w:rsidRPr="0096658B">
        <w:rPr>
          <w:rFonts w:ascii="Times New Roman" w:hAnsi="Times New Roman" w:cs="Times New Roman"/>
          <w:color w:val="000000" w:themeColor="text1"/>
          <w:sz w:val="28"/>
          <w:lang w:val="es-ES_tradnl"/>
        </w:rPr>
        <w:t>”</w:t>
      </w:r>
      <w:r w:rsidRPr="0096658B">
        <w:rPr>
          <w:rStyle w:val="Refdenotaalpie"/>
          <w:rFonts w:ascii="Times New Roman" w:hAnsi="Times New Roman"/>
          <w:color w:val="000000" w:themeColor="text1"/>
          <w:sz w:val="28"/>
          <w:lang w:val="es-ES_tradnl"/>
        </w:rPr>
        <w:footnoteReference w:id="272"/>
      </w:r>
      <w:r w:rsidRPr="0096658B">
        <w:rPr>
          <w:rFonts w:ascii="Times New Roman" w:hAnsi="Times New Roman" w:cs="Times New Roman"/>
          <w:color w:val="000000" w:themeColor="text1"/>
          <w:sz w:val="28"/>
          <w:lang w:val="es-ES_tradnl"/>
        </w:rPr>
        <w:t>.</w:t>
      </w:r>
    </w:p>
    <w:p w:rsidR="00C209FC" w:rsidRPr="0096658B" w:rsidRDefault="0096658B" w:rsidP="00C209FC">
      <w:pPr>
        <w:ind w:left="567" w:right="474"/>
        <w:jc w:val="both"/>
        <w:rPr>
          <w:rFonts w:ascii="Times New Roman" w:hAnsi="Times New Roman" w:cs="Times New Roman"/>
          <w:color w:val="000000" w:themeColor="text1"/>
          <w:sz w:val="28"/>
          <w:lang w:val="es-ES_tradnl"/>
        </w:rPr>
      </w:pPr>
    </w:p>
    <w:p w:rsidR="00997D53" w:rsidRPr="0096658B" w:rsidRDefault="0096658B" w:rsidP="00997D5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color w:val="000000" w:themeColor="text1"/>
          <w:lang w:val="es-ES_tradnl"/>
        </w:rPr>
        <w:t xml:space="preserve">El artículo 3° es compatible con la Constitución. </w:t>
      </w:r>
      <w:r w:rsidRPr="0096658B">
        <w:rPr>
          <w:rFonts w:ascii="Times New Roman" w:hAnsi="Times New Roman" w:cs="Times New Roman"/>
          <w:color w:val="000000" w:themeColor="text1"/>
          <w:lang w:val="es-ES_tradnl"/>
        </w:rPr>
        <w:t>Las reglas jurisprudenciales antes sintetizadas resultan, a juicio de la S</w:t>
      </w:r>
      <w:r w:rsidRPr="0096658B">
        <w:rPr>
          <w:rFonts w:ascii="Times New Roman" w:hAnsi="Times New Roman" w:cs="Times New Roman"/>
          <w:color w:val="000000" w:themeColor="text1"/>
          <w:lang w:val="es-ES_tradnl"/>
        </w:rPr>
        <w:t xml:space="preserve">ala, suficientes para concluir la constitucionalidad del artículo 3º del PLE. En efecto, tanto la fijación del porcentaje del 30% de uno de los géneros como la obligación de que en las listas </w:t>
      </w:r>
      <w:r w:rsidRPr="0096658B">
        <w:rPr>
          <w:rFonts w:ascii="Times New Roman" w:hAnsi="Times New Roman" w:cs="Times New Roman"/>
          <w:color w:val="000000" w:themeColor="text1"/>
          <w:lang w:val="es-ES_tradnl"/>
        </w:rPr>
        <w:t>destinadas a proveer menos de cinco curules se incluya cuando me</w:t>
      </w:r>
      <w:r w:rsidRPr="0096658B">
        <w:rPr>
          <w:rFonts w:ascii="Times New Roman" w:hAnsi="Times New Roman" w:cs="Times New Roman"/>
          <w:color w:val="000000" w:themeColor="text1"/>
          <w:lang w:val="es-ES_tradnl"/>
        </w:rPr>
        <w:t>nos una mujer, son especies dentro de</w:t>
      </w:r>
      <w:r w:rsidRPr="0096658B">
        <w:rPr>
          <w:rFonts w:ascii="Times New Roman" w:hAnsi="Times New Roman" w:cs="Times New Roman"/>
          <w:color w:val="000000" w:themeColor="text1"/>
          <w:lang w:val="es-ES_tradnl"/>
        </w:rPr>
        <w:t xml:space="preserve"> una misma categoría</w:t>
      </w:r>
      <w:r w:rsidRPr="0096658B">
        <w:rPr>
          <w:rFonts w:ascii="Times New Roman" w:hAnsi="Times New Roman" w:cs="Times New Roman"/>
          <w:color w:val="000000" w:themeColor="text1"/>
          <w:lang w:val="es-ES_tradnl"/>
        </w:rPr>
        <w:t>: medidas de cuota destinadas a hacer efectiva la participación de las mujeres en los cargos de las corporaciones públicas y a partir de la remoción de las barreras que les impiden llegar a esos carg</w:t>
      </w:r>
      <w:r w:rsidRPr="0096658B">
        <w:rPr>
          <w:rFonts w:ascii="Times New Roman" w:hAnsi="Times New Roman" w:cs="Times New Roman"/>
          <w:color w:val="000000" w:themeColor="text1"/>
          <w:lang w:val="es-ES_tradnl"/>
        </w:rPr>
        <w:t xml:space="preserve">os. Por ende, habida consideración de que instrumentos de ese carácter son </w:t>
      </w:r>
      <w:r w:rsidRPr="0096658B">
        <w:rPr>
          <w:rFonts w:ascii="Times New Roman" w:hAnsi="Times New Roman" w:cs="Times New Roman"/>
          <w:i/>
          <w:iCs/>
          <w:color w:val="000000" w:themeColor="text1"/>
          <w:lang w:val="es-ES_tradnl"/>
        </w:rPr>
        <w:t xml:space="preserve">in genere </w:t>
      </w:r>
      <w:r w:rsidRPr="0096658B">
        <w:rPr>
          <w:rFonts w:ascii="Times New Roman" w:hAnsi="Times New Roman" w:cs="Times New Roman"/>
          <w:color w:val="000000" w:themeColor="text1"/>
          <w:lang w:val="es-ES_tradnl"/>
        </w:rPr>
        <w:t xml:space="preserve">compatibles con la Constitución, no se evidencia reproche alguno a ese respecto. </w:t>
      </w:r>
    </w:p>
    <w:p w:rsidR="00EF2C2A" w:rsidRPr="0096658B" w:rsidRDefault="0096658B" w:rsidP="00EF2C2A">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color w:val="000000" w:themeColor="text1"/>
          <w:lang w:val="es-ES_tradnl"/>
        </w:rPr>
      </w:pPr>
    </w:p>
    <w:p w:rsidR="0040582A" w:rsidRPr="0096658B" w:rsidRDefault="0096658B" w:rsidP="00997D5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color w:val="000000" w:themeColor="text1"/>
          <w:lang w:val="es-ES_tradnl"/>
        </w:rPr>
        <w:t xml:space="preserve">La medida cumple con el juicio de proporcionalidad. </w:t>
      </w:r>
      <w:r w:rsidRPr="0096658B">
        <w:rPr>
          <w:rFonts w:ascii="Times New Roman" w:hAnsi="Times New Roman" w:cs="Times New Roman"/>
          <w:color w:val="000000" w:themeColor="text1"/>
          <w:lang w:val="es-ES_tradnl"/>
        </w:rPr>
        <w:t xml:space="preserve">No obstante, en aras de efectuar un control de constitucionalidad específico y concreto sobre la medida contenida en el artículo </w:t>
      </w:r>
      <w:r w:rsidRPr="0096658B">
        <w:rPr>
          <w:rFonts w:ascii="Times New Roman" w:hAnsi="Times New Roman" w:cs="Times New Roman"/>
          <w:color w:val="000000" w:themeColor="text1"/>
          <w:lang w:val="es-ES_tradnl"/>
        </w:rPr>
        <w:t xml:space="preserve">3° </w:t>
      </w:r>
      <w:r w:rsidRPr="0096658B">
        <w:rPr>
          <w:rFonts w:ascii="Times New Roman" w:hAnsi="Times New Roman" w:cs="Times New Roman"/>
          <w:color w:val="000000" w:themeColor="text1"/>
          <w:lang w:val="es-ES_tradnl"/>
        </w:rPr>
        <w:t>del PLE, la Corte considera pertinente acreditar la proporcionalidad y razonabilidad de la medida, labor que adelanta a cont</w:t>
      </w:r>
      <w:r w:rsidRPr="0096658B">
        <w:rPr>
          <w:rFonts w:ascii="Times New Roman" w:hAnsi="Times New Roman" w:cs="Times New Roman"/>
          <w:color w:val="000000" w:themeColor="text1"/>
          <w:lang w:val="es-ES_tradnl"/>
        </w:rPr>
        <w:t>inuación.</w:t>
      </w:r>
      <w:r w:rsidRPr="0096658B">
        <w:rPr>
          <w:rFonts w:ascii="Times New Roman" w:hAnsi="Times New Roman" w:cs="Times New Roman"/>
          <w:color w:val="000000" w:themeColor="text1"/>
          <w:lang w:val="es-ES_tradnl"/>
        </w:rPr>
        <w:t xml:space="preserve"> </w:t>
      </w:r>
    </w:p>
    <w:p w:rsidR="0040582A" w:rsidRPr="0096658B" w:rsidRDefault="0096658B" w:rsidP="0040582A">
      <w:pPr>
        <w:pStyle w:val="Prrafodelista"/>
        <w:rPr>
          <w:rFonts w:ascii="Times New Roman" w:hAnsi="Times New Roman" w:cs="Times New Roman"/>
          <w:color w:val="000000" w:themeColor="text1"/>
          <w:lang w:val="es-ES_tradnl"/>
        </w:rPr>
      </w:pPr>
    </w:p>
    <w:p w:rsidR="0040582A" w:rsidRPr="0096658B" w:rsidRDefault="0096658B" w:rsidP="00997D5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Como se explicó a propósito de la evaluación de las medidas de cuota previstas en el artículo 1º del PLE, tratándose de la formulación legislativa de acciones afirmativa</w:t>
      </w:r>
      <w:r w:rsidRPr="0096658B">
        <w:rPr>
          <w:rFonts w:ascii="Times New Roman" w:hAnsi="Times New Roman" w:cs="Times New Roman"/>
          <w:color w:val="000000" w:themeColor="text1"/>
          <w:lang w:val="es-ES_tradnl"/>
        </w:rPr>
        <w:t>s</w:t>
      </w:r>
      <w:r w:rsidRPr="0096658B">
        <w:rPr>
          <w:rFonts w:ascii="Times New Roman" w:hAnsi="Times New Roman" w:cs="Times New Roman"/>
          <w:color w:val="000000" w:themeColor="text1"/>
          <w:lang w:val="es-ES_tradnl"/>
        </w:rPr>
        <w:t xml:space="preserve"> el juicio de proporcionalidad aplicable es de intensidad intermedia. </w:t>
      </w:r>
    </w:p>
    <w:p w:rsidR="0040582A" w:rsidRPr="0096658B" w:rsidRDefault="0096658B" w:rsidP="0040582A">
      <w:pPr>
        <w:pStyle w:val="Prrafodelista"/>
        <w:rPr>
          <w:rFonts w:ascii="Times New Roman" w:hAnsi="Times New Roman" w:cs="Times New Roman"/>
          <w:color w:val="000000" w:themeColor="text1"/>
          <w:lang w:val="es-ES_tradnl"/>
        </w:rPr>
      </w:pPr>
    </w:p>
    <w:p w:rsidR="00EF2C2A" w:rsidRPr="0096658B" w:rsidRDefault="0096658B" w:rsidP="00997D5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En</w:t>
      </w:r>
      <w:r w:rsidRPr="0096658B">
        <w:rPr>
          <w:rFonts w:ascii="Times New Roman" w:hAnsi="Times New Roman" w:cs="Times New Roman"/>
          <w:color w:val="000000" w:themeColor="text1"/>
          <w:lang w:val="es-ES_tradnl"/>
        </w:rPr>
        <w:t xml:space="preserve"> primer lugar, se encuentra que la medida tiene la promoción de la participación de la mujer y la remoción de las barreras para el acceso al ejercicio del poder político. Asimismo, como se puso de presente en el trámite legislativo, la medida también está </w:t>
      </w:r>
      <w:r w:rsidRPr="0096658B">
        <w:rPr>
          <w:rFonts w:ascii="Times New Roman" w:hAnsi="Times New Roman" w:cs="Times New Roman"/>
          <w:color w:val="000000" w:themeColor="text1"/>
          <w:lang w:val="es-ES_tradnl"/>
        </w:rPr>
        <w:t xml:space="preserve">dirigida a salvaguardar el principio de igualdad y el valor de la justicia, en particular tratándose de la desigual regulación existente entre </w:t>
      </w:r>
      <w:r w:rsidRPr="0096658B">
        <w:rPr>
          <w:rFonts w:ascii="Times New Roman" w:hAnsi="Times New Roman" w:cs="Times New Roman"/>
          <w:color w:val="000000" w:themeColor="text1"/>
          <w:lang w:val="es-ES_tradnl"/>
        </w:rPr>
        <w:t xml:space="preserve">las listas de más de </w:t>
      </w:r>
      <w:r w:rsidRPr="0096658B">
        <w:rPr>
          <w:rFonts w:ascii="Times New Roman" w:hAnsi="Times New Roman" w:cs="Times New Roman"/>
          <w:color w:val="000000" w:themeColor="text1"/>
          <w:lang w:val="es-ES_tradnl"/>
        </w:rPr>
        <w:t xml:space="preserve">cinco curules, </w:t>
      </w:r>
      <w:r w:rsidRPr="0096658B">
        <w:rPr>
          <w:rFonts w:ascii="Times New Roman" w:hAnsi="Times New Roman" w:cs="Times New Roman"/>
          <w:color w:val="000000" w:themeColor="text1"/>
          <w:lang w:val="es-ES_tradnl"/>
        </w:rPr>
        <w:t xml:space="preserve">en las que </w:t>
      </w:r>
      <w:r w:rsidRPr="0096658B">
        <w:rPr>
          <w:rFonts w:ascii="Times New Roman" w:hAnsi="Times New Roman" w:cs="Times New Roman"/>
          <w:color w:val="000000" w:themeColor="text1"/>
          <w:lang w:val="es-ES_tradnl"/>
        </w:rPr>
        <w:t xml:space="preserve">sí aplica la medida de cuota, y las de menos, donde </w:t>
      </w:r>
      <w:r w:rsidRPr="0096658B">
        <w:rPr>
          <w:rFonts w:ascii="Times New Roman" w:hAnsi="Times New Roman" w:cs="Times New Roman"/>
          <w:color w:val="000000" w:themeColor="text1"/>
          <w:lang w:val="es-ES_tradnl"/>
        </w:rPr>
        <w:t xml:space="preserve">no </w:t>
      </w:r>
      <w:r w:rsidRPr="0096658B">
        <w:rPr>
          <w:rFonts w:ascii="Times New Roman" w:hAnsi="Times New Roman" w:cs="Times New Roman"/>
          <w:color w:val="000000" w:themeColor="text1"/>
          <w:lang w:val="es-ES_tradnl"/>
        </w:rPr>
        <w:t>está presen</w:t>
      </w:r>
      <w:r w:rsidRPr="0096658B">
        <w:rPr>
          <w:rFonts w:ascii="Times New Roman" w:hAnsi="Times New Roman" w:cs="Times New Roman"/>
          <w:color w:val="000000" w:themeColor="text1"/>
          <w:lang w:val="es-ES_tradnl"/>
        </w:rPr>
        <w:t xml:space="preserve">te. La optimización de estos principios y valores es, sin duda, un fin constitucional importante y por las razones que han sido explicadas en esta sentencia. </w:t>
      </w:r>
    </w:p>
    <w:p w:rsidR="00574F81" w:rsidRPr="0096658B" w:rsidRDefault="0096658B" w:rsidP="00574F81">
      <w:pPr>
        <w:pStyle w:val="Prrafodelista"/>
        <w:rPr>
          <w:rFonts w:ascii="Times New Roman" w:hAnsi="Times New Roman" w:cs="Times New Roman"/>
          <w:color w:val="000000" w:themeColor="text1"/>
          <w:lang w:val="es-ES_tradnl"/>
        </w:rPr>
      </w:pPr>
    </w:p>
    <w:p w:rsidR="000C1EA0" w:rsidRPr="0096658B" w:rsidRDefault="0096658B" w:rsidP="00890A63">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En segundo lugar, la medida es adecuada y efectivamente conducente para alcanzar el fin. En efecto, </w:t>
      </w:r>
      <w:r w:rsidRPr="0096658B">
        <w:rPr>
          <w:rFonts w:ascii="Times New Roman" w:hAnsi="Times New Roman" w:cs="Times New Roman"/>
          <w:color w:val="000000" w:themeColor="text1"/>
          <w:lang w:val="es-ES_tradnl"/>
        </w:rPr>
        <w:t xml:space="preserve">fijar </w:t>
      </w:r>
      <w:r w:rsidRPr="0096658B">
        <w:rPr>
          <w:rFonts w:ascii="Times New Roman" w:hAnsi="Times New Roman" w:cs="Times New Roman"/>
          <w:color w:val="000000" w:themeColor="text1"/>
          <w:lang w:val="es-ES_tradnl"/>
        </w:rPr>
        <w:t>una cuota de cuando menos una mujer</w:t>
      </w:r>
      <w:r w:rsidRPr="0096658B">
        <w:rPr>
          <w:rFonts w:ascii="Times New Roman" w:hAnsi="Times New Roman" w:cs="Times New Roman"/>
          <w:color w:val="000000" w:themeColor="text1"/>
          <w:lang w:val="es-ES_tradnl"/>
        </w:rPr>
        <w:t xml:space="preserve"> como integrante de la lista de candidatos es una herramienta que efectivamente dinamiza la participación de las mu</w:t>
      </w:r>
      <w:r w:rsidRPr="0096658B">
        <w:rPr>
          <w:rFonts w:ascii="Times New Roman" w:hAnsi="Times New Roman" w:cs="Times New Roman"/>
          <w:color w:val="000000" w:themeColor="text1"/>
          <w:lang w:val="es-ES_tradnl"/>
        </w:rPr>
        <w:t xml:space="preserve">jeres, puesto que impide que la lista esté conformada exclusivamente por hombres. </w:t>
      </w:r>
      <w:r w:rsidRPr="0096658B">
        <w:rPr>
          <w:rFonts w:ascii="Times New Roman" w:hAnsi="Times New Roman" w:cs="Times New Roman"/>
          <w:color w:val="000000" w:themeColor="text1"/>
          <w:lang w:val="es-ES_tradnl"/>
        </w:rPr>
        <w:t>Con todo, para la Sala es importante resaltar que la medida de cuota debe entenderse como un mínimo de participación, por lo que es apenas un punto de partida para el logro d</w:t>
      </w:r>
      <w:r w:rsidRPr="0096658B">
        <w:rPr>
          <w:rFonts w:ascii="Times New Roman" w:hAnsi="Times New Roman" w:cs="Times New Roman"/>
          <w:color w:val="000000" w:themeColor="text1"/>
          <w:lang w:val="es-ES_tradnl"/>
        </w:rPr>
        <w:t xml:space="preserve">el objetivo óptimo, en términos de efectivización de la igualdad, que no es otro que la paridad. En modo alguno puede entenderse, en consecuencia, que la medida de cuota completa </w:t>
      </w:r>
      <w:r w:rsidRPr="0096658B">
        <w:rPr>
          <w:rFonts w:ascii="Times New Roman" w:hAnsi="Times New Roman" w:cs="Times New Roman"/>
          <w:color w:val="000000" w:themeColor="text1"/>
          <w:lang w:val="es-ES_tradnl"/>
        </w:rPr>
        <w:t>el deber de garantía de participación de las mujeres.</w:t>
      </w:r>
    </w:p>
    <w:p w:rsidR="000C1EA0" w:rsidRPr="0096658B" w:rsidRDefault="0096658B" w:rsidP="000C1EA0">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color w:val="000000" w:themeColor="text1"/>
          <w:lang w:val="es-ES_tradnl"/>
        </w:rPr>
      </w:pPr>
    </w:p>
    <w:p w:rsidR="0093183D" w:rsidRPr="0096658B" w:rsidRDefault="0096658B" w:rsidP="0093183D">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Finalmente, no se evidencia que la medida resulte desproporcionada. De un lado, la exigencia permite que la lista sea confeccionada, en cualquier caso, de manera equitativa entre los géneros, sin </w:t>
      </w:r>
      <w:r w:rsidRPr="0096658B">
        <w:rPr>
          <w:rFonts w:ascii="Times New Roman" w:hAnsi="Times New Roman" w:cs="Times New Roman"/>
          <w:color w:val="000000" w:themeColor="text1"/>
          <w:lang w:val="es-ES_tradnl"/>
        </w:rPr>
        <w:t xml:space="preserve">que </w:t>
      </w:r>
      <w:r w:rsidRPr="0096658B">
        <w:rPr>
          <w:rFonts w:ascii="Times New Roman" w:hAnsi="Times New Roman" w:cs="Times New Roman"/>
          <w:color w:val="000000" w:themeColor="text1"/>
          <w:lang w:val="es-ES_tradnl"/>
        </w:rPr>
        <w:t>ninguno predomine sobre otro</w:t>
      </w:r>
      <w:r w:rsidRPr="0096658B">
        <w:rPr>
          <w:rFonts w:ascii="Times New Roman" w:hAnsi="Times New Roman" w:cs="Times New Roman"/>
          <w:color w:val="000000" w:themeColor="text1"/>
          <w:lang w:val="es-ES_tradnl"/>
        </w:rPr>
        <w:t xml:space="preserve">, como tampoco incide en la </w:t>
      </w:r>
      <w:r w:rsidRPr="0096658B">
        <w:rPr>
          <w:rFonts w:ascii="Times New Roman" w:hAnsi="Times New Roman" w:cs="Times New Roman"/>
          <w:color w:val="000000" w:themeColor="text1"/>
          <w:lang w:val="es-ES_tradnl"/>
        </w:rPr>
        <w:t>potencial participación de las personas no binarias</w:t>
      </w:r>
      <w:r w:rsidRPr="0096658B">
        <w:rPr>
          <w:rFonts w:ascii="Times New Roman" w:hAnsi="Times New Roman" w:cs="Times New Roman"/>
          <w:color w:val="000000" w:themeColor="text1"/>
          <w:lang w:val="es-ES_tradnl"/>
        </w:rPr>
        <w:t xml:space="preserve">. De otro lado, no se afecta irrazonablemente la autonomía constitucional de los partidos políticos, puesto que mantiene la posibilidad </w:t>
      </w:r>
      <w:r w:rsidRPr="0096658B">
        <w:rPr>
          <w:rFonts w:ascii="Times New Roman" w:hAnsi="Times New Roman" w:cs="Times New Roman"/>
          <w:color w:val="000000" w:themeColor="text1"/>
          <w:lang w:val="es-ES_tradnl"/>
        </w:rPr>
        <w:t xml:space="preserve">de </w:t>
      </w:r>
      <w:r w:rsidRPr="0096658B">
        <w:rPr>
          <w:rFonts w:ascii="Times New Roman" w:hAnsi="Times New Roman" w:cs="Times New Roman"/>
          <w:color w:val="000000" w:themeColor="text1"/>
          <w:lang w:val="es-ES_tradnl"/>
        </w:rPr>
        <w:t>que, bajo procedimientos democráticos</w:t>
      </w:r>
      <w:r w:rsidRPr="0096658B">
        <w:rPr>
          <w:rStyle w:val="Refdenotaalpie"/>
          <w:rFonts w:ascii="Times New Roman" w:hAnsi="Times New Roman"/>
          <w:color w:val="000000" w:themeColor="text1"/>
          <w:lang w:val="es-ES_tradnl"/>
        </w:rPr>
        <w:footnoteReference w:id="273"/>
      </w:r>
      <w:r w:rsidRPr="0096658B">
        <w:rPr>
          <w:rFonts w:ascii="Times New Roman" w:hAnsi="Times New Roman" w:cs="Times New Roman"/>
          <w:color w:val="000000" w:themeColor="text1"/>
          <w:lang w:val="es-ES_tradnl"/>
        </w:rPr>
        <w:t>, configuren las listas a la</w:t>
      </w:r>
      <w:r w:rsidRPr="0096658B">
        <w:rPr>
          <w:rFonts w:ascii="Times New Roman" w:hAnsi="Times New Roman" w:cs="Times New Roman"/>
          <w:color w:val="000000" w:themeColor="text1"/>
          <w:lang w:val="es-ES_tradnl"/>
        </w:rPr>
        <w:t xml:space="preserve">s corporaciones públicas de modo que reflejen sus preferencias y programas. </w:t>
      </w:r>
      <w:r w:rsidRPr="0096658B">
        <w:rPr>
          <w:rFonts w:ascii="Times New Roman" w:hAnsi="Times New Roman" w:cs="Times New Roman"/>
          <w:iCs/>
          <w:color w:val="000000" w:themeColor="text1"/>
          <w:lang w:val="es-ES_tradnl"/>
        </w:rPr>
        <w:t xml:space="preserve">Incluso, bien puede concluirse que la medida de cuota profundiza la naturaleza democrática de la lista y por la vía de una mayor diversidad </w:t>
      </w:r>
      <w:r w:rsidRPr="0096658B">
        <w:rPr>
          <w:rFonts w:ascii="Times New Roman" w:hAnsi="Times New Roman" w:cs="Times New Roman"/>
          <w:iCs/>
          <w:color w:val="000000" w:themeColor="text1"/>
          <w:lang w:val="es-ES_tradnl"/>
        </w:rPr>
        <w:t>mediante la integración de la perspectiv</w:t>
      </w:r>
      <w:r w:rsidRPr="0096658B">
        <w:rPr>
          <w:rFonts w:ascii="Times New Roman" w:hAnsi="Times New Roman" w:cs="Times New Roman"/>
          <w:iCs/>
          <w:color w:val="000000" w:themeColor="text1"/>
          <w:lang w:val="es-ES_tradnl"/>
        </w:rPr>
        <w:t xml:space="preserve">a de género. </w:t>
      </w:r>
      <w:r w:rsidRPr="0096658B">
        <w:rPr>
          <w:rFonts w:ascii="Times New Roman" w:hAnsi="Times New Roman" w:cs="Times New Roman"/>
          <w:iCs/>
          <w:color w:val="000000" w:themeColor="text1"/>
          <w:lang w:val="es-ES_tradnl"/>
        </w:rPr>
        <w:t>Por último, también debe tenerse en cuenta que, habida cuenta</w:t>
      </w:r>
      <w:r w:rsidRPr="0096658B">
        <w:rPr>
          <w:rFonts w:ascii="Times New Roman" w:hAnsi="Times New Roman" w:cs="Times New Roman"/>
          <w:iCs/>
          <w:color w:val="000000" w:themeColor="text1"/>
          <w:lang w:val="es-ES_tradnl"/>
        </w:rPr>
        <w:t xml:space="preserve"> de</w:t>
      </w:r>
      <w:r w:rsidRPr="0096658B">
        <w:rPr>
          <w:rFonts w:ascii="Times New Roman" w:hAnsi="Times New Roman" w:cs="Times New Roman"/>
          <w:iCs/>
          <w:color w:val="000000" w:themeColor="text1"/>
          <w:lang w:val="es-ES_tradnl"/>
        </w:rPr>
        <w:t xml:space="preserve"> la concurrencia de personas de </w:t>
      </w:r>
      <w:r w:rsidRPr="0096658B">
        <w:rPr>
          <w:rFonts w:ascii="Times New Roman" w:hAnsi="Times New Roman" w:cs="Times New Roman"/>
          <w:iCs/>
          <w:color w:val="000000" w:themeColor="text1"/>
          <w:lang w:val="es-ES_tradnl"/>
        </w:rPr>
        <w:t>diferentes</w:t>
      </w:r>
      <w:r w:rsidRPr="0096658B">
        <w:rPr>
          <w:rFonts w:ascii="Times New Roman" w:hAnsi="Times New Roman" w:cs="Times New Roman"/>
          <w:iCs/>
          <w:color w:val="000000" w:themeColor="text1"/>
          <w:lang w:val="es-ES_tradnl"/>
        </w:rPr>
        <w:t xml:space="preserve"> géneros con similares niveles de formación, la inclusión de la cuota debe operar de manera compatible con las exigencias de mérito para </w:t>
      </w:r>
      <w:r w:rsidRPr="0096658B">
        <w:rPr>
          <w:rFonts w:ascii="Times New Roman" w:hAnsi="Times New Roman" w:cs="Times New Roman"/>
          <w:iCs/>
          <w:color w:val="000000" w:themeColor="text1"/>
          <w:lang w:val="es-ES_tradnl"/>
        </w:rPr>
        <w:t xml:space="preserve">el ejercicio de la representación política, así como los demás atributos que los partidos y movimientos políticos consideren necesarios para esa adecuada representación de los electores. </w:t>
      </w:r>
    </w:p>
    <w:p w:rsidR="0093183D" w:rsidRPr="0096658B" w:rsidRDefault="0096658B" w:rsidP="0093183D">
      <w:pPr>
        <w:pStyle w:val="Prrafodelista"/>
        <w:rPr>
          <w:rFonts w:ascii="Times New Roman" w:hAnsi="Times New Roman" w:cs="Times New Roman"/>
          <w:color w:val="000000" w:themeColor="text1"/>
          <w:lang w:val="es-ES_tradnl"/>
        </w:rPr>
      </w:pPr>
    </w:p>
    <w:p w:rsidR="0093183D" w:rsidRPr="0096658B" w:rsidRDefault="0096658B" w:rsidP="0093183D">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En suma, la </w:t>
      </w:r>
      <w:r w:rsidRPr="0096658B">
        <w:rPr>
          <w:rFonts w:ascii="Times New Roman" w:hAnsi="Times New Roman" w:cs="Times New Roman"/>
          <w:color w:val="000000" w:themeColor="text1"/>
          <w:lang w:val="es-ES_tradnl"/>
        </w:rPr>
        <w:t>medida de cuota objeto de examen se alinea dentro de lo</w:t>
      </w:r>
      <w:r w:rsidRPr="0096658B">
        <w:rPr>
          <w:rFonts w:ascii="Times New Roman" w:hAnsi="Times New Roman" w:cs="Times New Roman"/>
          <w:color w:val="000000" w:themeColor="text1"/>
          <w:lang w:val="es-ES_tradnl"/>
        </w:rPr>
        <w:t xml:space="preserve">s propósitos constitucionales de la garantía de participación de las mujeres y cumple con los requisitos propios del juicio de proporcionalidad. En ese sentido, resulta compatible con la Carta Política. </w:t>
      </w:r>
    </w:p>
    <w:p w:rsidR="0093183D" w:rsidRPr="0096658B" w:rsidRDefault="0096658B" w:rsidP="0093183D">
      <w:pPr>
        <w:pStyle w:val="Prrafodelista"/>
        <w:rPr>
          <w:rFonts w:ascii="Times New Roman" w:hAnsi="Times New Roman" w:cs="Times New Roman"/>
          <w:color w:val="000000" w:themeColor="text1"/>
          <w:lang w:val="es-ES_tradnl"/>
        </w:rPr>
      </w:pPr>
    </w:p>
    <w:p w:rsidR="0093183D" w:rsidRPr="0096658B" w:rsidRDefault="0096658B" w:rsidP="0093183D">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i/>
          <w:color w:val="000000" w:themeColor="text1"/>
          <w:lang w:val="es-ES_tradnl"/>
        </w:rPr>
        <w:t xml:space="preserve">La prórroga en la entrada en vigor es </w:t>
      </w:r>
      <w:r w:rsidRPr="0096658B">
        <w:rPr>
          <w:rFonts w:ascii="Times New Roman" w:hAnsi="Times New Roman" w:cs="Times New Roman"/>
          <w:i/>
          <w:color w:val="000000" w:themeColor="text1"/>
          <w:lang w:val="es-ES_tradnl"/>
        </w:rPr>
        <w:t>constitucional</w:t>
      </w:r>
      <w:r w:rsidRPr="0096658B">
        <w:rPr>
          <w:rFonts w:ascii="Times New Roman" w:hAnsi="Times New Roman" w:cs="Times New Roman"/>
          <w:i/>
          <w:color w:val="000000" w:themeColor="text1"/>
          <w:lang w:val="es-ES_tradnl"/>
        </w:rPr>
        <w:t xml:space="preserve">. </w:t>
      </w:r>
      <w:r w:rsidRPr="0096658B">
        <w:rPr>
          <w:rFonts w:ascii="Times New Roman" w:hAnsi="Times New Roman" w:cs="Times New Roman"/>
          <w:color w:val="000000" w:themeColor="text1"/>
          <w:lang w:val="es-ES_tradnl"/>
        </w:rPr>
        <w:t>La estipulación que determina la aplicación de la disposición analizada a partir de 2026 tampoco acarrea mayores debates sobre su constitucionalidad. Esto</w:t>
      </w:r>
      <w:r w:rsidRPr="0096658B">
        <w:rPr>
          <w:rFonts w:ascii="Times New Roman" w:hAnsi="Times New Roman" w:cs="Times New Roman"/>
          <w:color w:val="000000" w:themeColor="text1"/>
          <w:lang w:val="es-ES_tradnl"/>
        </w:rPr>
        <w:t>,</w:t>
      </w:r>
      <w:r w:rsidRPr="0096658B">
        <w:rPr>
          <w:rFonts w:ascii="Times New Roman" w:hAnsi="Times New Roman" w:cs="Times New Roman"/>
          <w:color w:val="000000" w:themeColor="text1"/>
          <w:lang w:val="es-ES_tradnl"/>
        </w:rPr>
        <w:t xml:space="preserve"> debido a que la definición de los efectos temporales de las disposiciones jurídicas </w:t>
      </w:r>
      <w:r w:rsidRPr="0096658B">
        <w:rPr>
          <w:rFonts w:ascii="Times New Roman" w:hAnsi="Times New Roman" w:cs="Times New Roman"/>
          <w:color w:val="000000" w:themeColor="text1"/>
          <w:lang w:val="es-ES_tradnl"/>
        </w:rPr>
        <w:t xml:space="preserve">es un asunto que, de ordinario, hace parte del amplio margen de configuración legislativa. Además, para el </w:t>
      </w:r>
      <w:r w:rsidRPr="0096658B">
        <w:rPr>
          <w:rFonts w:ascii="Times New Roman" w:hAnsi="Times New Roman" w:cs="Times New Roman"/>
          <w:color w:val="000000" w:themeColor="text1"/>
          <w:lang w:val="es-ES_tradnl"/>
        </w:rPr>
        <w:t xml:space="preserve">presente </w:t>
      </w:r>
      <w:r w:rsidRPr="0096658B">
        <w:rPr>
          <w:rFonts w:ascii="Times New Roman" w:hAnsi="Times New Roman" w:cs="Times New Roman"/>
          <w:color w:val="000000" w:themeColor="text1"/>
          <w:lang w:val="es-ES_tradnl"/>
        </w:rPr>
        <w:t xml:space="preserve">caso y </w:t>
      </w:r>
      <w:r w:rsidRPr="0096658B">
        <w:rPr>
          <w:rFonts w:ascii="Times New Roman" w:hAnsi="Times New Roman" w:cs="Times New Roman"/>
          <w:color w:val="000000" w:themeColor="text1"/>
          <w:lang w:val="es-ES_tradnl"/>
        </w:rPr>
        <w:t>debido a</w:t>
      </w:r>
      <w:r w:rsidRPr="0096658B">
        <w:rPr>
          <w:rFonts w:ascii="Times New Roman" w:hAnsi="Times New Roman" w:cs="Times New Roman"/>
          <w:color w:val="000000" w:themeColor="text1"/>
          <w:lang w:val="es-ES_tradnl"/>
        </w:rPr>
        <w:t xml:space="preserve"> la fecha en que seguramente será expedida la ley estatutaria, la siguiente elección en </w:t>
      </w:r>
      <w:r w:rsidRPr="0096658B">
        <w:rPr>
          <w:rFonts w:ascii="Times New Roman" w:hAnsi="Times New Roman" w:cs="Times New Roman"/>
          <w:color w:val="000000" w:themeColor="text1"/>
          <w:lang w:val="es-ES_tradnl"/>
        </w:rPr>
        <w:t xml:space="preserve">la que </w:t>
      </w:r>
      <w:r w:rsidRPr="0096658B">
        <w:rPr>
          <w:rFonts w:ascii="Times New Roman" w:hAnsi="Times New Roman" w:cs="Times New Roman"/>
          <w:color w:val="000000" w:themeColor="text1"/>
          <w:lang w:val="es-ES_tradnl"/>
        </w:rPr>
        <w:t>se aplicará la medida de cuota</w:t>
      </w:r>
      <w:r w:rsidRPr="0096658B">
        <w:rPr>
          <w:rFonts w:ascii="Times New Roman" w:hAnsi="Times New Roman" w:cs="Times New Roman"/>
          <w:color w:val="000000" w:themeColor="text1"/>
          <w:lang w:val="es-ES_tradnl"/>
        </w:rPr>
        <w:t xml:space="preserve"> será aquella destinada a la designación del próximo Congreso de la República en marzo de 2026, lo que coincide plenamente con la intención del legislador estatutario. Por ende, esa previsión también será declara</w:t>
      </w:r>
      <w:r w:rsidRPr="0096658B">
        <w:rPr>
          <w:rFonts w:ascii="Times New Roman" w:hAnsi="Times New Roman" w:cs="Times New Roman"/>
          <w:color w:val="000000" w:themeColor="text1"/>
          <w:lang w:val="es-ES_tradnl"/>
        </w:rPr>
        <w:t>da</w:t>
      </w:r>
      <w:r w:rsidRPr="0096658B">
        <w:rPr>
          <w:rFonts w:ascii="Times New Roman" w:hAnsi="Times New Roman" w:cs="Times New Roman"/>
          <w:color w:val="000000" w:themeColor="text1"/>
          <w:lang w:val="es-ES_tradnl"/>
        </w:rPr>
        <w:t xml:space="preserve"> </w:t>
      </w:r>
      <w:r w:rsidRPr="0096658B">
        <w:rPr>
          <w:rFonts w:ascii="Times New Roman" w:hAnsi="Times New Roman" w:cs="Times New Roman"/>
          <w:color w:val="000000" w:themeColor="text1"/>
          <w:lang w:val="es-ES_tradnl"/>
        </w:rPr>
        <w:t>constitucional</w:t>
      </w:r>
      <w:r w:rsidRPr="0096658B">
        <w:rPr>
          <w:rFonts w:ascii="Times New Roman" w:hAnsi="Times New Roman" w:cs="Times New Roman"/>
          <w:color w:val="000000" w:themeColor="text1"/>
          <w:lang w:val="es-ES_tradnl"/>
        </w:rPr>
        <w:t xml:space="preserve">. </w:t>
      </w:r>
    </w:p>
    <w:p w:rsidR="00842412" w:rsidRPr="0096658B" w:rsidRDefault="0096658B" w:rsidP="00842412">
      <w:pPr>
        <w:pStyle w:val="Prrafodelista"/>
        <w:rPr>
          <w:rFonts w:ascii="Times New Roman" w:hAnsi="Times New Roman" w:cs="Times New Roman"/>
          <w:color w:val="000000" w:themeColor="text1"/>
          <w:lang w:val="es-ES_tradnl"/>
        </w:rPr>
      </w:pPr>
    </w:p>
    <w:p w:rsidR="00842412" w:rsidRPr="0096658B" w:rsidRDefault="0096658B" w:rsidP="0093183D">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Con base en un juicio d</w:t>
      </w:r>
      <w:r w:rsidRPr="0096658B">
        <w:rPr>
          <w:rFonts w:ascii="Times New Roman" w:hAnsi="Times New Roman" w:cs="Times New Roman"/>
          <w:color w:val="000000" w:themeColor="text1"/>
          <w:lang w:val="es-ES_tradnl"/>
        </w:rPr>
        <w:t>e proporcionalidad intermedio,</w:t>
      </w:r>
      <w:r w:rsidRPr="0096658B">
        <w:rPr>
          <w:rFonts w:ascii="Times New Roman" w:hAnsi="Times New Roman" w:cs="Times New Roman"/>
          <w:color w:val="000000" w:themeColor="text1"/>
          <w:lang w:val="es-ES_tradnl"/>
        </w:rPr>
        <w:t xml:space="preserve"> la Corte constata que</w:t>
      </w:r>
      <w:r w:rsidRPr="0096658B">
        <w:rPr>
          <w:rFonts w:ascii="Times New Roman" w:hAnsi="Times New Roman" w:cs="Times New Roman"/>
          <w:color w:val="000000" w:themeColor="text1"/>
          <w:lang w:val="es-ES_tradnl"/>
        </w:rPr>
        <w:t xml:space="preserve">, bajo las condiciones existentes al momento en que se adoptó la medida por el Congreso, esta resultaba proporcionada. De un lado, tiene por </w:t>
      </w:r>
      <w:r w:rsidRPr="0096658B">
        <w:rPr>
          <w:rFonts w:ascii="Times New Roman" w:hAnsi="Times New Roman" w:cs="Times New Roman"/>
          <w:color w:val="000000" w:themeColor="text1"/>
          <w:lang w:val="es-ES_tradnl"/>
        </w:rPr>
        <w:t xml:space="preserve">finalidad </w:t>
      </w:r>
      <w:r w:rsidRPr="0096658B">
        <w:rPr>
          <w:rFonts w:ascii="Times New Roman" w:hAnsi="Times New Roman" w:cs="Times New Roman"/>
          <w:color w:val="000000" w:themeColor="text1"/>
          <w:lang w:val="es-ES_tradnl"/>
        </w:rPr>
        <w:t xml:space="preserve">cumplir con un objetivo constitucionalmente valioso, </w:t>
      </w:r>
      <w:r w:rsidRPr="0096658B">
        <w:rPr>
          <w:rFonts w:ascii="Times New Roman" w:hAnsi="Times New Roman" w:cs="Times New Roman"/>
          <w:color w:val="000000" w:themeColor="text1"/>
          <w:lang w:val="es-ES_tradnl"/>
        </w:rPr>
        <w:t>como es evitar el entorpecimiento de la configuración de las listas ante la premura deriva</w:t>
      </w:r>
      <w:r w:rsidRPr="0096658B">
        <w:rPr>
          <w:rFonts w:ascii="Times New Roman" w:hAnsi="Times New Roman" w:cs="Times New Roman"/>
          <w:color w:val="000000" w:themeColor="text1"/>
          <w:lang w:val="es-ES_tradnl"/>
        </w:rPr>
        <w:t>da</w:t>
      </w:r>
      <w:r w:rsidRPr="0096658B">
        <w:rPr>
          <w:rFonts w:ascii="Times New Roman" w:hAnsi="Times New Roman" w:cs="Times New Roman"/>
          <w:color w:val="000000" w:themeColor="text1"/>
          <w:lang w:val="es-ES_tradnl"/>
        </w:rPr>
        <w:t xml:space="preserve"> de que el precepto analizado fuese aplicado en las elecciones locales de 2023. De otro lado, el aplazamiento era una mecanismo adecuado para cumplir con ese fin, h</w:t>
      </w:r>
      <w:r w:rsidRPr="0096658B">
        <w:rPr>
          <w:rFonts w:ascii="Times New Roman" w:hAnsi="Times New Roman" w:cs="Times New Roman"/>
          <w:color w:val="000000" w:themeColor="text1"/>
          <w:lang w:val="es-ES_tradnl"/>
        </w:rPr>
        <w:t>abida cuenta de que prorrogaba la vigencia para las elecciones de Congreso que se celebrarán en marzo de 2026, confiriéndose con ello el tiempo suficiente para la implementación de la medida de cuota en las listas destinadas a proveer menos de cinco curule</w:t>
      </w:r>
      <w:r w:rsidRPr="0096658B">
        <w:rPr>
          <w:rFonts w:ascii="Times New Roman" w:hAnsi="Times New Roman" w:cs="Times New Roman"/>
          <w:color w:val="000000" w:themeColor="text1"/>
          <w:lang w:val="es-ES_tradnl"/>
        </w:rPr>
        <w:t xml:space="preserve">s. </w:t>
      </w:r>
    </w:p>
    <w:p w:rsidR="000E19D8" w:rsidRPr="0096658B" w:rsidRDefault="0096658B" w:rsidP="00D169FF">
      <w:pPr>
        <w:pStyle w:val="Prrafodelista"/>
        <w:rPr>
          <w:rFonts w:ascii="Times New Roman" w:hAnsi="Times New Roman" w:cs="Times New Roman"/>
          <w:color w:val="000000" w:themeColor="text1"/>
          <w:lang w:val="es-ES_tradnl"/>
        </w:rPr>
      </w:pPr>
    </w:p>
    <w:p w:rsidR="00D169FF" w:rsidRPr="0096658B" w:rsidRDefault="0096658B" w:rsidP="00D169FF">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b/>
          <w:bCs/>
          <w:color w:val="000000" w:themeColor="text1"/>
          <w:lang w:val="es-ES_tradnl"/>
        </w:rPr>
      </w:pPr>
      <w:r w:rsidRPr="0096658B">
        <w:rPr>
          <w:rFonts w:ascii="Times New Roman" w:hAnsi="Times New Roman" w:cs="Times New Roman"/>
          <w:b/>
          <w:bCs/>
          <w:color w:val="000000" w:themeColor="text1"/>
          <w:lang w:val="es-ES_tradnl"/>
        </w:rPr>
        <w:t>Artículo 4º</w:t>
      </w:r>
    </w:p>
    <w:p w:rsidR="00D169FF" w:rsidRPr="0096658B" w:rsidRDefault="0096658B" w:rsidP="00D169FF">
      <w:pPr>
        <w:jc w:val="both"/>
        <w:rPr>
          <w:rFonts w:ascii="Times New Roman" w:hAnsi="Times New Roman" w:cs="Times New Roman"/>
          <w:b/>
          <w:bCs/>
          <w:color w:val="000000" w:themeColor="text1"/>
          <w:sz w:val="28"/>
          <w:szCs w:val="28"/>
          <w:lang w:val="es-ES_tradnl"/>
        </w:rPr>
      </w:pPr>
    </w:p>
    <w:p w:rsidR="00D169FF" w:rsidRPr="0096658B" w:rsidRDefault="0096658B" w:rsidP="0093183D">
      <w:pPr>
        <w:pStyle w:val="Prrafodelista"/>
        <w:widowControl w:val="0"/>
        <w:numPr>
          <w:ilvl w:val="0"/>
          <w:numId w:val="5"/>
        </w:numPr>
        <w:shd w:val="clear" w:color="auto" w:fill="FFFFFF"/>
        <w:tabs>
          <w:tab w:val="left" w:pos="0"/>
          <w:tab w:val="left" w:pos="284"/>
        </w:tabs>
        <w:autoSpaceDE w:val="0"/>
        <w:autoSpaceDN w:val="0"/>
        <w:adjustRightInd w:val="0"/>
        <w:ind w:left="0" w:firstLine="0"/>
        <w:jc w:val="both"/>
        <w:rPr>
          <w:rFonts w:ascii="Times New Roman" w:hAnsi="Times New Roman" w:cs="Times New Roman"/>
          <w:color w:val="000000" w:themeColor="text1"/>
          <w:lang w:val="es-ES_tradnl"/>
        </w:rPr>
      </w:pPr>
      <w:r w:rsidRPr="0096658B">
        <w:rPr>
          <w:rFonts w:ascii="Times New Roman" w:hAnsi="Times New Roman" w:cs="Times New Roman"/>
          <w:color w:val="000000" w:themeColor="text1"/>
          <w:lang w:val="es-ES_tradnl"/>
        </w:rPr>
        <w:t xml:space="preserve">El artículo 4º establece </w:t>
      </w:r>
      <w:r w:rsidRPr="0096658B">
        <w:rPr>
          <w:rFonts w:ascii="Times New Roman" w:hAnsi="Times New Roman" w:cs="Times New Roman"/>
          <w:color w:val="000000" w:themeColor="text1"/>
          <w:lang w:val="es-ES_tradnl"/>
        </w:rPr>
        <w:t xml:space="preserve">que </w:t>
      </w:r>
      <w:r w:rsidRPr="0096658B">
        <w:rPr>
          <w:rFonts w:ascii="Times New Roman" w:hAnsi="Times New Roman" w:cs="Times New Roman"/>
          <w:color w:val="000000" w:themeColor="text1"/>
          <w:lang w:val="es-ES_tradnl"/>
        </w:rPr>
        <w:t xml:space="preserve">la ley entrará en vigencia al momento de su promulgación. Este precepto </w:t>
      </w:r>
      <w:r w:rsidRPr="0096658B">
        <w:rPr>
          <w:rFonts w:ascii="Times New Roman" w:hAnsi="Times New Roman" w:cs="Times New Roman"/>
          <w:color w:val="000000" w:themeColor="text1"/>
          <w:lang w:val="es-ES_tradnl"/>
        </w:rPr>
        <w:t xml:space="preserve">reitera la usual fórmula prospectiva de ley, por lo cual no se ofrece ningún cuestionamiento sobre su </w:t>
      </w:r>
      <w:r w:rsidRPr="0096658B">
        <w:rPr>
          <w:rFonts w:ascii="Times New Roman" w:hAnsi="Times New Roman" w:cs="Times New Roman"/>
          <w:color w:val="000000" w:themeColor="text1"/>
          <w:lang w:val="es-ES_tradnl"/>
        </w:rPr>
        <w:t>constitucionalidad</w:t>
      </w:r>
      <w:r w:rsidRPr="0096658B">
        <w:rPr>
          <w:rFonts w:ascii="Times New Roman" w:hAnsi="Times New Roman" w:cs="Times New Roman"/>
          <w:color w:val="000000" w:themeColor="text1"/>
          <w:lang w:val="es-ES_tradnl"/>
        </w:rPr>
        <w:t xml:space="preserve">. </w:t>
      </w:r>
    </w:p>
    <w:bookmarkEnd w:id="1"/>
    <w:bookmarkEnd w:id="2"/>
    <w:p w:rsidR="00A903BB" w:rsidRPr="0096658B" w:rsidRDefault="0096658B" w:rsidP="00EF4424">
      <w:pPr>
        <w:pStyle w:val="Prrafodelista"/>
        <w:widowControl w:val="0"/>
        <w:shd w:val="clear" w:color="auto" w:fill="FFFFFF"/>
        <w:tabs>
          <w:tab w:val="left" w:pos="0"/>
          <w:tab w:val="left" w:pos="284"/>
        </w:tabs>
        <w:autoSpaceDE w:val="0"/>
        <w:autoSpaceDN w:val="0"/>
        <w:adjustRightInd w:val="0"/>
        <w:ind w:left="0"/>
        <w:jc w:val="both"/>
        <w:rPr>
          <w:rFonts w:ascii="Times New Roman" w:hAnsi="Times New Roman" w:cs="Times New Roman"/>
          <w:color w:val="000000" w:themeColor="text1"/>
          <w:lang w:val="es-ES_tradnl"/>
        </w:rPr>
      </w:pPr>
    </w:p>
    <w:p w:rsidR="00811F4A" w:rsidRPr="0096658B" w:rsidRDefault="0096658B" w:rsidP="004D19AD">
      <w:pPr>
        <w:pStyle w:val="Style3"/>
        <w:rPr>
          <w:rFonts w:ascii="Times New Roman" w:hAnsi="Times New Roman" w:cs="Times New Roman"/>
          <w:b/>
          <w:bCs/>
          <w:color w:val="000000" w:themeColor="text1"/>
          <w:sz w:val="28"/>
          <w:szCs w:val="28"/>
          <w:lang w:val="es-ES_tradnl"/>
        </w:rPr>
      </w:pPr>
      <w:r w:rsidRPr="0096658B">
        <w:rPr>
          <w:rFonts w:ascii="Times New Roman" w:hAnsi="Times New Roman" w:cs="Times New Roman"/>
          <w:b/>
          <w:bCs/>
          <w:color w:val="000000" w:themeColor="text1"/>
          <w:sz w:val="28"/>
          <w:szCs w:val="28"/>
          <w:lang w:val="es-ES_tradnl"/>
        </w:rPr>
        <w:t xml:space="preserve">VII. </w:t>
      </w:r>
      <w:r w:rsidRPr="0096658B">
        <w:rPr>
          <w:rFonts w:ascii="Times New Roman" w:hAnsi="Times New Roman" w:cs="Times New Roman"/>
          <w:b/>
          <w:bCs/>
          <w:color w:val="000000" w:themeColor="text1"/>
          <w:sz w:val="28"/>
          <w:szCs w:val="28"/>
          <w:lang w:val="es-ES_tradnl"/>
        </w:rPr>
        <w:t>DECISIÓN</w:t>
      </w:r>
    </w:p>
    <w:p w:rsidR="00811F4A" w:rsidRPr="0096658B" w:rsidRDefault="0096658B" w:rsidP="00811F4A">
      <w:pPr>
        <w:pStyle w:val="Style3"/>
        <w:rPr>
          <w:rFonts w:ascii="Times New Roman" w:hAnsi="Times New Roman" w:cs="Times New Roman"/>
          <w:color w:val="000000" w:themeColor="text1"/>
          <w:sz w:val="28"/>
          <w:szCs w:val="28"/>
          <w:lang w:val="es-CO"/>
        </w:rPr>
      </w:pPr>
    </w:p>
    <w:p w:rsidR="00811F4A" w:rsidRPr="0096658B" w:rsidRDefault="0096658B" w:rsidP="00811F4A">
      <w:pPr>
        <w:pStyle w:val="Style3"/>
        <w:rPr>
          <w:rFonts w:ascii="Times New Roman" w:hAnsi="Times New Roman" w:cs="Times New Roman"/>
          <w:color w:val="000000" w:themeColor="text1"/>
          <w:sz w:val="28"/>
          <w:szCs w:val="28"/>
          <w:lang w:val="es-CO"/>
        </w:rPr>
      </w:pPr>
      <w:r w:rsidRPr="0096658B">
        <w:rPr>
          <w:rFonts w:ascii="Times New Roman" w:hAnsi="Times New Roman" w:cs="Times New Roman"/>
          <w:color w:val="000000" w:themeColor="text1"/>
          <w:sz w:val="28"/>
          <w:szCs w:val="28"/>
          <w:lang w:val="es-ES_tradnl"/>
        </w:rPr>
        <w:t xml:space="preserve">En mérito de lo expuesto, la Sala Plena de la Corte Constitucional, administrando justicia en nombre de </w:t>
      </w:r>
      <w:r w:rsidRPr="0096658B">
        <w:rPr>
          <w:rFonts w:ascii="Times New Roman" w:hAnsi="Times New Roman" w:cs="Times New Roman"/>
          <w:color w:val="000000" w:themeColor="text1"/>
          <w:sz w:val="28"/>
          <w:szCs w:val="28"/>
          <w:lang w:val="es-ES_tradnl"/>
        </w:rPr>
        <w:t>P</w:t>
      </w:r>
      <w:r w:rsidRPr="0096658B">
        <w:rPr>
          <w:rFonts w:ascii="Times New Roman" w:hAnsi="Times New Roman" w:cs="Times New Roman"/>
          <w:color w:val="000000" w:themeColor="text1"/>
          <w:sz w:val="28"/>
          <w:szCs w:val="28"/>
          <w:lang w:val="es-ES_tradnl"/>
        </w:rPr>
        <w:t>ueblo y por mandato de la Constitución Política,</w:t>
      </w:r>
    </w:p>
    <w:p w:rsidR="00811F4A" w:rsidRPr="0096658B" w:rsidRDefault="0096658B" w:rsidP="00811F4A">
      <w:pPr>
        <w:pStyle w:val="Style1"/>
        <w:widowControl/>
        <w:ind w:left="3605"/>
        <w:jc w:val="both"/>
        <w:rPr>
          <w:rFonts w:ascii="Times New Roman" w:hAnsi="Times New Roman" w:cs="Times New Roman"/>
          <w:color w:val="000000" w:themeColor="text1"/>
          <w:sz w:val="28"/>
          <w:szCs w:val="28"/>
          <w:lang w:val="es-ES_tradnl"/>
        </w:rPr>
      </w:pPr>
    </w:p>
    <w:p w:rsidR="00E4380D" w:rsidRPr="0096658B" w:rsidRDefault="0096658B" w:rsidP="00811F4A">
      <w:pPr>
        <w:pStyle w:val="Style1"/>
        <w:widowControl/>
        <w:ind w:left="3605"/>
        <w:jc w:val="both"/>
        <w:rPr>
          <w:rFonts w:ascii="Times New Roman" w:hAnsi="Times New Roman" w:cs="Times New Roman"/>
          <w:color w:val="000000" w:themeColor="text1"/>
          <w:sz w:val="28"/>
          <w:szCs w:val="28"/>
          <w:lang w:val="es-ES_tradnl"/>
        </w:rPr>
      </w:pPr>
    </w:p>
    <w:p w:rsidR="00811F4A" w:rsidRPr="0096658B" w:rsidRDefault="0096658B" w:rsidP="00811F4A">
      <w:pPr>
        <w:pStyle w:val="Style1"/>
        <w:keepNext/>
        <w:widowControl/>
        <w:ind w:left="3605"/>
        <w:jc w:val="both"/>
        <w:rPr>
          <w:rStyle w:val="FontStyle12"/>
          <w:rFonts w:eastAsia="SimSun"/>
          <w:color w:val="000000" w:themeColor="text1"/>
          <w:sz w:val="28"/>
          <w:szCs w:val="28"/>
          <w:lang w:val="es-ES_tradnl" w:eastAsia="es-ES_tradnl"/>
        </w:rPr>
      </w:pPr>
      <w:r w:rsidRPr="0096658B">
        <w:rPr>
          <w:rStyle w:val="FontStyle12"/>
          <w:rFonts w:eastAsia="SimSun"/>
          <w:color w:val="000000" w:themeColor="text1"/>
          <w:sz w:val="28"/>
          <w:szCs w:val="28"/>
          <w:lang w:val="es-ES_tradnl" w:eastAsia="es-ES_tradnl"/>
        </w:rPr>
        <w:t>RESUELVE</w:t>
      </w:r>
    </w:p>
    <w:p w:rsidR="00811F4A" w:rsidRPr="0096658B" w:rsidRDefault="0096658B" w:rsidP="00811F4A">
      <w:pPr>
        <w:pStyle w:val="Style3"/>
        <w:keepNext/>
        <w:widowControl/>
        <w:spacing w:line="240" w:lineRule="auto"/>
        <w:ind w:right="24"/>
        <w:rPr>
          <w:rFonts w:ascii="Times New Roman" w:hAnsi="Times New Roman" w:cs="Times New Roman"/>
          <w:color w:val="000000" w:themeColor="text1"/>
          <w:sz w:val="28"/>
          <w:szCs w:val="28"/>
          <w:lang w:val="es-ES_tradnl"/>
        </w:rPr>
      </w:pPr>
    </w:p>
    <w:p w:rsidR="00E4380D" w:rsidRPr="0096658B" w:rsidRDefault="0096658B" w:rsidP="00811F4A">
      <w:pPr>
        <w:pStyle w:val="Style3"/>
        <w:keepNext/>
        <w:widowControl/>
        <w:spacing w:line="240" w:lineRule="auto"/>
        <w:ind w:right="24"/>
        <w:rPr>
          <w:rFonts w:ascii="Times New Roman" w:hAnsi="Times New Roman" w:cs="Times New Roman"/>
          <w:color w:val="000000" w:themeColor="text1"/>
          <w:sz w:val="28"/>
          <w:szCs w:val="28"/>
          <w:lang w:val="es-ES_tradnl"/>
        </w:rPr>
      </w:pPr>
    </w:p>
    <w:p w:rsidR="00EB201C" w:rsidRPr="0096658B" w:rsidRDefault="0096658B" w:rsidP="00EB201C">
      <w:pPr>
        <w:pStyle w:val="Style1"/>
        <w:jc w:val="both"/>
        <w:rPr>
          <w:rFonts w:ascii="Times New Roman" w:hAnsi="Times New Roman" w:cs="Times New Roman"/>
          <w:color w:val="000000" w:themeColor="text1"/>
          <w:sz w:val="28"/>
          <w:szCs w:val="28"/>
          <w:lang w:val="es-CO" w:eastAsia="es-ES_tradnl"/>
        </w:rPr>
      </w:pPr>
      <w:r w:rsidRPr="0096658B">
        <w:rPr>
          <w:rFonts w:ascii="Times New Roman" w:hAnsi="Times New Roman" w:cs="Times New Roman"/>
          <w:b/>
          <w:bCs/>
          <w:color w:val="000000" w:themeColor="text1"/>
          <w:sz w:val="28"/>
          <w:szCs w:val="28"/>
          <w:lang w:val="es-ES_tradnl" w:eastAsia="es-ES_tradnl"/>
        </w:rPr>
        <w:t>PRIMERO</w:t>
      </w:r>
      <w:r w:rsidRPr="0096658B">
        <w:rPr>
          <w:rFonts w:ascii="Times New Roman" w:hAnsi="Times New Roman" w:cs="Times New Roman"/>
          <w:color w:val="000000" w:themeColor="text1"/>
          <w:sz w:val="28"/>
          <w:szCs w:val="28"/>
          <w:lang w:val="es-ES_tradnl" w:eastAsia="es-ES_tradnl"/>
        </w:rPr>
        <w:t xml:space="preserve">. En lo que respecta al procedimiento legislativo surtido, declarar </w:t>
      </w:r>
      <w:r w:rsidRPr="0096658B">
        <w:rPr>
          <w:rFonts w:ascii="Times New Roman" w:hAnsi="Times New Roman" w:cs="Times New Roman"/>
          <w:b/>
          <w:bCs/>
          <w:color w:val="000000" w:themeColor="text1"/>
          <w:sz w:val="28"/>
          <w:szCs w:val="28"/>
          <w:lang w:val="es-ES_tradnl" w:eastAsia="es-ES_tradnl"/>
        </w:rPr>
        <w:t>CONSTITUCIONAL</w:t>
      </w:r>
      <w:r w:rsidRPr="0096658B">
        <w:rPr>
          <w:rFonts w:ascii="Times New Roman" w:hAnsi="Times New Roman" w:cs="Times New Roman"/>
          <w:color w:val="000000" w:themeColor="text1"/>
          <w:sz w:val="28"/>
          <w:szCs w:val="28"/>
          <w:lang w:val="es-ES_tradnl" w:eastAsia="es-ES_tradnl"/>
        </w:rPr>
        <w:t xml:space="preserve"> el </w:t>
      </w:r>
      <w:r w:rsidRPr="0096658B">
        <w:rPr>
          <w:rFonts w:ascii="Times New Roman" w:hAnsi="Times New Roman" w:cs="Times New Roman"/>
          <w:color w:val="000000" w:themeColor="text1"/>
          <w:sz w:val="28"/>
          <w:szCs w:val="28"/>
          <w:lang w:val="es-CO" w:eastAsia="es-ES_tradnl"/>
        </w:rPr>
        <w:t>Proyecto de Ley Estatutaria 093 de 2022 Senado – 349 de 2023 Cámara “por la cual se adoptan medidas para garantizar la participación paritaria de las mujeres en las diferentes ramas y órganos del Poder Público de conformidad con los artíc</w:t>
      </w:r>
      <w:r w:rsidRPr="0096658B">
        <w:rPr>
          <w:rFonts w:ascii="Times New Roman" w:hAnsi="Times New Roman" w:cs="Times New Roman"/>
          <w:color w:val="000000" w:themeColor="text1"/>
          <w:sz w:val="28"/>
          <w:szCs w:val="28"/>
          <w:lang w:val="es-CO" w:eastAsia="es-ES_tradnl"/>
        </w:rPr>
        <w:t>ulos 13, 40 y 43 de la Constitución Política y se dictan otras disposiciones”.</w:t>
      </w:r>
    </w:p>
    <w:p w:rsidR="00EB201C" w:rsidRPr="0096658B" w:rsidRDefault="0096658B" w:rsidP="00EB201C">
      <w:pPr>
        <w:pStyle w:val="Style1"/>
        <w:jc w:val="both"/>
        <w:rPr>
          <w:rFonts w:ascii="Times New Roman" w:hAnsi="Times New Roman" w:cs="Times New Roman"/>
          <w:color w:val="000000" w:themeColor="text1"/>
          <w:sz w:val="28"/>
          <w:szCs w:val="28"/>
          <w:lang w:val="es-CO" w:eastAsia="es-ES_tradnl"/>
        </w:rPr>
      </w:pPr>
    </w:p>
    <w:p w:rsidR="00EB201C" w:rsidRPr="0096658B" w:rsidRDefault="0096658B" w:rsidP="00EB201C">
      <w:pPr>
        <w:pStyle w:val="Style1"/>
        <w:jc w:val="both"/>
        <w:rPr>
          <w:rFonts w:ascii="Times New Roman" w:hAnsi="Times New Roman" w:cs="Times New Roman"/>
          <w:color w:val="000000" w:themeColor="text1"/>
          <w:sz w:val="28"/>
          <w:szCs w:val="28"/>
          <w:lang w:val="es-CO" w:eastAsia="es-ES_tradnl"/>
        </w:rPr>
      </w:pPr>
      <w:r w:rsidRPr="0096658B">
        <w:rPr>
          <w:rFonts w:ascii="Times New Roman" w:hAnsi="Times New Roman" w:cs="Times New Roman"/>
          <w:b/>
          <w:bCs/>
          <w:color w:val="000000" w:themeColor="text1"/>
          <w:sz w:val="28"/>
          <w:szCs w:val="28"/>
          <w:lang w:val="es-CO" w:eastAsia="es-ES_tradnl"/>
        </w:rPr>
        <w:t>SEGUNDO.</w:t>
      </w:r>
      <w:r w:rsidRPr="0096658B">
        <w:rPr>
          <w:rFonts w:ascii="Times New Roman" w:hAnsi="Times New Roman" w:cs="Times New Roman"/>
          <w:color w:val="000000" w:themeColor="text1"/>
          <w:sz w:val="28"/>
          <w:szCs w:val="28"/>
          <w:lang w:val="es-CO" w:eastAsia="es-ES_tradnl"/>
        </w:rPr>
        <w:t xml:space="preserve"> Declarar </w:t>
      </w:r>
      <w:r w:rsidRPr="0096658B">
        <w:rPr>
          <w:rFonts w:ascii="Times New Roman" w:hAnsi="Times New Roman" w:cs="Times New Roman"/>
          <w:b/>
          <w:bCs/>
          <w:color w:val="000000" w:themeColor="text1"/>
          <w:sz w:val="28"/>
          <w:szCs w:val="28"/>
          <w:lang w:val="es-CO" w:eastAsia="es-ES_tradnl"/>
        </w:rPr>
        <w:t>CONSTITUCIONAL</w:t>
      </w:r>
      <w:r w:rsidRPr="0096658B">
        <w:rPr>
          <w:rFonts w:ascii="Times New Roman" w:hAnsi="Times New Roman" w:cs="Times New Roman"/>
          <w:color w:val="000000" w:themeColor="text1"/>
          <w:sz w:val="28"/>
          <w:szCs w:val="28"/>
          <w:lang w:val="es-CO" w:eastAsia="es-ES_tradnl"/>
        </w:rPr>
        <w:t xml:space="preserve"> el artículo 1º del Proyecto de Ley Estatutaria 093 de 2022 Senado – 349 de 2023 Cámara “por la cual se adoptan medidas para garantizar la participación paritaria de las mujeres en las diferentes ramas y órganos del Poder Público de conformidad con los art</w:t>
      </w:r>
      <w:r w:rsidRPr="0096658B">
        <w:rPr>
          <w:rFonts w:ascii="Times New Roman" w:hAnsi="Times New Roman" w:cs="Times New Roman"/>
          <w:color w:val="000000" w:themeColor="text1"/>
          <w:sz w:val="28"/>
          <w:szCs w:val="28"/>
          <w:lang w:val="es-CO" w:eastAsia="es-ES_tradnl"/>
        </w:rPr>
        <w:t xml:space="preserve">ículos 13, 40 y 43 de la Constitución Política y se dictan otras disposiciones”, en el entendido de que el plazo de seis meses previsto en el parágrafo segundo no limita el ejercicio de la facultad reglamentaria del </w:t>
      </w:r>
      <w:r w:rsidRPr="0096658B">
        <w:rPr>
          <w:rFonts w:ascii="Times New Roman" w:hAnsi="Times New Roman" w:cs="Times New Roman"/>
          <w:color w:val="000000" w:themeColor="text1"/>
          <w:sz w:val="28"/>
          <w:szCs w:val="28"/>
          <w:lang w:val="es-CO" w:eastAsia="es-ES_tradnl"/>
        </w:rPr>
        <w:t>P</w:t>
      </w:r>
      <w:r w:rsidRPr="0096658B">
        <w:rPr>
          <w:rFonts w:ascii="Times New Roman" w:hAnsi="Times New Roman" w:cs="Times New Roman"/>
          <w:color w:val="000000" w:themeColor="text1"/>
          <w:sz w:val="28"/>
          <w:szCs w:val="28"/>
          <w:lang w:val="es-CO" w:eastAsia="es-ES_tradnl"/>
        </w:rPr>
        <w:t>residente</w:t>
      </w:r>
      <w:r w:rsidRPr="0096658B">
        <w:rPr>
          <w:rFonts w:ascii="Times New Roman" w:hAnsi="Times New Roman" w:cs="Times New Roman"/>
          <w:color w:val="000000" w:themeColor="text1"/>
          <w:sz w:val="28"/>
          <w:szCs w:val="28"/>
          <w:lang w:val="es-CO" w:eastAsia="es-ES_tradnl"/>
        </w:rPr>
        <w:t xml:space="preserve"> </w:t>
      </w:r>
      <w:r w:rsidRPr="0096658B">
        <w:rPr>
          <w:rFonts w:ascii="Times New Roman" w:hAnsi="Times New Roman" w:cs="Times New Roman"/>
          <w:color w:val="000000" w:themeColor="text1"/>
          <w:sz w:val="28"/>
          <w:szCs w:val="28"/>
          <w:lang w:val="es-CO" w:eastAsia="es-ES_tradnl"/>
        </w:rPr>
        <w:t>luego de cumplido ese plazo</w:t>
      </w:r>
      <w:r w:rsidRPr="0096658B">
        <w:rPr>
          <w:rFonts w:ascii="Times New Roman" w:hAnsi="Times New Roman" w:cs="Times New Roman"/>
          <w:color w:val="000000" w:themeColor="text1"/>
          <w:sz w:val="28"/>
          <w:szCs w:val="28"/>
          <w:lang w:val="es-CO" w:eastAsia="es-ES_tradnl"/>
        </w:rPr>
        <w:t xml:space="preserve"> y</w:t>
      </w:r>
      <w:r w:rsidRPr="0096658B">
        <w:rPr>
          <w:rFonts w:ascii="Times New Roman" w:hAnsi="Times New Roman" w:cs="Times New Roman"/>
          <w:color w:val="000000" w:themeColor="text1"/>
          <w:sz w:val="28"/>
          <w:szCs w:val="28"/>
          <w:lang w:val="es-CO" w:eastAsia="es-ES_tradnl"/>
        </w:rPr>
        <w:t xml:space="preserve"> de acuerdo con lo considerado en </w:t>
      </w:r>
      <w:r w:rsidRPr="0096658B">
        <w:rPr>
          <w:rFonts w:ascii="Times New Roman" w:hAnsi="Times New Roman" w:cs="Times New Roman"/>
          <w:color w:val="000000" w:themeColor="text1"/>
          <w:sz w:val="28"/>
          <w:szCs w:val="28"/>
          <w:lang w:val="es-CO" w:eastAsia="es-ES_tradnl"/>
        </w:rPr>
        <w:t xml:space="preserve">esta sentencia. </w:t>
      </w:r>
    </w:p>
    <w:p w:rsidR="00EB201C" w:rsidRPr="0096658B" w:rsidRDefault="0096658B" w:rsidP="00EB201C">
      <w:pPr>
        <w:pStyle w:val="Style1"/>
        <w:jc w:val="both"/>
        <w:rPr>
          <w:rFonts w:ascii="Times New Roman" w:hAnsi="Times New Roman" w:cs="Times New Roman"/>
          <w:b/>
          <w:bCs/>
          <w:color w:val="000000" w:themeColor="text1"/>
          <w:sz w:val="28"/>
          <w:szCs w:val="28"/>
          <w:lang w:val="es-CO" w:eastAsia="es-ES_tradnl"/>
        </w:rPr>
      </w:pPr>
    </w:p>
    <w:p w:rsidR="00EB201C" w:rsidRPr="0096658B" w:rsidRDefault="0096658B" w:rsidP="00EB201C">
      <w:pPr>
        <w:pStyle w:val="Style1"/>
        <w:jc w:val="both"/>
        <w:rPr>
          <w:rFonts w:ascii="Times New Roman" w:hAnsi="Times New Roman" w:cs="Times New Roman"/>
          <w:color w:val="000000" w:themeColor="text1"/>
          <w:sz w:val="28"/>
          <w:szCs w:val="28"/>
          <w:lang w:val="es-CO" w:eastAsia="es-ES_tradnl"/>
        </w:rPr>
      </w:pPr>
      <w:r w:rsidRPr="0096658B">
        <w:rPr>
          <w:rFonts w:ascii="Times New Roman" w:hAnsi="Times New Roman" w:cs="Times New Roman"/>
          <w:b/>
          <w:bCs/>
          <w:color w:val="000000" w:themeColor="text1"/>
          <w:sz w:val="28"/>
          <w:szCs w:val="28"/>
          <w:lang w:val="es-CO" w:eastAsia="es-ES_tradnl"/>
        </w:rPr>
        <w:t>TERCERO</w:t>
      </w:r>
      <w:r w:rsidRPr="0096658B">
        <w:rPr>
          <w:rFonts w:ascii="Times New Roman" w:hAnsi="Times New Roman" w:cs="Times New Roman"/>
          <w:b/>
          <w:bCs/>
          <w:color w:val="000000" w:themeColor="text1"/>
          <w:sz w:val="28"/>
          <w:szCs w:val="28"/>
          <w:lang w:val="es-CO" w:eastAsia="es-ES_tradnl"/>
        </w:rPr>
        <w:t>.</w:t>
      </w:r>
      <w:r w:rsidRPr="0096658B">
        <w:rPr>
          <w:rFonts w:ascii="Times New Roman" w:hAnsi="Times New Roman" w:cs="Times New Roman"/>
          <w:b/>
          <w:bCs/>
          <w:color w:val="000000" w:themeColor="text1"/>
          <w:sz w:val="28"/>
          <w:szCs w:val="28"/>
          <w:lang w:val="es-CO" w:eastAsia="es-ES_tradnl"/>
        </w:rPr>
        <w:t xml:space="preserve"> </w:t>
      </w:r>
      <w:r w:rsidRPr="0096658B">
        <w:rPr>
          <w:rFonts w:ascii="Times New Roman" w:hAnsi="Times New Roman" w:cs="Times New Roman"/>
          <w:color w:val="000000" w:themeColor="text1"/>
          <w:sz w:val="28"/>
          <w:szCs w:val="28"/>
          <w:lang w:val="es-CO" w:eastAsia="es-ES_tradnl"/>
        </w:rPr>
        <w:t xml:space="preserve">Declarar </w:t>
      </w:r>
      <w:r w:rsidRPr="0096658B">
        <w:rPr>
          <w:rFonts w:ascii="Times New Roman" w:hAnsi="Times New Roman" w:cs="Times New Roman"/>
          <w:b/>
          <w:bCs/>
          <w:color w:val="000000" w:themeColor="text1"/>
          <w:sz w:val="28"/>
          <w:szCs w:val="28"/>
          <w:lang w:val="es-CO" w:eastAsia="es-ES_tradnl"/>
        </w:rPr>
        <w:t>CONSTITUCIONALES</w:t>
      </w:r>
      <w:r w:rsidRPr="0096658B">
        <w:rPr>
          <w:rFonts w:ascii="Times New Roman" w:hAnsi="Times New Roman" w:cs="Times New Roman"/>
          <w:color w:val="000000" w:themeColor="text1"/>
          <w:sz w:val="28"/>
          <w:szCs w:val="28"/>
          <w:lang w:val="es-CO" w:eastAsia="es-ES_tradnl"/>
        </w:rPr>
        <w:t xml:space="preserve"> los artículos 2º, 3º y 4º del Proyecto de Ley Estatutaria 093 de 2022 Senado – 349 de 2023 Cámara “por la cual se adoptan medidas para garantizar la participación parita</w:t>
      </w:r>
      <w:r w:rsidRPr="0096658B">
        <w:rPr>
          <w:rFonts w:ascii="Times New Roman" w:hAnsi="Times New Roman" w:cs="Times New Roman"/>
          <w:color w:val="000000" w:themeColor="text1"/>
          <w:sz w:val="28"/>
          <w:szCs w:val="28"/>
          <w:lang w:val="es-CO" w:eastAsia="es-ES_tradnl"/>
        </w:rPr>
        <w:t>ria de las mujeres en las diferentes ramas y órganos del Poder Público de conformidad con los artículos 13, 40 y 43 de la Constitución Política y se dictan otras disposiciones”.</w:t>
      </w:r>
      <w:r w:rsidRPr="0096658B">
        <w:rPr>
          <w:rFonts w:ascii="Times New Roman" w:hAnsi="Times New Roman" w:cs="Times New Roman"/>
          <w:i/>
          <w:iCs/>
          <w:color w:val="000000" w:themeColor="text1"/>
          <w:sz w:val="28"/>
          <w:szCs w:val="28"/>
          <w:lang w:val="es-CO" w:eastAsia="es-ES_tradnl"/>
        </w:rPr>
        <w:t xml:space="preserve"> </w:t>
      </w:r>
    </w:p>
    <w:p w:rsidR="00EB201C" w:rsidRPr="0096658B" w:rsidRDefault="0096658B" w:rsidP="00EB201C">
      <w:pPr>
        <w:pStyle w:val="Style1"/>
        <w:jc w:val="both"/>
        <w:rPr>
          <w:rFonts w:ascii="Times New Roman" w:hAnsi="Times New Roman" w:cs="Times New Roman"/>
          <w:color w:val="000000" w:themeColor="text1"/>
          <w:sz w:val="28"/>
          <w:szCs w:val="28"/>
          <w:lang w:val="es-CO" w:eastAsia="es-ES_tradnl"/>
        </w:rPr>
      </w:pPr>
    </w:p>
    <w:p w:rsidR="00811F4A" w:rsidRPr="0096658B" w:rsidRDefault="0096658B" w:rsidP="00EB201C">
      <w:pPr>
        <w:pStyle w:val="Style1"/>
        <w:widowControl/>
        <w:jc w:val="both"/>
        <w:rPr>
          <w:rFonts w:ascii="Times New Roman" w:hAnsi="Times New Roman" w:cs="Times New Roman"/>
          <w:bCs/>
          <w:color w:val="000000" w:themeColor="text1"/>
          <w:sz w:val="28"/>
          <w:szCs w:val="28"/>
          <w:lang w:val="es-ES_tradnl" w:eastAsia="es-ES_tradnl"/>
        </w:rPr>
      </w:pPr>
      <w:r w:rsidRPr="0096658B">
        <w:rPr>
          <w:rFonts w:ascii="Times New Roman" w:hAnsi="Times New Roman" w:cs="Times New Roman"/>
          <w:b/>
          <w:color w:val="000000" w:themeColor="text1"/>
          <w:sz w:val="28"/>
          <w:szCs w:val="28"/>
          <w:lang w:val="es-ES_tradnl" w:eastAsia="es-ES_tradnl"/>
        </w:rPr>
        <w:t xml:space="preserve">CUARTO. </w:t>
      </w:r>
      <w:r w:rsidRPr="0096658B">
        <w:rPr>
          <w:rFonts w:ascii="Times New Roman" w:hAnsi="Times New Roman" w:cs="Times New Roman"/>
          <w:bCs/>
          <w:color w:val="000000" w:themeColor="text1"/>
          <w:sz w:val="28"/>
          <w:szCs w:val="28"/>
          <w:lang w:val="es-ES_tradnl" w:eastAsia="es-ES_tradnl"/>
        </w:rPr>
        <w:t xml:space="preserve">Una vez ejecutoriada esta decisión, por medio de la Secretaría General, </w:t>
      </w:r>
      <w:r w:rsidRPr="0096658B">
        <w:rPr>
          <w:rFonts w:ascii="Times New Roman" w:hAnsi="Times New Roman" w:cs="Times New Roman"/>
          <w:b/>
          <w:color w:val="000000" w:themeColor="text1"/>
          <w:sz w:val="28"/>
          <w:szCs w:val="28"/>
          <w:lang w:val="es-ES_tradnl" w:eastAsia="es-ES_tradnl"/>
        </w:rPr>
        <w:t>REMITIR</w:t>
      </w:r>
      <w:r w:rsidRPr="0096658B">
        <w:rPr>
          <w:rFonts w:ascii="Times New Roman" w:hAnsi="Times New Roman" w:cs="Times New Roman"/>
          <w:bCs/>
          <w:color w:val="000000" w:themeColor="text1"/>
          <w:sz w:val="28"/>
          <w:szCs w:val="28"/>
          <w:lang w:val="es-ES_tradnl" w:eastAsia="es-ES_tradnl"/>
        </w:rPr>
        <w:t xml:space="preserve"> esta sentencia y el expediente de la referencia a los presidentes del Senado de la República y de la Cámara de Representantes, y con el fin de que remitan al presidente de la R</w:t>
      </w:r>
      <w:r w:rsidRPr="0096658B">
        <w:rPr>
          <w:rFonts w:ascii="Times New Roman" w:hAnsi="Times New Roman" w:cs="Times New Roman"/>
          <w:bCs/>
          <w:color w:val="000000" w:themeColor="text1"/>
          <w:sz w:val="28"/>
          <w:szCs w:val="28"/>
          <w:lang w:val="es-ES_tradnl" w:eastAsia="es-ES_tradnl"/>
        </w:rPr>
        <w:t>epública el texto definitivo del proyecto de ley estatutaria, transcrito en el numeral anterior, para los efectos del correspondiente trámite constitucional.</w:t>
      </w:r>
    </w:p>
    <w:p w:rsidR="00EB201C" w:rsidRPr="0096658B" w:rsidRDefault="0096658B" w:rsidP="00EB201C">
      <w:pPr>
        <w:pStyle w:val="Style1"/>
        <w:widowControl/>
        <w:jc w:val="both"/>
        <w:rPr>
          <w:rStyle w:val="FontStyle15"/>
          <w:color w:val="000000" w:themeColor="text1"/>
          <w:sz w:val="28"/>
          <w:szCs w:val="28"/>
          <w:lang w:val="es-CO" w:eastAsia="es-ES_tradnl"/>
        </w:rPr>
      </w:pPr>
    </w:p>
    <w:p w:rsidR="00454692" w:rsidRPr="0096658B" w:rsidRDefault="0096658B">
      <w:pPr>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Notifíquese, comuníquese y cúmplase</w:t>
      </w:r>
    </w:p>
    <w:p w:rsidR="00583E54" w:rsidRPr="0096658B" w:rsidRDefault="0096658B">
      <w:pPr>
        <w:rPr>
          <w:rFonts w:ascii="Times New Roman" w:hAnsi="Times New Roman" w:cs="Times New Roman"/>
          <w:color w:val="000000" w:themeColor="text1"/>
          <w:sz w:val="28"/>
          <w:szCs w:val="28"/>
          <w:lang w:val="es-ES_tradnl"/>
        </w:rPr>
      </w:pPr>
    </w:p>
    <w:p w:rsidR="00583E54" w:rsidRPr="0096658B" w:rsidRDefault="0096658B">
      <w:pPr>
        <w:rPr>
          <w:rFonts w:ascii="Times New Roman" w:hAnsi="Times New Roman" w:cs="Times New Roman"/>
          <w:color w:val="000000" w:themeColor="text1"/>
          <w:sz w:val="28"/>
          <w:szCs w:val="28"/>
          <w:lang w:val="es-ES_tradnl"/>
        </w:rPr>
      </w:pPr>
    </w:p>
    <w:p w:rsidR="00583E54" w:rsidRPr="0096658B" w:rsidRDefault="0096658B" w:rsidP="00583E54">
      <w:pPr>
        <w:jc w:val="center"/>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JOSE FERNANDO REYES CUARTAS</w:t>
      </w:r>
    </w:p>
    <w:p w:rsidR="00583E54" w:rsidRPr="0096658B" w:rsidRDefault="0096658B" w:rsidP="00583E54">
      <w:pPr>
        <w:jc w:val="center"/>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Presidente</w:t>
      </w:r>
    </w:p>
    <w:p w:rsidR="00583E54" w:rsidRPr="0096658B" w:rsidRDefault="0096658B" w:rsidP="00583E54">
      <w:pPr>
        <w:jc w:val="center"/>
        <w:rPr>
          <w:rFonts w:ascii="Times New Roman" w:hAnsi="Times New Roman" w:cs="Times New Roman"/>
          <w:color w:val="000000" w:themeColor="text1"/>
          <w:sz w:val="28"/>
          <w:szCs w:val="28"/>
          <w:lang w:val="es-ES_tradnl"/>
        </w:rPr>
      </w:pPr>
    </w:p>
    <w:p w:rsidR="00583E54" w:rsidRPr="0096658B" w:rsidRDefault="0096658B" w:rsidP="00583E54">
      <w:pPr>
        <w:jc w:val="center"/>
        <w:rPr>
          <w:rFonts w:ascii="Times New Roman" w:hAnsi="Times New Roman" w:cs="Times New Roman"/>
          <w:color w:val="000000" w:themeColor="text1"/>
          <w:sz w:val="28"/>
          <w:szCs w:val="28"/>
          <w:lang w:val="es-ES_tradnl"/>
        </w:rPr>
      </w:pPr>
    </w:p>
    <w:p w:rsidR="00583E54" w:rsidRPr="0096658B" w:rsidRDefault="0096658B" w:rsidP="00583E54">
      <w:pPr>
        <w:jc w:val="center"/>
        <w:rPr>
          <w:rFonts w:ascii="Times New Roman" w:hAnsi="Times New Roman" w:cs="Times New Roman"/>
          <w:color w:val="000000" w:themeColor="text1"/>
          <w:sz w:val="28"/>
          <w:szCs w:val="28"/>
          <w:lang w:val="es-ES_tradnl"/>
        </w:rPr>
      </w:pPr>
    </w:p>
    <w:p w:rsidR="00583E54" w:rsidRPr="0096658B" w:rsidRDefault="0096658B" w:rsidP="00583E54">
      <w:pPr>
        <w:jc w:val="center"/>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NATALIA ÁNGEL CAB</w:t>
      </w:r>
      <w:r w:rsidRPr="0096658B">
        <w:rPr>
          <w:rFonts w:ascii="Times New Roman" w:hAnsi="Times New Roman" w:cs="Times New Roman"/>
          <w:color w:val="000000" w:themeColor="text1"/>
          <w:sz w:val="28"/>
          <w:szCs w:val="28"/>
          <w:lang w:val="es-ES_tradnl"/>
        </w:rPr>
        <w:t>O</w:t>
      </w:r>
    </w:p>
    <w:p w:rsidR="00583E54" w:rsidRPr="0096658B" w:rsidRDefault="0096658B" w:rsidP="00583E54">
      <w:pPr>
        <w:jc w:val="center"/>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Magistrada</w:t>
      </w:r>
    </w:p>
    <w:p w:rsidR="00583E54" w:rsidRPr="0096658B" w:rsidRDefault="0096658B" w:rsidP="00583E54">
      <w:pPr>
        <w:jc w:val="center"/>
        <w:rPr>
          <w:rFonts w:ascii="Times New Roman" w:hAnsi="Times New Roman" w:cs="Times New Roman"/>
          <w:color w:val="000000" w:themeColor="text1"/>
          <w:sz w:val="28"/>
          <w:szCs w:val="28"/>
          <w:lang w:val="es-ES_tradnl"/>
        </w:rPr>
      </w:pPr>
    </w:p>
    <w:p w:rsidR="00583E54" w:rsidRPr="0096658B" w:rsidRDefault="0096658B" w:rsidP="00583E54">
      <w:pPr>
        <w:jc w:val="center"/>
        <w:rPr>
          <w:rFonts w:ascii="Times New Roman" w:hAnsi="Times New Roman" w:cs="Times New Roman"/>
          <w:color w:val="000000" w:themeColor="text1"/>
          <w:sz w:val="28"/>
          <w:szCs w:val="28"/>
          <w:lang w:val="es-ES_tradnl"/>
        </w:rPr>
      </w:pPr>
    </w:p>
    <w:p w:rsidR="00583E54" w:rsidRPr="0096658B" w:rsidRDefault="0096658B" w:rsidP="00583E54">
      <w:pPr>
        <w:jc w:val="center"/>
        <w:rPr>
          <w:rFonts w:ascii="Times New Roman" w:hAnsi="Times New Roman" w:cs="Times New Roman"/>
          <w:color w:val="000000" w:themeColor="text1"/>
          <w:sz w:val="28"/>
          <w:szCs w:val="28"/>
          <w:lang w:val="es-ES_tradnl"/>
        </w:rPr>
      </w:pPr>
    </w:p>
    <w:p w:rsidR="00583E54" w:rsidRPr="0096658B" w:rsidRDefault="0096658B" w:rsidP="00583E54">
      <w:pPr>
        <w:jc w:val="center"/>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JUAN CARLOS CORTÉS GONZÁLEZ</w:t>
      </w:r>
    </w:p>
    <w:p w:rsidR="00583E54" w:rsidRPr="0096658B" w:rsidRDefault="0096658B" w:rsidP="00583E54">
      <w:pPr>
        <w:jc w:val="center"/>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Magistrado</w:t>
      </w:r>
    </w:p>
    <w:p w:rsidR="00583E54" w:rsidRPr="0096658B" w:rsidRDefault="0096658B" w:rsidP="00583E54">
      <w:pPr>
        <w:jc w:val="center"/>
        <w:rPr>
          <w:rFonts w:ascii="Times New Roman" w:hAnsi="Times New Roman" w:cs="Times New Roman"/>
          <w:color w:val="000000" w:themeColor="text1"/>
          <w:sz w:val="28"/>
          <w:szCs w:val="28"/>
          <w:lang w:val="es-ES_tradnl"/>
        </w:rPr>
      </w:pPr>
    </w:p>
    <w:p w:rsidR="00583E54" w:rsidRPr="0096658B" w:rsidRDefault="0096658B" w:rsidP="00583E54">
      <w:pPr>
        <w:jc w:val="center"/>
        <w:rPr>
          <w:rFonts w:ascii="Times New Roman" w:hAnsi="Times New Roman" w:cs="Times New Roman"/>
          <w:color w:val="000000" w:themeColor="text1"/>
          <w:sz w:val="28"/>
          <w:szCs w:val="28"/>
          <w:lang w:val="es-ES_tradnl"/>
        </w:rPr>
      </w:pPr>
    </w:p>
    <w:p w:rsidR="00583E54" w:rsidRPr="0096658B" w:rsidRDefault="0096658B" w:rsidP="00583E54">
      <w:pPr>
        <w:jc w:val="center"/>
        <w:rPr>
          <w:rFonts w:ascii="Times New Roman" w:hAnsi="Times New Roman" w:cs="Times New Roman"/>
          <w:color w:val="000000" w:themeColor="text1"/>
          <w:sz w:val="28"/>
          <w:szCs w:val="28"/>
          <w:lang w:val="es-ES_tradnl"/>
        </w:rPr>
      </w:pPr>
    </w:p>
    <w:p w:rsidR="00583E54" w:rsidRPr="0096658B" w:rsidRDefault="0096658B" w:rsidP="00583E54">
      <w:pPr>
        <w:jc w:val="center"/>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DIANA FAJARDO RIVERA</w:t>
      </w:r>
    </w:p>
    <w:p w:rsidR="00583E54" w:rsidRPr="0096658B" w:rsidRDefault="0096658B" w:rsidP="00583E54">
      <w:pPr>
        <w:jc w:val="center"/>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Magistrada</w:t>
      </w:r>
    </w:p>
    <w:p w:rsidR="00583E54" w:rsidRPr="0096658B" w:rsidRDefault="0096658B" w:rsidP="00583E54">
      <w:pPr>
        <w:jc w:val="center"/>
        <w:rPr>
          <w:rFonts w:ascii="Times New Roman" w:hAnsi="Times New Roman" w:cs="Times New Roman"/>
          <w:color w:val="000000" w:themeColor="text1"/>
          <w:sz w:val="28"/>
          <w:szCs w:val="28"/>
          <w:lang w:val="es-ES_tradnl"/>
        </w:rPr>
      </w:pPr>
    </w:p>
    <w:p w:rsidR="00583E54" w:rsidRPr="0096658B" w:rsidRDefault="0096658B" w:rsidP="00583E54">
      <w:pPr>
        <w:jc w:val="center"/>
        <w:rPr>
          <w:rFonts w:ascii="Times New Roman" w:hAnsi="Times New Roman" w:cs="Times New Roman"/>
          <w:color w:val="000000" w:themeColor="text1"/>
          <w:sz w:val="28"/>
          <w:szCs w:val="28"/>
          <w:lang w:val="es-ES_tradnl"/>
        </w:rPr>
      </w:pPr>
    </w:p>
    <w:p w:rsidR="00583E54" w:rsidRPr="0096658B" w:rsidRDefault="0096658B" w:rsidP="00583E54">
      <w:pPr>
        <w:jc w:val="center"/>
        <w:rPr>
          <w:rFonts w:ascii="Times New Roman" w:hAnsi="Times New Roman" w:cs="Times New Roman"/>
          <w:color w:val="000000" w:themeColor="text1"/>
          <w:sz w:val="28"/>
          <w:szCs w:val="28"/>
          <w:lang w:val="es-ES_tradnl"/>
        </w:rPr>
      </w:pPr>
    </w:p>
    <w:p w:rsidR="00583E54" w:rsidRPr="0096658B" w:rsidRDefault="0096658B" w:rsidP="00583E54">
      <w:pPr>
        <w:jc w:val="center"/>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VLADIMIR FERNÁNDEZ ANDRADE</w:t>
      </w:r>
    </w:p>
    <w:p w:rsidR="00583E54" w:rsidRPr="0096658B" w:rsidRDefault="0096658B" w:rsidP="00583E54">
      <w:pPr>
        <w:jc w:val="center"/>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Magistrado</w:t>
      </w:r>
    </w:p>
    <w:p w:rsidR="00583E54" w:rsidRPr="0096658B" w:rsidRDefault="0096658B" w:rsidP="00583E54">
      <w:pPr>
        <w:jc w:val="center"/>
        <w:rPr>
          <w:rFonts w:ascii="Times New Roman" w:hAnsi="Times New Roman" w:cs="Times New Roman"/>
          <w:color w:val="000000" w:themeColor="text1"/>
          <w:sz w:val="28"/>
          <w:szCs w:val="28"/>
          <w:lang w:val="es-ES_tradnl"/>
        </w:rPr>
      </w:pPr>
    </w:p>
    <w:p w:rsidR="00583E54" w:rsidRPr="0096658B" w:rsidRDefault="0096658B" w:rsidP="00583E54">
      <w:pPr>
        <w:jc w:val="center"/>
        <w:rPr>
          <w:rFonts w:ascii="Times New Roman" w:hAnsi="Times New Roman" w:cs="Times New Roman"/>
          <w:color w:val="000000" w:themeColor="text1"/>
          <w:sz w:val="28"/>
          <w:szCs w:val="28"/>
          <w:lang w:val="es-ES_tradnl"/>
        </w:rPr>
      </w:pPr>
    </w:p>
    <w:p w:rsidR="00583E54" w:rsidRPr="0096658B" w:rsidRDefault="0096658B" w:rsidP="00583E54">
      <w:pPr>
        <w:jc w:val="center"/>
        <w:rPr>
          <w:rFonts w:ascii="Times New Roman" w:hAnsi="Times New Roman" w:cs="Times New Roman"/>
          <w:color w:val="000000" w:themeColor="text1"/>
          <w:sz w:val="28"/>
          <w:szCs w:val="28"/>
          <w:lang w:val="es-ES_tradnl"/>
        </w:rPr>
      </w:pPr>
    </w:p>
    <w:p w:rsidR="00583E54" w:rsidRPr="0096658B" w:rsidRDefault="0096658B" w:rsidP="00583E54">
      <w:pPr>
        <w:jc w:val="center"/>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 xml:space="preserve">JORGE ENRIQUE IBÁÑEZ NAJAR </w:t>
      </w:r>
    </w:p>
    <w:p w:rsidR="00583E54" w:rsidRPr="0096658B" w:rsidRDefault="0096658B" w:rsidP="00583E54">
      <w:pPr>
        <w:jc w:val="center"/>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Magistrado</w:t>
      </w:r>
    </w:p>
    <w:p w:rsidR="00583E54" w:rsidRPr="0096658B" w:rsidRDefault="0096658B" w:rsidP="00583E54">
      <w:pPr>
        <w:jc w:val="center"/>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Con aclaración de voto</w:t>
      </w:r>
    </w:p>
    <w:p w:rsidR="00583E54" w:rsidRPr="0096658B" w:rsidRDefault="0096658B" w:rsidP="00583E54">
      <w:pPr>
        <w:jc w:val="center"/>
        <w:rPr>
          <w:rFonts w:ascii="Times New Roman" w:hAnsi="Times New Roman" w:cs="Times New Roman"/>
          <w:color w:val="000000" w:themeColor="text1"/>
          <w:sz w:val="28"/>
          <w:szCs w:val="28"/>
          <w:lang w:val="es-ES_tradnl"/>
        </w:rPr>
      </w:pPr>
    </w:p>
    <w:p w:rsidR="00583E54" w:rsidRPr="0096658B" w:rsidRDefault="0096658B" w:rsidP="00583E54">
      <w:pPr>
        <w:jc w:val="center"/>
        <w:rPr>
          <w:rFonts w:ascii="Times New Roman" w:hAnsi="Times New Roman" w:cs="Times New Roman"/>
          <w:color w:val="000000" w:themeColor="text1"/>
          <w:sz w:val="28"/>
          <w:szCs w:val="28"/>
          <w:lang w:val="es-ES_tradnl"/>
        </w:rPr>
      </w:pPr>
    </w:p>
    <w:p w:rsidR="00583E54" w:rsidRPr="0096658B" w:rsidRDefault="0096658B" w:rsidP="00583E54">
      <w:pPr>
        <w:jc w:val="center"/>
        <w:rPr>
          <w:rFonts w:ascii="Times New Roman" w:hAnsi="Times New Roman" w:cs="Times New Roman"/>
          <w:color w:val="000000" w:themeColor="text1"/>
          <w:sz w:val="28"/>
          <w:szCs w:val="28"/>
          <w:lang w:val="es-ES_tradnl"/>
        </w:rPr>
      </w:pPr>
    </w:p>
    <w:p w:rsidR="00583E54" w:rsidRPr="0096658B" w:rsidRDefault="0096658B" w:rsidP="00583E54">
      <w:pPr>
        <w:jc w:val="center"/>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ANTONIO JOSÉ LIZARAZO OCAMPO</w:t>
      </w:r>
    </w:p>
    <w:p w:rsidR="00583E54" w:rsidRPr="0096658B" w:rsidRDefault="0096658B" w:rsidP="00583E54">
      <w:pPr>
        <w:jc w:val="center"/>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Magistrado</w:t>
      </w:r>
    </w:p>
    <w:p w:rsidR="00583E54" w:rsidRPr="0096658B" w:rsidRDefault="0096658B" w:rsidP="00583E54">
      <w:pPr>
        <w:jc w:val="center"/>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Con aclaración de</w:t>
      </w:r>
      <w:r w:rsidRPr="0096658B">
        <w:rPr>
          <w:rFonts w:ascii="Times New Roman" w:hAnsi="Times New Roman" w:cs="Times New Roman"/>
          <w:color w:val="000000" w:themeColor="text1"/>
          <w:sz w:val="28"/>
          <w:szCs w:val="28"/>
          <w:lang w:val="es-ES_tradnl"/>
        </w:rPr>
        <w:t xml:space="preserve"> voto</w:t>
      </w:r>
    </w:p>
    <w:p w:rsidR="00583E54" w:rsidRPr="0096658B" w:rsidRDefault="0096658B" w:rsidP="00583E54">
      <w:pPr>
        <w:jc w:val="center"/>
        <w:rPr>
          <w:rFonts w:ascii="Times New Roman" w:hAnsi="Times New Roman" w:cs="Times New Roman"/>
          <w:color w:val="000000" w:themeColor="text1"/>
          <w:sz w:val="28"/>
          <w:szCs w:val="28"/>
          <w:lang w:val="es-ES_tradnl"/>
        </w:rPr>
      </w:pPr>
    </w:p>
    <w:p w:rsidR="00583E54" w:rsidRPr="0096658B" w:rsidRDefault="0096658B" w:rsidP="00583E54">
      <w:pPr>
        <w:jc w:val="center"/>
        <w:rPr>
          <w:rFonts w:ascii="Times New Roman" w:hAnsi="Times New Roman" w:cs="Times New Roman"/>
          <w:color w:val="000000" w:themeColor="text1"/>
          <w:sz w:val="28"/>
          <w:szCs w:val="28"/>
          <w:lang w:val="es-ES_tradnl"/>
        </w:rPr>
      </w:pPr>
    </w:p>
    <w:p w:rsidR="00583E54" w:rsidRPr="0096658B" w:rsidRDefault="0096658B" w:rsidP="00583E54">
      <w:pPr>
        <w:jc w:val="center"/>
        <w:rPr>
          <w:rFonts w:ascii="Times New Roman" w:hAnsi="Times New Roman" w:cs="Times New Roman"/>
          <w:color w:val="000000" w:themeColor="text1"/>
          <w:sz w:val="28"/>
          <w:szCs w:val="28"/>
          <w:lang w:val="es-ES_tradnl"/>
        </w:rPr>
      </w:pPr>
    </w:p>
    <w:p w:rsidR="00583E54" w:rsidRPr="0096658B" w:rsidRDefault="0096658B" w:rsidP="00583E54">
      <w:pPr>
        <w:jc w:val="center"/>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PAOLA ANDREA MENESES MOSQUERA</w:t>
      </w:r>
    </w:p>
    <w:p w:rsidR="00583E54" w:rsidRPr="0096658B" w:rsidRDefault="0096658B" w:rsidP="00583E54">
      <w:pPr>
        <w:jc w:val="center"/>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Magistrada</w:t>
      </w:r>
    </w:p>
    <w:p w:rsidR="00583E54" w:rsidRPr="0096658B" w:rsidRDefault="0096658B" w:rsidP="00583E54">
      <w:pPr>
        <w:jc w:val="center"/>
        <w:rPr>
          <w:rFonts w:ascii="Times New Roman" w:hAnsi="Times New Roman" w:cs="Times New Roman"/>
          <w:color w:val="000000" w:themeColor="text1"/>
          <w:sz w:val="28"/>
          <w:szCs w:val="28"/>
          <w:lang w:val="es-ES_tradnl"/>
        </w:rPr>
      </w:pPr>
    </w:p>
    <w:p w:rsidR="00583E54" w:rsidRPr="0096658B" w:rsidRDefault="0096658B" w:rsidP="00583E54">
      <w:pPr>
        <w:jc w:val="center"/>
        <w:rPr>
          <w:rFonts w:ascii="Times New Roman" w:hAnsi="Times New Roman" w:cs="Times New Roman"/>
          <w:color w:val="000000" w:themeColor="text1"/>
          <w:sz w:val="28"/>
          <w:szCs w:val="28"/>
          <w:lang w:val="es-ES_tradnl"/>
        </w:rPr>
      </w:pPr>
    </w:p>
    <w:p w:rsidR="00583E54" w:rsidRPr="0096658B" w:rsidRDefault="0096658B" w:rsidP="00583E54">
      <w:pPr>
        <w:jc w:val="center"/>
        <w:rPr>
          <w:rFonts w:ascii="Times New Roman" w:hAnsi="Times New Roman" w:cs="Times New Roman"/>
          <w:color w:val="000000" w:themeColor="text1"/>
          <w:sz w:val="28"/>
          <w:szCs w:val="28"/>
          <w:lang w:val="es-ES_tradnl"/>
        </w:rPr>
      </w:pPr>
    </w:p>
    <w:p w:rsidR="00583E54" w:rsidRPr="0096658B" w:rsidRDefault="0096658B" w:rsidP="00583E54">
      <w:pPr>
        <w:jc w:val="center"/>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CRISTINA PARDO SCHLESINGER</w:t>
      </w:r>
    </w:p>
    <w:p w:rsidR="00583E54" w:rsidRPr="0096658B" w:rsidRDefault="0096658B" w:rsidP="00583E54">
      <w:pPr>
        <w:jc w:val="center"/>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Magistrada</w:t>
      </w:r>
    </w:p>
    <w:p w:rsidR="00583E54" w:rsidRPr="0096658B" w:rsidRDefault="0096658B" w:rsidP="00583E54">
      <w:pPr>
        <w:jc w:val="center"/>
        <w:rPr>
          <w:rFonts w:ascii="Times New Roman" w:hAnsi="Times New Roman" w:cs="Times New Roman"/>
          <w:color w:val="000000" w:themeColor="text1"/>
          <w:sz w:val="28"/>
          <w:szCs w:val="28"/>
          <w:lang w:val="es-ES_tradnl"/>
        </w:rPr>
      </w:pPr>
    </w:p>
    <w:p w:rsidR="00583E54" w:rsidRPr="0096658B" w:rsidRDefault="0096658B" w:rsidP="00583E54">
      <w:pPr>
        <w:jc w:val="center"/>
        <w:rPr>
          <w:rFonts w:ascii="Times New Roman" w:hAnsi="Times New Roman" w:cs="Times New Roman"/>
          <w:color w:val="000000" w:themeColor="text1"/>
          <w:sz w:val="28"/>
          <w:szCs w:val="28"/>
          <w:lang w:val="es-ES_tradnl"/>
        </w:rPr>
      </w:pPr>
    </w:p>
    <w:p w:rsidR="00583E54" w:rsidRPr="0096658B" w:rsidRDefault="0096658B" w:rsidP="00583E54">
      <w:pPr>
        <w:jc w:val="center"/>
        <w:rPr>
          <w:rFonts w:ascii="Times New Roman" w:hAnsi="Times New Roman" w:cs="Times New Roman"/>
          <w:color w:val="000000" w:themeColor="text1"/>
          <w:sz w:val="28"/>
          <w:szCs w:val="28"/>
          <w:lang w:val="es-ES_tradnl"/>
        </w:rPr>
      </w:pPr>
    </w:p>
    <w:p w:rsidR="00583E54" w:rsidRPr="0096658B" w:rsidRDefault="0096658B" w:rsidP="00583E54">
      <w:pPr>
        <w:jc w:val="center"/>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ANDREA LILIANA ROMERO LOPEZ</w:t>
      </w:r>
    </w:p>
    <w:p w:rsidR="006B7BF0" w:rsidRPr="0096658B" w:rsidRDefault="0096658B" w:rsidP="006B7BF0">
      <w:pPr>
        <w:jc w:val="center"/>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lang w:val="es-ES_tradnl"/>
        </w:rPr>
        <w:t>Secretaria Genera</w:t>
      </w:r>
      <w:r w:rsidRPr="0096658B">
        <w:rPr>
          <w:rFonts w:ascii="Times New Roman" w:hAnsi="Times New Roman" w:cs="Times New Roman"/>
          <w:color w:val="000000" w:themeColor="text1"/>
          <w:sz w:val="28"/>
          <w:szCs w:val="28"/>
          <w:lang w:val="es-ES_tradnl"/>
        </w:rPr>
        <w:t>l</w:t>
      </w:r>
    </w:p>
    <w:p w:rsidR="00583E54" w:rsidRPr="0096658B" w:rsidRDefault="0096658B" w:rsidP="00583E54">
      <w:pPr>
        <w:jc w:val="center"/>
        <w:rPr>
          <w:rFonts w:ascii="Times New Roman" w:hAnsi="Times New Roman" w:cs="Times New Roman"/>
          <w:color w:val="000000" w:themeColor="text1"/>
          <w:sz w:val="28"/>
          <w:szCs w:val="28"/>
          <w:lang w:val="es-ES_tradnl"/>
        </w:rPr>
      </w:pPr>
    </w:p>
    <w:p w:rsidR="00FD3717" w:rsidRPr="0096658B" w:rsidRDefault="0096658B" w:rsidP="00FD3717">
      <w:pPr>
        <w:jc w:val="center"/>
        <w:rPr>
          <w:rFonts w:ascii="Times New Roman" w:hAnsi="Times New Roman" w:cs="Times New Roman"/>
          <w:b/>
          <w:bCs/>
          <w:sz w:val="28"/>
          <w:lang w:val="es-ES"/>
        </w:rPr>
      </w:pPr>
      <w:r w:rsidRPr="0096658B">
        <w:rPr>
          <w:rFonts w:ascii="Times New Roman" w:hAnsi="Times New Roman" w:cs="Times New Roman"/>
          <w:b/>
          <w:bCs/>
          <w:sz w:val="28"/>
          <w:lang w:val="es-ES"/>
        </w:rPr>
        <w:t xml:space="preserve">ANEXO </w:t>
      </w:r>
    </w:p>
    <w:p w:rsidR="00FD3717" w:rsidRPr="0096658B" w:rsidRDefault="0096658B" w:rsidP="00FD3717">
      <w:pPr>
        <w:jc w:val="center"/>
        <w:rPr>
          <w:rFonts w:ascii="Times New Roman" w:hAnsi="Times New Roman" w:cs="Times New Roman"/>
          <w:b/>
          <w:bCs/>
          <w:sz w:val="28"/>
          <w:lang w:val="es-ES"/>
        </w:rPr>
      </w:pPr>
      <w:r w:rsidRPr="0096658B">
        <w:rPr>
          <w:rFonts w:ascii="Times New Roman" w:hAnsi="Times New Roman" w:cs="Times New Roman"/>
          <w:b/>
          <w:bCs/>
          <w:sz w:val="28"/>
          <w:lang w:val="es-ES"/>
        </w:rPr>
        <w:t>Modificaciones dentro del procedimiento legislativo</w:t>
      </w:r>
      <w:r w:rsidRPr="0096658B">
        <w:rPr>
          <w:rFonts w:ascii="Times New Roman" w:hAnsi="Times New Roman" w:cs="Times New Roman"/>
          <w:b/>
          <w:bCs/>
          <w:sz w:val="28"/>
          <w:lang w:val="es-ES"/>
        </w:rPr>
        <w:t xml:space="preserve"> al Proyecto de Ley Estatutaria </w:t>
      </w:r>
      <w:r w:rsidRPr="0096658B">
        <w:rPr>
          <w:rFonts w:ascii="Times New Roman" w:hAnsi="Times New Roman" w:cs="Times New Roman"/>
          <w:b/>
          <w:bCs/>
          <w:sz w:val="28"/>
          <w:lang w:val="es-ES"/>
        </w:rPr>
        <w:t xml:space="preserve">092/22 Senado </w:t>
      </w:r>
      <w:r w:rsidRPr="0096658B">
        <w:rPr>
          <w:rFonts w:ascii="Times New Roman" w:hAnsi="Times New Roman" w:cs="Times New Roman"/>
          <w:b/>
          <w:bCs/>
          <w:sz w:val="28"/>
          <w:lang w:val="es-ES"/>
        </w:rPr>
        <w:t xml:space="preserve">– 349 de </w:t>
      </w:r>
      <w:r w:rsidRPr="0096658B">
        <w:rPr>
          <w:rFonts w:ascii="Times New Roman" w:hAnsi="Times New Roman" w:cs="Times New Roman"/>
          <w:b/>
          <w:bCs/>
          <w:sz w:val="28"/>
          <w:lang w:val="es-ES"/>
        </w:rPr>
        <w:t>2023 Cámara “por la cual se adoptan medidas para garantizar la participación paritaria de las mujeres en las diferentes ramas y órganos del Poder Público de conformidad con los artículos 13, 40 y 43 de la Constitución Política y se dictan otras disposicion</w:t>
      </w:r>
      <w:r w:rsidRPr="0096658B">
        <w:rPr>
          <w:rFonts w:ascii="Times New Roman" w:hAnsi="Times New Roman" w:cs="Times New Roman"/>
          <w:b/>
          <w:bCs/>
          <w:sz w:val="28"/>
          <w:lang w:val="es-ES"/>
        </w:rPr>
        <w:t>es”.</w:t>
      </w:r>
    </w:p>
    <w:p w:rsidR="00FD3717" w:rsidRPr="0096658B" w:rsidRDefault="0096658B" w:rsidP="00FD3717">
      <w:pPr>
        <w:jc w:val="center"/>
        <w:rPr>
          <w:rFonts w:ascii="Times New Roman" w:hAnsi="Times New Roman" w:cs="Times New Roman"/>
          <w:b/>
          <w:bCs/>
          <w:sz w:val="28"/>
          <w:lang w:val="es-ES"/>
        </w:rPr>
      </w:pPr>
    </w:p>
    <w:tbl>
      <w:tblPr>
        <w:tblStyle w:val="Tablaconcuadrcula"/>
        <w:tblW w:w="0" w:type="auto"/>
        <w:tblLook w:val="04A0" w:firstRow="1" w:lastRow="0" w:firstColumn="1" w:lastColumn="0" w:noHBand="0" w:noVBand="1"/>
      </w:tblPr>
      <w:tblGrid>
        <w:gridCol w:w="3741"/>
        <w:gridCol w:w="3741"/>
        <w:gridCol w:w="3741"/>
        <w:gridCol w:w="3741"/>
        <w:gridCol w:w="3742"/>
      </w:tblGrid>
      <w:tr w:rsidR="00FD3717" w:rsidRPr="0096658B" w:rsidTr="00C273BC">
        <w:tc>
          <w:tcPr>
            <w:tcW w:w="3741" w:type="dxa"/>
          </w:tcPr>
          <w:p w:rsidR="00FD3717" w:rsidRPr="0096658B" w:rsidRDefault="0096658B" w:rsidP="00C273BC">
            <w:pPr>
              <w:jc w:val="both"/>
              <w:rPr>
                <w:rFonts w:ascii="Times New Roman" w:hAnsi="Times New Roman" w:cs="Times New Roman"/>
                <w:b/>
                <w:bCs/>
                <w:sz w:val="28"/>
                <w:szCs w:val="20"/>
                <w:lang w:val="es-ES"/>
              </w:rPr>
            </w:pPr>
            <w:r w:rsidRPr="0096658B">
              <w:rPr>
                <w:rFonts w:ascii="Times New Roman" w:hAnsi="Times New Roman" w:cs="Times New Roman"/>
                <w:b/>
                <w:bCs/>
                <w:sz w:val="28"/>
                <w:szCs w:val="20"/>
                <w:lang w:val="es-ES"/>
              </w:rPr>
              <w:t>Proyecto de ley</w:t>
            </w:r>
          </w:p>
        </w:tc>
        <w:tc>
          <w:tcPr>
            <w:tcW w:w="3741" w:type="dxa"/>
          </w:tcPr>
          <w:p w:rsidR="00FD3717" w:rsidRPr="0096658B" w:rsidRDefault="0096658B" w:rsidP="00C273BC">
            <w:pPr>
              <w:jc w:val="both"/>
              <w:rPr>
                <w:rFonts w:ascii="Times New Roman" w:hAnsi="Times New Roman" w:cs="Times New Roman"/>
                <w:b/>
                <w:bCs/>
                <w:sz w:val="28"/>
                <w:szCs w:val="20"/>
                <w:lang w:val="es-ES"/>
              </w:rPr>
            </w:pPr>
            <w:r w:rsidRPr="0096658B">
              <w:rPr>
                <w:rFonts w:ascii="Times New Roman" w:hAnsi="Times New Roman" w:cs="Times New Roman"/>
                <w:b/>
                <w:bCs/>
                <w:sz w:val="28"/>
                <w:szCs w:val="20"/>
                <w:lang w:val="es-ES"/>
              </w:rPr>
              <w:t>Ponencia para primer debate -</w:t>
            </w:r>
            <w:r w:rsidRPr="0096658B">
              <w:rPr>
                <w:rFonts w:ascii="Times New Roman" w:hAnsi="Times New Roman" w:cs="Times New Roman"/>
                <w:b/>
                <w:bCs/>
                <w:sz w:val="28"/>
                <w:szCs w:val="20"/>
                <w:lang w:val="es-ES"/>
              </w:rPr>
              <w:t xml:space="preserve"> Senado</w:t>
            </w:r>
          </w:p>
        </w:tc>
        <w:tc>
          <w:tcPr>
            <w:tcW w:w="3741" w:type="dxa"/>
          </w:tcPr>
          <w:p w:rsidR="00FD3717" w:rsidRPr="0096658B" w:rsidRDefault="0096658B" w:rsidP="00C273BC">
            <w:pPr>
              <w:jc w:val="both"/>
              <w:rPr>
                <w:rFonts w:ascii="Times New Roman" w:hAnsi="Times New Roman" w:cs="Times New Roman"/>
                <w:b/>
                <w:bCs/>
                <w:sz w:val="28"/>
                <w:szCs w:val="20"/>
                <w:lang w:val="es-ES"/>
              </w:rPr>
            </w:pPr>
            <w:r w:rsidRPr="0096658B">
              <w:rPr>
                <w:rFonts w:ascii="Times New Roman" w:hAnsi="Times New Roman" w:cs="Times New Roman"/>
                <w:b/>
                <w:bCs/>
                <w:sz w:val="28"/>
                <w:szCs w:val="20"/>
                <w:lang w:val="es-ES"/>
              </w:rPr>
              <w:t xml:space="preserve">Texto aprobado primer debate - </w:t>
            </w:r>
            <w:r w:rsidRPr="0096658B">
              <w:rPr>
                <w:rFonts w:ascii="Times New Roman" w:hAnsi="Times New Roman" w:cs="Times New Roman"/>
                <w:b/>
                <w:bCs/>
                <w:sz w:val="28"/>
                <w:szCs w:val="20"/>
                <w:lang w:val="es-ES"/>
              </w:rPr>
              <w:t>Senado</w:t>
            </w:r>
          </w:p>
        </w:tc>
        <w:tc>
          <w:tcPr>
            <w:tcW w:w="3741" w:type="dxa"/>
          </w:tcPr>
          <w:p w:rsidR="00FD3717" w:rsidRPr="0096658B" w:rsidRDefault="0096658B" w:rsidP="00C273BC">
            <w:pPr>
              <w:jc w:val="both"/>
              <w:rPr>
                <w:rFonts w:ascii="Times New Roman" w:hAnsi="Times New Roman" w:cs="Times New Roman"/>
                <w:b/>
                <w:bCs/>
                <w:sz w:val="28"/>
                <w:szCs w:val="20"/>
                <w:lang w:val="es-ES"/>
              </w:rPr>
            </w:pPr>
            <w:r w:rsidRPr="0096658B">
              <w:rPr>
                <w:rFonts w:ascii="Times New Roman" w:hAnsi="Times New Roman" w:cs="Times New Roman"/>
                <w:b/>
                <w:bCs/>
                <w:sz w:val="28"/>
                <w:szCs w:val="20"/>
                <w:lang w:val="es-ES"/>
              </w:rPr>
              <w:t xml:space="preserve">Ponencia para segundo debate - </w:t>
            </w:r>
            <w:r w:rsidRPr="0096658B">
              <w:rPr>
                <w:rFonts w:ascii="Times New Roman" w:hAnsi="Times New Roman" w:cs="Times New Roman"/>
                <w:b/>
                <w:bCs/>
                <w:sz w:val="28"/>
                <w:szCs w:val="20"/>
                <w:lang w:val="es-ES"/>
              </w:rPr>
              <w:t>Senado</w:t>
            </w:r>
          </w:p>
        </w:tc>
        <w:tc>
          <w:tcPr>
            <w:tcW w:w="3742" w:type="dxa"/>
          </w:tcPr>
          <w:p w:rsidR="00FD3717" w:rsidRPr="0096658B" w:rsidRDefault="0096658B" w:rsidP="00C273BC">
            <w:pPr>
              <w:jc w:val="both"/>
              <w:rPr>
                <w:rFonts w:ascii="Times New Roman" w:hAnsi="Times New Roman" w:cs="Times New Roman"/>
                <w:b/>
                <w:bCs/>
                <w:sz w:val="28"/>
                <w:szCs w:val="20"/>
                <w:lang w:val="es-ES"/>
              </w:rPr>
            </w:pPr>
            <w:r w:rsidRPr="0096658B">
              <w:rPr>
                <w:rFonts w:ascii="Times New Roman" w:hAnsi="Times New Roman" w:cs="Times New Roman"/>
                <w:b/>
                <w:bCs/>
                <w:sz w:val="28"/>
                <w:szCs w:val="20"/>
                <w:lang w:val="es-ES"/>
              </w:rPr>
              <w:t xml:space="preserve">Texto aprobado segundo debate - </w:t>
            </w:r>
            <w:r w:rsidRPr="0096658B">
              <w:rPr>
                <w:rFonts w:ascii="Times New Roman" w:hAnsi="Times New Roman" w:cs="Times New Roman"/>
                <w:b/>
                <w:bCs/>
                <w:sz w:val="28"/>
                <w:szCs w:val="20"/>
                <w:lang w:val="es-ES"/>
              </w:rPr>
              <w:t>Senado</w:t>
            </w:r>
          </w:p>
        </w:tc>
      </w:tr>
      <w:tr w:rsidR="00315FAB" w:rsidRPr="0096658B" w:rsidTr="00C273BC">
        <w:tc>
          <w:tcPr>
            <w:tcW w:w="3741" w:type="dxa"/>
          </w:tcPr>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 xml:space="preserve">Artículo 1°. Modifíquese el artículo 4° de la Ley 581 de 2000, el cual quedará </w:t>
            </w:r>
            <w:r w:rsidRPr="0096658B">
              <w:rPr>
                <w:rFonts w:ascii="Times New Roman" w:hAnsi="Times New Roman" w:cs="Times New Roman"/>
                <w:sz w:val="28"/>
                <w:szCs w:val="20"/>
                <w:lang w:val="es-ES"/>
              </w:rPr>
              <w:t>así:</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 xml:space="preserve">Artículo 4. Participación efectiva de las mujeres. La participación adecuada de las mujeres en los niveles del poder público definidos en los artículos 2º y 3º de la presente ley, se hará́ efectiva aplicando por parte de las autoridades nominadoras </w:t>
            </w:r>
            <w:r w:rsidRPr="0096658B">
              <w:rPr>
                <w:rFonts w:ascii="Times New Roman" w:hAnsi="Times New Roman" w:cs="Times New Roman"/>
                <w:sz w:val="28"/>
                <w:szCs w:val="20"/>
                <w:lang w:val="es-ES"/>
              </w:rPr>
              <w:t>las siguientes reglas:</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 Mínimo el cincuenta por ciento (50%) de los cargos de máximo nivel decisorio, de que trata el artículo 2º, serán desempeñados por mujeres;</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b) Mínimo el cincuenta por ciento (50%) de los cargos de otros niveles decisorios, de que</w:t>
            </w:r>
            <w:r w:rsidRPr="0096658B">
              <w:rPr>
                <w:rFonts w:ascii="Times New Roman" w:hAnsi="Times New Roman" w:cs="Times New Roman"/>
                <w:sz w:val="28"/>
                <w:szCs w:val="20"/>
                <w:lang w:val="es-ES"/>
              </w:rPr>
              <w:t xml:space="preserve"> trata el artículo 3º, serán desempeñados por mujeres.</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Parágrafo. El incumplimiento de lo ordenado en este artículo constituye causal de mala conducta, que será sancionada con suspensión hasta de treinta (30) días en el ejercicio del cargo, y con la desti</w:t>
            </w:r>
            <w:r w:rsidRPr="0096658B">
              <w:rPr>
                <w:rFonts w:ascii="Times New Roman" w:hAnsi="Times New Roman" w:cs="Times New Roman"/>
                <w:sz w:val="28"/>
                <w:szCs w:val="20"/>
                <w:lang w:val="es-ES"/>
              </w:rPr>
              <w:t>tución del mismo en caso de persistir en la conducta, de conformidad con el régimen disciplinario vigente.</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Parágrafo 2. El Gobierno Nacional en el plazo de seis meses, contados a partir de la entrada en vigencia de la presente Ley, reglamentará los cargo</w:t>
            </w:r>
            <w:r w:rsidRPr="0096658B">
              <w:rPr>
                <w:rFonts w:ascii="Times New Roman" w:hAnsi="Times New Roman" w:cs="Times New Roman"/>
                <w:sz w:val="28"/>
                <w:szCs w:val="20"/>
                <w:lang w:val="es-ES"/>
              </w:rPr>
              <w:t>s a los cuales les aplicará la presente Ley.</w:t>
            </w:r>
          </w:p>
          <w:p w:rsidR="00315FAB" w:rsidRPr="0096658B" w:rsidRDefault="0096658B" w:rsidP="00315FAB">
            <w:pPr>
              <w:jc w:val="both"/>
              <w:rPr>
                <w:rFonts w:ascii="Times New Roman" w:hAnsi="Times New Roman" w:cs="Times New Roman"/>
                <w:sz w:val="28"/>
                <w:szCs w:val="20"/>
                <w:lang w:val="es-ES"/>
              </w:rPr>
            </w:pPr>
          </w:p>
        </w:tc>
        <w:tc>
          <w:tcPr>
            <w:tcW w:w="3741" w:type="dxa"/>
          </w:tcPr>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1°. Modifíquese el artículo 4° de la Ley 581 de 2000, el cual quedará así:</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4. Participación efectiva de las mujeres. La participación adecuada de las mujeres en los niveles del poder públ</w:t>
            </w:r>
            <w:r w:rsidRPr="0096658B">
              <w:rPr>
                <w:rFonts w:ascii="Times New Roman" w:hAnsi="Times New Roman" w:cs="Times New Roman"/>
                <w:sz w:val="28"/>
                <w:szCs w:val="20"/>
                <w:lang w:val="es-ES"/>
              </w:rPr>
              <w:t>ico definidos en los artículos 2º y 3º de la presente ley, se hará́ efectiva aplicando por parte de las autoridades nominadoras las siguientes reglas:</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 Mínimo el cincuenta por ciento (50%) de los cargos de máximo nivel decisorio, de que trata el artícul</w:t>
            </w:r>
            <w:r w:rsidRPr="0096658B">
              <w:rPr>
                <w:rFonts w:ascii="Times New Roman" w:hAnsi="Times New Roman" w:cs="Times New Roman"/>
                <w:sz w:val="28"/>
                <w:szCs w:val="20"/>
                <w:lang w:val="es-ES"/>
              </w:rPr>
              <w:t>o 2º, serán desempeñados por mujeres;</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b) Mínimo el cincuenta por ciento (50%) de los cargos de otros niveles decisorios, de que trata el artículo 3º, serán desempeñados por mujeres.</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 xml:space="preserve">Parágrafo. El incumplimiento de lo ordenado en este artículo constituye </w:t>
            </w:r>
            <w:r w:rsidRPr="0096658B">
              <w:rPr>
                <w:rFonts w:ascii="Times New Roman" w:hAnsi="Times New Roman" w:cs="Times New Roman"/>
                <w:sz w:val="28"/>
                <w:szCs w:val="20"/>
                <w:lang w:val="es-ES"/>
              </w:rPr>
              <w:t>causal de mala conducta, que será sancionada con suspensión hasta de treinta (30) días en el ejercicio del cargo, y con la destitución del mismo en caso de persistir en la conducta, de conformidad con el régimen disciplinario vigente.</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Parágrafo 2. El Gobi</w:t>
            </w:r>
            <w:r w:rsidRPr="0096658B">
              <w:rPr>
                <w:rFonts w:ascii="Times New Roman" w:hAnsi="Times New Roman" w:cs="Times New Roman"/>
                <w:sz w:val="28"/>
                <w:szCs w:val="20"/>
                <w:lang w:val="es-ES"/>
              </w:rPr>
              <w:t>erno Nacional en el plazo de seis meses, contados a partir de la entrada en vigencia de la presente Ley, reglamentará los cargos a los cuales les aplicará la presente Ley.</w:t>
            </w:r>
          </w:p>
          <w:p w:rsidR="00315FAB" w:rsidRPr="0096658B" w:rsidRDefault="0096658B" w:rsidP="00315FAB">
            <w:pPr>
              <w:jc w:val="both"/>
              <w:rPr>
                <w:rFonts w:ascii="Times New Roman" w:hAnsi="Times New Roman" w:cs="Times New Roman"/>
                <w:sz w:val="28"/>
                <w:szCs w:val="20"/>
                <w:lang w:val="es-ES"/>
              </w:rPr>
            </w:pPr>
          </w:p>
        </w:tc>
        <w:tc>
          <w:tcPr>
            <w:tcW w:w="3741" w:type="dxa"/>
          </w:tcPr>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w:t>
            </w:r>
            <w:r w:rsidRPr="0096658B">
              <w:rPr>
                <w:rFonts w:ascii="Times New Roman" w:hAnsi="Times New Roman" w:cs="Times New Roman"/>
                <w:sz w:val="28"/>
                <w:szCs w:val="20"/>
                <w:lang w:val="es-ES"/>
              </w:rPr>
              <w:t>rtículo</w:t>
            </w:r>
            <w:r w:rsidRPr="0096658B">
              <w:rPr>
                <w:rFonts w:ascii="Times New Roman" w:hAnsi="Times New Roman" w:cs="Times New Roman"/>
                <w:sz w:val="28"/>
                <w:szCs w:val="20"/>
                <w:lang w:val="es-ES"/>
              </w:rPr>
              <w:t xml:space="preserve"> 1°. Modifíquese el artículo 4° de la Ley 581 de 2000, el cual quedará así:</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4º. Participación efectiva de las mujeres. La participación adecuada de las mujeres en los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niveles del poder público definidos en los artículos 2º y 3º de la presente ley</w:t>
            </w:r>
            <w:r w:rsidRPr="0096658B">
              <w:rPr>
                <w:rFonts w:ascii="Times New Roman" w:hAnsi="Times New Roman" w:cs="Times New Roman"/>
                <w:sz w:val="28"/>
                <w:szCs w:val="20"/>
                <w:lang w:val="es-ES"/>
              </w:rPr>
              <w:t>, se hará efectiva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aplicando por parte de las autoridades nominadoras las siguientes reglas:</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 Mínimo el cincuenta por ciento (50%) de los cargos de máximo nivel decisorio, de que trata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el artículo 2</w:t>
            </w:r>
            <w:r w:rsidRPr="0096658B">
              <w:rPr>
                <w:rFonts w:ascii="Times New Roman" w:hAnsi="Times New Roman" w:cs="Times New Roman"/>
                <w:sz w:val="28"/>
                <w:szCs w:val="20"/>
                <w:lang w:val="es-ES"/>
              </w:rPr>
              <w:t>º</w:t>
            </w:r>
            <w:r w:rsidRPr="0096658B">
              <w:rPr>
                <w:rFonts w:ascii="Times New Roman" w:hAnsi="Times New Roman" w:cs="Times New Roman"/>
                <w:sz w:val="28"/>
                <w:szCs w:val="20"/>
                <w:lang w:val="es-ES"/>
              </w:rPr>
              <w:t>, serán desempeñados por mujeres;</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b) Mínimo el cincue</w:t>
            </w:r>
            <w:r w:rsidRPr="0096658B">
              <w:rPr>
                <w:rFonts w:ascii="Times New Roman" w:hAnsi="Times New Roman" w:cs="Times New Roman"/>
                <w:sz w:val="28"/>
                <w:szCs w:val="20"/>
                <w:lang w:val="es-ES"/>
              </w:rPr>
              <w:t>nta por ciento (50%) de los cargos de otros niveles decisorios, de que trata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el artículo 3</w:t>
            </w:r>
            <w:r w:rsidRPr="0096658B">
              <w:rPr>
                <w:rFonts w:ascii="Times New Roman" w:hAnsi="Times New Roman" w:cs="Times New Roman"/>
                <w:sz w:val="28"/>
                <w:szCs w:val="20"/>
                <w:lang w:val="es-ES"/>
              </w:rPr>
              <w:t>º</w:t>
            </w:r>
            <w:r w:rsidRPr="0096658B">
              <w:rPr>
                <w:rFonts w:ascii="Times New Roman" w:hAnsi="Times New Roman" w:cs="Times New Roman"/>
                <w:sz w:val="28"/>
                <w:szCs w:val="20"/>
                <w:lang w:val="es-ES"/>
              </w:rPr>
              <w:t>, serán desempeñados por mujeres.</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P</w:t>
            </w:r>
            <w:r w:rsidRPr="0096658B">
              <w:rPr>
                <w:rFonts w:ascii="Times New Roman" w:hAnsi="Times New Roman" w:cs="Times New Roman"/>
                <w:sz w:val="28"/>
                <w:szCs w:val="20"/>
                <w:lang w:val="es-ES"/>
              </w:rPr>
              <w:t>arágrafo.</w:t>
            </w:r>
            <w:r w:rsidRPr="0096658B">
              <w:rPr>
                <w:rFonts w:ascii="Times New Roman" w:hAnsi="Times New Roman" w:cs="Times New Roman"/>
                <w:sz w:val="28"/>
                <w:szCs w:val="20"/>
                <w:lang w:val="es-ES"/>
              </w:rPr>
              <w:t xml:space="preserve"> El incumplimiento de lo ordenado en este artículo constituye causal de mala conducta,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 xml:space="preserve">que será sancionada con </w:t>
            </w:r>
            <w:r w:rsidRPr="0096658B">
              <w:rPr>
                <w:rFonts w:ascii="Times New Roman" w:hAnsi="Times New Roman" w:cs="Times New Roman"/>
                <w:sz w:val="28"/>
                <w:szCs w:val="20"/>
                <w:lang w:val="es-ES"/>
              </w:rPr>
              <w:t>suspensión hasta de treinta (30) días en el ejercicio del cargo, y con la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destitución del mismo en caso de persistir en la conducta, de conformidad con el régimen</w:t>
            </w: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disciplinario vigente.</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Parágrafo 2. El Gobierno Nacional en el plazo de seis meses, contados</w:t>
            </w:r>
            <w:r w:rsidRPr="0096658B">
              <w:rPr>
                <w:rFonts w:ascii="Times New Roman" w:hAnsi="Times New Roman" w:cs="Times New Roman"/>
                <w:sz w:val="28"/>
                <w:szCs w:val="20"/>
                <w:lang w:val="es-ES"/>
              </w:rPr>
              <w:t xml:space="preserve"> a partir de la entrada en vigencia de la presente Ley, reglamentará los cargos a los cuales les aplicará la presente Ley.</w:t>
            </w:r>
          </w:p>
        </w:tc>
        <w:tc>
          <w:tcPr>
            <w:tcW w:w="3741" w:type="dxa"/>
          </w:tcPr>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w:t>
            </w:r>
            <w:r w:rsidRPr="0096658B">
              <w:rPr>
                <w:rFonts w:ascii="Times New Roman" w:hAnsi="Times New Roman" w:cs="Times New Roman"/>
                <w:sz w:val="28"/>
                <w:szCs w:val="20"/>
                <w:lang w:val="es-ES"/>
              </w:rPr>
              <w:t>rtículo</w:t>
            </w:r>
            <w:r w:rsidRPr="0096658B">
              <w:rPr>
                <w:rFonts w:ascii="Times New Roman" w:hAnsi="Times New Roman" w:cs="Times New Roman"/>
                <w:sz w:val="28"/>
                <w:szCs w:val="20"/>
                <w:lang w:val="es-ES"/>
              </w:rPr>
              <w:t xml:space="preserve"> 1°. Modifíquese el artículo 4° de la Ley 581 de 2000, el cual quedará así:</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4º. Participación efectiva de las muj</w:t>
            </w:r>
            <w:r w:rsidRPr="0096658B">
              <w:rPr>
                <w:rFonts w:ascii="Times New Roman" w:hAnsi="Times New Roman" w:cs="Times New Roman"/>
                <w:sz w:val="28"/>
                <w:szCs w:val="20"/>
                <w:lang w:val="es-ES"/>
              </w:rPr>
              <w:t>eres. La participación adecuada de las mujeres en los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niveles del poder público definidos en los artículos 2º y 3º de la presente ley, se hará efectiva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aplicando por parte de las autoridades nominadoras las siguientes reglas:</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 Mínimo el cincuenta por ci</w:t>
            </w:r>
            <w:r w:rsidRPr="0096658B">
              <w:rPr>
                <w:rFonts w:ascii="Times New Roman" w:hAnsi="Times New Roman" w:cs="Times New Roman"/>
                <w:sz w:val="28"/>
                <w:szCs w:val="20"/>
                <w:lang w:val="es-ES"/>
              </w:rPr>
              <w:t>ento (50%) de los cargos de máximo nivel decisorio, de que trata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el artículo 2</w:t>
            </w:r>
            <w:r w:rsidRPr="0096658B">
              <w:rPr>
                <w:rFonts w:ascii="Times New Roman" w:hAnsi="Times New Roman" w:cs="Times New Roman"/>
                <w:sz w:val="28"/>
                <w:szCs w:val="20"/>
                <w:lang w:val="es-ES"/>
              </w:rPr>
              <w:t>º</w:t>
            </w:r>
            <w:r w:rsidRPr="0096658B">
              <w:rPr>
                <w:rFonts w:ascii="Times New Roman" w:hAnsi="Times New Roman" w:cs="Times New Roman"/>
                <w:sz w:val="28"/>
                <w:szCs w:val="20"/>
                <w:lang w:val="es-ES"/>
              </w:rPr>
              <w:t>, serán desempeñados por mujeres;</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b) Mínimo el cincuenta por ciento (50%) de los cargos de otros niveles decisorios, de que trata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el artículo 3</w:t>
            </w:r>
            <w:r w:rsidRPr="0096658B">
              <w:rPr>
                <w:rFonts w:ascii="Times New Roman" w:hAnsi="Times New Roman" w:cs="Times New Roman"/>
                <w:sz w:val="28"/>
                <w:szCs w:val="20"/>
                <w:lang w:val="es-ES"/>
              </w:rPr>
              <w:t>º</w:t>
            </w:r>
            <w:r w:rsidRPr="0096658B">
              <w:rPr>
                <w:rFonts w:ascii="Times New Roman" w:hAnsi="Times New Roman" w:cs="Times New Roman"/>
                <w:sz w:val="28"/>
                <w:szCs w:val="20"/>
                <w:lang w:val="es-ES"/>
              </w:rPr>
              <w:t>, serán desempeñados por mujeres</w:t>
            </w:r>
            <w:r w:rsidRPr="0096658B">
              <w:rPr>
                <w:rFonts w:ascii="Times New Roman" w:hAnsi="Times New Roman" w:cs="Times New Roman"/>
                <w:sz w:val="28"/>
                <w:szCs w:val="20"/>
                <w:lang w:val="es-ES"/>
              </w:rPr>
              <w:t>.</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P</w:t>
            </w:r>
            <w:r w:rsidRPr="0096658B">
              <w:rPr>
                <w:rFonts w:ascii="Times New Roman" w:hAnsi="Times New Roman" w:cs="Times New Roman"/>
                <w:sz w:val="28"/>
                <w:szCs w:val="20"/>
                <w:lang w:val="es-ES"/>
              </w:rPr>
              <w:t>arágrafo.</w:t>
            </w:r>
            <w:r w:rsidRPr="0096658B">
              <w:rPr>
                <w:rFonts w:ascii="Times New Roman" w:hAnsi="Times New Roman" w:cs="Times New Roman"/>
                <w:sz w:val="28"/>
                <w:szCs w:val="20"/>
                <w:lang w:val="es-ES"/>
              </w:rPr>
              <w:t xml:space="preserve"> El incumplimiento de lo ordenado en este artículo constituye causal de mala conducta,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que será sancionada con suspensión hasta de treinta (30) días en el ejercicio del cargo, y con la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destitución del mismo en caso de persistir en la conducta,</w:t>
            </w:r>
            <w:r w:rsidRPr="0096658B">
              <w:rPr>
                <w:rFonts w:ascii="Times New Roman" w:hAnsi="Times New Roman" w:cs="Times New Roman"/>
                <w:sz w:val="28"/>
                <w:szCs w:val="20"/>
                <w:lang w:val="es-ES"/>
              </w:rPr>
              <w:t xml:space="preserve"> de conformidad con el régimen</w:t>
            </w: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disciplinario vigente.</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Parágrafo 2. El Gobierno Nacional en el plazo de seis meses, contados a partir de la entrada en vigencia de la presente Ley, reglamentará los cargos a los cuales les aplicará la presente Ley.</w:t>
            </w:r>
          </w:p>
        </w:tc>
        <w:tc>
          <w:tcPr>
            <w:tcW w:w="3742" w:type="dxa"/>
          </w:tcPr>
          <w:p w:rsidR="006F2E55" w:rsidRPr="0096658B" w:rsidRDefault="0096658B" w:rsidP="006F2E55">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w:t>
            </w:r>
            <w:r w:rsidRPr="0096658B">
              <w:rPr>
                <w:rFonts w:ascii="Times New Roman" w:hAnsi="Times New Roman" w:cs="Times New Roman"/>
                <w:sz w:val="28"/>
                <w:szCs w:val="20"/>
                <w:lang w:val="es-ES"/>
              </w:rPr>
              <w:t>rtícul</w:t>
            </w:r>
            <w:r w:rsidRPr="0096658B">
              <w:rPr>
                <w:rFonts w:ascii="Times New Roman" w:hAnsi="Times New Roman" w:cs="Times New Roman"/>
                <w:sz w:val="28"/>
                <w:szCs w:val="20"/>
                <w:lang w:val="es-ES"/>
              </w:rPr>
              <w:t>o</w:t>
            </w:r>
            <w:r w:rsidRPr="0096658B">
              <w:rPr>
                <w:rFonts w:ascii="Times New Roman" w:hAnsi="Times New Roman" w:cs="Times New Roman"/>
                <w:sz w:val="28"/>
                <w:szCs w:val="20"/>
                <w:lang w:val="es-ES"/>
              </w:rPr>
              <w:t xml:space="preserve"> 1°. Modifíquese el artículo 4° de la Ley 581 de 2000, el cual quedará así:</w:t>
            </w:r>
          </w:p>
          <w:p w:rsidR="00315FAB" w:rsidRPr="0096658B" w:rsidRDefault="0096658B" w:rsidP="00315FAB">
            <w:pPr>
              <w:jc w:val="both"/>
              <w:rPr>
                <w:rFonts w:ascii="Times New Roman" w:hAnsi="Times New Roman" w:cs="Times New Roman"/>
                <w:sz w:val="28"/>
                <w:szCs w:val="20"/>
                <w:lang w:val="es-ES"/>
              </w:rPr>
            </w:pPr>
          </w:p>
          <w:p w:rsidR="006F2E55" w:rsidRPr="0096658B" w:rsidRDefault="0096658B" w:rsidP="006F2E55">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4º. Participación efectiva de las mujeres. La participación adecuada 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las mujeres en los niveles del poder público definidos en los artículos 2º y 3º de la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presente le</w:t>
            </w:r>
            <w:r w:rsidRPr="0096658B">
              <w:rPr>
                <w:rFonts w:ascii="Times New Roman" w:hAnsi="Times New Roman" w:cs="Times New Roman"/>
                <w:sz w:val="28"/>
                <w:szCs w:val="20"/>
                <w:lang w:val="es-ES"/>
              </w:rPr>
              <w:t>y, se hará efectiva aplicando por parte de las autoridades nominadoras las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siguientes reglas:</w:t>
            </w:r>
          </w:p>
          <w:p w:rsidR="006F2E55" w:rsidRPr="0096658B" w:rsidRDefault="0096658B" w:rsidP="006F2E55">
            <w:pPr>
              <w:jc w:val="both"/>
              <w:rPr>
                <w:rFonts w:ascii="Times New Roman" w:hAnsi="Times New Roman" w:cs="Times New Roman"/>
                <w:sz w:val="28"/>
                <w:szCs w:val="20"/>
                <w:lang w:val="es-ES"/>
              </w:rPr>
            </w:pPr>
          </w:p>
          <w:p w:rsidR="006F2E55" w:rsidRPr="0096658B" w:rsidRDefault="0096658B" w:rsidP="006F2E55">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 Mínimo el cincuenta por ciento (50%) de los cargos de máximo nivel decisorio,</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 que trata el artículo 2</w:t>
            </w:r>
            <w:r w:rsidRPr="0096658B">
              <w:rPr>
                <w:rFonts w:ascii="Times New Roman" w:hAnsi="Times New Roman" w:cs="Times New Roman"/>
                <w:sz w:val="28"/>
                <w:szCs w:val="20"/>
                <w:lang w:val="es-ES"/>
              </w:rPr>
              <w:t>º</w:t>
            </w:r>
            <w:r w:rsidRPr="0096658B">
              <w:rPr>
                <w:rFonts w:ascii="Times New Roman" w:hAnsi="Times New Roman" w:cs="Times New Roman"/>
                <w:sz w:val="28"/>
                <w:szCs w:val="20"/>
                <w:lang w:val="es-ES"/>
              </w:rPr>
              <w:t>, serán desempeñados por mujeres;</w:t>
            </w:r>
          </w:p>
          <w:p w:rsidR="00B31F17" w:rsidRPr="0096658B" w:rsidRDefault="0096658B" w:rsidP="006F2E55">
            <w:pPr>
              <w:jc w:val="both"/>
              <w:rPr>
                <w:rFonts w:ascii="Times New Roman" w:hAnsi="Times New Roman" w:cs="Times New Roman"/>
                <w:sz w:val="28"/>
                <w:szCs w:val="20"/>
                <w:lang w:val="es-ES"/>
              </w:rPr>
            </w:pPr>
          </w:p>
          <w:p w:rsidR="006F2E55" w:rsidRPr="0096658B" w:rsidRDefault="0096658B" w:rsidP="006F2E55">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 xml:space="preserve">b) Mínimo el </w:t>
            </w:r>
            <w:r w:rsidRPr="0096658B">
              <w:rPr>
                <w:rFonts w:ascii="Times New Roman" w:hAnsi="Times New Roman" w:cs="Times New Roman"/>
                <w:sz w:val="28"/>
                <w:szCs w:val="20"/>
                <w:lang w:val="es-ES"/>
              </w:rPr>
              <w:t>cincuenta por ciento (50%) de los cargos de otros niveles decisorios,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 que trata el artículo 3</w:t>
            </w:r>
            <w:r w:rsidRPr="0096658B">
              <w:rPr>
                <w:rFonts w:ascii="Times New Roman" w:hAnsi="Times New Roman" w:cs="Times New Roman"/>
                <w:sz w:val="28"/>
                <w:szCs w:val="20"/>
                <w:lang w:val="es-ES"/>
              </w:rPr>
              <w:t>º</w:t>
            </w:r>
            <w:r w:rsidRPr="0096658B">
              <w:rPr>
                <w:rFonts w:ascii="Times New Roman" w:hAnsi="Times New Roman" w:cs="Times New Roman"/>
                <w:sz w:val="28"/>
                <w:szCs w:val="20"/>
                <w:lang w:val="es-ES"/>
              </w:rPr>
              <w:t>, serán desempeñados por mujeres.</w:t>
            </w:r>
          </w:p>
          <w:p w:rsidR="00B31F17" w:rsidRPr="0096658B" w:rsidRDefault="0096658B" w:rsidP="006F2E55">
            <w:pPr>
              <w:jc w:val="both"/>
              <w:rPr>
                <w:rFonts w:ascii="Times New Roman" w:hAnsi="Times New Roman" w:cs="Times New Roman"/>
                <w:sz w:val="28"/>
                <w:szCs w:val="20"/>
                <w:lang w:val="es-ES"/>
              </w:rPr>
            </w:pPr>
          </w:p>
          <w:p w:rsidR="006F2E55" w:rsidRPr="0096658B" w:rsidRDefault="0096658B" w:rsidP="006F2E55">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 xml:space="preserve">Parágrafo. </w:t>
            </w:r>
            <w:r w:rsidRPr="0096658B">
              <w:rPr>
                <w:rFonts w:ascii="Times New Roman" w:hAnsi="Times New Roman" w:cs="Times New Roman"/>
                <w:sz w:val="28"/>
                <w:szCs w:val="20"/>
                <w:lang w:val="es-ES"/>
              </w:rPr>
              <w:t>El incumplimiento de lo ordenado en este artículo constituye causal 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 xml:space="preserve">mala conducta, que será sancionada con </w:t>
            </w:r>
            <w:r w:rsidRPr="0096658B">
              <w:rPr>
                <w:rFonts w:ascii="Times New Roman" w:hAnsi="Times New Roman" w:cs="Times New Roman"/>
                <w:sz w:val="28"/>
                <w:szCs w:val="20"/>
                <w:lang w:val="es-ES"/>
              </w:rPr>
              <w:t>suspensión hasta de treinta (30) días en el</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ejercicio del cargo, y con la destitución del mismo en caso de persistir en la conducta,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 conformidad con el régimen disciplinario vigente.</w:t>
            </w:r>
          </w:p>
          <w:p w:rsidR="00B31F17" w:rsidRPr="0096658B" w:rsidRDefault="0096658B" w:rsidP="006F2E55">
            <w:pPr>
              <w:jc w:val="both"/>
              <w:rPr>
                <w:rFonts w:ascii="Times New Roman" w:hAnsi="Times New Roman" w:cs="Times New Roman"/>
                <w:sz w:val="28"/>
                <w:szCs w:val="20"/>
                <w:lang w:val="es-ES"/>
              </w:rPr>
            </w:pPr>
          </w:p>
          <w:p w:rsidR="006F2E55" w:rsidRPr="0096658B" w:rsidRDefault="0096658B" w:rsidP="00B31F17">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 xml:space="preserve">Parágrafo </w:t>
            </w:r>
            <w:r w:rsidRPr="0096658B">
              <w:rPr>
                <w:rFonts w:ascii="Times New Roman" w:hAnsi="Times New Roman" w:cs="Times New Roman"/>
                <w:sz w:val="28"/>
                <w:szCs w:val="20"/>
                <w:lang w:val="es-ES"/>
              </w:rPr>
              <w:t>2. El Gobierno Nacional en el plazo de seis meses, contados</w:t>
            </w:r>
            <w:r w:rsidRPr="0096658B">
              <w:rPr>
                <w:rFonts w:ascii="Times New Roman" w:hAnsi="Times New Roman" w:cs="Times New Roman"/>
                <w:sz w:val="28"/>
                <w:szCs w:val="20"/>
                <w:lang w:val="es-ES"/>
              </w:rPr>
              <w:t xml:space="preserve"> a partir 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la entrada en vigencia de la presente Ley, reglamentará los cargos a los cuales les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aplicará la presente Ley.</w:t>
            </w:r>
          </w:p>
        </w:tc>
      </w:tr>
      <w:tr w:rsidR="00315FAB" w:rsidRPr="0096658B" w:rsidTr="00C273BC">
        <w:tc>
          <w:tcPr>
            <w:tcW w:w="3741" w:type="dxa"/>
          </w:tcPr>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2°. Modifíquese el artículo 13º de la Ley 581 de 2000, el cual quedará así:</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13. Representación en el exterior. El</w:t>
            </w:r>
            <w:r w:rsidRPr="0096658B">
              <w:rPr>
                <w:rFonts w:ascii="Times New Roman" w:hAnsi="Times New Roman" w:cs="Times New Roman"/>
                <w:sz w:val="28"/>
                <w:szCs w:val="20"/>
                <w:lang w:val="es-ES"/>
              </w:rPr>
              <w:t xml:space="preserve"> Gobierno y el Congreso de la República, deberán incluir mujeres de forma paritaria en las delegaciones de colombianos que en comisiones oficiales atiendan conferencias diplomáticas, reuniones, foros internacionales, comités de expertos y eventos de natura</w:t>
            </w:r>
            <w:r w:rsidRPr="0096658B">
              <w:rPr>
                <w:rFonts w:ascii="Times New Roman" w:hAnsi="Times New Roman" w:cs="Times New Roman"/>
                <w:sz w:val="28"/>
                <w:szCs w:val="20"/>
                <w:lang w:val="es-ES"/>
              </w:rPr>
              <w:t>leza similar.</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Así mismo, asegurará la participación de mujeres en los cursos y seminarios de capacitación que se ofrezcan en el exterior a los servidores públicos colombianos en las diferentes áreas.</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 xml:space="preserve">Parágrafo. El incumplimiento de esta disposición será </w:t>
            </w:r>
            <w:r w:rsidRPr="0096658B">
              <w:rPr>
                <w:rFonts w:ascii="Times New Roman" w:hAnsi="Times New Roman" w:cs="Times New Roman"/>
                <w:sz w:val="28"/>
                <w:szCs w:val="20"/>
                <w:lang w:val="es-ES"/>
              </w:rPr>
              <w:t>causal de mala conducta.</w:t>
            </w:r>
          </w:p>
          <w:p w:rsidR="00315FAB" w:rsidRPr="0096658B" w:rsidRDefault="0096658B" w:rsidP="00315FAB">
            <w:pPr>
              <w:jc w:val="both"/>
              <w:rPr>
                <w:rFonts w:ascii="Times New Roman" w:hAnsi="Times New Roman" w:cs="Times New Roman"/>
                <w:sz w:val="28"/>
                <w:szCs w:val="20"/>
                <w:lang w:val="es-ES"/>
              </w:rPr>
            </w:pPr>
          </w:p>
        </w:tc>
        <w:tc>
          <w:tcPr>
            <w:tcW w:w="3741" w:type="dxa"/>
          </w:tcPr>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2°. Modifíquese el artículo 13º de la Ley 581 de 2000, el cual quedará así:</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13. Representación en el exterior. El Gobierno y el Congreso de la República, deberán incluir mujeres de forma paritaria en las delegac</w:t>
            </w:r>
            <w:r w:rsidRPr="0096658B">
              <w:rPr>
                <w:rFonts w:ascii="Times New Roman" w:hAnsi="Times New Roman" w:cs="Times New Roman"/>
                <w:sz w:val="28"/>
                <w:szCs w:val="20"/>
                <w:lang w:val="es-ES"/>
              </w:rPr>
              <w:t>iones de colombianos que en comisiones oficiales atiendan conferencias diplomáticas, reuniones, foros internacionales, comités de expertos y eventos de naturaleza similar.</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Así mismo, asegurará la participación de mujeres en los cursos y seminarios de capa</w:t>
            </w:r>
            <w:r w:rsidRPr="0096658B">
              <w:rPr>
                <w:rFonts w:ascii="Times New Roman" w:hAnsi="Times New Roman" w:cs="Times New Roman"/>
                <w:sz w:val="28"/>
                <w:szCs w:val="20"/>
                <w:lang w:val="es-ES"/>
              </w:rPr>
              <w:t>citación que se ofrezcan en el exterior a los servidores públicos colombianos en las diferentes áreas.</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Parágrafo. El incumplimiento de esta disposición será causal de mala conducta.</w:t>
            </w:r>
          </w:p>
          <w:p w:rsidR="00315FAB" w:rsidRPr="0096658B" w:rsidRDefault="0096658B" w:rsidP="00315FAB">
            <w:pPr>
              <w:jc w:val="both"/>
              <w:rPr>
                <w:rFonts w:ascii="Times New Roman" w:hAnsi="Times New Roman" w:cs="Times New Roman"/>
                <w:sz w:val="28"/>
                <w:szCs w:val="20"/>
                <w:lang w:val="es-ES"/>
              </w:rPr>
            </w:pPr>
          </w:p>
        </w:tc>
        <w:tc>
          <w:tcPr>
            <w:tcW w:w="3741" w:type="dxa"/>
          </w:tcPr>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 xml:space="preserve">Artículo 2°. Modifíquese el artículo 13º de la Ley 581 de 2000, el cual </w:t>
            </w:r>
            <w:r w:rsidRPr="0096658B">
              <w:rPr>
                <w:rFonts w:ascii="Times New Roman" w:hAnsi="Times New Roman" w:cs="Times New Roman"/>
                <w:sz w:val="28"/>
                <w:szCs w:val="20"/>
                <w:lang w:val="es-ES"/>
              </w:rPr>
              <w:t>quedará así:</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13. Representación en el exterior. El Gobierno y el Congreso de la República, deberán incluir mujeres de forma paritaria en las delegaciones de colombianos que en comisiones oficiales atiendan conferencias diplomáticas, reuniones, fo</w:t>
            </w:r>
            <w:r w:rsidRPr="0096658B">
              <w:rPr>
                <w:rFonts w:ascii="Times New Roman" w:hAnsi="Times New Roman" w:cs="Times New Roman"/>
                <w:sz w:val="28"/>
                <w:szCs w:val="20"/>
                <w:lang w:val="es-ES"/>
              </w:rPr>
              <w:t>ros internacionales, comités de expertos y eventos de naturaleza similar.</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Así mismo, asegurará la participación de mujeres en los cursos y seminarios de capacitación que se ofrezcan en el exterior a los servidores públicos colombianos en las diferentes ár</w:t>
            </w:r>
            <w:r w:rsidRPr="0096658B">
              <w:rPr>
                <w:rFonts w:ascii="Times New Roman" w:hAnsi="Times New Roman" w:cs="Times New Roman"/>
                <w:sz w:val="28"/>
                <w:szCs w:val="20"/>
                <w:lang w:val="es-ES"/>
              </w:rPr>
              <w:t>eas.</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Parágrafo. El incumplimiento de esta disposición será causal de mala conducta.</w:t>
            </w:r>
          </w:p>
          <w:p w:rsidR="00315FAB" w:rsidRPr="0096658B" w:rsidRDefault="0096658B" w:rsidP="00315FAB">
            <w:pPr>
              <w:jc w:val="both"/>
              <w:rPr>
                <w:rFonts w:ascii="Times New Roman" w:hAnsi="Times New Roman" w:cs="Times New Roman"/>
                <w:sz w:val="28"/>
                <w:szCs w:val="20"/>
                <w:lang w:val="es-ES"/>
              </w:rPr>
            </w:pPr>
          </w:p>
        </w:tc>
        <w:tc>
          <w:tcPr>
            <w:tcW w:w="3741" w:type="dxa"/>
          </w:tcPr>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2°. Modifíquese el artículo 13º de la Ley 581 de 2000, el cual quedará así:</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13. Representación en el exterior. El Gobierno y el Congreso de la Repúblic</w:t>
            </w:r>
            <w:r w:rsidRPr="0096658B">
              <w:rPr>
                <w:rFonts w:ascii="Times New Roman" w:hAnsi="Times New Roman" w:cs="Times New Roman"/>
                <w:sz w:val="28"/>
                <w:szCs w:val="20"/>
                <w:lang w:val="es-ES"/>
              </w:rPr>
              <w:t>a, deberán incluir mujeres de forma paritaria en las delegaciones de colombianos que en comisiones oficiales atiendan conferencias diplomáticas, reuniones, foros internacionales, comités de expertos y eventos de naturaleza similar.</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Así mismo, asegurará la</w:t>
            </w:r>
            <w:r w:rsidRPr="0096658B">
              <w:rPr>
                <w:rFonts w:ascii="Times New Roman" w:hAnsi="Times New Roman" w:cs="Times New Roman"/>
                <w:sz w:val="28"/>
                <w:szCs w:val="20"/>
                <w:lang w:val="es-ES"/>
              </w:rPr>
              <w:t xml:space="preserve"> participación de mujeres en los cursos y seminarios de capacitación que se ofrezcan en el exterior a los servidores públicos colombianos en las diferentes áreas.</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Parágrafo. El incumplimiento de esta disposición será causal de mala conducta.</w:t>
            </w:r>
          </w:p>
          <w:p w:rsidR="00315FAB" w:rsidRPr="0096658B" w:rsidRDefault="0096658B" w:rsidP="00315FAB">
            <w:pPr>
              <w:jc w:val="both"/>
              <w:rPr>
                <w:rFonts w:ascii="Times New Roman" w:hAnsi="Times New Roman" w:cs="Times New Roman"/>
                <w:sz w:val="28"/>
                <w:szCs w:val="20"/>
                <w:lang w:val="es-ES"/>
              </w:rPr>
            </w:pPr>
          </w:p>
        </w:tc>
        <w:tc>
          <w:tcPr>
            <w:tcW w:w="3742" w:type="dxa"/>
          </w:tcPr>
          <w:p w:rsidR="00DB5583" w:rsidRPr="0096658B" w:rsidRDefault="0096658B" w:rsidP="00DB5583">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2°.</w:t>
            </w:r>
            <w:r w:rsidRPr="0096658B">
              <w:rPr>
                <w:rFonts w:ascii="Times New Roman" w:hAnsi="Times New Roman" w:cs="Times New Roman"/>
                <w:sz w:val="28"/>
                <w:szCs w:val="20"/>
                <w:lang w:val="es-ES"/>
              </w:rPr>
              <w:t xml:space="preserve"> Modifíquese el artículo 13º de la Ley 581 de 2000, el cual quedará así:</w:t>
            </w:r>
          </w:p>
          <w:p w:rsidR="00315FAB" w:rsidRPr="0096658B" w:rsidRDefault="0096658B" w:rsidP="00315FAB">
            <w:pPr>
              <w:jc w:val="both"/>
              <w:rPr>
                <w:rFonts w:ascii="Times New Roman" w:hAnsi="Times New Roman" w:cs="Times New Roman"/>
                <w:sz w:val="28"/>
                <w:szCs w:val="20"/>
                <w:lang w:val="es-ES"/>
              </w:rPr>
            </w:pPr>
          </w:p>
          <w:p w:rsidR="00DB5583" w:rsidRPr="0096658B" w:rsidRDefault="0096658B" w:rsidP="00DB5583">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13. Representación en el exterior. El Gobierno y el Congreso de la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República, deberán incluir mujeres de forma paritaria en las delegaciones 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colombianos que en comisiones</w:t>
            </w:r>
            <w:r w:rsidRPr="0096658B">
              <w:rPr>
                <w:rFonts w:ascii="Times New Roman" w:hAnsi="Times New Roman" w:cs="Times New Roman"/>
                <w:sz w:val="28"/>
                <w:szCs w:val="20"/>
                <w:lang w:val="es-ES"/>
              </w:rPr>
              <w:t xml:space="preserve"> oficiales atiendan conferencias diplomáticas, reuniones,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foros internacionales, comités de expertos y eventos de naturaleza similar.</w:t>
            </w:r>
          </w:p>
          <w:p w:rsidR="00DB5583" w:rsidRPr="0096658B" w:rsidRDefault="0096658B" w:rsidP="00DB5583">
            <w:pPr>
              <w:jc w:val="both"/>
              <w:rPr>
                <w:rFonts w:ascii="Times New Roman" w:hAnsi="Times New Roman" w:cs="Times New Roman"/>
                <w:sz w:val="28"/>
                <w:szCs w:val="20"/>
                <w:lang w:val="es-ES"/>
              </w:rPr>
            </w:pPr>
          </w:p>
          <w:p w:rsidR="00DB5583" w:rsidRPr="0096658B" w:rsidRDefault="0096658B" w:rsidP="00DB5583">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Así mismo, asegurará la participación de mujeres en los cursos y seminarios 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capacitación que se ofrezcan en el exterio</w:t>
            </w:r>
            <w:r w:rsidRPr="0096658B">
              <w:rPr>
                <w:rFonts w:ascii="Times New Roman" w:hAnsi="Times New Roman" w:cs="Times New Roman"/>
                <w:sz w:val="28"/>
                <w:szCs w:val="20"/>
                <w:lang w:val="es-ES"/>
              </w:rPr>
              <w:t>r a los servidores públicos colombianos en las</w:t>
            </w:r>
          </w:p>
          <w:p w:rsidR="00DB5583" w:rsidRPr="0096658B" w:rsidRDefault="0096658B" w:rsidP="00DB5583">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diferentes áreas.</w:t>
            </w:r>
          </w:p>
          <w:p w:rsidR="00DB5583" w:rsidRPr="0096658B" w:rsidRDefault="0096658B" w:rsidP="00DB5583">
            <w:pPr>
              <w:jc w:val="both"/>
              <w:rPr>
                <w:rFonts w:ascii="Times New Roman" w:hAnsi="Times New Roman" w:cs="Times New Roman"/>
                <w:sz w:val="28"/>
                <w:szCs w:val="20"/>
                <w:lang w:val="es-ES"/>
              </w:rPr>
            </w:pPr>
          </w:p>
          <w:p w:rsidR="00DB5583" w:rsidRPr="0096658B" w:rsidRDefault="0096658B" w:rsidP="00DB5583">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Parágrafo. El incumplimiento de esta disposición será causal de mala conducta.</w:t>
            </w:r>
          </w:p>
        </w:tc>
      </w:tr>
      <w:tr w:rsidR="00315FAB" w:rsidRPr="0096658B" w:rsidTr="00C273BC">
        <w:tc>
          <w:tcPr>
            <w:tcW w:w="3741" w:type="dxa"/>
          </w:tcPr>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3º. Modifíquese el artículo 28º de la Ley 1475 de 2011, el cual quedará así:</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28. Inscripción de candidatos. Los partidos y movimientos políticos con personería jurídica podrán inscribir candidatos a cargos y corporaciones de elección popular previa verificación del cumplimiento de las calidades y requisitos de sus candidat</w:t>
            </w:r>
            <w:r w:rsidRPr="0096658B">
              <w:rPr>
                <w:rFonts w:ascii="Times New Roman" w:hAnsi="Times New Roman" w:cs="Times New Roman"/>
                <w:sz w:val="28"/>
                <w:szCs w:val="20"/>
                <w:lang w:val="es-ES"/>
              </w:rPr>
              <w:t>os, así como de que no se encuentran incursos en causales de inhabilidad o incompatibilidad. Dichos candidatos deberán ser escogidos mediante procedimientos democráticos, de conformidad con sus estatutos. Las listas donde se elijan 5 o más curules para cor</w:t>
            </w:r>
            <w:r w:rsidRPr="0096658B">
              <w:rPr>
                <w:rFonts w:ascii="Times New Roman" w:hAnsi="Times New Roman" w:cs="Times New Roman"/>
                <w:sz w:val="28"/>
                <w:szCs w:val="20"/>
                <w:lang w:val="es-ES"/>
              </w:rPr>
              <w:t xml:space="preserve">poraciones de elección popular o las que se sometan a consulta -exceptuando su resultado- deberán conformarse por mínimo un </w:t>
            </w:r>
            <w:r w:rsidRPr="0096658B">
              <w:rPr>
                <w:rFonts w:ascii="Times New Roman" w:hAnsi="Times New Roman" w:cs="Times New Roman"/>
                <w:sz w:val="28"/>
                <w:szCs w:val="20"/>
                <w:lang w:val="es-ES"/>
              </w:rPr>
              <w:t>5</w:t>
            </w:r>
            <w:r w:rsidRPr="0096658B">
              <w:rPr>
                <w:rFonts w:ascii="Times New Roman" w:hAnsi="Times New Roman" w:cs="Times New Roman"/>
                <w:sz w:val="28"/>
                <w:szCs w:val="20"/>
                <w:lang w:val="es-ES"/>
              </w:rPr>
              <w:t>0% de uno de los géneros.</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Los Partidos y Movimientos Políticos con Personería Jurídica podrán inscribir candidatos y listas para t</w:t>
            </w:r>
            <w:r w:rsidRPr="0096658B">
              <w:rPr>
                <w:rFonts w:ascii="Times New Roman" w:hAnsi="Times New Roman" w:cs="Times New Roman"/>
                <w:sz w:val="28"/>
                <w:szCs w:val="20"/>
                <w:lang w:val="es-ES"/>
              </w:rPr>
              <w:t>oda clase de cargos y corporaciones de elección popular, excepto para la elección de congresistas por las circunscripciones especiales de minorías étnicas.</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Los candidatos de los grupos significativos de ciudadanos serán inscritos por un comité integrado p</w:t>
            </w:r>
            <w:r w:rsidRPr="0096658B">
              <w:rPr>
                <w:rFonts w:ascii="Times New Roman" w:hAnsi="Times New Roman" w:cs="Times New Roman"/>
                <w:sz w:val="28"/>
                <w:szCs w:val="20"/>
                <w:lang w:val="es-ES"/>
              </w:rPr>
              <w:t>or tres (3) ciudadanos, el cual deberá registrarse ante la correspondiente autoridad electoral cuando menos un (1) mes antes de la fecha de cierre de la respectiva inscripción y, en todo caso, antes del inicio de la recolección de firmas de apoyo a la cand</w:t>
            </w:r>
            <w:r w:rsidRPr="0096658B">
              <w:rPr>
                <w:rFonts w:ascii="Times New Roman" w:hAnsi="Times New Roman" w:cs="Times New Roman"/>
                <w:sz w:val="28"/>
                <w:szCs w:val="20"/>
                <w:lang w:val="es-ES"/>
              </w:rPr>
              <w:t>idatura o lista. Los nombres de los integrantes del Comité, así como la de los candidatos que postulen, deberán figurar en el formulario de recolección de las firmas de apoyo.</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Los partidos y movimientos políticos con personería jurídica que decidan promov</w:t>
            </w:r>
            <w:r w:rsidRPr="0096658B">
              <w:rPr>
                <w:rFonts w:ascii="Times New Roman" w:hAnsi="Times New Roman" w:cs="Times New Roman"/>
                <w:sz w:val="28"/>
                <w:szCs w:val="20"/>
                <w:lang w:val="es-ES"/>
              </w:rPr>
              <w:t>er el voto en blanco y los comités independientes que se organicen para el efecto, deberán inscribirse ante la autoridad electoral competente para recibir la inscripción de candidatos, de listas o de la correspondiente iniciativa en los mecanismos de parti</w:t>
            </w:r>
            <w:r w:rsidRPr="0096658B">
              <w:rPr>
                <w:rFonts w:ascii="Times New Roman" w:hAnsi="Times New Roman" w:cs="Times New Roman"/>
                <w:sz w:val="28"/>
                <w:szCs w:val="20"/>
                <w:lang w:val="es-ES"/>
              </w:rPr>
              <w:t>cipación ciudadana. A dichos promotores se les reconocerán en lo que fuere pertinente, los derechos y garantías que la ley establece para las demás campañas electorales, incluida la reposición de gastos de campaña, hasta el monto que previamente haya fijad</w:t>
            </w:r>
            <w:r w:rsidRPr="0096658B">
              <w:rPr>
                <w:rFonts w:ascii="Times New Roman" w:hAnsi="Times New Roman" w:cs="Times New Roman"/>
                <w:sz w:val="28"/>
                <w:szCs w:val="20"/>
                <w:lang w:val="es-ES"/>
              </w:rPr>
              <w:t>o el Consejo Nacional Electoral.</w:t>
            </w:r>
          </w:p>
          <w:p w:rsidR="00315FAB" w:rsidRPr="0096658B" w:rsidRDefault="0096658B" w:rsidP="00315FAB">
            <w:pPr>
              <w:jc w:val="both"/>
              <w:rPr>
                <w:rFonts w:ascii="Times New Roman" w:hAnsi="Times New Roman" w:cs="Times New Roman"/>
                <w:sz w:val="28"/>
                <w:szCs w:val="20"/>
                <w:lang w:val="es-ES"/>
              </w:rPr>
            </w:pPr>
          </w:p>
        </w:tc>
        <w:tc>
          <w:tcPr>
            <w:tcW w:w="3741" w:type="dxa"/>
          </w:tcPr>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3º. Modifíquese el artículo 28º de la Ley 1475 de 2011, el cual quedará así:</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28. Inscripción de candidatos. Los partidos y movimientos políticos con personería jurídica podrán inscribir candidatos a cargos y corporaciones de elección popular previa verificación del cumplimiento de las calidades y requisitos de sus candidat</w:t>
            </w:r>
            <w:r w:rsidRPr="0096658B">
              <w:rPr>
                <w:rFonts w:ascii="Times New Roman" w:hAnsi="Times New Roman" w:cs="Times New Roman"/>
                <w:sz w:val="28"/>
                <w:szCs w:val="20"/>
                <w:lang w:val="es-ES"/>
              </w:rPr>
              <w:t>os, así como de que no se encuentran incursos en causales de inhabilidad o incompatibilidad. Dichos candidatos deberán ser escogidos mediante procedimientos democráticos, de conformidad con sus estatutos. Las listas donde se elijan 5 o más curules para cor</w:t>
            </w:r>
            <w:r w:rsidRPr="0096658B">
              <w:rPr>
                <w:rFonts w:ascii="Times New Roman" w:hAnsi="Times New Roman" w:cs="Times New Roman"/>
                <w:sz w:val="28"/>
                <w:szCs w:val="20"/>
                <w:lang w:val="es-ES"/>
              </w:rPr>
              <w:t xml:space="preserve">poraciones de elección popular o las que se sometan a consulta -exceptuando su resultado- deberán conformarse por mínimo un </w:t>
            </w:r>
            <w:r w:rsidRPr="0096658B">
              <w:rPr>
                <w:rFonts w:ascii="Times New Roman" w:hAnsi="Times New Roman" w:cs="Times New Roman"/>
                <w:sz w:val="28"/>
                <w:szCs w:val="20"/>
                <w:lang w:val="es-ES"/>
              </w:rPr>
              <w:t>5</w:t>
            </w:r>
            <w:r w:rsidRPr="0096658B">
              <w:rPr>
                <w:rFonts w:ascii="Times New Roman" w:hAnsi="Times New Roman" w:cs="Times New Roman"/>
                <w:sz w:val="28"/>
                <w:szCs w:val="20"/>
                <w:lang w:val="es-ES"/>
              </w:rPr>
              <w:t>0% de uno de los géneros.</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Los Partidos y Movimientos Políticos con Personería Jurídica podrán inscribir candidatos y listas para t</w:t>
            </w:r>
            <w:r w:rsidRPr="0096658B">
              <w:rPr>
                <w:rFonts w:ascii="Times New Roman" w:hAnsi="Times New Roman" w:cs="Times New Roman"/>
                <w:sz w:val="28"/>
                <w:szCs w:val="20"/>
                <w:lang w:val="es-ES"/>
              </w:rPr>
              <w:t>oda clase de cargos y corporaciones de elección popular, excepto para la elección de congresistas por las circunscripciones especiales de minorías étnicas.</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Los candidatos de los grupos significativos de ciudadanos serán inscritos por un comité integrado p</w:t>
            </w:r>
            <w:r w:rsidRPr="0096658B">
              <w:rPr>
                <w:rFonts w:ascii="Times New Roman" w:hAnsi="Times New Roman" w:cs="Times New Roman"/>
                <w:sz w:val="28"/>
                <w:szCs w:val="20"/>
                <w:lang w:val="es-ES"/>
              </w:rPr>
              <w:t>or tres (3) ciudadanos, el cual deberá registrarse ante la correspondiente autoridad electoral cuando menos un (1) mes antes de la fecha de cierre de la respectiva inscripción y, en todo caso, antes del inicio de la recolección de firmas de apoyo a la cand</w:t>
            </w:r>
            <w:r w:rsidRPr="0096658B">
              <w:rPr>
                <w:rFonts w:ascii="Times New Roman" w:hAnsi="Times New Roman" w:cs="Times New Roman"/>
                <w:sz w:val="28"/>
                <w:szCs w:val="20"/>
                <w:lang w:val="es-ES"/>
              </w:rPr>
              <w:t>idatura o lista. Los nombres de los integrantes del Comité, así como la de los candidatos que postulen, deberán figurar en el formulario de recolección de las firmas de apoyo.</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 xml:space="preserve">Los partidos y movimientos políticos con personería jurídica que decidan </w:t>
            </w:r>
            <w:r w:rsidRPr="0096658B">
              <w:rPr>
                <w:rFonts w:ascii="Times New Roman" w:hAnsi="Times New Roman" w:cs="Times New Roman"/>
                <w:sz w:val="28"/>
                <w:szCs w:val="20"/>
                <w:lang w:val="es-ES"/>
              </w:rPr>
              <w:t>promover el voto en blanco y los comités independientes que se organicen para el efecto, deberán inscribirse ante la autoridad electoral competente para recibir la inscripción de candidatos, de listas o de la correspondiente iniciativa en los mecanismos de</w:t>
            </w:r>
            <w:r w:rsidRPr="0096658B">
              <w:rPr>
                <w:rFonts w:ascii="Times New Roman" w:hAnsi="Times New Roman" w:cs="Times New Roman"/>
                <w:sz w:val="28"/>
                <w:szCs w:val="20"/>
                <w:lang w:val="es-ES"/>
              </w:rPr>
              <w:t xml:space="preserve"> participación ciudadana. A dichos promotores se les reconocerán en lo que fuere pertinente, los derechos y garantías que la ley establece para las demás campañas electorales, incluida la reposición de gastos de campaña, hasta el monto que previamente haya</w:t>
            </w:r>
            <w:r w:rsidRPr="0096658B">
              <w:rPr>
                <w:rFonts w:ascii="Times New Roman" w:hAnsi="Times New Roman" w:cs="Times New Roman"/>
                <w:sz w:val="28"/>
                <w:szCs w:val="20"/>
                <w:lang w:val="es-ES"/>
              </w:rPr>
              <w:t xml:space="preserve"> fijado el Consejo Nacional Electoral.</w:t>
            </w:r>
          </w:p>
          <w:p w:rsidR="00315FAB" w:rsidRPr="0096658B" w:rsidRDefault="0096658B" w:rsidP="00315FAB">
            <w:pPr>
              <w:jc w:val="both"/>
              <w:rPr>
                <w:rFonts w:ascii="Times New Roman" w:hAnsi="Times New Roman" w:cs="Times New Roman"/>
                <w:sz w:val="28"/>
                <w:szCs w:val="20"/>
                <w:lang w:val="es-ES"/>
              </w:rPr>
            </w:pPr>
          </w:p>
        </w:tc>
        <w:tc>
          <w:tcPr>
            <w:tcW w:w="3741" w:type="dxa"/>
          </w:tcPr>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3º. Modifíquese el artículo 28º de la Ley 1475 de 2011, el cual quedará así:</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28. Inscripción de candidatos. Los partidos y movimientos políticos con personería jurídica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 xml:space="preserve">podrán inscribir candidatos </w:t>
            </w:r>
            <w:r w:rsidRPr="0096658B">
              <w:rPr>
                <w:rFonts w:ascii="Times New Roman" w:hAnsi="Times New Roman" w:cs="Times New Roman"/>
                <w:sz w:val="28"/>
                <w:szCs w:val="20"/>
                <w:lang w:val="es-ES"/>
              </w:rPr>
              <w:t>a cargos y corporaciones de elección popular previa verificación del</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cumplimiento de las calidades y requisitos de sus candidatos, así como de que no se encuentran</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incursos en causales de inhabilidad o incompatibilidad. Dichos candidatos deberán ser escogi</w:t>
            </w:r>
            <w:r w:rsidRPr="0096658B">
              <w:rPr>
                <w:rFonts w:ascii="Times New Roman" w:hAnsi="Times New Roman" w:cs="Times New Roman"/>
                <w:sz w:val="28"/>
                <w:szCs w:val="20"/>
                <w:lang w:val="es-ES"/>
              </w:rPr>
              <w:t>dos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mediante procedimientos democráticos, de conformidad con sus estatutos. Las listas donde se elijan</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5 o más curules para corporaciones de elección popular o las que se sometan a consulta -exceptuando su resultado- deberán conformarse por mínimo un 50% d</w:t>
            </w:r>
            <w:r w:rsidRPr="0096658B">
              <w:rPr>
                <w:rFonts w:ascii="Times New Roman" w:hAnsi="Times New Roman" w:cs="Times New Roman"/>
                <w:sz w:val="28"/>
                <w:szCs w:val="20"/>
                <w:lang w:val="es-ES"/>
              </w:rPr>
              <w:t>e uno de los géneros.</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Los Partidos y Movimientos Políticos con Personería Jurídica podrán inscribir candidatos y listas para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toda clase de cargos y corporaciones de elección popular, excepto para la elección de congresistas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por las circunscripciones espec</w:t>
            </w:r>
            <w:r w:rsidRPr="0096658B">
              <w:rPr>
                <w:rFonts w:ascii="Times New Roman" w:hAnsi="Times New Roman" w:cs="Times New Roman"/>
                <w:sz w:val="28"/>
                <w:szCs w:val="20"/>
                <w:lang w:val="es-ES"/>
              </w:rPr>
              <w:t>iales de minorías étnicas.</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Los candidatos de los grupos significativos de ciudadanos serán inscritos por un comité integrado</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por tres (3) ciudadanos, el cual deberá registrarse ante la correspondiente autoridad electoral</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 xml:space="preserve">cuando menos un (1) mes antes de </w:t>
            </w:r>
            <w:r w:rsidRPr="0096658B">
              <w:rPr>
                <w:rFonts w:ascii="Times New Roman" w:hAnsi="Times New Roman" w:cs="Times New Roman"/>
                <w:sz w:val="28"/>
                <w:szCs w:val="20"/>
                <w:lang w:val="es-ES"/>
              </w:rPr>
              <w:t>la fecha de cierre de la respectiva inscripción y, en todo caso,</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antes del inicio de la recolección de firmas de apoyo a la candidatura o lista. Los nombres de los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integrantes del Comité, así como el de los candidatos que postulen, deberán figurar en el fo</w:t>
            </w:r>
            <w:r w:rsidRPr="0096658B">
              <w:rPr>
                <w:rFonts w:ascii="Times New Roman" w:hAnsi="Times New Roman" w:cs="Times New Roman"/>
                <w:sz w:val="28"/>
                <w:szCs w:val="20"/>
                <w:lang w:val="es-ES"/>
              </w:rPr>
              <w:t>rmulario</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 recolección de las firmas de apoyo.</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Los partidos y movimientos políticos con personería jurídica que decidan promover el voto en blanco</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y los comités independientes que se organicen para el efecto, deberán inscribirse ante la autoridad</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elector</w:t>
            </w:r>
            <w:r w:rsidRPr="0096658B">
              <w:rPr>
                <w:rFonts w:ascii="Times New Roman" w:hAnsi="Times New Roman" w:cs="Times New Roman"/>
                <w:sz w:val="28"/>
                <w:szCs w:val="20"/>
                <w:lang w:val="es-ES"/>
              </w:rPr>
              <w:t>al competente para recibir la inscripción de candidatos, de listas o de la correspondiente</w:t>
            </w: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iniciativa en los mecanismos de participación ciudadana. A dichos promotores se les reconocerán,</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en lo que fuere pertinente, los derechos y garantías que la ley esta</w:t>
            </w:r>
            <w:r w:rsidRPr="0096658B">
              <w:rPr>
                <w:rFonts w:ascii="Times New Roman" w:hAnsi="Times New Roman" w:cs="Times New Roman"/>
                <w:sz w:val="28"/>
                <w:szCs w:val="20"/>
                <w:lang w:val="es-ES"/>
              </w:rPr>
              <w:t>blece para las demás campañas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electorales, incluida la reposición de gastos de campaña, hasta el monto que previamente haya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fijado el Consejo Nacional Electoral.</w:t>
            </w:r>
          </w:p>
        </w:tc>
        <w:tc>
          <w:tcPr>
            <w:tcW w:w="3741" w:type="dxa"/>
          </w:tcPr>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3º. Modifíquese el artículo 28º de la Ley 1475 de 2011, el cual quedará así:</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w:t>
            </w:r>
            <w:r w:rsidRPr="0096658B">
              <w:rPr>
                <w:rFonts w:ascii="Times New Roman" w:hAnsi="Times New Roman" w:cs="Times New Roman"/>
                <w:sz w:val="28"/>
                <w:szCs w:val="20"/>
                <w:lang w:val="es-ES"/>
              </w:rPr>
              <w:t>o 28. Inscripción de candidatos. Los partidos y movimientos políticos con personería jurídica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podrán inscribir candidatos a cargos y corporaciones de elección popular previa verificación del</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cumplimiento de las calidades y requisitos de sus candidatos, así</w:t>
            </w:r>
            <w:r w:rsidRPr="0096658B">
              <w:rPr>
                <w:rFonts w:ascii="Times New Roman" w:hAnsi="Times New Roman" w:cs="Times New Roman"/>
                <w:sz w:val="28"/>
                <w:szCs w:val="20"/>
                <w:lang w:val="es-ES"/>
              </w:rPr>
              <w:t xml:space="preserve"> como de que no se encuentran</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incursos en causales de inhabilidad o incompatibilidad. Dichos candidatos deberán ser escogidos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mediante procedimientos democráticos, de conformidad con sus estatutos. Las listas donde se elijan</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5 o más curules para corporacio</w:t>
            </w:r>
            <w:r w:rsidRPr="0096658B">
              <w:rPr>
                <w:rFonts w:ascii="Times New Roman" w:hAnsi="Times New Roman" w:cs="Times New Roman"/>
                <w:sz w:val="28"/>
                <w:szCs w:val="20"/>
                <w:lang w:val="es-ES"/>
              </w:rPr>
              <w:t>nes de elección popular o las que se sometan a consulta -exceptuando su resultado- deberán conformarse por mínimo un 50% de uno de los géneros.</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Los Partidos y Movimientos Políticos con Personería Jurídica podrán inscribir candidatos y listas para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toda cla</w:t>
            </w:r>
            <w:r w:rsidRPr="0096658B">
              <w:rPr>
                <w:rFonts w:ascii="Times New Roman" w:hAnsi="Times New Roman" w:cs="Times New Roman"/>
                <w:sz w:val="28"/>
                <w:szCs w:val="20"/>
                <w:lang w:val="es-ES"/>
              </w:rPr>
              <w:t>se de cargos y corporaciones de elección popular, excepto para la elección de congresistas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por las circunscripciones especiales de minorías étnicas.</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Los candidatos de los grupos significativos de ciudadanos serán inscritos por un comité integrado</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por tres</w:t>
            </w:r>
            <w:r w:rsidRPr="0096658B">
              <w:rPr>
                <w:rFonts w:ascii="Times New Roman" w:hAnsi="Times New Roman" w:cs="Times New Roman"/>
                <w:sz w:val="28"/>
                <w:szCs w:val="20"/>
                <w:lang w:val="es-ES"/>
              </w:rPr>
              <w:t xml:space="preserve"> (3) ciudadanos, el cual deberá registrarse ante la correspondiente autoridad electoral</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cuando menos un (1) mes antes de la fecha de cierre de la respectiva inscripción y, en todo caso,</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antes del inicio de la recolección de firmas de apoyo a la candidatura</w:t>
            </w:r>
            <w:r w:rsidRPr="0096658B">
              <w:rPr>
                <w:rFonts w:ascii="Times New Roman" w:hAnsi="Times New Roman" w:cs="Times New Roman"/>
                <w:sz w:val="28"/>
                <w:szCs w:val="20"/>
                <w:lang w:val="es-ES"/>
              </w:rPr>
              <w:t xml:space="preserve"> o lista. Los nombres de los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integrantes del Comité, así como el de los candidatos que postulen, deberán figurar en el formulario</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 recolección de las firmas de apoyo.</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Los partidos y movimientos políticos con personería jurídica que decidan promover el v</w:t>
            </w:r>
            <w:r w:rsidRPr="0096658B">
              <w:rPr>
                <w:rFonts w:ascii="Times New Roman" w:hAnsi="Times New Roman" w:cs="Times New Roman"/>
                <w:sz w:val="28"/>
                <w:szCs w:val="20"/>
                <w:lang w:val="es-ES"/>
              </w:rPr>
              <w:t>oto en blanco</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y los comités independientes que se organicen para el efecto, deberán inscribirse ante la autoridad</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electoral competente para recibir la inscripción de candidatos, de listas o de la correspondiente</w:t>
            </w: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iniciativa en los mecanismos de participació</w:t>
            </w:r>
            <w:r w:rsidRPr="0096658B">
              <w:rPr>
                <w:rFonts w:ascii="Times New Roman" w:hAnsi="Times New Roman" w:cs="Times New Roman"/>
                <w:sz w:val="28"/>
                <w:szCs w:val="20"/>
                <w:lang w:val="es-ES"/>
              </w:rPr>
              <w:t>n ciudadana. A dichos promotores se les reconocerán,</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en lo que fuere pertinente, los derechos y garantías que la ley establece para las demás campañas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electorales, incluida la reposición de gastos de campaña, hasta el monto que previamente haya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fijado el C</w:t>
            </w:r>
            <w:r w:rsidRPr="0096658B">
              <w:rPr>
                <w:rFonts w:ascii="Times New Roman" w:hAnsi="Times New Roman" w:cs="Times New Roman"/>
                <w:sz w:val="28"/>
                <w:szCs w:val="20"/>
                <w:lang w:val="es-ES"/>
              </w:rPr>
              <w:t>onsejo Nacional Electoral.</w:t>
            </w:r>
          </w:p>
        </w:tc>
        <w:tc>
          <w:tcPr>
            <w:tcW w:w="3742" w:type="dxa"/>
          </w:tcPr>
          <w:p w:rsidR="009546D5" w:rsidRPr="0096658B" w:rsidRDefault="0096658B" w:rsidP="009546D5">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3º. Modifíquese el artículo 28º de la Ley 1475 de 2011, el cual quedará así:</w:t>
            </w:r>
          </w:p>
          <w:p w:rsidR="00315FAB" w:rsidRPr="0096658B" w:rsidRDefault="0096658B" w:rsidP="00315FAB">
            <w:pPr>
              <w:jc w:val="both"/>
              <w:rPr>
                <w:rFonts w:ascii="Times New Roman" w:hAnsi="Times New Roman" w:cs="Times New Roman"/>
                <w:sz w:val="28"/>
                <w:szCs w:val="20"/>
                <w:lang w:val="es-ES"/>
              </w:rPr>
            </w:pPr>
          </w:p>
          <w:p w:rsidR="009546D5" w:rsidRPr="0096658B" w:rsidRDefault="0096658B" w:rsidP="009546D5">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28. Inscripción de candidatos. Los partidos y movimientos políticos con</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 xml:space="preserve">personería jurídica podrán inscribir candidatos a cargos y </w:t>
            </w:r>
            <w:r w:rsidRPr="0096658B">
              <w:rPr>
                <w:rFonts w:ascii="Times New Roman" w:hAnsi="Times New Roman" w:cs="Times New Roman"/>
                <w:sz w:val="28"/>
                <w:szCs w:val="20"/>
                <w:lang w:val="es-ES"/>
              </w:rPr>
              <w:t>corporaciones de elección</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popular previa verificación del cumplimiento de las calidades y requisitos de sus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candidatos, así como de que no se encuentran incursos en causales de inhabilidad o</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incompatibilidad. Dichos candidatos deberán ser escogidos mediant</w:t>
            </w:r>
            <w:r w:rsidRPr="0096658B">
              <w:rPr>
                <w:rFonts w:ascii="Times New Roman" w:hAnsi="Times New Roman" w:cs="Times New Roman"/>
                <w:sz w:val="28"/>
                <w:szCs w:val="20"/>
                <w:lang w:val="es-ES"/>
              </w:rPr>
              <w:t>e procedimientos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democráticos, de conformidad con sus estatutos. Las listas donde se elijan 5 o más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curules para corporaciones de elección popular o las que se sometan a consulta -exceptuando su resultado- deberán conformarse por mínimo un 50% de uno de lo</w:t>
            </w:r>
            <w:r w:rsidRPr="0096658B">
              <w:rPr>
                <w:rFonts w:ascii="Times New Roman" w:hAnsi="Times New Roman" w:cs="Times New Roman"/>
                <w:sz w:val="28"/>
                <w:szCs w:val="20"/>
                <w:lang w:val="es-ES"/>
              </w:rPr>
              <w:t>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géneros.</w:t>
            </w:r>
          </w:p>
          <w:p w:rsidR="009546D5" w:rsidRPr="0096658B" w:rsidRDefault="0096658B" w:rsidP="009546D5">
            <w:pPr>
              <w:jc w:val="both"/>
              <w:rPr>
                <w:rFonts w:ascii="Times New Roman" w:hAnsi="Times New Roman" w:cs="Times New Roman"/>
                <w:sz w:val="28"/>
                <w:szCs w:val="20"/>
                <w:lang w:val="es-ES"/>
              </w:rPr>
            </w:pPr>
          </w:p>
          <w:p w:rsidR="009546D5" w:rsidRPr="0096658B" w:rsidRDefault="0096658B" w:rsidP="009546D5">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Los Partidos y Movimientos Políticos con Personería Jurídica podrán inscribir candidatos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y listas para toda clase de cargos y corporaciones de elección popular, excepto para la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 xml:space="preserve">elección de congresistas por las circunscripciones especiales de </w:t>
            </w:r>
            <w:r w:rsidRPr="0096658B">
              <w:rPr>
                <w:rFonts w:ascii="Times New Roman" w:hAnsi="Times New Roman" w:cs="Times New Roman"/>
                <w:sz w:val="28"/>
                <w:szCs w:val="20"/>
                <w:lang w:val="es-ES"/>
              </w:rPr>
              <w:t>minorías étnicas.</w:t>
            </w:r>
          </w:p>
          <w:p w:rsidR="009546D5" w:rsidRPr="0096658B" w:rsidRDefault="0096658B" w:rsidP="009546D5">
            <w:pPr>
              <w:jc w:val="both"/>
              <w:rPr>
                <w:rFonts w:ascii="Times New Roman" w:hAnsi="Times New Roman" w:cs="Times New Roman"/>
                <w:sz w:val="28"/>
                <w:szCs w:val="20"/>
                <w:lang w:val="es-ES"/>
              </w:rPr>
            </w:pPr>
          </w:p>
          <w:p w:rsidR="009546D5" w:rsidRPr="0096658B" w:rsidRDefault="0096658B" w:rsidP="009546D5">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Los candidatos de los grupos significativos de ciudadanos serán inscritos por un comité</w:t>
            </w:r>
          </w:p>
          <w:p w:rsidR="00B46B31" w:rsidRPr="0096658B" w:rsidRDefault="0096658B" w:rsidP="00B46B31">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integrado por tres (3) ciudadanos, el cual deberá registrarse ante la correspondiente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autoridad electoral cuando menos un (1) mes antes de la fecha d</w:t>
            </w:r>
            <w:r w:rsidRPr="0096658B">
              <w:rPr>
                <w:rFonts w:ascii="Times New Roman" w:hAnsi="Times New Roman" w:cs="Times New Roman"/>
                <w:sz w:val="28"/>
                <w:szCs w:val="20"/>
                <w:lang w:val="es-ES"/>
              </w:rPr>
              <w:t>e cierre de la respectiva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inscripción y, en todo caso, antes del inicio de la recolección de firmas de apoyo a la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candidatura o lista. Los nombres de los integrantes del Comité, así como el de los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candidatos que postulen, deberán figurar en el formulario d</w:t>
            </w:r>
            <w:r w:rsidRPr="0096658B">
              <w:rPr>
                <w:rFonts w:ascii="Times New Roman" w:hAnsi="Times New Roman" w:cs="Times New Roman"/>
                <w:sz w:val="28"/>
                <w:szCs w:val="20"/>
                <w:lang w:val="es-ES"/>
              </w:rPr>
              <w:t>e recolección de las firmas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 apoyo.</w:t>
            </w:r>
          </w:p>
          <w:p w:rsidR="00B46B31" w:rsidRPr="0096658B" w:rsidRDefault="0096658B" w:rsidP="00B46B31">
            <w:pPr>
              <w:jc w:val="both"/>
              <w:rPr>
                <w:rFonts w:ascii="Times New Roman" w:hAnsi="Times New Roman" w:cs="Times New Roman"/>
                <w:sz w:val="28"/>
                <w:szCs w:val="20"/>
                <w:lang w:val="es-ES"/>
              </w:rPr>
            </w:pPr>
          </w:p>
          <w:p w:rsidR="00B46B31" w:rsidRPr="0096658B" w:rsidRDefault="0096658B" w:rsidP="00B46B31">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Los partidos y movimientos políticos con personería jurídica que decidan promover el</w:t>
            </w:r>
          </w:p>
          <w:p w:rsidR="009546D5" w:rsidRPr="0096658B" w:rsidRDefault="0096658B" w:rsidP="00B46B31">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voto en blanco y los comités independientes que se organicen para el efecto, deberán</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 xml:space="preserve">inscribirse ante la autoridad electoral </w:t>
            </w:r>
            <w:r w:rsidRPr="0096658B">
              <w:rPr>
                <w:rFonts w:ascii="Times New Roman" w:hAnsi="Times New Roman" w:cs="Times New Roman"/>
                <w:sz w:val="28"/>
                <w:szCs w:val="20"/>
                <w:lang w:val="es-ES"/>
              </w:rPr>
              <w:t>competente para recibir la inscripción 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candidatos, de listas o de la correspondiente iniciativa en los mecanismos 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participación ciudadana. A dichos promotores se les reconocerán, en lo que fuere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pertinente, los derechos y garantías que la ley estable</w:t>
            </w:r>
            <w:r w:rsidRPr="0096658B">
              <w:rPr>
                <w:rFonts w:ascii="Times New Roman" w:hAnsi="Times New Roman" w:cs="Times New Roman"/>
                <w:sz w:val="28"/>
                <w:szCs w:val="20"/>
                <w:lang w:val="es-ES"/>
              </w:rPr>
              <w:t>ce para las demás campañas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electorales, incluida la reposición de gastos de campaña, hasta el monto que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previamente haya fijado el Consejo Nacional Electoral.</w:t>
            </w:r>
          </w:p>
        </w:tc>
      </w:tr>
      <w:tr w:rsidR="00315FAB" w:rsidRPr="0096658B" w:rsidTr="00C273BC">
        <w:tc>
          <w:tcPr>
            <w:tcW w:w="3741" w:type="dxa"/>
          </w:tcPr>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4º. Adiciónese el artículo 80A al Decreto-Ley 2241 de 1986, el cual quedará así:</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w:t>
            </w:r>
            <w:r w:rsidRPr="0096658B">
              <w:rPr>
                <w:rFonts w:ascii="Times New Roman" w:hAnsi="Times New Roman" w:cs="Times New Roman"/>
                <w:sz w:val="28"/>
                <w:szCs w:val="20"/>
                <w:lang w:val="es-ES"/>
              </w:rPr>
              <w:t>ulo 80 A. Cuota de género. En atención a la aplicación progresiva de los principios de equidad de género, paridad, alternancia y universalidad consagrados en los artículos 40, 107 y 262 de la Constitución Política; en las listas donde se elijan cinco o más</w:t>
            </w:r>
            <w:r w:rsidRPr="0096658B">
              <w:rPr>
                <w:rFonts w:ascii="Times New Roman" w:hAnsi="Times New Roman" w:cs="Times New Roman"/>
                <w:sz w:val="28"/>
                <w:szCs w:val="20"/>
                <w:lang w:val="es-ES"/>
              </w:rPr>
              <w:t xml:space="preserve"> curules para corporaciones de elección popular o las que se sometan a consulta, a excepción de su resultado, incluyendo aquellas relativas a la elección de directivos, cuando las agrupaciones políticas opten por este mecanismo para elección, deberán confo</w:t>
            </w:r>
            <w:r w:rsidRPr="0096658B">
              <w:rPr>
                <w:rFonts w:ascii="Times New Roman" w:hAnsi="Times New Roman" w:cs="Times New Roman"/>
                <w:sz w:val="28"/>
                <w:szCs w:val="20"/>
                <w:lang w:val="es-ES"/>
              </w:rPr>
              <w:t>rmarse por un mínimo de cincuenta (50%) de mujeres, sobre el número de candidatos inscritos a la corporación que se pretenda postular. Para las listas de menos de cinco (5) curules, se les aplicará el treinta por ciento (30%) para la conformación de la cuo</w:t>
            </w:r>
            <w:r w:rsidRPr="0096658B">
              <w:rPr>
                <w:rFonts w:ascii="Times New Roman" w:hAnsi="Times New Roman" w:cs="Times New Roman"/>
                <w:sz w:val="28"/>
                <w:szCs w:val="20"/>
                <w:lang w:val="es-ES"/>
              </w:rPr>
              <w:t>ta de género.</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Parágrafo: Constituirá como causal de revocatoria de inscripción las listas que no cumplan con la cuota de género estipulada en el presente artículo. Lo anterior, sin perjuicio de las sanciones disciplinarias o multas que se puedan interpone</w:t>
            </w:r>
            <w:r w:rsidRPr="0096658B">
              <w:rPr>
                <w:rFonts w:ascii="Times New Roman" w:hAnsi="Times New Roman" w:cs="Times New Roman"/>
                <w:sz w:val="28"/>
                <w:szCs w:val="20"/>
                <w:lang w:val="es-ES"/>
              </w:rPr>
              <w:t xml:space="preserve">r a las agrupaciones políticas ante este incumplimiento. </w:t>
            </w: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 xml:space="preserve"> </w:t>
            </w:r>
          </w:p>
        </w:tc>
        <w:tc>
          <w:tcPr>
            <w:tcW w:w="3741" w:type="dxa"/>
          </w:tcPr>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4º. Adiciónese el artículo 80A al Decreto-Ley 2241 de 1986, el cual quedará así:</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80 A. Cuota de género. En atención a la aplicación progresiva de los principios de equidad de gé</w:t>
            </w:r>
            <w:r w:rsidRPr="0096658B">
              <w:rPr>
                <w:rFonts w:ascii="Times New Roman" w:hAnsi="Times New Roman" w:cs="Times New Roman"/>
                <w:sz w:val="28"/>
                <w:szCs w:val="20"/>
                <w:lang w:val="es-ES"/>
              </w:rPr>
              <w:t>nero, paridad, alternancia y universalidad consagrados en los artículos 40, 107 y 262 de la Constitución Política; en las listas donde se elijan cinco o más curules para corporaciones de elección popular o las que se sometan a consulta, a excepción de su r</w:t>
            </w:r>
            <w:r w:rsidRPr="0096658B">
              <w:rPr>
                <w:rFonts w:ascii="Times New Roman" w:hAnsi="Times New Roman" w:cs="Times New Roman"/>
                <w:sz w:val="28"/>
                <w:szCs w:val="20"/>
                <w:lang w:val="es-ES"/>
              </w:rPr>
              <w:t>esultado, incluyendo aquellas relativas a la elección de directivos, cuando las agrupaciones políticas opten por este mecanismo para elección, deberán conformarse por un mínimo de cincuenta (50%) de mujeres, sobre el número de candidatos inscritos a la cor</w:t>
            </w:r>
            <w:r w:rsidRPr="0096658B">
              <w:rPr>
                <w:rFonts w:ascii="Times New Roman" w:hAnsi="Times New Roman" w:cs="Times New Roman"/>
                <w:sz w:val="28"/>
                <w:szCs w:val="20"/>
                <w:lang w:val="es-ES"/>
              </w:rPr>
              <w:t>poración que se pretenda postular. Para las listas de menos de cinco (5) curules, se les aplicará el treinta por ciento (30%) para la conformación de la cuota de género.</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Parágrafo: Constituirá como causal de revocatoria de inscripción las listas que no cumplan con la cuota de género estipulada en el presente artículo. Lo anterior, sin perjuicio de las sanciones disciplinarias o multas que se puedan interponer a las agrupac</w:t>
            </w:r>
            <w:r w:rsidRPr="0096658B">
              <w:rPr>
                <w:rFonts w:ascii="Times New Roman" w:hAnsi="Times New Roman" w:cs="Times New Roman"/>
                <w:sz w:val="28"/>
                <w:szCs w:val="20"/>
                <w:lang w:val="es-ES"/>
              </w:rPr>
              <w:t xml:space="preserve">iones políticas ante este incumplimiento. </w:t>
            </w: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 xml:space="preserve"> </w:t>
            </w:r>
          </w:p>
        </w:tc>
        <w:tc>
          <w:tcPr>
            <w:tcW w:w="3741" w:type="dxa"/>
          </w:tcPr>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4º. Adiciónese el artículo 80A al Decreto-Ley 2241 de 1986, el cual quedará así:</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80 A. Cuota de género. En atención a la aplicación progresiva de los principios de equidad</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 xml:space="preserve">de género, paridad, </w:t>
            </w:r>
            <w:r w:rsidRPr="0096658B">
              <w:rPr>
                <w:rFonts w:ascii="Times New Roman" w:hAnsi="Times New Roman" w:cs="Times New Roman"/>
                <w:sz w:val="28"/>
                <w:szCs w:val="20"/>
                <w:lang w:val="es-ES"/>
              </w:rPr>
              <w:t>alternancia y universalidad consagrados en los artículos 40, 107 y 262 de la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Constitución Política; en las listas donde se elijan cinco (5) o más curules para corporaciones 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 xml:space="preserve">elección popular o las que se sometan a consulta, a excepción de su resultado, </w:t>
            </w:r>
            <w:r w:rsidRPr="0096658B">
              <w:rPr>
                <w:rFonts w:ascii="Times New Roman" w:hAnsi="Times New Roman" w:cs="Times New Roman"/>
                <w:sz w:val="28"/>
                <w:szCs w:val="20"/>
                <w:lang w:val="es-ES"/>
              </w:rPr>
              <w:t>incluyendo aquellas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relativas a la elección de directivos, cuando las agrupaciones políticas opten por este mecanismo</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para elección, deberán conformarse por un mínimo de cincuenta por ciento (50%) de mujeres, sobre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el número de candidatos inscritos a la co</w:t>
            </w:r>
            <w:r w:rsidRPr="0096658B">
              <w:rPr>
                <w:rFonts w:ascii="Times New Roman" w:hAnsi="Times New Roman" w:cs="Times New Roman"/>
                <w:sz w:val="28"/>
                <w:szCs w:val="20"/>
                <w:lang w:val="es-ES"/>
              </w:rPr>
              <w:t>rporación que se pretenda postular. Para las listas de menos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 cinco (5) curules, se les aplicará el treinta por ciento (30%) para la conformación de la cuota 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género.</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Parágrafo. Constituirá como causal de revocatoria de inscripción las listas que no c</w:t>
            </w:r>
            <w:r w:rsidRPr="0096658B">
              <w:rPr>
                <w:rFonts w:ascii="Times New Roman" w:hAnsi="Times New Roman" w:cs="Times New Roman"/>
                <w:sz w:val="28"/>
                <w:szCs w:val="20"/>
                <w:lang w:val="es-ES"/>
              </w:rPr>
              <w:t>umplan con la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cuota de género estipulada en el presente artículo. Lo anterior, sin perjuicio de las sanciones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disciplinarias o multas que se puedan interponer a las agrupaciones políticas ante este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incumplimiento.</w:t>
            </w:r>
          </w:p>
        </w:tc>
        <w:tc>
          <w:tcPr>
            <w:tcW w:w="3741" w:type="dxa"/>
          </w:tcPr>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4º. Adiciónese el artículo 80A al</w:t>
            </w:r>
            <w:r w:rsidRPr="0096658B">
              <w:rPr>
                <w:rFonts w:ascii="Times New Roman" w:hAnsi="Times New Roman" w:cs="Times New Roman"/>
                <w:sz w:val="28"/>
                <w:szCs w:val="20"/>
                <w:lang w:val="es-ES"/>
              </w:rPr>
              <w:t xml:space="preserve"> Decreto-Ley 2241 de 1986, el cual quedará así:</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80 A. Cuota de género. En atención a la aplicación progresiva de los principios de equidad</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 género, paridad, alternancia y universalidad consagrados en los artículos 40, 107 y 262 de la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Constituci</w:t>
            </w:r>
            <w:r w:rsidRPr="0096658B">
              <w:rPr>
                <w:rFonts w:ascii="Times New Roman" w:hAnsi="Times New Roman" w:cs="Times New Roman"/>
                <w:sz w:val="28"/>
                <w:szCs w:val="20"/>
                <w:lang w:val="es-ES"/>
              </w:rPr>
              <w:t>ón Política; en las listas donde se elijan cinco (5) o más curules para corporaciones 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elección popular o las que se sometan a consulta, a excepción de su resultado, incluyendo aquellas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relativas a la elección de directivos, cuando las agrupaciones polít</w:t>
            </w:r>
            <w:r w:rsidRPr="0096658B">
              <w:rPr>
                <w:rFonts w:ascii="Times New Roman" w:hAnsi="Times New Roman" w:cs="Times New Roman"/>
                <w:sz w:val="28"/>
                <w:szCs w:val="20"/>
                <w:lang w:val="es-ES"/>
              </w:rPr>
              <w:t>icas opten por este mecanismo</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para elección, deberán conformarse por un mínimo de cincuenta por ciento (50%) de mujeres, sobre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el número de candidatos inscritos a la corporación que se pretenda postular. Para las listas de menos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 cinco (5) curules, se le</w:t>
            </w:r>
            <w:r w:rsidRPr="0096658B">
              <w:rPr>
                <w:rFonts w:ascii="Times New Roman" w:hAnsi="Times New Roman" w:cs="Times New Roman"/>
                <w:sz w:val="28"/>
                <w:szCs w:val="20"/>
                <w:lang w:val="es-ES"/>
              </w:rPr>
              <w:t>s aplicará el treinta por ciento (30%) para la conformación de la cuota 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género.</w:t>
            </w:r>
          </w:p>
          <w:p w:rsidR="00315FAB" w:rsidRPr="0096658B" w:rsidRDefault="0096658B" w:rsidP="00315FAB">
            <w:pPr>
              <w:jc w:val="both"/>
              <w:rPr>
                <w:rFonts w:ascii="Times New Roman" w:hAnsi="Times New Roman" w:cs="Times New Roman"/>
                <w:sz w:val="28"/>
                <w:szCs w:val="20"/>
                <w:lang w:val="es-ES"/>
              </w:rPr>
            </w:pPr>
          </w:p>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Parágrafo. Constituirá como causal de revocatoria de inscripción las listas que no cumplan con la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cuota de género estipulada en el presente artículo. Lo anterior, sin perju</w:t>
            </w:r>
            <w:r w:rsidRPr="0096658B">
              <w:rPr>
                <w:rFonts w:ascii="Times New Roman" w:hAnsi="Times New Roman" w:cs="Times New Roman"/>
                <w:sz w:val="28"/>
                <w:szCs w:val="20"/>
                <w:lang w:val="es-ES"/>
              </w:rPr>
              <w:t>icio de las sanciones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disciplinarias o multas que se puedan interponer a las agrupaciones políticas ante este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incumplimiento.</w:t>
            </w:r>
          </w:p>
        </w:tc>
        <w:tc>
          <w:tcPr>
            <w:tcW w:w="3742" w:type="dxa"/>
          </w:tcPr>
          <w:p w:rsidR="00B46B31" w:rsidRPr="0096658B" w:rsidRDefault="0096658B" w:rsidP="00B46B31">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4º. Adiciónese el artículo 80A al Decreto-Ley 2241 de 1986, el cual quedará así:</w:t>
            </w:r>
          </w:p>
          <w:p w:rsidR="00315FAB" w:rsidRPr="0096658B" w:rsidRDefault="0096658B" w:rsidP="00315FAB">
            <w:pPr>
              <w:jc w:val="both"/>
              <w:rPr>
                <w:rFonts w:ascii="Times New Roman" w:hAnsi="Times New Roman" w:cs="Times New Roman"/>
                <w:sz w:val="28"/>
                <w:szCs w:val="20"/>
                <w:lang w:val="es-ES"/>
              </w:rPr>
            </w:pPr>
          </w:p>
          <w:p w:rsidR="00B46B31" w:rsidRPr="0096658B" w:rsidRDefault="0096658B" w:rsidP="00B46B31">
            <w:pPr>
              <w:jc w:val="both"/>
              <w:rPr>
                <w:rFonts w:ascii="Times New Roman" w:hAnsi="Times New Roman" w:cs="Times New Roman"/>
                <w:b/>
                <w:bCs/>
                <w:sz w:val="28"/>
                <w:szCs w:val="20"/>
                <w:u w:val="single"/>
                <w:lang w:val="es-ES"/>
              </w:rPr>
            </w:pPr>
            <w:r w:rsidRPr="0096658B">
              <w:rPr>
                <w:rFonts w:ascii="Times New Roman" w:hAnsi="Times New Roman" w:cs="Times New Roman"/>
                <w:sz w:val="28"/>
                <w:szCs w:val="20"/>
                <w:lang w:val="es-ES"/>
              </w:rPr>
              <w:t xml:space="preserve">Artículo 80A. Cuota de género. En </w:t>
            </w:r>
            <w:r w:rsidRPr="0096658B">
              <w:rPr>
                <w:rFonts w:ascii="Times New Roman" w:hAnsi="Times New Roman" w:cs="Times New Roman"/>
                <w:sz w:val="28"/>
                <w:szCs w:val="20"/>
                <w:lang w:val="es-ES"/>
              </w:rPr>
              <w:t>atención a la aplicación progresiva de los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principios de equidad de género, paridad, alternancia y universalidad consagrados en</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los artículos 40, 107 y 262 de la Constitución Política; en las listas donde se elijan cinco</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(5) o más curules para corporacione</w:t>
            </w:r>
            <w:r w:rsidRPr="0096658B">
              <w:rPr>
                <w:rFonts w:ascii="Times New Roman" w:hAnsi="Times New Roman" w:cs="Times New Roman"/>
                <w:sz w:val="28"/>
                <w:szCs w:val="20"/>
                <w:lang w:val="es-ES"/>
              </w:rPr>
              <w:t>s de elección popular o las que se sometan 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consulta, a excepción de su resultado, incluyendo aquellas relativas a la elección 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directivos, cuando las agrupaciones políticas opten por este mecanismo para elección,</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deberán conformarse por un mínimo de ci</w:t>
            </w:r>
            <w:r w:rsidRPr="0096658B">
              <w:rPr>
                <w:rFonts w:ascii="Times New Roman" w:hAnsi="Times New Roman" w:cs="Times New Roman"/>
                <w:sz w:val="28"/>
                <w:szCs w:val="20"/>
                <w:lang w:val="es-ES"/>
              </w:rPr>
              <w:t>ncuenta por ciento (50%) de mujeres, sobre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el número de candidatos inscritos a la corporación que se pretenda postular. Para las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listas de menos de cinco (5) curules, se les aplicará el treinta por ciento (30%) para la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 xml:space="preserve">conformación de la cuota </w:t>
            </w:r>
            <w:r w:rsidRPr="0096658B">
              <w:rPr>
                <w:rFonts w:ascii="Times New Roman" w:hAnsi="Times New Roman" w:cs="Times New Roman"/>
                <w:b/>
                <w:bCs/>
                <w:sz w:val="28"/>
                <w:szCs w:val="20"/>
                <w:u w:val="single"/>
                <w:lang w:val="es-ES"/>
              </w:rPr>
              <w:t>entre mujere</w:t>
            </w:r>
            <w:r w:rsidRPr="0096658B">
              <w:rPr>
                <w:rFonts w:ascii="Times New Roman" w:hAnsi="Times New Roman" w:cs="Times New Roman"/>
                <w:b/>
                <w:bCs/>
                <w:sz w:val="28"/>
                <w:szCs w:val="20"/>
                <w:u w:val="single"/>
                <w:lang w:val="es-ES"/>
              </w:rPr>
              <w:t>s y hombres.</w:t>
            </w:r>
          </w:p>
          <w:p w:rsidR="00B46B31" w:rsidRPr="0096658B" w:rsidRDefault="0096658B" w:rsidP="00B46B31">
            <w:pPr>
              <w:jc w:val="both"/>
              <w:rPr>
                <w:rFonts w:ascii="Times New Roman" w:hAnsi="Times New Roman" w:cs="Times New Roman"/>
                <w:sz w:val="28"/>
                <w:szCs w:val="20"/>
                <w:lang w:val="es-ES"/>
              </w:rPr>
            </w:pPr>
          </w:p>
          <w:p w:rsidR="00B46B31" w:rsidRPr="0096658B" w:rsidRDefault="0096658B" w:rsidP="00B46B31">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Parágrafo. Constituirá como causal de revocatoria de inscripción las listas que no</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cumplan con la cuota de género estipulada en el presente artículo. Lo anterior, sin</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perjuicio de las sanciones disciplinarias o multas que se puedan interponer</w:t>
            </w:r>
            <w:r w:rsidRPr="0096658B">
              <w:rPr>
                <w:rFonts w:ascii="Times New Roman" w:hAnsi="Times New Roman" w:cs="Times New Roman"/>
                <w:sz w:val="28"/>
                <w:szCs w:val="20"/>
                <w:lang w:val="es-ES"/>
              </w:rPr>
              <w:t xml:space="preserve"> a las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agrupaciones políticas ante este incumplimiento.</w:t>
            </w:r>
          </w:p>
          <w:p w:rsidR="00B46B31" w:rsidRPr="0096658B" w:rsidRDefault="0096658B" w:rsidP="00B46B31">
            <w:pPr>
              <w:jc w:val="both"/>
              <w:rPr>
                <w:rFonts w:ascii="Times New Roman" w:hAnsi="Times New Roman" w:cs="Times New Roman"/>
                <w:sz w:val="28"/>
                <w:szCs w:val="20"/>
                <w:lang w:val="es-ES"/>
              </w:rPr>
            </w:pPr>
          </w:p>
        </w:tc>
      </w:tr>
      <w:tr w:rsidR="00315FAB" w:rsidRPr="0096658B" w:rsidTr="00C273BC">
        <w:tc>
          <w:tcPr>
            <w:tcW w:w="3741" w:type="dxa"/>
          </w:tcPr>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 xml:space="preserve">Artículo 5º. La presente Ley rige a partir de su promulgación. </w:t>
            </w:r>
          </w:p>
          <w:p w:rsidR="00315FAB" w:rsidRPr="0096658B" w:rsidRDefault="0096658B" w:rsidP="00315FAB">
            <w:pPr>
              <w:jc w:val="both"/>
              <w:rPr>
                <w:rFonts w:ascii="Times New Roman" w:hAnsi="Times New Roman" w:cs="Times New Roman"/>
                <w:sz w:val="28"/>
                <w:szCs w:val="20"/>
                <w:lang w:val="es-ES"/>
              </w:rPr>
            </w:pPr>
          </w:p>
        </w:tc>
        <w:tc>
          <w:tcPr>
            <w:tcW w:w="3741" w:type="dxa"/>
          </w:tcPr>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 xml:space="preserve">Artículo 5º. La presente Ley rige a partir de su promulgación. </w:t>
            </w:r>
          </w:p>
          <w:p w:rsidR="00315FAB" w:rsidRPr="0096658B" w:rsidRDefault="0096658B" w:rsidP="00315FAB">
            <w:pPr>
              <w:jc w:val="both"/>
              <w:rPr>
                <w:rFonts w:ascii="Times New Roman" w:hAnsi="Times New Roman" w:cs="Times New Roman"/>
                <w:sz w:val="28"/>
                <w:szCs w:val="20"/>
                <w:lang w:val="es-ES"/>
              </w:rPr>
            </w:pPr>
          </w:p>
        </w:tc>
        <w:tc>
          <w:tcPr>
            <w:tcW w:w="3741" w:type="dxa"/>
          </w:tcPr>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 xml:space="preserve">Artículo 5º. La presente Ley rige a partir de su promulgación. </w:t>
            </w:r>
          </w:p>
          <w:p w:rsidR="00315FAB" w:rsidRPr="0096658B" w:rsidRDefault="0096658B" w:rsidP="00315FAB">
            <w:pPr>
              <w:jc w:val="both"/>
              <w:rPr>
                <w:rFonts w:ascii="Times New Roman" w:hAnsi="Times New Roman" w:cs="Times New Roman"/>
                <w:sz w:val="28"/>
                <w:szCs w:val="20"/>
                <w:lang w:val="es-ES"/>
              </w:rPr>
            </w:pPr>
          </w:p>
        </w:tc>
        <w:tc>
          <w:tcPr>
            <w:tcW w:w="3741" w:type="dxa"/>
          </w:tcPr>
          <w:p w:rsidR="00315FAB" w:rsidRPr="0096658B" w:rsidRDefault="0096658B" w:rsidP="00315FAB">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 xml:space="preserve">Artículo 5º. La presente Ley rige a partir de su promulgación. </w:t>
            </w:r>
          </w:p>
          <w:p w:rsidR="00315FAB" w:rsidRPr="0096658B" w:rsidRDefault="0096658B" w:rsidP="00315FAB">
            <w:pPr>
              <w:jc w:val="both"/>
              <w:rPr>
                <w:rFonts w:ascii="Times New Roman" w:hAnsi="Times New Roman" w:cs="Times New Roman"/>
                <w:sz w:val="28"/>
                <w:szCs w:val="20"/>
                <w:lang w:val="es-ES"/>
              </w:rPr>
            </w:pPr>
          </w:p>
        </w:tc>
        <w:tc>
          <w:tcPr>
            <w:tcW w:w="3742" w:type="dxa"/>
          </w:tcPr>
          <w:p w:rsidR="00B46B31" w:rsidRPr="0096658B" w:rsidRDefault="0096658B" w:rsidP="00B46B31">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 xml:space="preserve">Artículo 5º. La presente Ley rige a partir de su promulgación. </w:t>
            </w:r>
          </w:p>
          <w:p w:rsidR="00315FAB" w:rsidRPr="0096658B" w:rsidRDefault="0096658B" w:rsidP="00315FAB">
            <w:pPr>
              <w:jc w:val="both"/>
              <w:rPr>
                <w:rFonts w:ascii="Times New Roman" w:hAnsi="Times New Roman" w:cs="Times New Roman"/>
                <w:sz w:val="28"/>
                <w:szCs w:val="20"/>
                <w:lang w:val="es-ES"/>
              </w:rPr>
            </w:pPr>
          </w:p>
        </w:tc>
      </w:tr>
    </w:tbl>
    <w:p w:rsidR="00FD3717" w:rsidRPr="0096658B" w:rsidRDefault="0096658B">
      <w:pPr>
        <w:rPr>
          <w:rFonts w:ascii="Times New Roman" w:hAnsi="Times New Roman" w:cs="Times New Roman"/>
          <w:sz w:val="28"/>
        </w:rPr>
      </w:pPr>
    </w:p>
    <w:p w:rsidR="00B46B31" w:rsidRPr="0096658B" w:rsidRDefault="0096658B">
      <w:pPr>
        <w:rPr>
          <w:rFonts w:ascii="Times New Roman" w:hAnsi="Times New Roman" w:cs="Times New Roman"/>
          <w:sz w:val="28"/>
        </w:rPr>
      </w:pPr>
    </w:p>
    <w:tbl>
      <w:tblPr>
        <w:tblStyle w:val="Tablaconcuadrcula"/>
        <w:tblW w:w="0" w:type="auto"/>
        <w:tblLook w:val="04A0" w:firstRow="1" w:lastRow="0" w:firstColumn="1" w:lastColumn="0" w:noHBand="0" w:noVBand="1"/>
      </w:tblPr>
      <w:tblGrid>
        <w:gridCol w:w="3741"/>
        <w:gridCol w:w="3741"/>
        <w:gridCol w:w="3741"/>
        <w:gridCol w:w="3741"/>
        <w:gridCol w:w="3742"/>
      </w:tblGrid>
      <w:tr w:rsidR="00B46B31" w:rsidRPr="0096658B" w:rsidTr="00C273BC">
        <w:tc>
          <w:tcPr>
            <w:tcW w:w="3741" w:type="dxa"/>
          </w:tcPr>
          <w:p w:rsidR="00B46B31" w:rsidRPr="0096658B" w:rsidRDefault="0096658B" w:rsidP="00C273BC">
            <w:pPr>
              <w:jc w:val="both"/>
              <w:rPr>
                <w:rFonts w:ascii="Times New Roman" w:hAnsi="Times New Roman" w:cs="Times New Roman"/>
                <w:b/>
                <w:bCs/>
                <w:sz w:val="28"/>
                <w:szCs w:val="20"/>
                <w:lang w:val="es-ES"/>
              </w:rPr>
            </w:pPr>
            <w:r w:rsidRPr="0096658B">
              <w:rPr>
                <w:rFonts w:ascii="Times New Roman" w:hAnsi="Times New Roman" w:cs="Times New Roman"/>
                <w:b/>
                <w:bCs/>
                <w:sz w:val="28"/>
                <w:szCs w:val="20"/>
                <w:lang w:val="es-ES"/>
              </w:rPr>
              <w:t>P</w:t>
            </w:r>
            <w:r w:rsidRPr="0096658B">
              <w:rPr>
                <w:rFonts w:ascii="Times New Roman" w:hAnsi="Times New Roman" w:cs="Times New Roman"/>
                <w:b/>
                <w:bCs/>
                <w:sz w:val="28"/>
                <w:szCs w:val="20"/>
                <w:lang w:val="es-ES"/>
              </w:rPr>
              <w:t>onencia para primer debate - Cámara</w:t>
            </w:r>
          </w:p>
        </w:tc>
        <w:tc>
          <w:tcPr>
            <w:tcW w:w="3741" w:type="dxa"/>
          </w:tcPr>
          <w:p w:rsidR="00B46B31" w:rsidRPr="0096658B" w:rsidRDefault="0096658B" w:rsidP="00C273BC">
            <w:pPr>
              <w:jc w:val="both"/>
              <w:rPr>
                <w:rFonts w:ascii="Times New Roman" w:hAnsi="Times New Roman" w:cs="Times New Roman"/>
                <w:b/>
                <w:bCs/>
                <w:sz w:val="28"/>
                <w:szCs w:val="20"/>
                <w:lang w:val="es-ES"/>
              </w:rPr>
            </w:pPr>
            <w:r w:rsidRPr="0096658B">
              <w:rPr>
                <w:rFonts w:ascii="Times New Roman" w:hAnsi="Times New Roman" w:cs="Times New Roman"/>
                <w:b/>
                <w:bCs/>
                <w:sz w:val="28"/>
                <w:szCs w:val="20"/>
                <w:lang w:val="es-ES"/>
              </w:rPr>
              <w:t>Texto aprobado primer debate – Cámara</w:t>
            </w:r>
          </w:p>
        </w:tc>
        <w:tc>
          <w:tcPr>
            <w:tcW w:w="3741" w:type="dxa"/>
          </w:tcPr>
          <w:p w:rsidR="00B46B31" w:rsidRPr="0096658B" w:rsidRDefault="0096658B" w:rsidP="00C273BC">
            <w:pPr>
              <w:jc w:val="both"/>
              <w:rPr>
                <w:rFonts w:ascii="Times New Roman" w:hAnsi="Times New Roman" w:cs="Times New Roman"/>
                <w:b/>
                <w:bCs/>
                <w:sz w:val="28"/>
                <w:szCs w:val="20"/>
                <w:lang w:val="es-ES"/>
              </w:rPr>
            </w:pPr>
            <w:r w:rsidRPr="0096658B">
              <w:rPr>
                <w:rFonts w:ascii="Times New Roman" w:hAnsi="Times New Roman" w:cs="Times New Roman"/>
                <w:b/>
                <w:bCs/>
                <w:sz w:val="28"/>
                <w:szCs w:val="20"/>
                <w:lang w:val="es-ES"/>
              </w:rPr>
              <w:t>Ponencia segundo debate - Cámara</w:t>
            </w:r>
          </w:p>
        </w:tc>
        <w:tc>
          <w:tcPr>
            <w:tcW w:w="3741" w:type="dxa"/>
          </w:tcPr>
          <w:p w:rsidR="00B46B31" w:rsidRPr="0096658B" w:rsidRDefault="0096658B" w:rsidP="00C273BC">
            <w:pPr>
              <w:jc w:val="both"/>
              <w:rPr>
                <w:rFonts w:ascii="Times New Roman" w:hAnsi="Times New Roman" w:cs="Times New Roman"/>
                <w:b/>
                <w:bCs/>
                <w:sz w:val="28"/>
                <w:szCs w:val="20"/>
                <w:lang w:val="es-ES"/>
              </w:rPr>
            </w:pPr>
            <w:r w:rsidRPr="0096658B">
              <w:rPr>
                <w:rFonts w:ascii="Times New Roman" w:hAnsi="Times New Roman" w:cs="Times New Roman"/>
                <w:b/>
                <w:bCs/>
                <w:sz w:val="28"/>
                <w:szCs w:val="20"/>
                <w:lang w:val="es-ES"/>
              </w:rPr>
              <w:t xml:space="preserve">Texto aprobado </w:t>
            </w:r>
            <w:r w:rsidRPr="0096658B">
              <w:rPr>
                <w:rFonts w:ascii="Times New Roman" w:hAnsi="Times New Roman" w:cs="Times New Roman"/>
                <w:b/>
                <w:bCs/>
                <w:sz w:val="28"/>
                <w:szCs w:val="20"/>
                <w:lang w:val="es-ES"/>
              </w:rPr>
              <w:t>segundo debate – Cámara</w:t>
            </w:r>
          </w:p>
        </w:tc>
        <w:tc>
          <w:tcPr>
            <w:tcW w:w="3742" w:type="dxa"/>
          </w:tcPr>
          <w:p w:rsidR="00B46B31" w:rsidRPr="0096658B" w:rsidRDefault="0096658B" w:rsidP="00C273BC">
            <w:pPr>
              <w:jc w:val="both"/>
              <w:rPr>
                <w:rFonts w:ascii="Times New Roman" w:hAnsi="Times New Roman" w:cs="Times New Roman"/>
                <w:b/>
                <w:bCs/>
                <w:sz w:val="28"/>
                <w:szCs w:val="20"/>
                <w:lang w:val="es-ES"/>
              </w:rPr>
            </w:pPr>
            <w:r w:rsidRPr="0096658B">
              <w:rPr>
                <w:rFonts w:ascii="Times New Roman" w:hAnsi="Times New Roman" w:cs="Times New Roman"/>
                <w:b/>
                <w:bCs/>
                <w:sz w:val="28"/>
                <w:szCs w:val="20"/>
                <w:lang w:val="es-ES"/>
              </w:rPr>
              <w:t>Texto conciliado</w:t>
            </w:r>
          </w:p>
        </w:tc>
      </w:tr>
      <w:tr w:rsidR="00B46B31" w:rsidRPr="0096658B" w:rsidTr="00C273BC">
        <w:tc>
          <w:tcPr>
            <w:tcW w:w="3741" w:type="dxa"/>
          </w:tcPr>
          <w:p w:rsidR="00A01821" w:rsidRPr="0096658B" w:rsidRDefault="0096658B" w:rsidP="00A01821">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1º. Modifíquese el artículo 4º</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 la Ley 581 de 2000, el cual quedará</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así:</w:t>
            </w:r>
          </w:p>
          <w:p w:rsidR="00A01821" w:rsidRPr="0096658B" w:rsidRDefault="0096658B" w:rsidP="00A01821">
            <w:pPr>
              <w:jc w:val="both"/>
              <w:rPr>
                <w:rFonts w:ascii="Times New Roman" w:hAnsi="Times New Roman" w:cs="Times New Roman"/>
                <w:sz w:val="28"/>
                <w:szCs w:val="20"/>
                <w:lang w:val="es-ES"/>
              </w:rPr>
            </w:pPr>
          </w:p>
          <w:p w:rsidR="00A01821" w:rsidRPr="0096658B" w:rsidRDefault="0096658B" w:rsidP="00A01821">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4º. Participación efectiva 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las mujeres. La participación adecuada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 las mujeres en los niveles del poder</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 xml:space="preserve">público </w:t>
            </w:r>
            <w:r w:rsidRPr="0096658B">
              <w:rPr>
                <w:rFonts w:ascii="Times New Roman" w:hAnsi="Times New Roman" w:cs="Times New Roman"/>
                <w:sz w:val="28"/>
                <w:szCs w:val="20"/>
                <w:lang w:val="es-ES"/>
              </w:rPr>
              <w:t>definidos en los artículos 2º y 3º</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 la presente ley, se hará efectiva aplicando</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por parte de las autoridades nominadoras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las siguientes reglas:</w:t>
            </w:r>
          </w:p>
          <w:p w:rsidR="00A01821" w:rsidRPr="0096658B" w:rsidRDefault="0096658B" w:rsidP="00A01821">
            <w:pPr>
              <w:jc w:val="both"/>
              <w:rPr>
                <w:rFonts w:ascii="Times New Roman" w:hAnsi="Times New Roman" w:cs="Times New Roman"/>
                <w:sz w:val="28"/>
                <w:szCs w:val="20"/>
                <w:lang w:val="es-ES"/>
              </w:rPr>
            </w:pPr>
          </w:p>
          <w:p w:rsidR="00A01821" w:rsidRPr="0096658B" w:rsidRDefault="0096658B" w:rsidP="00A01821">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 Mínimo el cincuenta por ciento</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(50%) de los cargos de máximo nivel</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decisorio, de que trata el artículo 2.,</w:t>
            </w:r>
            <w:r w:rsidRPr="0096658B">
              <w:rPr>
                <w:rFonts w:ascii="Times New Roman" w:hAnsi="Times New Roman" w:cs="Times New Roman"/>
                <w:sz w:val="28"/>
                <w:szCs w:val="20"/>
                <w:lang w:val="es-ES"/>
              </w:rPr>
              <w:t xml:space="preserve"> serán</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desempeñados por mujeres;</w:t>
            </w:r>
            <w:r w:rsidRPr="0096658B">
              <w:rPr>
                <w:rFonts w:ascii="Times New Roman" w:hAnsi="Times New Roman" w:cs="Times New Roman"/>
                <w:sz w:val="28"/>
                <w:szCs w:val="20"/>
                <w:lang w:val="es-ES"/>
              </w:rPr>
              <w:t xml:space="preserve"> </w:t>
            </w:r>
          </w:p>
          <w:p w:rsidR="00A01821" w:rsidRPr="0096658B" w:rsidRDefault="0096658B" w:rsidP="00A01821">
            <w:pPr>
              <w:jc w:val="both"/>
              <w:rPr>
                <w:rFonts w:ascii="Times New Roman" w:hAnsi="Times New Roman" w:cs="Times New Roman"/>
                <w:sz w:val="28"/>
                <w:szCs w:val="20"/>
                <w:lang w:val="es-ES"/>
              </w:rPr>
            </w:pPr>
          </w:p>
          <w:p w:rsidR="00A01821" w:rsidRPr="0096658B" w:rsidRDefault="0096658B" w:rsidP="00A01821">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b) Mínimo el cincuenta por ciento</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(50%) de los cargos de otros niveles decisorios,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 que trata el artículo 3</w:t>
            </w:r>
            <w:r w:rsidRPr="0096658B">
              <w:rPr>
                <w:rFonts w:ascii="Times New Roman" w:hAnsi="Times New Roman" w:cs="Times New Roman"/>
                <w:sz w:val="28"/>
                <w:szCs w:val="20"/>
                <w:lang w:val="es-ES"/>
              </w:rPr>
              <w:t>º</w:t>
            </w:r>
            <w:r w:rsidRPr="0096658B">
              <w:rPr>
                <w:rFonts w:ascii="Times New Roman" w:hAnsi="Times New Roman" w:cs="Times New Roman"/>
                <w:sz w:val="28"/>
                <w:szCs w:val="20"/>
                <w:lang w:val="es-ES"/>
              </w:rPr>
              <w:t>, serán</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desempeñados por mujeres.</w:t>
            </w:r>
          </w:p>
          <w:p w:rsidR="00A01821" w:rsidRPr="0096658B" w:rsidRDefault="0096658B" w:rsidP="00A01821">
            <w:pPr>
              <w:jc w:val="both"/>
              <w:rPr>
                <w:rFonts w:ascii="Times New Roman" w:hAnsi="Times New Roman" w:cs="Times New Roman"/>
                <w:sz w:val="28"/>
                <w:szCs w:val="20"/>
                <w:lang w:val="es-ES"/>
              </w:rPr>
            </w:pPr>
          </w:p>
          <w:p w:rsidR="00A01821" w:rsidRPr="0096658B" w:rsidRDefault="0096658B" w:rsidP="00A01821">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Parágrafo. El incumplimiento de lo ordenado</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en este artículo constituye caus</w:t>
            </w:r>
            <w:r w:rsidRPr="0096658B">
              <w:rPr>
                <w:rFonts w:ascii="Times New Roman" w:hAnsi="Times New Roman" w:cs="Times New Roman"/>
                <w:sz w:val="28"/>
                <w:szCs w:val="20"/>
                <w:lang w:val="es-ES"/>
              </w:rPr>
              <w:t>al</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 mala conducta, que será sancionada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con suspensión hasta de treinta (30)</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días en el ejercicio del cargo, y con la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destitución del mismo en caso de persistir</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en la conducta, de conformidad con</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el régimen disciplinario vigente.</w:t>
            </w:r>
          </w:p>
          <w:p w:rsidR="00B61030" w:rsidRPr="0096658B" w:rsidRDefault="0096658B" w:rsidP="00A01821">
            <w:pPr>
              <w:jc w:val="both"/>
              <w:rPr>
                <w:rFonts w:ascii="Times New Roman" w:hAnsi="Times New Roman" w:cs="Times New Roman"/>
                <w:sz w:val="28"/>
                <w:szCs w:val="20"/>
                <w:lang w:val="es-ES"/>
              </w:rPr>
            </w:pPr>
          </w:p>
          <w:p w:rsidR="00A01821" w:rsidRPr="0096658B" w:rsidRDefault="0096658B" w:rsidP="00A01821">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 xml:space="preserve">Parágrafo 2º. El </w:t>
            </w:r>
            <w:r w:rsidRPr="0096658B">
              <w:rPr>
                <w:rFonts w:ascii="Times New Roman" w:hAnsi="Times New Roman" w:cs="Times New Roman"/>
                <w:sz w:val="28"/>
                <w:szCs w:val="20"/>
                <w:lang w:val="es-ES"/>
              </w:rPr>
              <w:t>Gobierno nacional en</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el plazo de seis meses, contados a partir</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 la entrada en vigencia de la presente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ley, reglamentará los cargos a los cuales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les aplicará la presente ley.</w:t>
            </w:r>
          </w:p>
          <w:p w:rsidR="00B61030" w:rsidRPr="0096658B" w:rsidRDefault="0096658B" w:rsidP="00A01821">
            <w:pPr>
              <w:jc w:val="both"/>
              <w:rPr>
                <w:rFonts w:ascii="Times New Roman" w:hAnsi="Times New Roman" w:cs="Times New Roman"/>
                <w:sz w:val="28"/>
                <w:szCs w:val="20"/>
                <w:lang w:val="es-ES"/>
              </w:rPr>
            </w:pPr>
          </w:p>
          <w:p w:rsidR="00B46B31" w:rsidRPr="0096658B" w:rsidRDefault="0096658B" w:rsidP="00B61030">
            <w:pPr>
              <w:jc w:val="both"/>
              <w:rPr>
                <w:rFonts w:ascii="Times New Roman" w:hAnsi="Times New Roman" w:cs="Times New Roman"/>
                <w:b/>
                <w:bCs/>
                <w:sz w:val="28"/>
                <w:szCs w:val="20"/>
                <w:u w:val="single"/>
                <w:lang w:val="es-ES"/>
              </w:rPr>
            </w:pPr>
            <w:r w:rsidRPr="0096658B">
              <w:rPr>
                <w:rFonts w:ascii="Times New Roman" w:hAnsi="Times New Roman" w:cs="Times New Roman"/>
                <w:b/>
                <w:bCs/>
                <w:sz w:val="28"/>
                <w:szCs w:val="20"/>
                <w:u w:val="single"/>
                <w:lang w:val="es-ES"/>
              </w:rPr>
              <w:t>Parágrafo 3º. En los municipios del</w:t>
            </w:r>
            <w:r w:rsidRPr="0096658B">
              <w:rPr>
                <w:rFonts w:ascii="Times New Roman" w:hAnsi="Times New Roman" w:cs="Times New Roman"/>
                <w:b/>
                <w:bCs/>
                <w:sz w:val="28"/>
                <w:szCs w:val="20"/>
                <w:u w:val="single"/>
                <w:lang w:val="es-ES"/>
              </w:rPr>
              <w:t xml:space="preserve"> </w:t>
            </w:r>
            <w:r w:rsidRPr="0096658B">
              <w:rPr>
                <w:rFonts w:ascii="Times New Roman" w:hAnsi="Times New Roman" w:cs="Times New Roman"/>
                <w:b/>
                <w:bCs/>
                <w:sz w:val="28"/>
                <w:szCs w:val="20"/>
                <w:u w:val="single"/>
                <w:lang w:val="es-ES"/>
              </w:rPr>
              <w:t>país, en donde no existan los cargos de</w:t>
            </w:r>
            <w:r w:rsidRPr="0096658B">
              <w:rPr>
                <w:rFonts w:ascii="Times New Roman" w:hAnsi="Times New Roman" w:cs="Times New Roman"/>
                <w:b/>
                <w:bCs/>
                <w:sz w:val="28"/>
                <w:szCs w:val="20"/>
                <w:u w:val="single"/>
                <w:lang w:val="es-ES"/>
              </w:rPr>
              <w:t xml:space="preserve"> </w:t>
            </w:r>
            <w:r w:rsidRPr="0096658B">
              <w:rPr>
                <w:rFonts w:ascii="Times New Roman" w:hAnsi="Times New Roman" w:cs="Times New Roman"/>
                <w:b/>
                <w:bCs/>
                <w:sz w:val="28"/>
                <w:szCs w:val="20"/>
                <w:u w:val="single"/>
                <w:lang w:val="es-ES"/>
              </w:rPr>
              <w:t>máx</w:t>
            </w:r>
            <w:r w:rsidRPr="0096658B">
              <w:rPr>
                <w:rFonts w:ascii="Times New Roman" w:hAnsi="Times New Roman" w:cs="Times New Roman"/>
                <w:b/>
                <w:bCs/>
                <w:sz w:val="28"/>
                <w:szCs w:val="20"/>
                <w:u w:val="single"/>
                <w:lang w:val="es-ES"/>
              </w:rPr>
              <w:t>imo nivel decisorio, se deberá aplicar</w:t>
            </w:r>
            <w:r w:rsidRPr="0096658B">
              <w:rPr>
                <w:rFonts w:ascii="Times New Roman" w:hAnsi="Times New Roman" w:cs="Times New Roman"/>
                <w:b/>
                <w:bCs/>
                <w:sz w:val="28"/>
                <w:szCs w:val="20"/>
                <w:u w:val="single"/>
                <w:lang w:val="es-ES"/>
              </w:rPr>
              <w:t xml:space="preserve"> </w:t>
            </w:r>
            <w:r w:rsidRPr="0096658B">
              <w:rPr>
                <w:rFonts w:ascii="Times New Roman" w:hAnsi="Times New Roman" w:cs="Times New Roman"/>
                <w:b/>
                <w:bCs/>
                <w:sz w:val="28"/>
                <w:szCs w:val="20"/>
                <w:u w:val="single"/>
                <w:lang w:val="es-ES"/>
              </w:rPr>
              <w:t>la regla del mínimo del cincuenta</w:t>
            </w:r>
            <w:r w:rsidRPr="0096658B">
              <w:rPr>
                <w:rFonts w:ascii="Times New Roman" w:hAnsi="Times New Roman" w:cs="Times New Roman"/>
                <w:b/>
                <w:bCs/>
                <w:sz w:val="28"/>
                <w:szCs w:val="20"/>
                <w:u w:val="single"/>
                <w:lang w:val="es-ES"/>
              </w:rPr>
              <w:t xml:space="preserve"> </w:t>
            </w:r>
            <w:r w:rsidRPr="0096658B">
              <w:rPr>
                <w:rFonts w:ascii="Times New Roman" w:hAnsi="Times New Roman" w:cs="Times New Roman"/>
                <w:b/>
                <w:bCs/>
                <w:sz w:val="28"/>
                <w:szCs w:val="20"/>
                <w:u w:val="single"/>
                <w:lang w:val="es-ES"/>
              </w:rPr>
              <w:t>por ciento (50%) de los cargos de otros</w:t>
            </w:r>
            <w:r w:rsidRPr="0096658B">
              <w:rPr>
                <w:rFonts w:ascii="Times New Roman" w:hAnsi="Times New Roman" w:cs="Times New Roman"/>
                <w:b/>
                <w:bCs/>
                <w:sz w:val="28"/>
                <w:szCs w:val="20"/>
                <w:u w:val="single"/>
                <w:lang w:val="es-ES"/>
              </w:rPr>
              <w:t xml:space="preserve"> </w:t>
            </w:r>
            <w:r w:rsidRPr="0096658B">
              <w:rPr>
                <w:rFonts w:ascii="Times New Roman" w:hAnsi="Times New Roman" w:cs="Times New Roman"/>
                <w:b/>
                <w:bCs/>
                <w:sz w:val="28"/>
                <w:szCs w:val="20"/>
                <w:u w:val="single"/>
                <w:lang w:val="es-ES"/>
              </w:rPr>
              <w:t>niveles decisorios que deberán ser desempeñados</w:t>
            </w:r>
            <w:r w:rsidRPr="0096658B">
              <w:rPr>
                <w:rFonts w:ascii="Times New Roman" w:hAnsi="Times New Roman" w:cs="Times New Roman"/>
                <w:b/>
                <w:bCs/>
                <w:sz w:val="28"/>
                <w:szCs w:val="20"/>
                <w:u w:val="single"/>
                <w:lang w:val="es-ES"/>
              </w:rPr>
              <w:t xml:space="preserve"> </w:t>
            </w:r>
            <w:r w:rsidRPr="0096658B">
              <w:rPr>
                <w:rFonts w:ascii="Times New Roman" w:hAnsi="Times New Roman" w:cs="Times New Roman"/>
                <w:b/>
                <w:bCs/>
                <w:sz w:val="28"/>
                <w:szCs w:val="20"/>
                <w:u w:val="single"/>
                <w:lang w:val="es-ES"/>
              </w:rPr>
              <w:t>por mujeres.</w:t>
            </w:r>
          </w:p>
          <w:p w:rsidR="00B61030" w:rsidRPr="0096658B" w:rsidRDefault="0096658B" w:rsidP="00B61030">
            <w:pPr>
              <w:jc w:val="both"/>
              <w:rPr>
                <w:rFonts w:ascii="Times New Roman" w:hAnsi="Times New Roman" w:cs="Times New Roman"/>
                <w:sz w:val="28"/>
                <w:szCs w:val="20"/>
                <w:lang w:val="es-ES"/>
              </w:rPr>
            </w:pPr>
          </w:p>
        </w:tc>
        <w:tc>
          <w:tcPr>
            <w:tcW w:w="3741" w:type="dxa"/>
          </w:tcPr>
          <w:p w:rsidR="00B4427E" w:rsidRPr="0096658B" w:rsidRDefault="0096658B" w:rsidP="00B4427E">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1º. Modifíquese el artículo 4º</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 la Ley 581 de 2000, el cual quedará</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así:</w:t>
            </w:r>
          </w:p>
          <w:p w:rsidR="008D6085" w:rsidRPr="0096658B" w:rsidRDefault="0096658B" w:rsidP="008D6085">
            <w:pPr>
              <w:jc w:val="both"/>
              <w:rPr>
                <w:rFonts w:ascii="Times New Roman" w:hAnsi="Times New Roman" w:cs="Times New Roman"/>
                <w:b/>
                <w:bCs/>
                <w:sz w:val="28"/>
                <w:szCs w:val="20"/>
                <w:u w:val="single"/>
                <w:lang w:val="es-ES"/>
              </w:rPr>
            </w:pPr>
          </w:p>
          <w:p w:rsidR="00B4427E" w:rsidRPr="0096658B" w:rsidRDefault="0096658B" w:rsidP="00B4427E">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4°. Participación efectiva de las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mujeres. La participación adecuada de las mujeres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en los niveles del poder público definidos en los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artículos 2º y 3° de la presente ley, se hará efectiva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aplicando por parte de las autoridades nominadoras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las siguientes reglas:</w:t>
            </w:r>
          </w:p>
          <w:p w:rsidR="00B4427E" w:rsidRPr="0096658B" w:rsidRDefault="0096658B" w:rsidP="00B4427E">
            <w:pPr>
              <w:jc w:val="both"/>
              <w:rPr>
                <w:rFonts w:ascii="Times New Roman" w:hAnsi="Times New Roman" w:cs="Times New Roman"/>
                <w:sz w:val="28"/>
                <w:szCs w:val="20"/>
                <w:lang w:val="es-ES"/>
              </w:rPr>
            </w:pPr>
          </w:p>
          <w:p w:rsidR="00B4427E" w:rsidRPr="0096658B" w:rsidRDefault="0096658B" w:rsidP="00B4427E">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 Mínimo el cincuenta por ciento {50%) de</w:t>
            </w:r>
          </w:p>
          <w:p w:rsidR="00B4427E" w:rsidRPr="0096658B" w:rsidRDefault="0096658B" w:rsidP="00B4427E">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los cargos de máximo nivel decisorio, de</w:t>
            </w:r>
          </w:p>
          <w:p w:rsidR="00B4427E" w:rsidRPr="0096658B" w:rsidRDefault="0096658B" w:rsidP="00B4427E">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que trata el artículo 2°, serán desempeñados</w:t>
            </w:r>
          </w:p>
          <w:p w:rsidR="00B4427E" w:rsidRPr="0096658B" w:rsidRDefault="0096658B" w:rsidP="00B4427E">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por mujeres;</w:t>
            </w:r>
          </w:p>
          <w:p w:rsidR="00B4427E" w:rsidRPr="0096658B" w:rsidRDefault="0096658B" w:rsidP="00B4427E">
            <w:pPr>
              <w:jc w:val="both"/>
              <w:rPr>
                <w:rFonts w:ascii="Times New Roman" w:hAnsi="Times New Roman" w:cs="Times New Roman"/>
                <w:sz w:val="28"/>
                <w:szCs w:val="20"/>
                <w:lang w:val="es-ES"/>
              </w:rPr>
            </w:pPr>
          </w:p>
          <w:p w:rsidR="00B4427E" w:rsidRPr="0096658B" w:rsidRDefault="0096658B" w:rsidP="00B4427E">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b) Mínimo el cincuenta por ciento (50%) 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los cargos de otros niveles decisorios, 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que</w:t>
            </w:r>
            <w:r w:rsidRPr="0096658B">
              <w:rPr>
                <w:rFonts w:ascii="Times New Roman" w:hAnsi="Times New Roman" w:cs="Times New Roman"/>
                <w:sz w:val="28"/>
                <w:szCs w:val="20"/>
                <w:lang w:val="es-ES"/>
              </w:rPr>
              <w:t xml:space="preserve"> trata el artículo 3°, serán desempeñados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por mujeres.</w:t>
            </w:r>
          </w:p>
          <w:p w:rsidR="00B4427E" w:rsidRPr="0096658B" w:rsidRDefault="0096658B" w:rsidP="00B4427E">
            <w:pPr>
              <w:jc w:val="both"/>
              <w:rPr>
                <w:rFonts w:ascii="Times New Roman" w:hAnsi="Times New Roman" w:cs="Times New Roman"/>
                <w:sz w:val="28"/>
                <w:szCs w:val="20"/>
                <w:lang w:val="es-ES"/>
              </w:rPr>
            </w:pPr>
          </w:p>
          <w:p w:rsidR="00B4427E" w:rsidRPr="0096658B" w:rsidRDefault="0096658B" w:rsidP="00B4427E">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Parágrafo. El incumplimiento de lo ordenado</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en este artículo constituye causal de mala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conducta, que será sancionada con suspensión</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hasta de treinta (30) días en el ejercicio del cargo,</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y con la desti</w:t>
            </w:r>
            <w:r w:rsidRPr="0096658B">
              <w:rPr>
                <w:rFonts w:ascii="Times New Roman" w:hAnsi="Times New Roman" w:cs="Times New Roman"/>
                <w:sz w:val="28"/>
                <w:szCs w:val="20"/>
                <w:lang w:val="es-ES"/>
              </w:rPr>
              <w:t>tución del mismo en caso de persistir</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en la conducta, de conformidad con el régimen</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disciplinario vigente.</w:t>
            </w:r>
          </w:p>
          <w:p w:rsidR="00B4427E" w:rsidRPr="0096658B" w:rsidRDefault="0096658B" w:rsidP="00B4427E">
            <w:pPr>
              <w:jc w:val="both"/>
              <w:rPr>
                <w:rFonts w:ascii="Times New Roman" w:hAnsi="Times New Roman" w:cs="Times New Roman"/>
                <w:sz w:val="28"/>
                <w:szCs w:val="20"/>
                <w:lang w:val="es-ES"/>
              </w:rPr>
            </w:pPr>
          </w:p>
          <w:p w:rsidR="00B4427E" w:rsidRPr="0096658B" w:rsidRDefault="0096658B" w:rsidP="00B4427E">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Parágrafo 2°. El Gobierno nacional en el plazo</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 seis meses, contados a partir de la entrada en</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vigencia de la presente ley, aplicará lo pertinente</w:t>
            </w:r>
            <w:r w:rsidRPr="0096658B">
              <w:rPr>
                <w:rFonts w:ascii="Times New Roman" w:hAnsi="Times New Roman" w:cs="Times New Roman"/>
                <w:sz w:val="28"/>
                <w:szCs w:val="20"/>
                <w:lang w:val="es-ES"/>
              </w:rPr>
              <w:t xml:space="preserve"> 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los cargos a los cuales les aplicará la presente ley.</w:t>
            </w:r>
          </w:p>
          <w:p w:rsidR="00B4427E" w:rsidRPr="0096658B" w:rsidRDefault="0096658B" w:rsidP="00B4427E">
            <w:pPr>
              <w:jc w:val="both"/>
              <w:rPr>
                <w:rFonts w:ascii="Times New Roman" w:hAnsi="Times New Roman" w:cs="Times New Roman"/>
                <w:sz w:val="28"/>
                <w:szCs w:val="20"/>
                <w:lang w:val="es-ES"/>
              </w:rPr>
            </w:pPr>
          </w:p>
          <w:p w:rsidR="00B4427E" w:rsidRPr="0096658B" w:rsidRDefault="0096658B" w:rsidP="00B4427E">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Parágrafo 3°. En los municipios del país,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en donde no existan los cargos de máximo nivel</w:t>
            </w:r>
          </w:p>
          <w:p w:rsidR="00B4427E" w:rsidRPr="0096658B" w:rsidRDefault="0096658B" w:rsidP="00B4427E">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decisorio, se deberá aplicar la regla del mínimo del</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cincuenta por ciento (50%) de los cargos de otros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niveles decisorios que deberán ser desempeñados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por mujeres.</w:t>
            </w:r>
          </w:p>
          <w:p w:rsidR="00B4427E" w:rsidRPr="0096658B" w:rsidRDefault="0096658B" w:rsidP="00B4427E">
            <w:pPr>
              <w:jc w:val="both"/>
              <w:rPr>
                <w:rFonts w:ascii="Times New Roman" w:hAnsi="Times New Roman" w:cs="Times New Roman"/>
                <w:sz w:val="28"/>
                <w:szCs w:val="20"/>
                <w:lang w:val="es-ES"/>
              </w:rPr>
            </w:pPr>
          </w:p>
          <w:p w:rsidR="00B4427E" w:rsidRPr="0096658B" w:rsidRDefault="0096658B" w:rsidP="00B4427E">
            <w:pPr>
              <w:jc w:val="both"/>
              <w:rPr>
                <w:rFonts w:ascii="Times New Roman" w:hAnsi="Times New Roman" w:cs="Times New Roman"/>
                <w:b/>
                <w:bCs/>
                <w:sz w:val="28"/>
                <w:szCs w:val="20"/>
                <w:u w:val="single"/>
                <w:lang w:val="es-ES"/>
              </w:rPr>
            </w:pPr>
            <w:r w:rsidRPr="0096658B">
              <w:rPr>
                <w:rFonts w:ascii="Times New Roman" w:hAnsi="Times New Roman" w:cs="Times New Roman"/>
                <w:b/>
                <w:bCs/>
                <w:sz w:val="28"/>
                <w:szCs w:val="20"/>
                <w:u w:val="single"/>
                <w:lang w:val="es-ES"/>
              </w:rPr>
              <w:t>Parágrafo 4°. El Gobierno nacional, por medio del Ministerio de la Igualdad o quien haga sus veces, deberá rendir un informe bianual a las Comisiones Primeras Constitucionales del Congreso de la</w:t>
            </w:r>
            <w:r w:rsidRPr="0096658B">
              <w:rPr>
                <w:rFonts w:ascii="Times New Roman" w:hAnsi="Times New Roman" w:cs="Times New Roman"/>
                <w:b/>
                <w:bCs/>
                <w:sz w:val="28"/>
                <w:szCs w:val="20"/>
                <w:u w:val="single"/>
                <w:lang w:val="es-ES"/>
              </w:rPr>
              <w:t xml:space="preserve"> República donde se presente un balance respecto a la implementación de las medidas para garantizar la participación paritaria de las mujeres en los cargos de máximo nivel decisorio y cargos de otro nivel decisorio en el orden nacional, departamental, muni</w:t>
            </w:r>
            <w:r w:rsidRPr="0096658B">
              <w:rPr>
                <w:rFonts w:ascii="Times New Roman" w:hAnsi="Times New Roman" w:cs="Times New Roman"/>
                <w:b/>
                <w:bCs/>
                <w:sz w:val="28"/>
                <w:szCs w:val="20"/>
                <w:u w:val="single"/>
                <w:lang w:val="es-ES"/>
              </w:rPr>
              <w:t>cipal, distrital y local.</w:t>
            </w:r>
          </w:p>
          <w:p w:rsidR="00B4427E" w:rsidRPr="0096658B" w:rsidRDefault="0096658B" w:rsidP="00B4427E">
            <w:pPr>
              <w:jc w:val="both"/>
              <w:rPr>
                <w:rFonts w:ascii="Times New Roman" w:hAnsi="Times New Roman" w:cs="Times New Roman"/>
                <w:sz w:val="28"/>
                <w:szCs w:val="20"/>
                <w:lang w:val="es-ES"/>
              </w:rPr>
            </w:pPr>
          </w:p>
        </w:tc>
        <w:tc>
          <w:tcPr>
            <w:tcW w:w="3741" w:type="dxa"/>
          </w:tcPr>
          <w:p w:rsidR="001E6365" w:rsidRPr="0096658B" w:rsidRDefault="0096658B" w:rsidP="001E6365">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1º. Modifíquese el artículo 4º</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 la Ley 581 de 2000, el cual quedará</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así:</w:t>
            </w:r>
          </w:p>
          <w:p w:rsidR="00B46B31" w:rsidRPr="0096658B" w:rsidRDefault="0096658B" w:rsidP="00C273BC">
            <w:pPr>
              <w:jc w:val="both"/>
              <w:rPr>
                <w:rFonts w:ascii="Times New Roman" w:hAnsi="Times New Roman" w:cs="Times New Roman"/>
                <w:sz w:val="28"/>
                <w:szCs w:val="20"/>
                <w:lang w:val="es-ES"/>
              </w:rPr>
            </w:pPr>
          </w:p>
          <w:p w:rsidR="001E6365" w:rsidRPr="0096658B" w:rsidRDefault="0096658B" w:rsidP="001E6365">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4º. Participación efectiva de las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mujeres. La participación adecuada de las mujeres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en los niveles del poder público definidos en los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artículos 2º y 3º de la presente ley, se hará efectiva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aplicando por parte de las autoridades nominadoras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las siguientes reglas:</w:t>
            </w:r>
          </w:p>
          <w:p w:rsidR="00464A06" w:rsidRPr="0096658B" w:rsidRDefault="0096658B" w:rsidP="001E6365">
            <w:pPr>
              <w:jc w:val="both"/>
              <w:rPr>
                <w:rFonts w:ascii="Times New Roman" w:hAnsi="Times New Roman" w:cs="Times New Roman"/>
                <w:sz w:val="28"/>
                <w:szCs w:val="20"/>
                <w:lang w:val="es-ES"/>
              </w:rPr>
            </w:pPr>
          </w:p>
          <w:p w:rsidR="001E6365" w:rsidRPr="0096658B" w:rsidRDefault="0096658B" w:rsidP="001E6365">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 Mínimo el cincuenta por ciento (50%) de</w:t>
            </w:r>
          </w:p>
          <w:p w:rsidR="001E6365" w:rsidRPr="0096658B" w:rsidRDefault="0096658B" w:rsidP="001E6365">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los cargos de máximo nivel decisorio, 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que trata el artículo 2°, serán desempeñad</w:t>
            </w:r>
            <w:r w:rsidRPr="0096658B">
              <w:rPr>
                <w:rFonts w:ascii="Times New Roman" w:hAnsi="Times New Roman" w:cs="Times New Roman"/>
                <w:sz w:val="28"/>
                <w:szCs w:val="20"/>
                <w:lang w:val="es-ES"/>
              </w:rPr>
              <w:t>os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por mujeres;</w:t>
            </w:r>
          </w:p>
          <w:p w:rsidR="00464A06" w:rsidRPr="0096658B" w:rsidRDefault="0096658B" w:rsidP="001E6365">
            <w:pPr>
              <w:jc w:val="both"/>
              <w:rPr>
                <w:rFonts w:ascii="Times New Roman" w:hAnsi="Times New Roman" w:cs="Times New Roman"/>
                <w:sz w:val="28"/>
                <w:szCs w:val="20"/>
                <w:lang w:val="es-ES"/>
              </w:rPr>
            </w:pPr>
          </w:p>
          <w:p w:rsidR="001E6365" w:rsidRPr="0096658B" w:rsidRDefault="0096658B" w:rsidP="001E6365">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b) Mínimo el cincuenta por ciento (50%) 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los cargos de otros niveles decisorios, 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que trata el artículo 3°, serán desempeñados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por mujeres.</w:t>
            </w:r>
          </w:p>
          <w:p w:rsidR="00464A06" w:rsidRPr="0096658B" w:rsidRDefault="0096658B" w:rsidP="001E6365">
            <w:pPr>
              <w:jc w:val="both"/>
              <w:rPr>
                <w:rFonts w:ascii="Times New Roman" w:hAnsi="Times New Roman" w:cs="Times New Roman"/>
                <w:sz w:val="28"/>
                <w:szCs w:val="20"/>
                <w:lang w:val="es-ES"/>
              </w:rPr>
            </w:pPr>
          </w:p>
          <w:p w:rsidR="001E6365" w:rsidRPr="0096658B" w:rsidRDefault="0096658B" w:rsidP="001E6365">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Parágrafo. El incumplimiento de lo ordenado</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en este artículo constituye causal de mala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conduct</w:t>
            </w:r>
            <w:r w:rsidRPr="0096658B">
              <w:rPr>
                <w:rFonts w:ascii="Times New Roman" w:hAnsi="Times New Roman" w:cs="Times New Roman"/>
                <w:sz w:val="28"/>
                <w:szCs w:val="20"/>
                <w:lang w:val="es-ES"/>
              </w:rPr>
              <w:t>a, que será sancionada con suspensión</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hasta de treinta (30) días en el ejercicio del cargo,</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y con la destitución del mismo en caso de persistir</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en la conducta, de conformidad con el régimen</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disciplinario vigente.</w:t>
            </w:r>
          </w:p>
          <w:p w:rsidR="006F58A0" w:rsidRPr="0096658B" w:rsidRDefault="0096658B" w:rsidP="001E6365">
            <w:pPr>
              <w:jc w:val="both"/>
              <w:rPr>
                <w:rFonts w:ascii="Times New Roman" w:hAnsi="Times New Roman" w:cs="Times New Roman"/>
                <w:sz w:val="28"/>
                <w:szCs w:val="20"/>
                <w:lang w:val="es-ES"/>
              </w:rPr>
            </w:pPr>
          </w:p>
          <w:p w:rsidR="001E6365" w:rsidRPr="0096658B" w:rsidRDefault="0096658B" w:rsidP="001E6365">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 xml:space="preserve">Parágrafo 2°. El Gobierno nacional en el </w:t>
            </w:r>
            <w:r w:rsidRPr="0096658B">
              <w:rPr>
                <w:rFonts w:ascii="Times New Roman" w:hAnsi="Times New Roman" w:cs="Times New Roman"/>
                <w:sz w:val="28"/>
                <w:szCs w:val="20"/>
                <w:lang w:val="es-ES"/>
              </w:rPr>
              <w:t>plazo</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 seis meses, contados a partir de la entrada en</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vigencia de la presente ley, aplicará lo pertinente 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los cargos a los cuales les aplicará la presente ley.</w:t>
            </w:r>
          </w:p>
          <w:p w:rsidR="006F58A0" w:rsidRPr="0096658B" w:rsidRDefault="0096658B" w:rsidP="001E6365">
            <w:pPr>
              <w:jc w:val="both"/>
              <w:rPr>
                <w:rFonts w:ascii="Times New Roman" w:hAnsi="Times New Roman" w:cs="Times New Roman"/>
                <w:sz w:val="28"/>
                <w:szCs w:val="20"/>
                <w:lang w:val="es-ES"/>
              </w:rPr>
            </w:pPr>
          </w:p>
          <w:p w:rsidR="001E6365" w:rsidRPr="0096658B" w:rsidRDefault="0096658B" w:rsidP="001E6365">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Parágrafo 3°. En los municipios del país,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en donde no existan los cargos de máximo nivel</w:t>
            </w:r>
          </w:p>
          <w:p w:rsidR="001E6365" w:rsidRPr="0096658B" w:rsidRDefault="0096658B" w:rsidP="001E6365">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de</w:t>
            </w:r>
            <w:r w:rsidRPr="0096658B">
              <w:rPr>
                <w:rFonts w:ascii="Times New Roman" w:hAnsi="Times New Roman" w:cs="Times New Roman"/>
                <w:sz w:val="28"/>
                <w:szCs w:val="20"/>
                <w:lang w:val="es-ES"/>
              </w:rPr>
              <w:t>cisorio, se deberá aplicar la regla del mínimo del</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cincuenta por ciento (50%) de los cargos de otros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niveles decisorios que deberán ser desempeñados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por mujeres.</w:t>
            </w:r>
          </w:p>
          <w:p w:rsidR="006F58A0" w:rsidRPr="0096658B" w:rsidRDefault="0096658B" w:rsidP="001E6365">
            <w:pPr>
              <w:jc w:val="both"/>
              <w:rPr>
                <w:rFonts w:ascii="Times New Roman" w:hAnsi="Times New Roman" w:cs="Times New Roman"/>
                <w:sz w:val="28"/>
                <w:szCs w:val="20"/>
                <w:lang w:val="es-ES"/>
              </w:rPr>
            </w:pPr>
          </w:p>
          <w:p w:rsidR="001E6365" w:rsidRPr="0096658B" w:rsidRDefault="0096658B" w:rsidP="006F58A0">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Parágrafo 4°. El Gobierno nacional, por medio</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 xml:space="preserve">del Ministerio de la Igualdad o quien haga sus </w:t>
            </w:r>
            <w:r w:rsidRPr="0096658B">
              <w:rPr>
                <w:rFonts w:ascii="Times New Roman" w:hAnsi="Times New Roman" w:cs="Times New Roman"/>
                <w:sz w:val="28"/>
                <w:szCs w:val="20"/>
                <w:lang w:val="es-ES"/>
              </w:rPr>
              <w:t>veces,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deberá rendir un informe bianual a las Comisiones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Primeras Constitucionales del Congreso de la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República donde se presente un balance respecto 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la implementación de las medidas para garantizar la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participación paritaria de las mujeres en los cargos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 máximo nivel decisorio y cargos de otro nivel</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decisorio en el orden nacional, departamental,</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municipal, distrital y local.</w:t>
            </w:r>
          </w:p>
        </w:tc>
        <w:tc>
          <w:tcPr>
            <w:tcW w:w="3741" w:type="dxa"/>
          </w:tcPr>
          <w:p w:rsidR="00547A80" w:rsidRPr="0096658B" w:rsidRDefault="0096658B" w:rsidP="00547A80">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1º. Modifíquese el artículo 4º</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 la Ley 581 de 2000, el cual quedará</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así:</w:t>
            </w:r>
          </w:p>
          <w:p w:rsidR="00B46B31" w:rsidRPr="0096658B" w:rsidRDefault="0096658B" w:rsidP="00C273BC">
            <w:pPr>
              <w:jc w:val="both"/>
              <w:rPr>
                <w:rFonts w:ascii="Times New Roman" w:hAnsi="Times New Roman" w:cs="Times New Roman"/>
                <w:sz w:val="28"/>
                <w:szCs w:val="20"/>
                <w:lang w:val="es-ES"/>
              </w:rPr>
            </w:pPr>
          </w:p>
          <w:p w:rsidR="00547A80" w:rsidRPr="0096658B" w:rsidRDefault="0096658B" w:rsidP="00C273BC">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4º. Participación efectiva de las mujeres. La participación adecuada de las mujeres en los niveles del poder público definidos en los artículos 2o y 3o de la presente ley, se hará aplicando por parte de las autoridades nominadoras las siguientes r</w:t>
            </w:r>
            <w:r w:rsidRPr="0096658B">
              <w:rPr>
                <w:rFonts w:ascii="Times New Roman" w:hAnsi="Times New Roman" w:cs="Times New Roman"/>
                <w:sz w:val="28"/>
                <w:szCs w:val="20"/>
                <w:lang w:val="es-ES"/>
              </w:rPr>
              <w:t xml:space="preserve">eglas: </w:t>
            </w:r>
          </w:p>
          <w:p w:rsidR="00547A80" w:rsidRPr="0096658B" w:rsidRDefault="0096658B" w:rsidP="00C273BC">
            <w:pPr>
              <w:jc w:val="both"/>
              <w:rPr>
                <w:rFonts w:ascii="Times New Roman" w:hAnsi="Times New Roman" w:cs="Times New Roman"/>
                <w:sz w:val="28"/>
                <w:szCs w:val="20"/>
                <w:lang w:val="es-ES"/>
              </w:rPr>
            </w:pPr>
          </w:p>
          <w:p w:rsidR="00547A80" w:rsidRPr="0096658B" w:rsidRDefault="0096658B" w:rsidP="00C273BC">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 xml:space="preserve">a) Mínimo el cincuenta por ciento (50%) de los cargos de máximo nivel decisorio, de que trata el artículo 2., serán desempeñados por mujeres; </w:t>
            </w:r>
          </w:p>
          <w:p w:rsidR="00547A80" w:rsidRPr="0096658B" w:rsidRDefault="0096658B" w:rsidP="00C273BC">
            <w:pPr>
              <w:jc w:val="both"/>
              <w:rPr>
                <w:rFonts w:ascii="Times New Roman" w:hAnsi="Times New Roman" w:cs="Times New Roman"/>
                <w:sz w:val="28"/>
                <w:szCs w:val="20"/>
                <w:lang w:val="es-ES"/>
              </w:rPr>
            </w:pPr>
          </w:p>
          <w:p w:rsidR="00547A80" w:rsidRPr="0096658B" w:rsidRDefault="0096658B" w:rsidP="00C273BC">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 xml:space="preserve">b) Mínimo el cincuenta por ciento (50%) de los cargos de otros niveles decisorios, de que </w:t>
            </w:r>
            <w:r w:rsidRPr="0096658B">
              <w:rPr>
                <w:rFonts w:ascii="Times New Roman" w:hAnsi="Times New Roman" w:cs="Times New Roman"/>
                <w:sz w:val="28"/>
                <w:szCs w:val="20"/>
                <w:lang w:val="es-ES"/>
              </w:rPr>
              <w:t xml:space="preserve">trata el artículo 3., serán desempeñados por mujeres. </w:t>
            </w:r>
          </w:p>
          <w:p w:rsidR="00547A80" w:rsidRPr="0096658B" w:rsidRDefault="0096658B" w:rsidP="00C273BC">
            <w:pPr>
              <w:jc w:val="both"/>
              <w:rPr>
                <w:rFonts w:ascii="Times New Roman" w:hAnsi="Times New Roman" w:cs="Times New Roman"/>
                <w:sz w:val="28"/>
                <w:szCs w:val="20"/>
                <w:lang w:val="es-ES"/>
              </w:rPr>
            </w:pPr>
          </w:p>
          <w:p w:rsidR="00547A80" w:rsidRPr="0096658B" w:rsidRDefault="0096658B" w:rsidP="00C273BC">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Parágrafo 1. El incumplimiento de lo ordenado en este artículo constituye causal de mala conducta, que será sancionada con suspensión hasta de treinta (30) días en el ejercicio del cargo, y con la des</w:t>
            </w:r>
            <w:r w:rsidRPr="0096658B">
              <w:rPr>
                <w:rFonts w:ascii="Times New Roman" w:hAnsi="Times New Roman" w:cs="Times New Roman"/>
                <w:sz w:val="28"/>
                <w:szCs w:val="20"/>
                <w:lang w:val="es-ES"/>
              </w:rPr>
              <w:t xml:space="preserve">titución del mismo en caso de persistir en la conducta, de conformidad con el régimen disciplinario vigente. </w:t>
            </w:r>
          </w:p>
          <w:p w:rsidR="00547A80" w:rsidRPr="0096658B" w:rsidRDefault="0096658B" w:rsidP="00C273BC">
            <w:pPr>
              <w:jc w:val="both"/>
              <w:rPr>
                <w:rFonts w:ascii="Times New Roman" w:hAnsi="Times New Roman" w:cs="Times New Roman"/>
                <w:sz w:val="28"/>
                <w:szCs w:val="20"/>
                <w:lang w:val="es-ES"/>
              </w:rPr>
            </w:pPr>
          </w:p>
          <w:p w:rsidR="00547A80" w:rsidRPr="0096658B" w:rsidRDefault="0096658B" w:rsidP="00C273BC">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Parágrafo 2. El Gobierno Nacional en el plazo de seis meses, contados a partir de la entrada en vigencia de la presente Ley, reglamentará los car</w:t>
            </w:r>
            <w:r w:rsidRPr="0096658B">
              <w:rPr>
                <w:rFonts w:ascii="Times New Roman" w:hAnsi="Times New Roman" w:cs="Times New Roman"/>
                <w:sz w:val="28"/>
                <w:szCs w:val="20"/>
                <w:lang w:val="es-ES"/>
              </w:rPr>
              <w:t>gos a los cuales les aplicará la presente Ley.</w:t>
            </w:r>
          </w:p>
        </w:tc>
        <w:tc>
          <w:tcPr>
            <w:tcW w:w="3742" w:type="dxa"/>
          </w:tcPr>
          <w:p w:rsidR="00166922" w:rsidRPr="0096658B" w:rsidRDefault="0096658B" w:rsidP="00166922">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1°. Modifíquese el artículo 4° de la Ley 581 de 2000, el cual quedará así:</w:t>
            </w:r>
          </w:p>
          <w:p w:rsidR="00166922" w:rsidRPr="0096658B" w:rsidRDefault="0096658B" w:rsidP="00166922">
            <w:pPr>
              <w:jc w:val="both"/>
              <w:rPr>
                <w:rFonts w:ascii="Times New Roman" w:hAnsi="Times New Roman" w:cs="Times New Roman"/>
                <w:sz w:val="28"/>
                <w:szCs w:val="20"/>
                <w:lang w:val="es-ES"/>
              </w:rPr>
            </w:pPr>
          </w:p>
          <w:p w:rsidR="00166922" w:rsidRPr="0096658B" w:rsidRDefault="0096658B" w:rsidP="00166922">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4. Participación efectiva de las mujeres. La participación adecuada de las mujeres en los niveles del poder públ</w:t>
            </w:r>
            <w:r w:rsidRPr="0096658B">
              <w:rPr>
                <w:rFonts w:ascii="Times New Roman" w:hAnsi="Times New Roman" w:cs="Times New Roman"/>
                <w:sz w:val="28"/>
                <w:szCs w:val="20"/>
                <w:lang w:val="es-ES"/>
              </w:rPr>
              <w:t>ico definidos en los artículos 2º y 3º de la presente ley, se hará́ efectiva aplicando por parte de las autoridades nominadoras las siguientes reglas:</w:t>
            </w:r>
          </w:p>
          <w:p w:rsidR="00166922" w:rsidRPr="0096658B" w:rsidRDefault="0096658B" w:rsidP="00166922">
            <w:pPr>
              <w:jc w:val="both"/>
              <w:rPr>
                <w:rFonts w:ascii="Times New Roman" w:hAnsi="Times New Roman" w:cs="Times New Roman"/>
                <w:sz w:val="28"/>
                <w:szCs w:val="20"/>
                <w:lang w:val="es-ES"/>
              </w:rPr>
            </w:pPr>
          </w:p>
          <w:p w:rsidR="00166922" w:rsidRPr="0096658B" w:rsidRDefault="0096658B" w:rsidP="00166922">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 Mínimo el cincuenta por ciento (50%) de los cargos de máximo nivel decisorio, de que trata el artícul</w:t>
            </w:r>
            <w:r w:rsidRPr="0096658B">
              <w:rPr>
                <w:rFonts w:ascii="Times New Roman" w:hAnsi="Times New Roman" w:cs="Times New Roman"/>
                <w:sz w:val="28"/>
                <w:szCs w:val="20"/>
                <w:lang w:val="es-ES"/>
              </w:rPr>
              <w:t>o 2º, serán desempeñados por mujeres;</w:t>
            </w:r>
          </w:p>
          <w:p w:rsidR="00166922" w:rsidRPr="0096658B" w:rsidRDefault="0096658B" w:rsidP="00166922">
            <w:pPr>
              <w:jc w:val="both"/>
              <w:rPr>
                <w:rFonts w:ascii="Times New Roman" w:hAnsi="Times New Roman" w:cs="Times New Roman"/>
                <w:sz w:val="28"/>
                <w:szCs w:val="20"/>
                <w:lang w:val="es-ES"/>
              </w:rPr>
            </w:pPr>
          </w:p>
          <w:p w:rsidR="00166922" w:rsidRPr="0096658B" w:rsidRDefault="0096658B" w:rsidP="00166922">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b) Mínimo el cincuenta por ciento (50%) de los cargos de otros niveles decisorios, de que trata el artículo 3º, serán desempeñados por mujeres.</w:t>
            </w:r>
          </w:p>
          <w:p w:rsidR="00166922" w:rsidRPr="0096658B" w:rsidRDefault="0096658B" w:rsidP="00166922">
            <w:pPr>
              <w:jc w:val="both"/>
              <w:rPr>
                <w:rFonts w:ascii="Times New Roman" w:hAnsi="Times New Roman" w:cs="Times New Roman"/>
                <w:sz w:val="28"/>
                <w:szCs w:val="20"/>
                <w:lang w:val="es-ES"/>
              </w:rPr>
            </w:pPr>
          </w:p>
          <w:p w:rsidR="00166922" w:rsidRPr="0096658B" w:rsidRDefault="0096658B" w:rsidP="00166922">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 xml:space="preserve">Parágrafo. El incumplimiento de lo ordenado en este artículo constituye </w:t>
            </w:r>
            <w:r w:rsidRPr="0096658B">
              <w:rPr>
                <w:rFonts w:ascii="Times New Roman" w:hAnsi="Times New Roman" w:cs="Times New Roman"/>
                <w:sz w:val="28"/>
                <w:szCs w:val="20"/>
                <w:lang w:val="es-ES"/>
              </w:rPr>
              <w:t>causal de mala conducta, que será sancionada con suspensión hasta de treinta (30) días en el ejercicio del cargo, y con la destitución del mismo en caso de persistir en la conducta, de conformidad con el régimen disciplinario vigente.</w:t>
            </w:r>
          </w:p>
          <w:p w:rsidR="00166922" w:rsidRPr="0096658B" w:rsidRDefault="0096658B" w:rsidP="00166922">
            <w:pPr>
              <w:jc w:val="both"/>
              <w:rPr>
                <w:rFonts w:ascii="Times New Roman" w:hAnsi="Times New Roman" w:cs="Times New Roman"/>
                <w:sz w:val="28"/>
                <w:szCs w:val="20"/>
                <w:lang w:val="es-ES"/>
              </w:rPr>
            </w:pPr>
          </w:p>
          <w:p w:rsidR="00B46B31" w:rsidRPr="0096658B" w:rsidRDefault="0096658B" w:rsidP="00166922">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Parágrafo 2. El Gobi</w:t>
            </w:r>
            <w:r w:rsidRPr="0096658B">
              <w:rPr>
                <w:rFonts w:ascii="Times New Roman" w:hAnsi="Times New Roman" w:cs="Times New Roman"/>
                <w:sz w:val="28"/>
                <w:szCs w:val="20"/>
                <w:lang w:val="es-ES"/>
              </w:rPr>
              <w:t>erno Nacional en el plazo de seis meses, contados a partir de la entrada en vigencia de la presente Ley, reglamentará los cargos a los cuales les aplicará la presente Ley.</w:t>
            </w:r>
          </w:p>
        </w:tc>
      </w:tr>
      <w:tr w:rsidR="00546446" w:rsidRPr="0096658B" w:rsidTr="00C273BC">
        <w:tc>
          <w:tcPr>
            <w:tcW w:w="3741" w:type="dxa"/>
          </w:tcPr>
          <w:p w:rsidR="00546446" w:rsidRPr="0096658B" w:rsidRDefault="0096658B" w:rsidP="00546446">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2°. Modifíquese el artículo 13º de la Ley 581 de 2000, el cual quedará a</w:t>
            </w:r>
            <w:r w:rsidRPr="0096658B">
              <w:rPr>
                <w:rFonts w:ascii="Times New Roman" w:hAnsi="Times New Roman" w:cs="Times New Roman"/>
                <w:sz w:val="28"/>
                <w:szCs w:val="20"/>
                <w:lang w:val="es-ES"/>
              </w:rPr>
              <w:t>sí:</w:t>
            </w:r>
          </w:p>
          <w:p w:rsidR="00546446" w:rsidRPr="0096658B" w:rsidRDefault="0096658B" w:rsidP="00546446">
            <w:pPr>
              <w:jc w:val="both"/>
              <w:rPr>
                <w:rFonts w:ascii="Times New Roman" w:hAnsi="Times New Roman" w:cs="Times New Roman"/>
                <w:sz w:val="28"/>
                <w:szCs w:val="20"/>
                <w:lang w:val="es-ES"/>
              </w:rPr>
            </w:pPr>
          </w:p>
          <w:p w:rsidR="00546446" w:rsidRPr="0096658B" w:rsidRDefault="0096658B" w:rsidP="00546446">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13. Representación en el exterior. El Gobierno y el Congreso de la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República, deberán incluir mujeres de forma paritaria en las delegaciones 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colombianos que en comisiones oficiales atiendan conferencias diplomáticas, reuniones,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 xml:space="preserve">foros </w:t>
            </w:r>
            <w:r w:rsidRPr="0096658B">
              <w:rPr>
                <w:rFonts w:ascii="Times New Roman" w:hAnsi="Times New Roman" w:cs="Times New Roman"/>
                <w:sz w:val="28"/>
                <w:szCs w:val="20"/>
                <w:lang w:val="es-ES"/>
              </w:rPr>
              <w:t>internacionales, comités de expertos y eventos de naturaleza similar.</w:t>
            </w:r>
          </w:p>
          <w:p w:rsidR="00546446" w:rsidRPr="0096658B" w:rsidRDefault="0096658B" w:rsidP="00546446">
            <w:pPr>
              <w:jc w:val="both"/>
              <w:rPr>
                <w:rFonts w:ascii="Times New Roman" w:hAnsi="Times New Roman" w:cs="Times New Roman"/>
                <w:sz w:val="28"/>
                <w:szCs w:val="20"/>
                <w:lang w:val="es-ES"/>
              </w:rPr>
            </w:pPr>
          </w:p>
          <w:p w:rsidR="00546446" w:rsidRPr="0096658B" w:rsidRDefault="0096658B" w:rsidP="00546446">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Así mismo, asegurará la participación de mujeres en los cursos y seminarios 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capacitación que se ofrezcan en el exterior a los servidores públicos colombianos en las</w:t>
            </w:r>
          </w:p>
          <w:p w:rsidR="00546446" w:rsidRPr="0096658B" w:rsidRDefault="0096658B" w:rsidP="00546446">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diferentes áreas.</w:t>
            </w:r>
          </w:p>
          <w:p w:rsidR="00546446" w:rsidRPr="0096658B" w:rsidRDefault="0096658B" w:rsidP="00546446">
            <w:pPr>
              <w:jc w:val="both"/>
              <w:rPr>
                <w:rFonts w:ascii="Times New Roman" w:hAnsi="Times New Roman" w:cs="Times New Roman"/>
                <w:sz w:val="28"/>
                <w:szCs w:val="20"/>
                <w:lang w:val="es-ES"/>
              </w:rPr>
            </w:pPr>
          </w:p>
          <w:p w:rsidR="00546446" w:rsidRPr="0096658B" w:rsidRDefault="0096658B" w:rsidP="00546446">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Parágrafo. El incumplimiento de esta disposición será causal de mala conducta.</w:t>
            </w:r>
          </w:p>
          <w:p w:rsidR="00546446" w:rsidRPr="0096658B" w:rsidRDefault="0096658B" w:rsidP="00546446">
            <w:pPr>
              <w:jc w:val="both"/>
              <w:rPr>
                <w:rFonts w:ascii="Times New Roman" w:hAnsi="Times New Roman" w:cs="Times New Roman"/>
                <w:sz w:val="28"/>
                <w:szCs w:val="20"/>
                <w:lang w:val="es-ES"/>
              </w:rPr>
            </w:pPr>
          </w:p>
        </w:tc>
        <w:tc>
          <w:tcPr>
            <w:tcW w:w="3741" w:type="dxa"/>
          </w:tcPr>
          <w:p w:rsidR="00B4427E" w:rsidRPr="0096658B" w:rsidRDefault="0096658B" w:rsidP="00B4427E">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2°. Modifíquese el artículo 13º de la Ley 581 de 2000, el cual quedará así:</w:t>
            </w:r>
          </w:p>
          <w:p w:rsidR="003C0FE2" w:rsidRPr="0096658B" w:rsidRDefault="0096658B" w:rsidP="003C0FE2">
            <w:pPr>
              <w:jc w:val="both"/>
              <w:rPr>
                <w:rFonts w:ascii="Times New Roman" w:hAnsi="Times New Roman" w:cs="Times New Roman"/>
                <w:sz w:val="28"/>
                <w:szCs w:val="20"/>
                <w:lang w:val="es-ES"/>
              </w:rPr>
            </w:pPr>
          </w:p>
          <w:p w:rsidR="00B4427E" w:rsidRPr="0096658B" w:rsidRDefault="0096658B" w:rsidP="00B4427E">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13. Representación en el exterior.</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El Gobierno y el Congreso de la República,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deberán incluir mujeres de forma paritaria en las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delegaciones de colombianos que en comisiones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oficiales atiendan conferencias diplomáticas,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reuniones, foros internacionales, comités 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expertos y eventos de naturaleza similar.</w:t>
            </w:r>
          </w:p>
          <w:p w:rsidR="00B4427E" w:rsidRPr="0096658B" w:rsidRDefault="0096658B" w:rsidP="00B4427E">
            <w:pPr>
              <w:jc w:val="both"/>
              <w:rPr>
                <w:rFonts w:ascii="Times New Roman" w:hAnsi="Times New Roman" w:cs="Times New Roman"/>
                <w:sz w:val="28"/>
                <w:szCs w:val="20"/>
                <w:lang w:val="es-ES"/>
              </w:rPr>
            </w:pPr>
          </w:p>
          <w:p w:rsidR="00B4427E" w:rsidRPr="0096658B" w:rsidRDefault="0096658B" w:rsidP="00B4427E">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Así mismo, asegurará la pa</w:t>
            </w:r>
            <w:r w:rsidRPr="0096658B">
              <w:rPr>
                <w:rFonts w:ascii="Times New Roman" w:hAnsi="Times New Roman" w:cs="Times New Roman"/>
                <w:sz w:val="28"/>
                <w:szCs w:val="20"/>
                <w:lang w:val="es-ES"/>
              </w:rPr>
              <w:t>rticipación 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mujeres en los cursos y seminarios de capacitación</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que se ofrezcan en el exterior a los servidores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públicos colombianos en las diferentes áreas.</w:t>
            </w:r>
          </w:p>
          <w:p w:rsidR="00B4427E" w:rsidRPr="0096658B" w:rsidRDefault="0096658B" w:rsidP="00B4427E">
            <w:pPr>
              <w:jc w:val="both"/>
              <w:rPr>
                <w:rFonts w:ascii="Times New Roman" w:hAnsi="Times New Roman" w:cs="Times New Roman"/>
                <w:sz w:val="28"/>
                <w:szCs w:val="20"/>
                <w:lang w:val="es-ES"/>
              </w:rPr>
            </w:pPr>
          </w:p>
          <w:p w:rsidR="00B4427E" w:rsidRPr="0096658B" w:rsidRDefault="0096658B" w:rsidP="00B4427E">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Parágrafo. El incumplimiento de esta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disposición será causal de mala conducta.</w:t>
            </w:r>
          </w:p>
        </w:tc>
        <w:tc>
          <w:tcPr>
            <w:tcW w:w="3741" w:type="dxa"/>
          </w:tcPr>
          <w:p w:rsidR="006F58A0" w:rsidRPr="0096658B" w:rsidRDefault="0096658B" w:rsidP="006F58A0">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 xml:space="preserve">Artículo 2°. </w:t>
            </w:r>
            <w:r w:rsidRPr="0096658B">
              <w:rPr>
                <w:rFonts w:ascii="Times New Roman" w:hAnsi="Times New Roman" w:cs="Times New Roman"/>
                <w:sz w:val="28"/>
                <w:szCs w:val="20"/>
                <w:lang w:val="es-ES"/>
              </w:rPr>
              <w:t>Modifíquese el artículo 13º de la Ley 581 de 2000, el cual quedará así:</w:t>
            </w:r>
          </w:p>
          <w:p w:rsidR="00546446" w:rsidRPr="0096658B" w:rsidRDefault="0096658B" w:rsidP="00C273BC">
            <w:pPr>
              <w:jc w:val="both"/>
              <w:rPr>
                <w:rFonts w:ascii="Times New Roman" w:hAnsi="Times New Roman" w:cs="Times New Roman"/>
                <w:sz w:val="28"/>
                <w:szCs w:val="20"/>
                <w:lang w:val="es-ES"/>
              </w:rPr>
            </w:pPr>
          </w:p>
          <w:p w:rsidR="006F58A0" w:rsidRPr="0096658B" w:rsidRDefault="0096658B" w:rsidP="006F58A0">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13. Representación en el exterior.</w:t>
            </w:r>
          </w:p>
          <w:p w:rsidR="006F58A0" w:rsidRPr="0096658B" w:rsidRDefault="0096658B" w:rsidP="006F58A0">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El Gobierno y el Congreso de la República,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deberán incluir mujeres de forma paritaria en las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delegaciones de colombianos que en comisiones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oficiales atiendan conferencias diplomáticas,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reuniones, foros internacionales, comités 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expertos y eventos de naturaleza similar.</w:t>
            </w:r>
          </w:p>
          <w:p w:rsidR="006F58A0" w:rsidRPr="0096658B" w:rsidRDefault="0096658B" w:rsidP="006F58A0">
            <w:pPr>
              <w:jc w:val="both"/>
              <w:rPr>
                <w:rFonts w:ascii="Times New Roman" w:hAnsi="Times New Roman" w:cs="Times New Roman"/>
                <w:sz w:val="28"/>
                <w:szCs w:val="20"/>
                <w:lang w:val="es-ES"/>
              </w:rPr>
            </w:pPr>
          </w:p>
          <w:p w:rsidR="006F58A0" w:rsidRPr="0096658B" w:rsidRDefault="0096658B" w:rsidP="006F58A0">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Así mismo, asegurará la participación 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mujeres en los cursos y seminarios de capacitación</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que se ofrezcan en el exterior</w:t>
            </w:r>
            <w:r w:rsidRPr="0096658B">
              <w:rPr>
                <w:rFonts w:ascii="Times New Roman" w:hAnsi="Times New Roman" w:cs="Times New Roman"/>
                <w:sz w:val="28"/>
                <w:szCs w:val="20"/>
                <w:lang w:val="es-ES"/>
              </w:rPr>
              <w:t xml:space="preserve"> a los servidores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públicos colombianos en las diferentes áreas.</w:t>
            </w:r>
          </w:p>
          <w:p w:rsidR="006F58A0" w:rsidRPr="0096658B" w:rsidRDefault="0096658B" w:rsidP="006F58A0">
            <w:pPr>
              <w:jc w:val="both"/>
              <w:rPr>
                <w:rFonts w:ascii="Times New Roman" w:hAnsi="Times New Roman" w:cs="Times New Roman"/>
                <w:sz w:val="28"/>
                <w:szCs w:val="20"/>
                <w:lang w:val="es-ES"/>
              </w:rPr>
            </w:pPr>
          </w:p>
          <w:p w:rsidR="006F58A0" w:rsidRPr="0096658B" w:rsidRDefault="0096658B" w:rsidP="006F58A0">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Parágrafo. El incumplimiento de esta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disposición será causal de mala conducta</w:t>
            </w:r>
          </w:p>
        </w:tc>
        <w:tc>
          <w:tcPr>
            <w:tcW w:w="3741" w:type="dxa"/>
          </w:tcPr>
          <w:p w:rsidR="008F4830" w:rsidRPr="0096658B" w:rsidRDefault="0096658B" w:rsidP="008F4830">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2°. Modifíquese el artículo 13º de la Ley 581 de 2000, el cual quedará así:</w:t>
            </w:r>
          </w:p>
          <w:p w:rsidR="00546446" w:rsidRPr="0096658B" w:rsidRDefault="0096658B" w:rsidP="00C273BC">
            <w:pPr>
              <w:jc w:val="both"/>
              <w:rPr>
                <w:rFonts w:ascii="Times New Roman" w:hAnsi="Times New Roman" w:cs="Times New Roman"/>
                <w:sz w:val="28"/>
                <w:szCs w:val="20"/>
                <w:lang w:val="es-ES"/>
              </w:rPr>
            </w:pPr>
          </w:p>
          <w:p w:rsidR="00DC4D43" w:rsidRPr="0096658B" w:rsidRDefault="0096658B" w:rsidP="00DC4D43">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13. Representación en el exterior. El Gobierno y el Congreso de la República, deberán incluir mujeres de forma paritaria en las delegaciones de colombianos que en comisiones oficiales atiendan conferencias diplomáticas,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reuniones, foros internacio</w:t>
            </w:r>
            <w:r w:rsidRPr="0096658B">
              <w:rPr>
                <w:rFonts w:ascii="Times New Roman" w:hAnsi="Times New Roman" w:cs="Times New Roman"/>
                <w:sz w:val="28"/>
                <w:szCs w:val="20"/>
                <w:lang w:val="es-ES"/>
              </w:rPr>
              <w:t>nales, comités de expertos y eventos de naturaleza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similar.</w:t>
            </w:r>
          </w:p>
          <w:p w:rsidR="00DC4D43" w:rsidRPr="0096658B" w:rsidRDefault="0096658B" w:rsidP="00DC4D43">
            <w:pPr>
              <w:jc w:val="both"/>
              <w:rPr>
                <w:rFonts w:ascii="Times New Roman" w:hAnsi="Times New Roman" w:cs="Times New Roman"/>
                <w:sz w:val="28"/>
                <w:szCs w:val="20"/>
                <w:lang w:val="es-ES"/>
              </w:rPr>
            </w:pPr>
          </w:p>
          <w:p w:rsidR="00DC4D43" w:rsidRPr="0096658B" w:rsidRDefault="0096658B" w:rsidP="00DC4D43">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Así mismo, asegurará la participación de mujeres en los cursos y seminarios 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capacitación que se ofrezcan en el exterior a los servidores públicos colombianos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en las diferentes áreas.</w:t>
            </w:r>
          </w:p>
          <w:p w:rsidR="00DC4D43" w:rsidRPr="0096658B" w:rsidRDefault="0096658B" w:rsidP="00DC4D43">
            <w:pPr>
              <w:jc w:val="both"/>
              <w:rPr>
                <w:rFonts w:ascii="Times New Roman" w:hAnsi="Times New Roman" w:cs="Times New Roman"/>
                <w:sz w:val="28"/>
                <w:szCs w:val="20"/>
                <w:lang w:val="es-ES"/>
              </w:rPr>
            </w:pPr>
          </w:p>
          <w:p w:rsidR="008F4830" w:rsidRPr="0096658B" w:rsidRDefault="0096658B" w:rsidP="00DC4D43">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Parágraf</w:t>
            </w:r>
            <w:r w:rsidRPr="0096658B">
              <w:rPr>
                <w:rFonts w:ascii="Times New Roman" w:hAnsi="Times New Roman" w:cs="Times New Roman"/>
                <w:sz w:val="28"/>
                <w:szCs w:val="20"/>
                <w:lang w:val="es-ES"/>
              </w:rPr>
              <w:t>o. El incumplimiento de esta disposición será causal de mala conducta.</w:t>
            </w:r>
          </w:p>
        </w:tc>
        <w:tc>
          <w:tcPr>
            <w:tcW w:w="3742" w:type="dxa"/>
          </w:tcPr>
          <w:p w:rsidR="00166922" w:rsidRPr="0096658B" w:rsidRDefault="0096658B" w:rsidP="00166922">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2°. Modifíquese el artículo 13º de la Ley 581 de 2000, el cual quedará así:</w:t>
            </w:r>
          </w:p>
          <w:p w:rsidR="00166922" w:rsidRPr="0096658B" w:rsidRDefault="0096658B" w:rsidP="00166922">
            <w:pPr>
              <w:jc w:val="both"/>
              <w:rPr>
                <w:rFonts w:ascii="Times New Roman" w:hAnsi="Times New Roman" w:cs="Times New Roman"/>
                <w:sz w:val="28"/>
                <w:szCs w:val="20"/>
                <w:lang w:val="es-ES"/>
              </w:rPr>
            </w:pPr>
          </w:p>
          <w:p w:rsidR="00166922" w:rsidRPr="0096658B" w:rsidRDefault="0096658B" w:rsidP="00166922">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13. Representación en el exterior. El Gobierno y el Congreso de la República, deberán incl</w:t>
            </w:r>
            <w:r w:rsidRPr="0096658B">
              <w:rPr>
                <w:rFonts w:ascii="Times New Roman" w:hAnsi="Times New Roman" w:cs="Times New Roman"/>
                <w:sz w:val="28"/>
                <w:szCs w:val="20"/>
                <w:lang w:val="es-ES"/>
              </w:rPr>
              <w:t>uir mujeres de forma paritaria en las delegaciones de colombianos que en comisiones oficiales atiendan conferencias diplomáticas, reuniones, foros internacionales, comités de expertos y eventos de naturaleza similar.</w:t>
            </w:r>
          </w:p>
          <w:p w:rsidR="00166922" w:rsidRPr="0096658B" w:rsidRDefault="0096658B" w:rsidP="00166922">
            <w:pPr>
              <w:jc w:val="both"/>
              <w:rPr>
                <w:rFonts w:ascii="Times New Roman" w:hAnsi="Times New Roman" w:cs="Times New Roman"/>
                <w:sz w:val="28"/>
                <w:szCs w:val="20"/>
                <w:lang w:val="es-ES"/>
              </w:rPr>
            </w:pPr>
          </w:p>
          <w:p w:rsidR="00166922" w:rsidRPr="0096658B" w:rsidRDefault="0096658B" w:rsidP="00166922">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 xml:space="preserve">Así mismo, asegurará la participación </w:t>
            </w:r>
            <w:r w:rsidRPr="0096658B">
              <w:rPr>
                <w:rFonts w:ascii="Times New Roman" w:hAnsi="Times New Roman" w:cs="Times New Roman"/>
                <w:sz w:val="28"/>
                <w:szCs w:val="20"/>
                <w:lang w:val="es-ES"/>
              </w:rPr>
              <w:t>de mujeres en los cursos y seminarios de capacitación que se ofrezcan en el exterior a los servidores públicos colombianos en las diferentes áreas.</w:t>
            </w:r>
          </w:p>
          <w:p w:rsidR="00166922" w:rsidRPr="0096658B" w:rsidRDefault="0096658B" w:rsidP="00166922">
            <w:pPr>
              <w:jc w:val="both"/>
              <w:rPr>
                <w:rFonts w:ascii="Times New Roman" w:hAnsi="Times New Roman" w:cs="Times New Roman"/>
                <w:sz w:val="28"/>
                <w:szCs w:val="20"/>
                <w:lang w:val="es-ES"/>
              </w:rPr>
            </w:pPr>
          </w:p>
          <w:p w:rsidR="00546446" w:rsidRPr="0096658B" w:rsidRDefault="0096658B" w:rsidP="00166922">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Parágrafo. El incumplimiento de esta disposición será causal de mala conducta.</w:t>
            </w:r>
          </w:p>
        </w:tc>
      </w:tr>
      <w:tr w:rsidR="00B9088E" w:rsidRPr="0096658B" w:rsidTr="00C273BC">
        <w:tc>
          <w:tcPr>
            <w:tcW w:w="3741" w:type="dxa"/>
          </w:tcPr>
          <w:p w:rsidR="00B9088E" w:rsidRPr="0096658B" w:rsidRDefault="0096658B" w:rsidP="00B9088E">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3º. Modifíquese el</w:t>
            </w:r>
            <w:r w:rsidRPr="0096658B">
              <w:rPr>
                <w:rFonts w:ascii="Times New Roman" w:hAnsi="Times New Roman" w:cs="Times New Roman"/>
                <w:sz w:val="28"/>
                <w:szCs w:val="20"/>
                <w:lang w:val="es-ES"/>
              </w:rPr>
              <w:t xml:space="preserve"> artículo 28º de la Ley 1475 de 2011, el cual quedará así:</w:t>
            </w:r>
          </w:p>
          <w:p w:rsidR="00B9088E" w:rsidRPr="0096658B" w:rsidRDefault="0096658B" w:rsidP="00B9088E">
            <w:pPr>
              <w:jc w:val="both"/>
              <w:rPr>
                <w:rFonts w:ascii="Times New Roman" w:hAnsi="Times New Roman" w:cs="Times New Roman"/>
                <w:sz w:val="28"/>
                <w:szCs w:val="20"/>
                <w:lang w:val="es-ES"/>
              </w:rPr>
            </w:pPr>
          </w:p>
          <w:p w:rsidR="00B9088E" w:rsidRPr="0096658B" w:rsidRDefault="0096658B" w:rsidP="00B9088E">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28. Inscripción de candidatos. Los partidos y movimientos políticos con</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personería jurídica podrán inscribir candidatos a cargos y corporaciones de elección</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popular previa verificación de</w:t>
            </w:r>
            <w:r w:rsidRPr="0096658B">
              <w:rPr>
                <w:rFonts w:ascii="Times New Roman" w:hAnsi="Times New Roman" w:cs="Times New Roman"/>
                <w:sz w:val="28"/>
                <w:szCs w:val="20"/>
                <w:lang w:val="es-ES"/>
              </w:rPr>
              <w:t>l cumplimiento de las calidades y requisitos de sus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candidatos, así como de que no se encuentran incursos en causales de inhabilidad o</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incompatibilidad. Dichos candidatos deberán ser escogidos mediante procedimientos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democráticos, de conformidad con sus es</w:t>
            </w:r>
            <w:r w:rsidRPr="0096658B">
              <w:rPr>
                <w:rFonts w:ascii="Times New Roman" w:hAnsi="Times New Roman" w:cs="Times New Roman"/>
                <w:sz w:val="28"/>
                <w:szCs w:val="20"/>
                <w:lang w:val="es-ES"/>
              </w:rPr>
              <w:t>tatutos. Las listas donde se elijan 5 o más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curules para corporaciones de elección popular o las que se sometan a consulta -exceptuando su resultado- deberán conformarse por mínimo un 50% de uno de los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géneros.</w:t>
            </w:r>
          </w:p>
          <w:p w:rsidR="00B9088E" w:rsidRPr="0096658B" w:rsidRDefault="0096658B" w:rsidP="00B9088E">
            <w:pPr>
              <w:jc w:val="both"/>
              <w:rPr>
                <w:rFonts w:ascii="Times New Roman" w:hAnsi="Times New Roman" w:cs="Times New Roman"/>
                <w:sz w:val="28"/>
                <w:szCs w:val="20"/>
                <w:lang w:val="es-ES"/>
              </w:rPr>
            </w:pPr>
          </w:p>
          <w:p w:rsidR="00B9088E" w:rsidRPr="0096658B" w:rsidRDefault="0096658B" w:rsidP="00B9088E">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Los Partidos y Movimientos Políticos con Per</w:t>
            </w:r>
            <w:r w:rsidRPr="0096658B">
              <w:rPr>
                <w:rFonts w:ascii="Times New Roman" w:hAnsi="Times New Roman" w:cs="Times New Roman"/>
                <w:sz w:val="28"/>
                <w:szCs w:val="20"/>
                <w:lang w:val="es-ES"/>
              </w:rPr>
              <w:t>sonería Jurídica podrán inscribir candidatos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y listas para toda clase de cargos y corporaciones de elección popular, excepto para la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elección de congresistas por las circunscripciones especiales de minorías étnicas.</w:t>
            </w:r>
          </w:p>
          <w:p w:rsidR="00B9088E" w:rsidRPr="0096658B" w:rsidRDefault="0096658B" w:rsidP="00B9088E">
            <w:pPr>
              <w:jc w:val="both"/>
              <w:rPr>
                <w:rFonts w:ascii="Times New Roman" w:hAnsi="Times New Roman" w:cs="Times New Roman"/>
                <w:sz w:val="28"/>
                <w:szCs w:val="20"/>
                <w:lang w:val="es-ES"/>
              </w:rPr>
            </w:pPr>
          </w:p>
          <w:p w:rsidR="00B9088E" w:rsidRPr="0096658B" w:rsidRDefault="0096658B" w:rsidP="00B9088E">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Los candidatos de los grupos significat</w:t>
            </w:r>
            <w:r w:rsidRPr="0096658B">
              <w:rPr>
                <w:rFonts w:ascii="Times New Roman" w:hAnsi="Times New Roman" w:cs="Times New Roman"/>
                <w:sz w:val="28"/>
                <w:szCs w:val="20"/>
                <w:lang w:val="es-ES"/>
              </w:rPr>
              <w:t>ivos de ciudadanos serán inscritos por un comité</w:t>
            </w:r>
          </w:p>
          <w:p w:rsidR="00B9088E" w:rsidRPr="0096658B" w:rsidRDefault="0096658B" w:rsidP="00B9088E">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integrado por tres (3) ciudadanos, el cual deberá registrarse ante la correspondiente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autoridad electoral cuando menos un (1) mes antes de la fecha de cierre de la respectiva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 xml:space="preserve">inscripción y, en todo caso, </w:t>
            </w:r>
            <w:r w:rsidRPr="0096658B">
              <w:rPr>
                <w:rFonts w:ascii="Times New Roman" w:hAnsi="Times New Roman" w:cs="Times New Roman"/>
                <w:sz w:val="28"/>
                <w:szCs w:val="20"/>
                <w:lang w:val="es-ES"/>
              </w:rPr>
              <w:t>antes del inicio de la recolección de firmas de apoyo a la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candidatura o lista. Los nombres de los integrantes del Comité, así como el de los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candidatos que postulen, deberán figurar en el formulario de recolección de las firmas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 apoyo.</w:t>
            </w:r>
          </w:p>
          <w:p w:rsidR="00B9088E" w:rsidRPr="0096658B" w:rsidRDefault="0096658B" w:rsidP="00B9088E">
            <w:pPr>
              <w:jc w:val="both"/>
              <w:rPr>
                <w:rFonts w:ascii="Times New Roman" w:hAnsi="Times New Roman" w:cs="Times New Roman"/>
                <w:sz w:val="28"/>
                <w:szCs w:val="20"/>
                <w:lang w:val="es-ES"/>
              </w:rPr>
            </w:pPr>
          </w:p>
          <w:p w:rsidR="00B9088E" w:rsidRPr="0096658B" w:rsidRDefault="0096658B" w:rsidP="00B9088E">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Los partidos y m</w:t>
            </w:r>
            <w:r w:rsidRPr="0096658B">
              <w:rPr>
                <w:rFonts w:ascii="Times New Roman" w:hAnsi="Times New Roman" w:cs="Times New Roman"/>
                <w:sz w:val="28"/>
                <w:szCs w:val="20"/>
                <w:lang w:val="es-ES"/>
              </w:rPr>
              <w:t>ovimientos políticos con personería jurídica que decidan promover el</w:t>
            </w:r>
          </w:p>
          <w:p w:rsidR="00B9088E" w:rsidRPr="0096658B" w:rsidRDefault="0096658B" w:rsidP="00B9088E">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voto en blanco y los comités independientes que se organicen para el efecto, deberán</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inscribirse ante la autoridad electoral competente para recibir la inscripción 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candidatos, de lista</w:t>
            </w:r>
            <w:r w:rsidRPr="0096658B">
              <w:rPr>
                <w:rFonts w:ascii="Times New Roman" w:hAnsi="Times New Roman" w:cs="Times New Roman"/>
                <w:sz w:val="28"/>
                <w:szCs w:val="20"/>
                <w:lang w:val="es-ES"/>
              </w:rPr>
              <w:t>s o de la correspondiente iniciativa en los mecanismos 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participación ciudadana. A dichos promotores se les reconocerán, en lo que fuere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pertinente, los derechos y garantías que la ley establece para las demás campañas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electorales, incluida la reposición</w:t>
            </w:r>
            <w:r w:rsidRPr="0096658B">
              <w:rPr>
                <w:rFonts w:ascii="Times New Roman" w:hAnsi="Times New Roman" w:cs="Times New Roman"/>
                <w:sz w:val="28"/>
                <w:szCs w:val="20"/>
                <w:lang w:val="es-ES"/>
              </w:rPr>
              <w:t xml:space="preserve"> de gastos de campaña, hasta el monto que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previamente haya fijado el Consejo Nacional Electoral.</w:t>
            </w:r>
          </w:p>
          <w:p w:rsidR="00B9088E" w:rsidRPr="0096658B" w:rsidRDefault="0096658B" w:rsidP="00B9088E">
            <w:pPr>
              <w:jc w:val="both"/>
              <w:rPr>
                <w:rFonts w:ascii="Times New Roman" w:hAnsi="Times New Roman" w:cs="Times New Roman"/>
                <w:sz w:val="28"/>
                <w:szCs w:val="20"/>
                <w:lang w:val="es-ES"/>
              </w:rPr>
            </w:pPr>
          </w:p>
        </w:tc>
        <w:tc>
          <w:tcPr>
            <w:tcW w:w="3741" w:type="dxa"/>
          </w:tcPr>
          <w:p w:rsidR="00B4427E" w:rsidRPr="0096658B" w:rsidRDefault="0096658B" w:rsidP="00B4427E">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3º. Modifíquese el artículo 28º de la Ley 1475 de 2011, el cual quedará así:</w:t>
            </w:r>
          </w:p>
          <w:p w:rsidR="00906500" w:rsidRPr="0096658B" w:rsidRDefault="0096658B" w:rsidP="00906500">
            <w:pPr>
              <w:jc w:val="both"/>
              <w:rPr>
                <w:rFonts w:ascii="Times New Roman" w:hAnsi="Times New Roman" w:cs="Times New Roman"/>
                <w:sz w:val="28"/>
                <w:szCs w:val="20"/>
                <w:lang w:val="es-ES"/>
              </w:rPr>
            </w:pPr>
          </w:p>
          <w:p w:rsidR="00B4427E" w:rsidRPr="0096658B" w:rsidRDefault="0096658B" w:rsidP="00B4427E">
            <w:pPr>
              <w:jc w:val="both"/>
              <w:rPr>
                <w:rFonts w:ascii="Times New Roman" w:hAnsi="Times New Roman" w:cs="Times New Roman"/>
                <w:b/>
                <w:bCs/>
                <w:sz w:val="28"/>
                <w:szCs w:val="20"/>
                <w:u w:val="single"/>
                <w:lang w:val="es-ES"/>
              </w:rPr>
            </w:pPr>
            <w:r w:rsidRPr="0096658B">
              <w:rPr>
                <w:rFonts w:ascii="Times New Roman" w:hAnsi="Times New Roman" w:cs="Times New Roman"/>
                <w:sz w:val="28"/>
                <w:szCs w:val="20"/>
                <w:lang w:val="es-ES"/>
              </w:rPr>
              <w:t>Artículo 28. Inscripción de candidatos. Los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 xml:space="preserve">partidos y movimientos </w:t>
            </w:r>
            <w:r w:rsidRPr="0096658B">
              <w:rPr>
                <w:rFonts w:ascii="Times New Roman" w:hAnsi="Times New Roman" w:cs="Times New Roman"/>
                <w:sz w:val="28"/>
                <w:szCs w:val="20"/>
                <w:lang w:val="es-ES"/>
              </w:rPr>
              <w:t>políticos con personería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jurídica podrán inscribir candidatos a cargos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y corporaciones de elección popular previa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verificación del cumplimiento de las calidades y</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 xml:space="preserve">requisitos </w:t>
            </w:r>
            <w:r w:rsidRPr="0096658B">
              <w:rPr>
                <w:rFonts w:ascii="Times New Roman" w:hAnsi="Times New Roman" w:cs="Times New Roman"/>
                <w:b/>
                <w:bCs/>
                <w:sz w:val="28"/>
                <w:szCs w:val="20"/>
                <w:u w:val="single"/>
                <w:lang w:val="es-ES"/>
              </w:rPr>
              <w:t>que debe cumplir cada uno de ellos, acorde a su regulación interna, así como corro</w:t>
            </w:r>
            <w:r w:rsidRPr="0096658B">
              <w:rPr>
                <w:rFonts w:ascii="Times New Roman" w:hAnsi="Times New Roman" w:cs="Times New Roman"/>
                <w:b/>
                <w:bCs/>
                <w:sz w:val="28"/>
                <w:szCs w:val="20"/>
                <w:u w:val="single"/>
                <w:lang w:val="es-ES"/>
              </w:rPr>
              <w:t>borar</w:t>
            </w:r>
            <w:r w:rsidRPr="0096658B">
              <w:rPr>
                <w:rFonts w:ascii="Times New Roman" w:hAnsi="Times New Roman" w:cs="Times New Roman"/>
                <w:sz w:val="28"/>
                <w:szCs w:val="20"/>
                <w:lang w:val="es-ES"/>
              </w:rPr>
              <w:t xml:space="preserve"> que no</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se encuentran incursos en causales de inhabilidad</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o incompatibilidad. Dichos candidatos deberán ser</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escogidos mediante procedimientos democráticos,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 conformidad con sus estatutos. Las listas donde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se elijan 5 o más curules para corporaciones</w:t>
            </w:r>
            <w:r w:rsidRPr="0096658B">
              <w:rPr>
                <w:rFonts w:ascii="Times New Roman" w:hAnsi="Times New Roman" w:cs="Times New Roman"/>
                <w:sz w:val="28"/>
                <w:szCs w:val="20"/>
                <w:lang w:val="es-ES"/>
              </w:rPr>
              <w:t xml:space="preserve"> 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elección popular o las que se sometan a consulta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 exceptuando su resultado- deberán conformarse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 xml:space="preserve">por mínimo un 50% de uno de los géneros. </w:t>
            </w:r>
            <w:r w:rsidRPr="0096658B">
              <w:rPr>
                <w:rFonts w:ascii="Times New Roman" w:hAnsi="Times New Roman" w:cs="Times New Roman"/>
                <w:b/>
                <w:bCs/>
                <w:sz w:val="28"/>
                <w:szCs w:val="20"/>
                <w:u w:val="single"/>
                <w:lang w:val="es-ES"/>
              </w:rPr>
              <w:t>En el caso de listas impares, estas serán conformadas atendiendo a una discriminación positiva a favor de la mujer</w:t>
            </w:r>
            <w:r w:rsidRPr="0096658B">
              <w:rPr>
                <w:rFonts w:ascii="Times New Roman" w:hAnsi="Times New Roman" w:cs="Times New Roman"/>
                <w:b/>
                <w:bCs/>
                <w:sz w:val="28"/>
                <w:szCs w:val="20"/>
                <w:u w:val="single"/>
                <w:lang w:val="es-ES"/>
              </w:rPr>
              <w:t>.</w:t>
            </w:r>
          </w:p>
          <w:p w:rsidR="00B4427E" w:rsidRPr="0096658B" w:rsidRDefault="0096658B" w:rsidP="00B4427E">
            <w:pPr>
              <w:jc w:val="both"/>
              <w:rPr>
                <w:rFonts w:ascii="Times New Roman" w:hAnsi="Times New Roman" w:cs="Times New Roman"/>
                <w:sz w:val="28"/>
                <w:szCs w:val="20"/>
                <w:lang w:val="es-ES"/>
              </w:rPr>
            </w:pPr>
          </w:p>
          <w:p w:rsidR="00B4427E" w:rsidRPr="0096658B" w:rsidRDefault="0096658B" w:rsidP="00B4427E">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Los partidos y movimientos políticos con</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personería jurídica podrán inscribir candidatos y</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listas para toda clase de cargos y corporaciones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 elección popular, excepto para la elección 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Congresistas por las circunscripciones especiales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 minorías ét</w:t>
            </w:r>
            <w:r w:rsidRPr="0096658B">
              <w:rPr>
                <w:rFonts w:ascii="Times New Roman" w:hAnsi="Times New Roman" w:cs="Times New Roman"/>
                <w:sz w:val="28"/>
                <w:szCs w:val="20"/>
                <w:lang w:val="es-ES"/>
              </w:rPr>
              <w:t>nicas.</w:t>
            </w:r>
          </w:p>
          <w:p w:rsidR="00B4427E" w:rsidRPr="0096658B" w:rsidRDefault="0096658B" w:rsidP="00B4427E">
            <w:pPr>
              <w:jc w:val="both"/>
              <w:rPr>
                <w:rFonts w:ascii="Times New Roman" w:hAnsi="Times New Roman" w:cs="Times New Roman"/>
                <w:sz w:val="28"/>
                <w:szCs w:val="20"/>
                <w:lang w:val="es-ES"/>
              </w:rPr>
            </w:pPr>
          </w:p>
          <w:p w:rsidR="000A2CCE" w:rsidRPr="0096658B" w:rsidRDefault="0096658B" w:rsidP="00B4427E">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Los candidatos de los grupos significativos 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ciudadanos serán inscritos por un comité integrado</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por tres (3) ciudadanos, el cual deberá registrarse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ante la correspondiente autoridad electoral cuando</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menos un (1) mes antes de la fecha de cierre 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la respectiva inscripción y, en todo caso, antes del</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inicio de la recolección de firmas de apoyo a la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candidatura o lista. Los nombres de los integrantes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del Comité, así como el de los candidatos que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postulen, deberán figurar en el formulario 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recolecci</w:t>
            </w:r>
            <w:r w:rsidRPr="0096658B">
              <w:rPr>
                <w:rFonts w:ascii="Times New Roman" w:hAnsi="Times New Roman" w:cs="Times New Roman"/>
                <w:sz w:val="28"/>
                <w:szCs w:val="20"/>
                <w:lang w:val="es-ES"/>
              </w:rPr>
              <w:t>ón de las firmas de apoyo.</w:t>
            </w:r>
          </w:p>
          <w:p w:rsidR="00B4427E" w:rsidRPr="0096658B" w:rsidRDefault="0096658B" w:rsidP="00B4427E">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 xml:space="preserve"> </w:t>
            </w:r>
          </w:p>
          <w:p w:rsidR="00B4427E" w:rsidRPr="0096658B" w:rsidRDefault="0096658B" w:rsidP="000A2CCE">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Los partidos y movimientos políticos con</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personería jurídica que decidan promover el voto</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en blanco y los comités independientes que se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organicen para el efecto, deberán inscribirse ante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la autoridad electoral competente para r</w:t>
            </w:r>
            <w:r w:rsidRPr="0096658B">
              <w:rPr>
                <w:rFonts w:ascii="Times New Roman" w:hAnsi="Times New Roman" w:cs="Times New Roman"/>
                <w:sz w:val="28"/>
                <w:szCs w:val="20"/>
                <w:lang w:val="es-ES"/>
              </w:rPr>
              <w:t>ecibir</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la inscripción de candidatos, de listas o de la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correspondiente iniciativa en los mecanismos 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participación ciudadana. A dichos promotores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se les reconocerán, en lo que fuere pertinente,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los derechos y garantías que la ley establece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para las demás</w:t>
            </w:r>
            <w:r w:rsidRPr="0096658B">
              <w:rPr>
                <w:rFonts w:ascii="Times New Roman" w:hAnsi="Times New Roman" w:cs="Times New Roman"/>
                <w:sz w:val="28"/>
                <w:szCs w:val="20"/>
                <w:lang w:val="es-ES"/>
              </w:rPr>
              <w:t xml:space="preserve"> campañas electorales, incluida la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reposición de gastos de campaña, hasta el monto</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que previamente haya fijado el Consejo Nacional</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Electoral.</w:t>
            </w:r>
          </w:p>
          <w:p w:rsidR="000A2CCE" w:rsidRPr="0096658B" w:rsidRDefault="0096658B" w:rsidP="000A2CCE">
            <w:pPr>
              <w:jc w:val="both"/>
              <w:rPr>
                <w:rFonts w:ascii="Times New Roman" w:hAnsi="Times New Roman" w:cs="Times New Roman"/>
                <w:sz w:val="28"/>
                <w:szCs w:val="20"/>
                <w:lang w:val="es-ES"/>
              </w:rPr>
            </w:pPr>
          </w:p>
        </w:tc>
        <w:tc>
          <w:tcPr>
            <w:tcW w:w="3741" w:type="dxa"/>
          </w:tcPr>
          <w:p w:rsidR="004A2829" w:rsidRPr="0096658B" w:rsidRDefault="0096658B" w:rsidP="004A2829">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3º. Modifíquese el artículo 28º de la Ley 1475 de 2011, el cual quedará así:</w:t>
            </w:r>
          </w:p>
          <w:p w:rsidR="00B9088E" w:rsidRPr="0096658B" w:rsidRDefault="0096658B" w:rsidP="00B9088E">
            <w:pPr>
              <w:jc w:val="both"/>
              <w:rPr>
                <w:rFonts w:ascii="Times New Roman" w:hAnsi="Times New Roman" w:cs="Times New Roman"/>
                <w:sz w:val="28"/>
                <w:szCs w:val="20"/>
                <w:lang w:val="es-ES"/>
              </w:rPr>
            </w:pPr>
          </w:p>
          <w:p w:rsidR="004A2829" w:rsidRPr="0096658B" w:rsidRDefault="0096658B" w:rsidP="004A2829">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 xml:space="preserve">Artículo 28. Inscripción de candidatos. </w:t>
            </w:r>
            <w:r w:rsidRPr="0096658B">
              <w:rPr>
                <w:rFonts w:ascii="Times New Roman" w:hAnsi="Times New Roman" w:cs="Times New Roman"/>
                <w:sz w:val="28"/>
                <w:szCs w:val="20"/>
                <w:lang w:val="es-ES"/>
              </w:rPr>
              <w:t>Los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partidos y movimientos políticos con personería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jurídica podrán inscribir candidatos a cargos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y corporaciones de elección popular previa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verificación del cumplimiento de las calidades y</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requisitos de sus candidat</w:t>
            </w:r>
            <w:r w:rsidRPr="0096658B">
              <w:rPr>
                <w:rFonts w:ascii="Times New Roman" w:hAnsi="Times New Roman" w:cs="Times New Roman"/>
                <w:sz w:val="28"/>
                <w:szCs w:val="20"/>
                <w:lang w:val="es-ES"/>
              </w:rPr>
              <w:t>os, así como de que no</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se encuentran incursos en causales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 inhabilidad</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o incompatibilidad. Dichos candidatos deberán ser</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escogidos mediante procedimientos democráticos,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 conformidad con sus estatutos. Las listas donde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se elijan 5 o más curules para cor</w:t>
            </w:r>
            <w:r w:rsidRPr="0096658B">
              <w:rPr>
                <w:rFonts w:ascii="Times New Roman" w:hAnsi="Times New Roman" w:cs="Times New Roman"/>
                <w:sz w:val="28"/>
                <w:szCs w:val="20"/>
                <w:lang w:val="es-ES"/>
              </w:rPr>
              <w:t>poraciones 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elección popular o las que se sometan a consulta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 exceptuando su resultado- deberán conformarse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por mínimo un 50% de uno de los géneros. En el</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caso de listas impares, estas serán conformadas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 xml:space="preserve">atendiendo a una discriminación positiva </w:t>
            </w:r>
            <w:r w:rsidRPr="0096658B">
              <w:rPr>
                <w:rFonts w:ascii="Times New Roman" w:hAnsi="Times New Roman" w:cs="Times New Roman"/>
                <w:sz w:val="28"/>
                <w:szCs w:val="20"/>
                <w:lang w:val="es-ES"/>
              </w:rPr>
              <w:t xml:space="preserve">a favor </w:t>
            </w:r>
            <w:r w:rsidRPr="0096658B">
              <w:rPr>
                <w:rFonts w:ascii="Times New Roman" w:hAnsi="Times New Roman" w:cs="Times New Roman"/>
                <w:sz w:val="28"/>
                <w:szCs w:val="20"/>
                <w:lang w:val="es-ES"/>
              </w:rPr>
              <w:t>d</w:t>
            </w:r>
            <w:r w:rsidRPr="0096658B">
              <w:rPr>
                <w:rFonts w:ascii="Times New Roman" w:hAnsi="Times New Roman" w:cs="Times New Roman"/>
                <w:sz w:val="28"/>
                <w:szCs w:val="20"/>
                <w:lang w:val="es-ES"/>
              </w:rPr>
              <w:t>e la mujer.</w:t>
            </w:r>
          </w:p>
          <w:p w:rsidR="004A2829" w:rsidRPr="0096658B" w:rsidRDefault="0096658B" w:rsidP="004A2829">
            <w:pPr>
              <w:jc w:val="both"/>
              <w:rPr>
                <w:rFonts w:ascii="Times New Roman" w:hAnsi="Times New Roman" w:cs="Times New Roman"/>
                <w:sz w:val="28"/>
                <w:szCs w:val="20"/>
                <w:lang w:val="es-ES"/>
              </w:rPr>
            </w:pPr>
          </w:p>
          <w:p w:rsidR="00904EB7" w:rsidRPr="0096658B" w:rsidRDefault="0096658B" w:rsidP="004A2829">
            <w:pPr>
              <w:jc w:val="both"/>
              <w:rPr>
                <w:rFonts w:ascii="Times New Roman" w:hAnsi="Times New Roman" w:cs="Times New Roman"/>
                <w:sz w:val="28"/>
                <w:szCs w:val="20"/>
                <w:lang w:val="es-ES"/>
              </w:rPr>
            </w:pPr>
          </w:p>
          <w:p w:rsidR="00904EB7" w:rsidRPr="0096658B" w:rsidRDefault="0096658B" w:rsidP="004A2829">
            <w:pPr>
              <w:jc w:val="both"/>
              <w:rPr>
                <w:rFonts w:ascii="Times New Roman" w:hAnsi="Times New Roman" w:cs="Times New Roman"/>
                <w:sz w:val="28"/>
                <w:szCs w:val="20"/>
                <w:lang w:val="es-ES"/>
              </w:rPr>
            </w:pPr>
          </w:p>
          <w:p w:rsidR="004A2829" w:rsidRPr="0096658B" w:rsidRDefault="0096658B" w:rsidP="004A2829">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Los partidos y movimientos políticos con</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personería jurídica podrán inscribir candidatos y</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listas para toda clase de cargos y corporaciones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 elección popular, excepto para la elección 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Congresistas por las circunscripciones especiales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w:t>
            </w:r>
            <w:r w:rsidRPr="0096658B">
              <w:rPr>
                <w:rFonts w:ascii="Times New Roman" w:hAnsi="Times New Roman" w:cs="Times New Roman"/>
                <w:sz w:val="28"/>
                <w:szCs w:val="20"/>
                <w:lang w:val="es-ES"/>
              </w:rPr>
              <w:t xml:space="preserve"> minorías étnicas.</w:t>
            </w:r>
          </w:p>
          <w:p w:rsidR="007A2DE3" w:rsidRPr="0096658B" w:rsidRDefault="0096658B" w:rsidP="004A2829">
            <w:pPr>
              <w:jc w:val="both"/>
              <w:rPr>
                <w:rFonts w:ascii="Times New Roman" w:hAnsi="Times New Roman" w:cs="Times New Roman"/>
                <w:sz w:val="28"/>
                <w:szCs w:val="20"/>
                <w:lang w:val="es-ES"/>
              </w:rPr>
            </w:pPr>
          </w:p>
          <w:p w:rsidR="007A2DE3" w:rsidRPr="0096658B" w:rsidRDefault="0096658B" w:rsidP="007A2DE3">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Los candidatos de los grupos significativos 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ciudadanos serán inscritos por un comité integrado</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por tres (3) ciudadanos, el cual deberá registrarse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ante la correspondiente autoridad electoral cuando</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 xml:space="preserve">menos un (1) mes antes de la fecha </w:t>
            </w:r>
            <w:r w:rsidRPr="0096658B">
              <w:rPr>
                <w:rFonts w:ascii="Times New Roman" w:hAnsi="Times New Roman" w:cs="Times New Roman"/>
                <w:sz w:val="28"/>
                <w:szCs w:val="20"/>
                <w:lang w:val="es-ES"/>
              </w:rPr>
              <w:t>de cierre 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la respectiva inscripción y, en todo caso, antes del</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inicio de la recolección de firmas de apoyo a la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candidatura o lista. Los nombres de los integrantes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del Comité, así como el de los candidatos que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 xml:space="preserve">postulen, deberán figurar en el formulario </w:t>
            </w:r>
            <w:r w:rsidRPr="0096658B">
              <w:rPr>
                <w:rFonts w:ascii="Times New Roman" w:hAnsi="Times New Roman" w:cs="Times New Roman"/>
                <w:sz w:val="28"/>
                <w:szCs w:val="20"/>
                <w:lang w:val="es-ES"/>
              </w:rPr>
              <w:t>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recolección de las firmas de apoyo.</w:t>
            </w:r>
          </w:p>
          <w:p w:rsidR="007A2DE3" w:rsidRPr="0096658B" w:rsidRDefault="0096658B" w:rsidP="007A2DE3">
            <w:pPr>
              <w:jc w:val="both"/>
              <w:rPr>
                <w:rFonts w:ascii="Times New Roman" w:hAnsi="Times New Roman" w:cs="Times New Roman"/>
                <w:sz w:val="28"/>
                <w:szCs w:val="20"/>
                <w:lang w:val="es-ES"/>
              </w:rPr>
            </w:pPr>
          </w:p>
          <w:p w:rsidR="007A2DE3" w:rsidRPr="0096658B" w:rsidRDefault="0096658B" w:rsidP="00904EB7">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Los partidos y movimientos políticos con</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personería jurídica que decidan promover el voto</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en blanco y los comités independientes que se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organicen para el efecto, deberán inscribirse ante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 xml:space="preserve">la autoridad electoral </w:t>
            </w:r>
            <w:r w:rsidRPr="0096658B">
              <w:rPr>
                <w:rFonts w:ascii="Times New Roman" w:hAnsi="Times New Roman" w:cs="Times New Roman"/>
                <w:sz w:val="28"/>
                <w:szCs w:val="20"/>
                <w:lang w:val="es-ES"/>
              </w:rPr>
              <w:t>competente para recibir</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la inscripción de candidatos, de listas o de la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correspondiente iniciativa en los mecanismos de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participación ciudadana. A dichos promotores</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se les reconocerán, en lo que fuere pertinente,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los derechos y garantías que la ley estable</w:t>
            </w:r>
            <w:r w:rsidRPr="0096658B">
              <w:rPr>
                <w:rFonts w:ascii="Times New Roman" w:hAnsi="Times New Roman" w:cs="Times New Roman"/>
                <w:sz w:val="28"/>
                <w:szCs w:val="20"/>
                <w:lang w:val="es-ES"/>
              </w:rPr>
              <w:t>ce</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para las demás campañas electorales, incluida la</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reposición de gastos de campaña, hasta el monto</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que previamente haya fijado el Consejo Nacional</w:t>
            </w:r>
            <w:r w:rsidRPr="0096658B">
              <w:rPr>
                <w:rFonts w:ascii="Times New Roman" w:hAnsi="Times New Roman" w:cs="Times New Roman"/>
                <w:sz w:val="28"/>
                <w:szCs w:val="20"/>
                <w:lang w:val="es-ES"/>
              </w:rPr>
              <w:t xml:space="preserve"> </w:t>
            </w:r>
            <w:r w:rsidRPr="0096658B">
              <w:rPr>
                <w:rFonts w:ascii="Times New Roman" w:hAnsi="Times New Roman" w:cs="Times New Roman"/>
                <w:sz w:val="28"/>
                <w:szCs w:val="20"/>
                <w:lang w:val="es-ES"/>
              </w:rPr>
              <w:t>Electoral.</w:t>
            </w:r>
          </w:p>
        </w:tc>
        <w:tc>
          <w:tcPr>
            <w:tcW w:w="3741" w:type="dxa"/>
          </w:tcPr>
          <w:p w:rsidR="00B9088E" w:rsidRPr="0096658B" w:rsidRDefault="0096658B" w:rsidP="00B9088E">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3º. Agréguese un (1) inciso al artículo 28 de la Ley 1475 de 2011, el cual quedará así:</w:t>
            </w:r>
          </w:p>
          <w:p w:rsidR="00DC4D43" w:rsidRPr="0096658B" w:rsidRDefault="0096658B" w:rsidP="00B9088E">
            <w:pPr>
              <w:jc w:val="both"/>
              <w:rPr>
                <w:rFonts w:ascii="Times New Roman" w:hAnsi="Times New Roman" w:cs="Times New Roman"/>
                <w:sz w:val="28"/>
                <w:szCs w:val="20"/>
                <w:lang w:val="es-ES"/>
              </w:rPr>
            </w:pPr>
          </w:p>
          <w:p w:rsidR="00DC4D43" w:rsidRPr="0096658B" w:rsidRDefault="0096658B" w:rsidP="00DC4D43">
            <w:pPr>
              <w:jc w:val="both"/>
              <w:rPr>
                <w:rFonts w:ascii="Times New Roman" w:hAnsi="Times New Roman" w:cs="Times New Roman"/>
                <w:b/>
                <w:bCs/>
                <w:sz w:val="28"/>
                <w:szCs w:val="20"/>
                <w:u w:val="single"/>
                <w:lang w:val="es-ES"/>
              </w:rPr>
            </w:pPr>
            <w:r w:rsidRPr="0096658B">
              <w:rPr>
                <w:rFonts w:ascii="Times New Roman" w:hAnsi="Times New Roman" w:cs="Times New Roman"/>
                <w:b/>
                <w:bCs/>
                <w:sz w:val="28"/>
                <w:szCs w:val="20"/>
                <w:u w:val="single"/>
                <w:lang w:val="es-ES"/>
              </w:rPr>
              <w:t xml:space="preserve">En las listas donde se elijan menos de cinco (5) curules para corporaciones de elección popular o las que se sometan a consulta - exceptuando su resultado -, deberán integran al menos una (1) mujer. </w:t>
            </w:r>
          </w:p>
          <w:p w:rsidR="00DC4D43" w:rsidRPr="0096658B" w:rsidRDefault="0096658B" w:rsidP="00DC4D43">
            <w:pPr>
              <w:jc w:val="both"/>
              <w:rPr>
                <w:rFonts w:ascii="Times New Roman" w:hAnsi="Times New Roman" w:cs="Times New Roman"/>
                <w:b/>
                <w:bCs/>
                <w:sz w:val="28"/>
                <w:szCs w:val="20"/>
                <w:u w:val="single"/>
                <w:lang w:val="es-ES"/>
              </w:rPr>
            </w:pPr>
          </w:p>
          <w:p w:rsidR="00DC4D43" w:rsidRPr="0096658B" w:rsidRDefault="0096658B" w:rsidP="00DC4D43">
            <w:pPr>
              <w:jc w:val="both"/>
              <w:rPr>
                <w:rFonts w:ascii="Times New Roman" w:hAnsi="Times New Roman" w:cs="Times New Roman"/>
                <w:sz w:val="28"/>
                <w:szCs w:val="20"/>
                <w:lang w:val="es-ES"/>
              </w:rPr>
            </w:pPr>
            <w:r w:rsidRPr="0096658B">
              <w:rPr>
                <w:rFonts w:ascii="Times New Roman" w:hAnsi="Times New Roman" w:cs="Times New Roman"/>
                <w:b/>
                <w:bCs/>
                <w:sz w:val="28"/>
                <w:szCs w:val="20"/>
                <w:u w:val="single"/>
                <w:lang w:val="es-ES"/>
              </w:rPr>
              <w:t>Parágrafo. Lo dispuesto en el presente inciso aplicara</w:t>
            </w:r>
            <w:r w:rsidRPr="0096658B">
              <w:rPr>
                <w:rFonts w:ascii="Times New Roman" w:hAnsi="Times New Roman" w:cs="Times New Roman"/>
                <w:b/>
                <w:bCs/>
                <w:sz w:val="28"/>
                <w:szCs w:val="20"/>
                <w:u w:val="single"/>
                <w:lang w:val="es-ES"/>
              </w:rPr>
              <w:t xml:space="preserve"> a partir del año 2026.</w:t>
            </w:r>
          </w:p>
        </w:tc>
        <w:tc>
          <w:tcPr>
            <w:tcW w:w="3742" w:type="dxa"/>
          </w:tcPr>
          <w:p w:rsidR="00166922" w:rsidRPr="0096658B" w:rsidRDefault="0096658B" w:rsidP="00166922">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3º. Modifíquese el artículo 28º de la Ley 1475 de 2011, el cual quedará así:</w:t>
            </w:r>
          </w:p>
          <w:p w:rsidR="00166922" w:rsidRPr="0096658B" w:rsidRDefault="0096658B" w:rsidP="00166922">
            <w:pPr>
              <w:jc w:val="both"/>
              <w:rPr>
                <w:rFonts w:ascii="Times New Roman" w:hAnsi="Times New Roman" w:cs="Times New Roman"/>
                <w:sz w:val="28"/>
                <w:szCs w:val="20"/>
                <w:lang w:val="es-ES"/>
              </w:rPr>
            </w:pPr>
          </w:p>
          <w:p w:rsidR="00166922" w:rsidRPr="0096658B" w:rsidRDefault="0096658B" w:rsidP="00166922">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28. Inscripción de candidatos. Los partidos y movimientos políticos con personería jurídica podrán inscribir candidatos a cargos y corpo</w:t>
            </w:r>
            <w:r w:rsidRPr="0096658B">
              <w:rPr>
                <w:rFonts w:ascii="Times New Roman" w:hAnsi="Times New Roman" w:cs="Times New Roman"/>
                <w:sz w:val="28"/>
                <w:szCs w:val="20"/>
                <w:lang w:val="es-ES"/>
              </w:rPr>
              <w:t>raciones de elección popular previa verificación del cumplimiento de las calidades y requisitos de sus candidatos, así como de que no se encuentran incursos en causales de inhabilidad o incompatibilidad. Dichos candidatos deberán ser escogidos mediante pro</w:t>
            </w:r>
            <w:r w:rsidRPr="0096658B">
              <w:rPr>
                <w:rFonts w:ascii="Times New Roman" w:hAnsi="Times New Roman" w:cs="Times New Roman"/>
                <w:sz w:val="28"/>
                <w:szCs w:val="20"/>
                <w:lang w:val="es-ES"/>
              </w:rPr>
              <w:t xml:space="preserve">cedimientos democráticos, de conformidad con sus estatutos. Las listas donde se elijan 5 o más curules para corporaciones de elección popular o las que se sometan a consulta -exceptuando su resultado- deberán conformarse por </w:t>
            </w:r>
            <w:r w:rsidRPr="0096658B">
              <w:rPr>
                <w:rFonts w:ascii="Times New Roman" w:hAnsi="Times New Roman" w:cs="Times New Roman"/>
                <w:sz w:val="28"/>
                <w:szCs w:val="20"/>
                <w:u w:val="single"/>
                <w:lang w:val="es-ES"/>
              </w:rPr>
              <w:t>mínimo un 30%</w:t>
            </w:r>
            <w:r w:rsidRPr="0096658B">
              <w:rPr>
                <w:rFonts w:ascii="Times New Roman" w:hAnsi="Times New Roman" w:cs="Times New Roman"/>
                <w:sz w:val="28"/>
                <w:szCs w:val="20"/>
                <w:lang w:val="es-ES"/>
              </w:rPr>
              <w:t xml:space="preserve"> de uno de los gén</w:t>
            </w:r>
            <w:r w:rsidRPr="0096658B">
              <w:rPr>
                <w:rFonts w:ascii="Times New Roman" w:hAnsi="Times New Roman" w:cs="Times New Roman"/>
                <w:sz w:val="28"/>
                <w:szCs w:val="20"/>
                <w:lang w:val="es-ES"/>
              </w:rPr>
              <w:t>eros.</w:t>
            </w:r>
          </w:p>
          <w:p w:rsidR="00166922" w:rsidRPr="0096658B" w:rsidRDefault="0096658B" w:rsidP="00166922">
            <w:pPr>
              <w:jc w:val="both"/>
              <w:rPr>
                <w:rFonts w:ascii="Times New Roman" w:hAnsi="Times New Roman" w:cs="Times New Roman"/>
                <w:sz w:val="28"/>
                <w:szCs w:val="20"/>
                <w:lang w:val="es-ES"/>
              </w:rPr>
            </w:pPr>
          </w:p>
          <w:p w:rsidR="00166922" w:rsidRPr="0096658B" w:rsidRDefault="0096658B" w:rsidP="00166922">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Los Partidos y Movimientos Políticos con Personería Jurídica podrán inscribir candidatos y listas para toda clase de cargos y corporaciones de elección popular, excepto para la elección de congresistas por las circunscripciones especiales de minoría</w:t>
            </w:r>
            <w:r w:rsidRPr="0096658B">
              <w:rPr>
                <w:rFonts w:ascii="Times New Roman" w:hAnsi="Times New Roman" w:cs="Times New Roman"/>
                <w:sz w:val="28"/>
                <w:szCs w:val="20"/>
                <w:lang w:val="es-ES"/>
              </w:rPr>
              <w:t>s étnicas.</w:t>
            </w:r>
          </w:p>
          <w:p w:rsidR="00166922" w:rsidRPr="0096658B" w:rsidRDefault="0096658B" w:rsidP="00166922">
            <w:pPr>
              <w:jc w:val="both"/>
              <w:rPr>
                <w:rFonts w:ascii="Times New Roman" w:hAnsi="Times New Roman" w:cs="Times New Roman"/>
                <w:sz w:val="28"/>
                <w:szCs w:val="20"/>
                <w:lang w:val="es-ES"/>
              </w:rPr>
            </w:pPr>
          </w:p>
          <w:p w:rsidR="00166922" w:rsidRPr="0096658B" w:rsidRDefault="0096658B" w:rsidP="00166922">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Los candidatos de los grupos significativos de ciudadanos serán inscritos por un comité integrado por tres (3) ciudadanos, el cual deberá registrarse ante la correspondiente autoridad electoral cuando menos un (1) mes antes de la fecha de cierr</w:t>
            </w:r>
            <w:r w:rsidRPr="0096658B">
              <w:rPr>
                <w:rFonts w:ascii="Times New Roman" w:hAnsi="Times New Roman" w:cs="Times New Roman"/>
                <w:sz w:val="28"/>
                <w:szCs w:val="20"/>
                <w:lang w:val="es-ES"/>
              </w:rPr>
              <w:t>e de la respectiva inscripción y, en todo caso, antes del inicio de la recolección de firmas de apoyo a la candidatura o lista. Los nombres de los integrantes del Comité, así como la de los candidatos que postulen, deberán figurar en el formulario de recol</w:t>
            </w:r>
            <w:r w:rsidRPr="0096658B">
              <w:rPr>
                <w:rFonts w:ascii="Times New Roman" w:hAnsi="Times New Roman" w:cs="Times New Roman"/>
                <w:sz w:val="28"/>
                <w:szCs w:val="20"/>
                <w:lang w:val="es-ES"/>
              </w:rPr>
              <w:t>ección de las firmas de apoyo.</w:t>
            </w:r>
          </w:p>
          <w:p w:rsidR="00166922" w:rsidRPr="0096658B" w:rsidRDefault="0096658B" w:rsidP="00166922">
            <w:pPr>
              <w:jc w:val="both"/>
              <w:rPr>
                <w:rFonts w:ascii="Times New Roman" w:hAnsi="Times New Roman" w:cs="Times New Roman"/>
                <w:sz w:val="28"/>
                <w:szCs w:val="20"/>
                <w:lang w:val="es-ES"/>
              </w:rPr>
            </w:pPr>
          </w:p>
          <w:p w:rsidR="00166922" w:rsidRPr="0096658B" w:rsidRDefault="0096658B" w:rsidP="00166922">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Los partidos y movimientos políticos con personería jurídica que decidan promover el voto en blanco y los comités independientes que se organicen para el efecto, deberán inscribirse ante la autoridad electoral competente par</w:t>
            </w:r>
            <w:r w:rsidRPr="0096658B">
              <w:rPr>
                <w:rFonts w:ascii="Times New Roman" w:hAnsi="Times New Roman" w:cs="Times New Roman"/>
                <w:sz w:val="28"/>
                <w:szCs w:val="20"/>
                <w:lang w:val="es-ES"/>
              </w:rPr>
              <w:t>a recibir la inscripción de candidatos, de listas o de la correspondiente iniciativa en los mecanismos de participación ciudadana. A dichos promotores se les reconocerán en lo que fuere pertinente, los derechos y garantías que la ley establece para las dem</w:t>
            </w:r>
            <w:r w:rsidRPr="0096658B">
              <w:rPr>
                <w:rFonts w:ascii="Times New Roman" w:hAnsi="Times New Roman" w:cs="Times New Roman"/>
                <w:sz w:val="28"/>
                <w:szCs w:val="20"/>
                <w:lang w:val="es-ES"/>
              </w:rPr>
              <w:t>ás campañas electorales, incluida la reposición de gastos de campaña, hasta el monto que previamente haya fijado el Consejo Nacional Electoral.</w:t>
            </w:r>
          </w:p>
          <w:p w:rsidR="00166922" w:rsidRPr="0096658B" w:rsidRDefault="0096658B" w:rsidP="00166922">
            <w:pPr>
              <w:jc w:val="both"/>
              <w:rPr>
                <w:rFonts w:ascii="Times New Roman" w:hAnsi="Times New Roman" w:cs="Times New Roman"/>
                <w:sz w:val="28"/>
                <w:szCs w:val="20"/>
                <w:lang w:val="es-ES"/>
              </w:rPr>
            </w:pPr>
          </w:p>
          <w:p w:rsidR="00B9088E" w:rsidRPr="0096658B" w:rsidRDefault="0096658B" w:rsidP="00166922">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Parágrafo. A partir del año 2026, en las listas donde se elijan menos de cinco (5) curules para corporaciones d</w:t>
            </w:r>
            <w:r w:rsidRPr="0096658B">
              <w:rPr>
                <w:rFonts w:ascii="Times New Roman" w:hAnsi="Times New Roman" w:cs="Times New Roman"/>
                <w:sz w:val="28"/>
                <w:szCs w:val="20"/>
                <w:lang w:val="es-ES"/>
              </w:rPr>
              <w:t>e elección popular o las que se sometan a consulta -exceptuando su resultado - deberán integrar al menos (1) mujer.</w:t>
            </w:r>
          </w:p>
        </w:tc>
      </w:tr>
      <w:tr w:rsidR="00B9088E" w:rsidRPr="0096658B" w:rsidTr="00C273BC">
        <w:tc>
          <w:tcPr>
            <w:tcW w:w="3741" w:type="dxa"/>
          </w:tcPr>
          <w:p w:rsidR="00B9088E" w:rsidRPr="0096658B" w:rsidRDefault="0096658B" w:rsidP="00B9088E">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4º Eliminado</w:t>
            </w:r>
          </w:p>
          <w:p w:rsidR="00B9088E" w:rsidRPr="0096658B" w:rsidRDefault="0096658B" w:rsidP="00B9088E">
            <w:pPr>
              <w:jc w:val="both"/>
              <w:rPr>
                <w:rFonts w:ascii="Times New Roman" w:hAnsi="Times New Roman" w:cs="Times New Roman"/>
                <w:sz w:val="28"/>
                <w:szCs w:val="20"/>
                <w:lang w:val="es-ES"/>
              </w:rPr>
            </w:pPr>
          </w:p>
        </w:tc>
        <w:tc>
          <w:tcPr>
            <w:tcW w:w="3741" w:type="dxa"/>
          </w:tcPr>
          <w:p w:rsidR="00B9088E" w:rsidRPr="0096658B" w:rsidRDefault="0096658B" w:rsidP="00B9088E">
            <w:pPr>
              <w:jc w:val="both"/>
              <w:rPr>
                <w:rFonts w:ascii="Times New Roman" w:hAnsi="Times New Roman" w:cs="Times New Roman"/>
                <w:sz w:val="28"/>
                <w:szCs w:val="20"/>
                <w:lang w:val="es-ES"/>
              </w:rPr>
            </w:pPr>
          </w:p>
        </w:tc>
        <w:tc>
          <w:tcPr>
            <w:tcW w:w="3741" w:type="dxa"/>
          </w:tcPr>
          <w:p w:rsidR="00B9088E" w:rsidRPr="0096658B" w:rsidRDefault="0096658B" w:rsidP="00B9088E">
            <w:pPr>
              <w:jc w:val="both"/>
              <w:rPr>
                <w:rFonts w:ascii="Times New Roman" w:hAnsi="Times New Roman" w:cs="Times New Roman"/>
                <w:sz w:val="28"/>
                <w:szCs w:val="20"/>
                <w:lang w:val="es-ES"/>
              </w:rPr>
            </w:pPr>
          </w:p>
        </w:tc>
        <w:tc>
          <w:tcPr>
            <w:tcW w:w="3741" w:type="dxa"/>
          </w:tcPr>
          <w:p w:rsidR="00B9088E" w:rsidRPr="0096658B" w:rsidRDefault="0096658B" w:rsidP="00B9088E">
            <w:pPr>
              <w:jc w:val="both"/>
              <w:rPr>
                <w:rFonts w:ascii="Times New Roman" w:hAnsi="Times New Roman" w:cs="Times New Roman"/>
                <w:sz w:val="28"/>
                <w:szCs w:val="20"/>
                <w:lang w:val="es-ES"/>
              </w:rPr>
            </w:pPr>
          </w:p>
        </w:tc>
        <w:tc>
          <w:tcPr>
            <w:tcW w:w="3742" w:type="dxa"/>
          </w:tcPr>
          <w:p w:rsidR="00B9088E" w:rsidRPr="0096658B" w:rsidRDefault="0096658B" w:rsidP="00B9088E">
            <w:pPr>
              <w:jc w:val="both"/>
              <w:rPr>
                <w:rFonts w:ascii="Times New Roman" w:hAnsi="Times New Roman" w:cs="Times New Roman"/>
                <w:sz w:val="28"/>
                <w:szCs w:val="20"/>
                <w:lang w:val="es-ES"/>
              </w:rPr>
            </w:pPr>
          </w:p>
        </w:tc>
      </w:tr>
      <w:tr w:rsidR="00B9088E" w:rsidRPr="0096658B" w:rsidTr="00C273BC">
        <w:tc>
          <w:tcPr>
            <w:tcW w:w="3741" w:type="dxa"/>
          </w:tcPr>
          <w:p w:rsidR="00B9088E" w:rsidRPr="0096658B" w:rsidRDefault="0096658B" w:rsidP="00B9088E">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 xml:space="preserve">Artículo 4º. La presente ley rige a partir de su promulgación. </w:t>
            </w:r>
          </w:p>
          <w:p w:rsidR="00B9088E" w:rsidRPr="0096658B" w:rsidRDefault="0096658B" w:rsidP="00B9088E">
            <w:pPr>
              <w:jc w:val="both"/>
              <w:rPr>
                <w:rFonts w:ascii="Times New Roman" w:hAnsi="Times New Roman" w:cs="Times New Roman"/>
                <w:sz w:val="28"/>
                <w:szCs w:val="20"/>
                <w:lang w:val="es-ES"/>
              </w:rPr>
            </w:pPr>
          </w:p>
        </w:tc>
        <w:tc>
          <w:tcPr>
            <w:tcW w:w="3741" w:type="dxa"/>
          </w:tcPr>
          <w:p w:rsidR="000A2CCE" w:rsidRPr="0096658B" w:rsidRDefault="0096658B" w:rsidP="000A2CCE">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 xml:space="preserve">Artículo 4º. La presente ley rige a partir de su promulgación. </w:t>
            </w:r>
          </w:p>
          <w:p w:rsidR="00B9088E" w:rsidRPr="0096658B" w:rsidRDefault="0096658B" w:rsidP="00B9088E">
            <w:pPr>
              <w:jc w:val="both"/>
              <w:rPr>
                <w:rFonts w:ascii="Times New Roman" w:hAnsi="Times New Roman" w:cs="Times New Roman"/>
                <w:sz w:val="28"/>
                <w:szCs w:val="20"/>
                <w:lang w:val="es-ES"/>
              </w:rPr>
            </w:pPr>
          </w:p>
        </w:tc>
        <w:tc>
          <w:tcPr>
            <w:tcW w:w="3741" w:type="dxa"/>
          </w:tcPr>
          <w:p w:rsidR="007A2DE3" w:rsidRPr="0096658B" w:rsidRDefault="0096658B" w:rsidP="007A2DE3">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 xml:space="preserve">Artículo 4º. La presente ley rige a partir de su promulgación. </w:t>
            </w:r>
          </w:p>
          <w:p w:rsidR="00B9088E" w:rsidRPr="0096658B" w:rsidRDefault="0096658B" w:rsidP="00B9088E">
            <w:pPr>
              <w:jc w:val="both"/>
              <w:rPr>
                <w:rFonts w:ascii="Times New Roman" w:hAnsi="Times New Roman" w:cs="Times New Roman"/>
                <w:sz w:val="28"/>
                <w:szCs w:val="20"/>
                <w:lang w:val="es-ES"/>
              </w:rPr>
            </w:pPr>
          </w:p>
        </w:tc>
        <w:tc>
          <w:tcPr>
            <w:tcW w:w="3741" w:type="dxa"/>
          </w:tcPr>
          <w:p w:rsidR="00166922" w:rsidRPr="0096658B" w:rsidRDefault="0096658B" w:rsidP="00166922">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 xml:space="preserve">Artículo 4º. La presente ley rige a partir de su promulgación. </w:t>
            </w:r>
          </w:p>
          <w:p w:rsidR="00B9088E" w:rsidRPr="0096658B" w:rsidRDefault="0096658B" w:rsidP="00B9088E">
            <w:pPr>
              <w:jc w:val="both"/>
              <w:rPr>
                <w:rFonts w:ascii="Times New Roman" w:hAnsi="Times New Roman" w:cs="Times New Roman"/>
                <w:sz w:val="28"/>
                <w:szCs w:val="20"/>
                <w:lang w:val="es-ES"/>
              </w:rPr>
            </w:pPr>
          </w:p>
        </w:tc>
        <w:tc>
          <w:tcPr>
            <w:tcW w:w="3742" w:type="dxa"/>
          </w:tcPr>
          <w:p w:rsidR="00166922" w:rsidRPr="0096658B" w:rsidRDefault="0096658B" w:rsidP="00166922">
            <w:pPr>
              <w:jc w:val="both"/>
              <w:rPr>
                <w:rFonts w:ascii="Times New Roman" w:hAnsi="Times New Roman" w:cs="Times New Roman"/>
                <w:sz w:val="28"/>
                <w:szCs w:val="20"/>
                <w:lang w:val="es-ES"/>
              </w:rPr>
            </w:pPr>
            <w:r w:rsidRPr="0096658B">
              <w:rPr>
                <w:rFonts w:ascii="Times New Roman" w:hAnsi="Times New Roman" w:cs="Times New Roman"/>
                <w:sz w:val="28"/>
                <w:szCs w:val="20"/>
                <w:lang w:val="es-ES"/>
              </w:rPr>
              <w:t>Artículo 4º. La presente ley rige a partir de su promulgación</w:t>
            </w:r>
            <w:r w:rsidRPr="0096658B">
              <w:rPr>
                <w:rFonts w:ascii="Times New Roman" w:hAnsi="Times New Roman" w:cs="Times New Roman"/>
                <w:sz w:val="28"/>
                <w:szCs w:val="20"/>
                <w:lang w:val="es-ES"/>
              </w:rPr>
              <w:t xml:space="preserve">. </w:t>
            </w:r>
          </w:p>
          <w:p w:rsidR="00B9088E" w:rsidRPr="0096658B" w:rsidRDefault="0096658B" w:rsidP="00B9088E">
            <w:pPr>
              <w:jc w:val="both"/>
              <w:rPr>
                <w:rFonts w:ascii="Times New Roman" w:hAnsi="Times New Roman" w:cs="Times New Roman"/>
                <w:sz w:val="28"/>
                <w:szCs w:val="20"/>
                <w:lang w:val="es-ES"/>
              </w:rPr>
            </w:pPr>
          </w:p>
        </w:tc>
      </w:tr>
    </w:tbl>
    <w:p w:rsidR="00B46B31" w:rsidRPr="0096658B" w:rsidRDefault="0096658B">
      <w:pPr>
        <w:rPr>
          <w:rFonts w:ascii="Times New Roman" w:hAnsi="Times New Roman" w:cs="Times New Roman"/>
          <w:sz w:val="28"/>
        </w:rPr>
      </w:pPr>
    </w:p>
    <w:p w:rsidR="009F0B5B" w:rsidRPr="0096658B" w:rsidRDefault="0096658B" w:rsidP="006E4754">
      <w:pPr>
        <w:spacing w:after="0" w:line="240" w:lineRule="auto"/>
        <w:jc w:val="center"/>
        <w:rPr>
          <w:rFonts w:ascii="Times New Roman" w:hAnsi="Times New Roman" w:cs="Times New Roman"/>
          <w:b/>
          <w:sz w:val="28"/>
          <w:szCs w:val="28"/>
          <w:lang w:val="es-ES" w:eastAsia="es-ES"/>
        </w:rPr>
      </w:pPr>
    </w:p>
    <w:p w:rsidR="009F0B5B" w:rsidRPr="0096658B" w:rsidRDefault="0096658B" w:rsidP="006E4754">
      <w:pPr>
        <w:spacing w:after="0" w:line="240" w:lineRule="auto"/>
        <w:jc w:val="center"/>
        <w:rPr>
          <w:rFonts w:ascii="Times New Roman" w:hAnsi="Times New Roman" w:cs="Times New Roman"/>
          <w:b/>
          <w:sz w:val="28"/>
          <w:szCs w:val="28"/>
          <w:lang w:val="es-ES" w:eastAsia="es-ES"/>
        </w:rPr>
      </w:pPr>
    </w:p>
    <w:p w:rsidR="006E4754" w:rsidRPr="0096658B" w:rsidRDefault="0096658B" w:rsidP="006E4754">
      <w:pPr>
        <w:spacing w:after="0" w:line="240" w:lineRule="auto"/>
        <w:jc w:val="center"/>
        <w:rPr>
          <w:rFonts w:ascii="Times New Roman" w:hAnsi="Times New Roman" w:cs="Times New Roman"/>
          <w:b/>
          <w:sz w:val="28"/>
          <w:szCs w:val="28"/>
          <w:lang w:val="es-ES" w:eastAsia="es-ES"/>
        </w:rPr>
      </w:pPr>
      <w:r w:rsidRPr="0096658B">
        <w:rPr>
          <w:rFonts w:ascii="Times New Roman" w:hAnsi="Times New Roman" w:cs="Times New Roman"/>
          <w:b/>
          <w:sz w:val="28"/>
          <w:szCs w:val="28"/>
          <w:lang w:val="es-ES" w:eastAsia="es-ES"/>
        </w:rPr>
        <w:t xml:space="preserve">ACLARACIÓN DE VOTO DEL MAGISTRADO </w:t>
      </w:r>
    </w:p>
    <w:p w:rsidR="006E4754" w:rsidRPr="0096658B" w:rsidRDefault="0096658B" w:rsidP="006E4754">
      <w:pPr>
        <w:spacing w:after="0" w:line="240" w:lineRule="auto"/>
        <w:jc w:val="center"/>
        <w:rPr>
          <w:rFonts w:ascii="Times New Roman" w:hAnsi="Times New Roman" w:cs="Times New Roman"/>
          <w:b/>
          <w:sz w:val="28"/>
          <w:szCs w:val="28"/>
          <w:lang w:val="es-ES" w:eastAsia="es-ES"/>
        </w:rPr>
      </w:pPr>
      <w:r w:rsidRPr="0096658B">
        <w:rPr>
          <w:rFonts w:ascii="Times New Roman" w:hAnsi="Times New Roman" w:cs="Times New Roman"/>
          <w:b/>
          <w:sz w:val="28"/>
          <w:szCs w:val="28"/>
          <w:lang w:val="es-ES" w:eastAsia="es-ES"/>
        </w:rPr>
        <w:t xml:space="preserve">ANTONIO JOSÉ LIZARAZO OCAMPO </w:t>
      </w:r>
    </w:p>
    <w:p w:rsidR="006E4754" w:rsidRPr="0096658B" w:rsidRDefault="0096658B" w:rsidP="006E4754">
      <w:pPr>
        <w:spacing w:after="0" w:line="240" w:lineRule="auto"/>
        <w:jc w:val="center"/>
        <w:rPr>
          <w:rFonts w:ascii="Times New Roman" w:hAnsi="Times New Roman" w:cs="Times New Roman"/>
          <w:b/>
          <w:sz w:val="28"/>
          <w:szCs w:val="28"/>
          <w:lang w:val="es-ES" w:eastAsia="es-ES"/>
        </w:rPr>
      </w:pPr>
      <w:r w:rsidRPr="0096658B">
        <w:rPr>
          <w:rFonts w:ascii="Times New Roman" w:hAnsi="Times New Roman" w:cs="Times New Roman"/>
          <w:b/>
          <w:sz w:val="28"/>
          <w:szCs w:val="28"/>
          <w:lang w:val="es-ES" w:eastAsia="es-ES"/>
        </w:rPr>
        <w:t xml:space="preserve">A LA SENTENCIA </w:t>
      </w:r>
      <w:r w:rsidRPr="0096658B">
        <w:rPr>
          <w:rFonts w:ascii="Times New Roman" w:hAnsi="Times New Roman" w:cs="Times New Roman"/>
          <w:b/>
          <w:sz w:val="28"/>
          <w:szCs w:val="28"/>
          <w:lang w:val="es-ES" w:eastAsia="es-ES"/>
        </w:rPr>
        <w:t>C-</w:t>
      </w:r>
      <w:r w:rsidRPr="0096658B">
        <w:rPr>
          <w:rFonts w:ascii="Times New Roman" w:hAnsi="Times New Roman" w:cs="Times New Roman"/>
          <w:b/>
          <w:sz w:val="28"/>
          <w:szCs w:val="28"/>
          <w:lang w:val="es-ES" w:eastAsia="es-ES"/>
        </w:rPr>
        <w:t>136</w:t>
      </w:r>
      <w:r w:rsidRPr="0096658B">
        <w:rPr>
          <w:rFonts w:ascii="Times New Roman" w:hAnsi="Times New Roman" w:cs="Times New Roman"/>
          <w:b/>
          <w:sz w:val="28"/>
          <w:szCs w:val="28"/>
          <w:lang w:val="es-ES" w:eastAsia="es-ES"/>
        </w:rPr>
        <w:t>/</w:t>
      </w:r>
      <w:r w:rsidRPr="0096658B">
        <w:rPr>
          <w:rFonts w:ascii="Times New Roman" w:hAnsi="Times New Roman" w:cs="Times New Roman"/>
          <w:b/>
          <w:sz w:val="28"/>
          <w:szCs w:val="28"/>
          <w:lang w:val="es-ES" w:eastAsia="es-ES"/>
        </w:rPr>
        <w:t>24</w:t>
      </w:r>
    </w:p>
    <w:p w:rsidR="006E4754" w:rsidRPr="0096658B" w:rsidRDefault="0096658B" w:rsidP="006E4754">
      <w:pPr>
        <w:spacing w:after="0" w:line="240" w:lineRule="auto"/>
        <w:jc w:val="both"/>
        <w:rPr>
          <w:rFonts w:ascii="Times New Roman" w:hAnsi="Times New Roman" w:cs="Times New Roman"/>
          <w:sz w:val="28"/>
          <w:szCs w:val="28"/>
          <w:lang w:val="es-ES" w:eastAsia="es-ES_tradnl"/>
        </w:rPr>
      </w:pPr>
    </w:p>
    <w:p w:rsidR="0059005A" w:rsidRPr="0096658B" w:rsidRDefault="0096658B" w:rsidP="0059005A">
      <w:pPr>
        <w:spacing w:after="0" w:line="240" w:lineRule="auto"/>
        <w:ind w:left="3969"/>
        <w:jc w:val="both"/>
        <w:rPr>
          <w:rFonts w:ascii="Times New Roman" w:hAnsi="Times New Roman" w:cs="Times New Roman"/>
          <w:sz w:val="28"/>
          <w:szCs w:val="28"/>
          <w:lang w:val="es-ES" w:eastAsia="es-ES_tradnl"/>
        </w:rPr>
      </w:pPr>
    </w:p>
    <w:p w:rsidR="006E4754" w:rsidRPr="0096658B" w:rsidRDefault="0096658B" w:rsidP="0059005A">
      <w:pPr>
        <w:spacing w:after="0" w:line="240" w:lineRule="auto"/>
        <w:ind w:left="3969"/>
        <w:jc w:val="both"/>
        <w:rPr>
          <w:rFonts w:ascii="Times New Roman" w:hAnsi="Times New Roman" w:cs="Times New Roman"/>
          <w:sz w:val="28"/>
          <w:szCs w:val="28"/>
          <w:lang w:eastAsia="es-ES_tradnl"/>
        </w:rPr>
      </w:pPr>
      <w:r w:rsidRPr="0096658B">
        <w:rPr>
          <w:rFonts w:ascii="Times New Roman" w:hAnsi="Times New Roman" w:cs="Times New Roman"/>
          <w:sz w:val="28"/>
          <w:szCs w:val="28"/>
          <w:lang w:val="es-ES_tradnl" w:eastAsia="es-ES_tradnl"/>
        </w:rPr>
        <w:t xml:space="preserve">Referencia: Expediente </w:t>
      </w:r>
      <w:r w:rsidRPr="0096658B">
        <w:rPr>
          <w:rFonts w:ascii="Times New Roman" w:hAnsi="Times New Roman" w:cs="Times New Roman"/>
          <w:sz w:val="28"/>
          <w:szCs w:val="28"/>
          <w:lang w:val="es-ES_tradnl" w:eastAsia="es-ES_tradnl"/>
        </w:rPr>
        <w:t>PE-053</w:t>
      </w:r>
    </w:p>
    <w:p w:rsidR="006E4754" w:rsidRPr="0096658B" w:rsidRDefault="0096658B" w:rsidP="006E4754">
      <w:pPr>
        <w:spacing w:after="0" w:line="240" w:lineRule="auto"/>
        <w:ind w:right="20"/>
        <w:jc w:val="both"/>
        <w:rPr>
          <w:rFonts w:ascii="Times New Roman" w:hAnsi="Times New Roman" w:cs="Times New Roman"/>
          <w:sz w:val="28"/>
          <w:szCs w:val="28"/>
          <w:lang w:eastAsia="es-ES_tradnl"/>
        </w:rPr>
      </w:pPr>
    </w:p>
    <w:p w:rsidR="006E4754" w:rsidRPr="0096658B" w:rsidRDefault="0096658B" w:rsidP="006E4754">
      <w:pPr>
        <w:spacing w:after="0" w:line="240" w:lineRule="auto"/>
        <w:ind w:right="20"/>
        <w:jc w:val="both"/>
        <w:rPr>
          <w:rFonts w:ascii="Times New Roman" w:hAnsi="Times New Roman" w:cs="Times New Roman"/>
          <w:sz w:val="28"/>
          <w:szCs w:val="28"/>
          <w:lang w:eastAsia="es-ES_tradnl"/>
        </w:rPr>
      </w:pPr>
    </w:p>
    <w:p w:rsidR="00F95EA4" w:rsidRPr="0096658B" w:rsidRDefault="0096658B" w:rsidP="00F95EA4">
      <w:pPr>
        <w:spacing w:after="0" w:line="240" w:lineRule="auto"/>
        <w:jc w:val="both"/>
        <w:rPr>
          <w:rFonts w:ascii="Times New Roman" w:hAnsi="Times New Roman" w:cs="Times New Roman"/>
          <w:sz w:val="28"/>
          <w:szCs w:val="28"/>
          <w:lang w:val="es-ES"/>
        </w:rPr>
      </w:pPr>
      <w:r w:rsidRPr="0096658B">
        <w:rPr>
          <w:rFonts w:ascii="Times New Roman" w:hAnsi="Times New Roman" w:cs="Times New Roman"/>
          <w:sz w:val="28"/>
          <w:szCs w:val="28"/>
          <w:lang w:val="es-ES" w:eastAsia="es-ES_tradnl"/>
        </w:rPr>
        <w:t xml:space="preserve">Con el acostumbrado respeto por las decisiones de la </w:t>
      </w:r>
      <w:r w:rsidRPr="0096658B">
        <w:rPr>
          <w:rFonts w:ascii="Times New Roman" w:hAnsi="Times New Roman" w:cs="Times New Roman"/>
          <w:sz w:val="28"/>
          <w:szCs w:val="28"/>
          <w:lang w:val="es-ES" w:eastAsia="es-ES_tradnl"/>
        </w:rPr>
        <w:t>mayoría</w:t>
      </w:r>
      <w:r w:rsidRPr="0096658B">
        <w:rPr>
          <w:rFonts w:ascii="Times New Roman" w:hAnsi="Times New Roman" w:cs="Times New Roman"/>
          <w:sz w:val="28"/>
          <w:szCs w:val="28"/>
          <w:lang w:val="es-ES" w:eastAsia="es-ES_tradnl"/>
        </w:rPr>
        <w:t xml:space="preserve">, aclaro mi voto </w:t>
      </w:r>
      <w:r w:rsidRPr="0096658B">
        <w:rPr>
          <w:rFonts w:ascii="Times New Roman" w:hAnsi="Times New Roman" w:cs="Times New Roman"/>
          <w:sz w:val="28"/>
          <w:szCs w:val="28"/>
          <w:lang w:val="es-ES" w:eastAsia="es-ES_tradnl"/>
        </w:rPr>
        <w:t xml:space="preserve">pues no comparto </w:t>
      </w:r>
      <w:r w:rsidRPr="0096658B">
        <w:rPr>
          <w:rFonts w:ascii="Times New Roman" w:hAnsi="Times New Roman" w:cs="Times New Roman"/>
          <w:i/>
          <w:iCs/>
          <w:sz w:val="28"/>
          <w:szCs w:val="28"/>
          <w:lang w:val="es-ES"/>
        </w:rPr>
        <w:t>(i)</w:t>
      </w:r>
      <w:r w:rsidRPr="0096658B">
        <w:rPr>
          <w:rFonts w:ascii="Times New Roman" w:hAnsi="Times New Roman" w:cs="Times New Roman"/>
          <w:sz w:val="28"/>
          <w:szCs w:val="28"/>
          <w:lang w:val="es-ES"/>
        </w:rPr>
        <w:t xml:space="preserve"> el alcance que se le otorgó al </w:t>
      </w:r>
      <w:r w:rsidRPr="0096658B">
        <w:rPr>
          <w:rFonts w:ascii="Times New Roman" w:hAnsi="Times New Roman" w:cs="Times New Roman"/>
          <w:sz w:val="28"/>
          <w:szCs w:val="28"/>
          <w:lang w:val="es-ES"/>
        </w:rPr>
        <w:t>principio</w:t>
      </w:r>
      <w:r w:rsidRPr="0096658B">
        <w:rPr>
          <w:rFonts w:ascii="Times New Roman" w:hAnsi="Times New Roman" w:cs="Times New Roman"/>
          <w:sz w:val="28"/>
          <w:szCs w:val="28"/>
          <w:lang w:val="es-ES"/>
        </w:rPr>
        <w:t xml:space="preserve"> de p</w:t>
      </w:r>
      <w:r w:rsidRPr="0096658B">
        <w:rPr>
          <w:rFonts w:ascii="Times New Roman" w:hAnsi="Times New Roman" w:cs="Times New Roman"/>
          <w:sz w:val="28"/>
          <w:szCs w:val="28"/>
          <w:lang w:val="es-ES"/>
        </w:rPr>
        <w:t xml:space="preserve">rogresividad para la materialización del mandato de </w:t>
      </w:r>
      <w:r w:rsidRPr="0096658B">
        <w:rPr>
          <w:rFonts w:ascii="Times New Roman" w:hAnsi="Times New Roman" w:cs="Times New Roman"/>
          <w:iCs/>
          <w:sz w:val="28"/>
          <w:szCs w:val="28"/>
          <w:lang w:val="es-ES"/>
        </w:rPr>
        <w:t>paridad, alternancia y universalidad</w:t>
      </w:r>
      <w:r w:rsidRPr="0096658B">
        <w:rPr>
          <w:rFonts w:ascii="Times New Roman" w:hAnsi="Times New Roman" w:cs="Times New Roman"/>
          <w:iCs/>
          <w:sz w:val="28"/>
          <w:szCs w:val="28"/>
          <w:lang w:val="es-ES"/>
        </w:rPr>
        <w:t xml:space="preserve"> en </w:t>
      </w:r>
      <w:r w:rsidRPr="0096658B">
        <w:rPr>
          <w:rFonts w:ascii="Times New Roman" w:hAnsi="Times New Roman" w:cs="Times New Roman"/>
          <w:sz w:val="28"/>
          <w:szCs w:val="28"/>
          <w:lang w:val="es-ES"/>
        </w:rPr>
        <w:t>la conformación de las listas de corporaciones p</w:t>
      </w:r>
      <w:r w:rsidRPr="0096658B">
        <w:rPr>
          <w:rFonts w:ascii="Times New Roman" w:hAnsi="Times New Roman" w:cs="Times New Roman"/>
          <w:sz w:val="28"/>
          <w:szCs w:val="28"/>
          <w:lang w:val="es-ES"/>
        </w:rPr>
        <w:t>úblicas de que trata el parágrafo del artículo 3 del PLE</w:t>
      </w:r>
      <w:r w:rsidRPr="0096658B">
        <w:rPr>
          <w:rFonts w:ascii="Times New Roman" w:hAnsi="Times New Roman" w:cs="Times New Roman"/>
          <w:sz w:val="28"/>
          <w:szCs w:val="28"/>
          <w:lang w:val="es-ES"/>
        </w:rPr>
        <w:t>,</w:t>
      </w:r>
      <w:r w:rsidRPr="0096658B">
        <w:rPr>
          <w:rFonts w:ascii="Times New Roman" w:hAnsi="Times New Roman" w:cs="Times New Roman"/>
          <w:sz w:val="28"/>
          <w:szCs w:val="28"/>
          <w:lang w:val="es-ES"/>
        </w:rPr>
        <w:t xml:space="preserve"> </w:t>
      </w:r>
      <w:r w:rsidRPr="0096658B">
        <w:rPr>
          <w:rFonts w:ascii="Times New Roman" w:hAnsi="Times New Roman" w:cs="Times New Roman"/>
          <w:sz w:val="28"/>
          <w:szCs w:val="28"/>
          <w:lang w:val="es-ES"/>
        </w:rPr>
        <w:t>ni</w:t>
      </w:r>
      <w:r w:rsidRPr="0096658B">
        <w:rPr>
          <w:rFonts w:ascii="Times New Roman" w:hAnsi="Times New Roman" w:cs="Times New Roman"/>
          <w:sz w:val="28"/>
          <w:szCs w:val="28"/>
          <w:lang w:val="es-ES"/>
        </w:rPr>
        <w:t xml:space="preserve"> </w:t>
      </w:r>
      <w:r w:rsidRPr="0096658B">
        <w:rPr>
          <w:rFonts w:ascii="Times New Roman" w:hAnsi="Times New Roman" w:cs="Times New Roman"/>
          <w:i/>
          <w:iCs/>
          <w:sz w:val="28"/>
          <w:szCs w:val="28"/>
          <w:lang w:val="es-ES"/>
        </w:rPr>
        <w:t>(ii)</w:t>
      </w:r>
      <w:r w:rsidRPr="0096658B">
        <w:rPr>
          <w:rFonts w:ascii="Times New Roman" w:hAnsi="Times New Roman" w:cs="Times New Roman"/>
          <w:sz w:val="28"/>
          <w:szCs w:val="28"/>
          <w:lang w:val="es-ES"/>
        </w:rPr>
        <w:t xml:space="preserve"> </w:t>
      </w:r>
      <w:r w:rsidRPr="0096658B">
        <w:rPr>
          <w:rFonts w:ascii="Times New Roman" w:hAnsi="Times New Roman" w:cs="Times New Roman"/>
          <w:iCs/>
          <w:sz w:val="28"/>
          <w:szCs w:val="28"/>
          <w:lang w:val="es-ES"/>
        </w:rPr>
        <w:t xml:space="preserve">el </w:t>
      </w:r>
      <w:r w:rsidRPr="0096658B">
        <w:rPr>
          <w:rFonts w:ascii="Times New Roman" w:hAnsi="Times New Roman" w:cs="Times New Roman"/>
          <w:iCs/>
          <w:sz w:val="28"/>
          <w:szCs w:val="28"/>
          <w:lang w:val="es-ES"/>
        </w:rPr>
        <w:t>análisis de las disposiciones con base en el criterio de “personas de diferentes géneros</w:t>
      </w:r>
      <w:r w:rsidRPr="0096658B">
        <w:rPr>
          <w:rFonts w:ascii="Times New Roman" w:hAnsi="Times New Roman" w:cs="Times New Roman"/>
          <w:iCs/>
          <w:sz w:val="28"/>
          <w:szCs w:val="28"/>
          <w:lang w:val="es-ES"/>
        </w:rPr>
        <w:t>”</w:t>
      </w:r>
      <w:r w:rsidRPr="0096658B">
        <w:rPr>
          <w:rFonts w:ascii="Times New Roman" w:hAnsi="Times New Roman" w:cs="Times New Roman"/>
          <w:iCs/>
          <w:sz w:val="28"/>
          <w:szCs w:val="28"/>
          <w:lang w:val="es-ES"/>
        </w:rPr>
        <w:t>.</w:t>
      </w:r>
    </w:p>
    <w:p w:rsidR="00F95EA4" w:rsidRPr="0096658B" w:rsidRDefault="0096658B" w:rsidP="00F95EA4">
      <w:pPr>
        <w:spacing w:after="0" w:line="240" w:lineRule="auto"/>
        <w:jc w:val="both"/>
        <w:rPr>
          <w:rFonts w:ascii="Times New Roman" w:hAnsi="Times New Roman" w:cs="Times New Roman"/>
          <w:sz w:val="28"/>
          <w:szCs w:val="28"/>
          <w:lang w:val="es-ES"/>
        </w:rPr>
      </w:pPr>
    </w:p>
    <w:p w:rsidR="00EC0B6D" w:rsidRPr="0096658B" w:rsidRDefault="0096658B" w:rsidP="006C0F08">
      <w:pPr>
        <w:spacing w:after="0" w:line="240" w:lineRule="auto"/>
        <w:jc w:val="both"/>
        <w:rPr>
          <w:rFonts w:ascii="Times New Roman" w:hAnsi="Times New Roman" w:cs="Times New Roman"/>
          <w:sz w:val="28"/>
          <w:szCs w:val="28"/>
        </w:rPr>
      </w:pPr>
      <w:r w:rsidRPr="0096658B">
        <w:rPr>
          <w:rFonts w:ascii="Times New Roman" w:hAnsi="Times New Roman" w:cs="Times New Roman"/>
          <w:sz w:val="28"/>
          <w:szCs w:val="28"/>
        </w:rPr>
        <w:t xml:space="preserve">En primer lugar, </w:t>
      </w:r>
      <w:r w:rsidRPr="0096658B">
        <w:rPr>
          <w:rFonts w:ascii="Times New Roman" w:hAnsi="Times New Roman" w:cs="Times New Roman"/>
          <w:sz w:val="28"/>
          <w:szCs w:val="28"/>
          <w:lang w:val="es-ES"/>
        </w:rPr>
        <w:t xml:space="preserve">en relación con el artículo </w:t>
      </w:r>
      <w:r w:rsidRPr="0096658B">
        <w:rPr>
          <w:rFonts w:ascii="Times New Roman" w:hAnsi="Times New Roman" w:cs="Times New Roman"/>
          <w:sz w:val="28"/>
          <w:szCs w:val="28"/>
          <w:lang w:val="es-ES"/>
        </w:rPr>
        <w:t>3 del PLE, que adicionó un parágrafo al artículo 28 de la Ley 1475 de 2011,</w:t>
      </w:r>
      <w:r w:rsidRPr="0096658B">
        <w:rPr>
          <w:rFonts w:ascii="Times New Roman" w:hAnsi="Times New Roman" w:cs="Times New Roman"/>
          <w:i/>
          <w:iCs/>
          <w:sz w:val="28"/>
          <w:szCs w:val="28"/>
        </w:rPr>
        <w:t xml:space="preserve"> </w:t>
      </w:r>
      <w:r w:rsidRPr="0096658B">
        <w:rPr>
          <w:rFonts w:ascii="Times New Roman" w:hAnsi="Times New Roman" w:cs="Times New Roman"/>
          <w:sz w:val="28"/>
          <w:szCs w:val="28"/>
          <w:lang w:val="es-ES"/>
        </w:rPr>
        <w:t>c</w:t>
      </w:r>
      <w:r w:rsidRPr="0096658B">
        <w:rPr>
          <w:rFonts w:ascii="Times New Roman" w:hAnsi="Times New Roman" w:cs="Times New Roman"/>
          <w:sz w:val="28"/>
          <w:szCs w:val="28"/>
        </w:rPr>
        <w:t xml:space="preserve">onsidero que la Corte ha debido examinar con mayor profundidad las reglas relativas a la </w:t>
      </w:r>
      <w:r w:rsidRPr="0096658B">
        <w:rPr>
          <w:rFonts w:ascii="Times New Roman" w:hAnsi="Times New Roman" w:cs="Times New Roman"/>
          <w:sz w:val="28"/>
          <w:szCs w:val="28"/>
          <w:lang w:val="es-ES"/>
        </w:rPr>
        <w:t xml:space="preserve">conformación de las listas para la elección de corporaciones públicas </w:t>
      </w:r>
      <w:r w:rsidRPr="0096658B">
        <w:rPr>
          <w:rFonts w:ascii="Times New Roman" w:hAnsi="Times New Roman" w:cs="Times New Roman"/>
          <w:sz w:val="28"/>
          <w:szCs w:val="28"/>
          <w:lang w:val="es-ES"/>
        </w:rPr>
        <w:t>con al menos una mujer</w:t>
      </w:r>
      <w:r w:rsidRPr="0096658B">
        <w:rPr>
          <w:rFonts w:ascii="Times New Roman" w:hAnsi="Times New Roman" w:cs="Times New Roman"/>
          <w:sz w:val="28"/>
          <w:szCs w:val="28"/>
          <w:lang w:val="es-ES"/>
        </w:rPr>
        <w:t xml:space="preserve">, si se tiene en cuenta el </w:t>
      </w:r>
      <w:r w:rsidRPr="0096658B">
        <w:rPr>
          <w:rFonts w:ascii="Times New Roman" w:hAnsi="Times New Roman" w:cs="Times New Roman"/>
          <w:sz w:val="28"/>
          <w:szCs w:val="28"/>
          <w:lang w:val="es-ES"/>
        </w:rPr>
        <w:t xml:space="preserve">mandato constitucional contenido en </w:t>
      </w:r>
      <w:r w:rsidRPr="0096658B">
        <w:rPr>
          <w:rFonts w:ascii="Times New Roman" w:hAnsi="Times New Roman" w:cs="Times New Roman"/>
          <w:sz w:val="28"/>
          <w:szCs w:val="28"/>
          <w:lang w:val="es-ES"/>
        </w:rPr>
        <w:t xml:space="preserve">su </w:t>
      </w:r>
      <w:r w:rsidRPr="0096658B">
        <w:rPr>
          <w:rFonts w:ascii="Times New Roman" w:hAnsi="Times New Roman" w:cs="Times New Roman"/>
          <w:sz w:val="28"/>
          <w:szCs w:val="28"/>
          <w:lang w:val="es-ES"/>
        </w:rPr>
        <w:t xml:space="preserve">artículo </w:t>
      </w:r>
      <w:r w:rsidRPr="0096658B">
        <w:rPr>
          <w:rFonts w:ascii="Times New Roman" w:hAnsi="Times New Roman" w:cs="Times New Roman"/>
          <w:sz w:val="28"/>
          <w:szCs w:val="28"/>
          <w:lang w:val="es-ES"/>
        </w:rPr>
        <w:t xml:space="preserve">267, </w:t>
      </w:r>
      <w:r w:rsidRPr="0096658B">
        <w:rPr>
          <w:rFonts w:ascii="Times New Roman" w:hAnsi="Times New Roman" w:cs="Times New Roman"/>
          <w:sz w:val="28"/>
          <w:szCs w:val="28"/>
          <w:lang w:val="es-ES"/>
        </w:rPr>
        <w:t xml:space="preserve">según el cual, </w:t>
      </w:r>
      <w:r w:rsidRPr="0096658B">
        <w:rPr>
          <w:rFonts w:ascii="Times New Roman" w:hAnsi="Times New Roman" w:cs="Times New Roman"/>
          <w:sz w:val="28"/>
          <w:szCs w:val="28"/>
          <w:lang w:val="es-ES"/>
        </w:rPr>
        <w:t xml:space="preserve">“en la conformación de las listas se observarán en forma progresiva, entre otros, los principios de </w:t>
      </w:r>
      <w:r w:rsidRPr="0096658B">
        <w:rPr>
          <w:rFonts w:ascii="Times New Roman" w:hAnsi="Times New Roman" w:cs="Times New Roman"/>
          <w:sz w:val="28"/>
          <w:szCs w:val="28"/>
          <w:lang w:val="es-ES"/>
        </w:rPr>
        <w:t>paridad, alternancia y universalidad</w:t>
      </w:r>
      <w:r w:rsidRPr="0096658B">
        <w:rPr>
          <w:rFonts w:ascii="Times New Roman" w:hAnsi="Times New Roman" w:cs="Times New Roman"/>
          <w:sz w:val="28"/>
          <w:szCs w:val="28"/>
          <w:lang w:val="es-ES"/>
        </w:rPr>
        <w:t>”, según lo determine la ley.</w:t>
      </w:r>
      <w:r w:rsidRPr="0096658B">
        <w:rPr>
          <w:rFonts w:ascii="Times New Roman" w:hAnsi="Times New Roman" w:cs="Times New Roman"/>
          <w:sz w:val="28"/>
          <w:szCs w:val="28"/>
        </w:rPr>
        <w:t xml:space="preserve"> </w:t>
      </w:r>
    </w:p>
    <w:p w:rsidR="00EC0B6D" w:rsidRPr="0096658B" w:rsidRDefault="0096658B" w:rsidP="006C0F08">
      <w:pPr>
        <w:spacing w:after="0" w:line="240" w:lineRule="auto"/>
        <w:jc w:val="both"/>
        <w:rPr>
          <w:rFonts w:ascii="Times New Roman" w:hAnsi="Times New Roman" w:cs="Times New Roman"/>
          <w:sz w:val="28"/>
          <w:szCs w:val="28"/>
        </w:rPr>
      </w:pPr>
    </w:p>
    <w:p w:rsidR="00900F4A" w:rsidRPr="0096658B" w:rsidRDefault="0096658B" w:rsidP="006C0F08">
      <w:pPr>
        <w:spacing w:after="0" w:line="240" w:lineRule="auto"/>
        <w:jc w:val="both"/>
        <w:rPr>
          <w:rFonts w:ascii="Times New Roman" w:hAnsi="Times New Roman" w:cs="Times New Roman"/>
          <w:iCs/>
          <w:sz w:val="28"/>
          <w:szCs w:val="28"/>
          <w:lang w:val="es-ES"/>
        </w:rPr>
      </w:pPr>
      <w:r w:rsidRPr="0096658B">
        <w:rPr>
          <w:rFonts w:ascii="Times New Roman" w:hAnsi="Times New Roman" w:cs="Times New Roman"/>
          <w:sz w:val="28"/>
          <w:szCs w:val="28"/>
        </w:rPr>
        <w:t>S</w:t>
      </w:r>
      <w:r w:rsidRPr="0096658B">
        <w:rPr>
          <w:rFonts w:ascii="Times New Roman" w:hAnsi="Times New Roman" w:cs="Times New Roman"/>
          <w:sz w:val="28"/>
          <w:szCs w:val="28"/>
        </w:rPr>
        <w:t>i bien el parágrafo del artículo 3 del PLE establec</w:t>
      </w:r>
      <w:r w:rsidRPr="0096658B">
        <w:rPr>
          <w:rFonts w:ascii="Times New Roman" w:hAnsi="Times New Roman" w:cs="Times New Roman"/>
          <w:sz w:val="28"/>
          <w:szCs w:val="28"/>
        </w:rPr>
        <w:t>ió</w:t>
      </w:r>
      <w:r w:rsidRPr="0096658B">
        <w:rPr>
          <w:rFonts w:ascii="Times New Roman" w:hAnsi="Times New Roman" w:cs="Times New Roman"/>
          <w:sz w:val="28"/>
          <w:szCs w:val="28"/>
        </w:rPr>
        <w:t xml:space="preserve"> que</w:t>
      </w:r>
      <w:r w:rsidRPr="0096658B">
        <w:rPr>
          <w:rFonts w:ascii="Times New Roman" w:hAnsi="Times New Roman" w:cs="Times New Roman"/>
          <w:sz w:val="28"/>
          <w:szCs w:val="28"/>
          <w:lang w:val="es-ES"/>
        </w:rPr>
        <w:t xml:space="preserve"> </w:t>
      </w:r>
      <w:r w:rsidRPr="0096658B">
        <w:rPr>
          <w:rFonts w:ascii="Times New Roman" w:hAnsi="Times New Roman" w:cs="Times New Roman"/>
          <w:sz w:val="28"/>
          <w:szCs w:val="28"/>
          <w:lang w:val="es-ES"/>
        </w:rPr>
        <w:t>“</w:t>
      </w:r>
      <w:r w:rsidRPr="0096658B">
        <w:rPr>
          <w:rFonts w:ascii="Times New Roman" w:hAnsi="Times New Roman" w:cs="Times New Roman"/>
          <w:sz w:val="28"/>
          <w:szCs w:val="28"/>
          <w:lang w:val="es-ES" w:eastAsia="es-ES"/>
        </w:rPr>
        <w:t>[a]</w:t>
      </w:r>
      <w:r w:rsidRPr="0096658B">
        <w:rPr>
          <w:rFonts w:ascii="Times New Roman" w:hAnsi="Times New Roman" w:cs="Times New Roman"/>
          <w:sz w:val="28"/>
          <w:szCs w:val="28"/>
          <w:lang w:val="es-ES" w:eastAsia="es-ES"/>
        </w:rPr>
        <w:t xml:space="preserve"> partir del año 2026, en las listas donde se elijan menos de cinco (5) curules para corporaciones de elección popular o las que se sometan a consulta -exceptuando su resultado - deberán integrar al menos (1) mujer</w:t>
      </w:r>
      <w:r w:rsidRPr="0096658B">
        <w:rPr>
          <w:rFonts w:ascii="Times New Roman" w:hAnsi="Times New Roman" w:cs="Times New Roman"/>
          <w:sz w:val="28"/>
          <w:szCs w:val="28"/>
        </w:rPr>
        <w:t>”</w:t>
      </w:r>
      <w:r w:rsidRPr="0096658B">
        <w:rPr>
          <w:rFonts w:ascii="Times New Roman" w:hAnsi="Times New Roman" w:cs="Times New Roman"/>
          <w:sz w:val="28"/>
          <w:szCs w:val="28"/>
        </w:rPr>
        <w:t xml:space="preserve">, </w:t>
      </w:r>
      <w:r w:rsidRPr="0096658B">
        <w:rPr>
          <w:rFonts w:ascii="Times New Roman" w:hAnsi="Times New Roman" w:cs="Times New Roman"/>
          <w:sz w:val="28"/>
          <w:szCs w:val="28"/>
        </w:rPr>
        <w:t>resultaba</w:t>
      </w:r>
      <w:r w:rsidRPr="0096658B">
        <w:rPr>
          <w:rFonts w:ascii="Times New Roman" w:hAnsi="Times New Roman" w:cs="Times New Roman"/>
          <w:sz w:val="28"/>
          <w:szCs w:val="28"/>
        </w:rPr>
        <w:t xml:space="preserve"> </w:t>
      </w:r>
      <w:r w:rsidRPr="0096658B">
        <w:rPr>
          <w:rFonts w:ascii="Times New Roman" w:hAnsi="Times New Roman" w:cs="Times New Roman"/>
          <w:sz w:val="28"/>
          <w:szCs w:val="28"/>
          <w:lang w:val="es-ES"/>
        </w:rPr>
        <w:t>necesario</w:t>
      </w:r>
      <w:r w:rsidRPr="0096658B">
        <w:rPr>
          <w:rFonts w:ascii="Times New Roman" w:hAnsi="Times New Roman" w:cs="Times New Roman"/>
          <w:sz w:val="28"/>
          <w:szCs w:val="28"/>
          <w:lang w:val="es-ES"/>
        </w:rPr>
        <w:t xml:space="preserve"> p</w:t>
      </w:r>
      <w:r w:rsidRPr="0096658B">
        <w:rPr>
          <w:rFonts w:ascii="Times New Roman" w:hAnsi="Times New Roman" w:cs="Times New Roman"/>
          <w:iCs/>
          <w:sz w:val="28"/>
          <w:szCs w:val="28"/>
          <w:lang w:val="es-ES"/>
        </w:rPr>
        <w:t xml:space="preserve">recisar el alcance </w:t>
      </w:r>
      <w:r w:rsidRPr="0096658B">
        <w:rPr>
          <w:rFonts w:ascii="Times New Roman" w:hAnsi="Times New Roman" w:cs="Times New Roman"/>
          <w:iCs/>
          <w:sz w:val="28"/>
          <w:szCs w:val="28"/>
          <w:lang w:val="es-ES"/>
        </w:rPr>
        <w:t xml:space="preserve">del mandato de progresividad para </w:t>
      </w:r>
      <w:r w:rsidRPr="0096658B">
        <w:rPr>
          <w:rFonts w:ascii="Times New Roman" w:hAnsi="Times New Roman" w:cs="Times New Roman"/>
          <w:iCs/>
          <w:sz w:val="28"/>
          <w:szCs w:val="28"/>
          <w:lang w:val="es-ES"/>
        </w:rPr>
        <w:t xml:space="preserve">materializar </w:t>
      </w:r>
      <w:r w:rsidRPr="0096658B">
        <w:rPr>
          <w:rFonts w:ascii="Times New Roman" w:hAnsi="Times New Roman" w:cs="Times New Roman"/>
          <w:iCs/>
          <w:sz w:val="28"/>
          <w:szCs w:val="28"/>
          <w:lang w:val="es-ES"/>
        </w:rPr>
        <w:t xml:space="preserve">los principios de </w:t>
      </w:r>
      <w:r w:rsidRPr="0096658B">
        <w:rPr>
          <w:rFonts w:ascii="Times New Roman" w:hAnsi="Times New Roman" w:cs="Times New Roman"/>
          <w:i/>
          <w:sz w:val="28"/>
          <w:szCs w:val="28"/>
          <w:lang w:val="es-ES"/>
        </w:rPr>
        <w:t>paridad</w:t>
      </w:r>
      <w:r w:rsidRPr="0096658B">
        <w:rPr>
          <w:rFonts w:ascii="Times New Roman" w:hAnsi="Times New Roman" w:cs="Times New Roman"/>
          <w:iCs/>
          <w:sz w:val="28"/>
          <w:szCs w:val="28"/>
          <w:lang w:val="es-ES"/>
        </w:rPr>
        <w:t xml:space="preserve">, </w:t>
      </w:r>
      <w:r w:rsidRPr="0096658B">
        <w:rPr>
          <w:rFonts w:ascii="Times New Roman" w:hAnsi="Times New Roman" w:cs="Times New Roman"/>
          <w:i/>
          <w:sz w:val="28"/>
          <w:szCs w:val="28"/>
          <w:lang w:val="es-ES"/>
        </w:rPr>
        <w:t>alternancia</w:t>
      </w:r>
      <w:r w:rsidRPr="0096658B">
        <w:rPr>
          <w:rFonts w:ascii="Times New Roman" w:hAnsi="Times New Roman" w:cs="Times New Roman"/>
          <w:iCs/>
          <w:sz w:val="28"/>
          <w:szCs w:val="28"/>
          <w:lang w:val="es-ES"/>
        </w:rPr>
        <w:t xml:space="preserve"> y </w:t>
      </w:r>
      <w:r w:rsidRPr="0096658B">
        <w:rPr>
          <w:rFonts w:ascii="Times New Roman" w:hAnsi="Times New Roman" w:cs="Times New Roman"/>
          <w:i/>
          <w:sz w:val="28"/>
          <w:szCs w:val="28"/>
          <w:lang w:val="es-ES"/>
        </w:rPr>
        <w:t>universalidad</w:t>
      </w:r>
      <w:r w:rsidRPr="0096658B">
        <w:rPr>
          <w:rFonts w:ascii="Times New Roman" w:hAnsi="Times New Roman" w:cs="Times New Roman"/>
          <w:iCs/>
          <w:sz w:val="28"/>
          <w:szCs w:val="28"/>
          <w:lang w:val="es-ES"/>
        </w:rPr>
        <w:t xml:space="preserve">, pues no parece que las reglas adoptadas por el legislador en el artículo 3 del PLE, atiendan dicho mandato. </w:t>
      </w:r>
    </w:p>
    <w:p w:rsidR="00900F4A" w:rsidRPr="0096658B" w:rsidRDefault="0096658B" w:rsidP="006C0F08">
      <w:pPr>
        <w:spacing w:after="0" w:line="240" w:lineRule="auto"/>
        <w:jc w:val="both"/>
        <w:rPr>
          <w:rFonts w:ascii="Times New Roman" w:hAnsi="Times New Roman" w:cs="Times New Roman"/>
          <w:iCs/>
          <w:sz w:val="28"/>
          <w:szCs w:val="28"/>
          <w:lang w:val="es-ES"/>
        </w:rPr>
      </w:pPr>
    </w:p>
    <w:p w:rsidR="006D641B" w:rsidRPr="0096658B" w:rsidRDefault="0096658B" w:rsidP="006C0F08">
      <w:pPr>
        <w:spacing w:after="0" w:line="240" w:lineRule="auto"/>
        <w:jc w:val="both"/>
        <w:rPr>
          <w:rFonts w:ascii="Times New Roman" w:hAnsi="Times New Roman" w:cs="Times New Roman"/>
          <w:iCs/>
          <w:sz w:val="28"/>
          <w:szCs w:val="28"/>
          <w:lang w:val="es-ES"/>
        </w:rPr>
      </w:pPr>
      <w:r w:rsidRPr="0096658B">
        <w:rPr>
          <w:rFonts w:ascii="Times New Roman" w:hAnsi="Times New Roman" w:cs="Times New Roman"/>
          <w:iCs/>
          <w:sz w:val="28"/>
          <w:szCs w:val="28"/>
          <w:lang w:val="es-ES"/>
        </w:rPr>
        <w:t xml:space="preserve">En efecto, </w:t>
      </w:r>
      <w:r w:rsidRPr="0096658B">
        <w:rPr>
          <w:rFonts w:ascii="Times New Roman" w:hAnsi="Times New Roman" w:cs="Times New Roman"/>
          <w:iCs/>
          <w:sz w:val="28"/>
          <w:szCs w:val="28"/>
          <w:lang w:val="es-ES"/>
        </w:rPr>
        <w:t xml:space="preserve">regular </w:t>
      </w:r>
      <w:r w:rsidRPr="0096658B">
        <w:rPr>
          <w:rFonts w:ascii="Times New Roman" w:hAnsi="Times New Roman" w:cs="Times New Roman"/>
          <w:iCs/>
          <w:sz w:val="28"/>
          <w:szCs w:val="28"/>
          <w:lang w:val="es-ES"/>
        </w:rPr>
        <w:t>que</w:t>
      </w:r>
      <w:r w:rsidRPr="0096658B">
        <w:rPr>
          <w:rFonts w:ascii="Times New Roman" w:hAnsi="Times New Roman" w:cs="Times New Roman"/>
          <w:iCs/>
          <w:sz w:val="28"/>
          <w:szCs w:val="28"/>
          <w:lang w:val="es-ES"/>
        </w:rPr>
        <w:t xml:space="preserve"> las listas de candidatos donde se elijan menos de cinco curules</w:t>
      </w:r>
      <w:r w:rsidRPr="0096658B">
        <w:rPr>
          <w:rFonts w:ascii="Times New Roman" w:hAnsi="Times New Roman" w:cs="Times New Roman"/>
          <w:iCs/>
          <w:sz w:val="28"/>
          <w:szCs w:val="28"/>
          <w:lang w:val="es-ES"/>
        </w:rPr>
        <w:t xml:space="preserve"> deb</w:t>
      </w:r>
      <w:r w:rsidRPr="0096658B">
        <w:rPr>
          <w:rFonts w:ascii="Times New Roman" w:hAnsi="Times New Roman" w:cs="Times New Roman"/>
          <w:iCs/>
          <w:sz w:val="28"/>
          <w:szCs w:val="28"/>
          <w:lang w:val="es-ES"/>
        </w:rPr>
        <w:t>an</w:t>
      </w:r>
      <w:r w:rsidRPr="0096658B">
        <w:rPr>
          <w:rFonts w:ascii="Times New Roman" w:hAnsi="Times New Roman" w:cs="Times New Roman"/>
          <w:iCs/>
          <w:sz w:val="28"/>
          <w:szCs w:val="28"/>
          <w:lang w:val="es-ES"/>
        </w:rPr>
        <w:t xml:space="preserve"> estar integradas</w:t>
      </w:r>
      <w:r w:rsidRPr="0096658B">
        <w:rPr>
          <w:rFonts w:ascii="Times New Roman" w:hAnsi="Times New Roman" w:cs="Times New Roman"/>
          <w:iCs/>
          <w:sz w:val="28"/>
          <w:szCs w:val="28"/>
          <w:lang w:val="es-ES"/>
        </w:rPr>
        <w:t>, al menos,</w:t>
      </w:r>
      <w:r w:rsidRPr="0096658B">
        <w:rPr>
          <w:rFonts w:ascii="Times New Roman" w:hAnsi="Times New Roman" w:cs="Times New Roman"/>
          <w:iCs/>
          <w:sz w:val="28"/>
          <w:szCs w:val="28"/>
          <w:lang w:val="es-ES"/>
        </w:rPr>
        <w:t xml:space="preserve"> </w:t>
      </w:r>
      <w:r w:rsidRPr="0096658B">
        <w:rPr>
          <w:rFonts w:ascii="Times New Roman" w:hAnsi="Times New Roman" w:cs="Times New Roman"/>
          <w:iCs/>
          <w:sz w:val="28"/>
          <w:szCs w:val="28"/>
          <w:lang w:val="es-ES"/>
        </w:rPr>
        <w:t xml:space="preserve">por </w:t>
      </w:r>
      <w:r w:rsidRPr="0096658B">
        <w:rPr>
          <w:rFonts w:ascii="Times New Roman" w:hAnsi="Times New Roman" w:cs="Times New Roman"/>
          <w:iCs/>
          <w:sz w:val="28"/>
          <w:szCs w:val="28"/>
          <w:lang w:val="es-ES"/>
        </w:rPr>
        <w:t>una mujer,</w:t>
      </w:r>
      <w:r w:rsidRPr="0096658B">
        <w:rPr>
          <w:rFonts w:ascii="Times New Roman" w:hAnsi="Times New Roman" w:cs="Times New Roman"/>
          <w:iCs/>
          <w:sz w:val="28"/>
          <w:szCs w:val="28"/>
          <w:lang w:val="es-ES"/>
        </w:rPr>
        <w:t xml:space="preserve"> </w:t>
      </w:r>
      <w:r w:rsidRPr="0096658B">
        <w:rPr>
          <w:rFonts w:ascii="Times New Roman" w:hAnsi="Times New Roman" w:cs="Times New Roman"/>
          <w:i/>
          <w:sz w:val="28"/>
          <w:szCs w:val="28"/>
          <w:lang w:val="es-ES"/>
        </w:rPr>
        <w:t>(i)</w:t>
      </w:r>
      <w:r w:rsidRPr="0096658B">
        <w:rPr>
          <w:rFonts w:ascii="Times New Roman" w:hAnsi="Times New Roman" w:cs="Times New Roman"/>
          <w:iCs/>
          <w:sz w:val="28"/>
          <w:szCs w:val="28"/>
          <w:lang w:val="es-ES"/>
        </w:rPr>
        <w:t xml:space="preserve"> no </w:t>
      </w:r>
      <w:r w:rsidRPr="0096658B">
        <w:rPr>
          <w:rFonts w:ascii="Times New Roman" w:hAnsi="Times New Roman" w:cs="Times New Roman"/>
          <w:iCs/>
          <w:sz w:val="28"/>
          <w:szCs w:val="28"/>
          <w:lang w:val="es-ES"/>
        </w:rPr>
        <w:t>resulta ser</w:t>
      </w:r>
      <w:r w:rsidRPr="0096658B">
        <w:rPr>
          <w:rFonts w:ascii="Times New Roman" w:hAnsi="Times New Roman" w:cs="Times New Roman"/>
          <w:iCs/>
          <w:sz w:val="28"/>
          <w:szCs w:val="28"/>
          <w:lang w:val="es-ES"/>
        </w:rPr>
        <w:t xml:space="preserve"> suficiente </w:t>
      </w:r>
      <w:r w:rsidRPr="0096658B">
        <w:rPr>
          <w:rFonts w:ascii="Times New Roman" w:hAnsi="Times New Roman" w:cs="Times New Roman"/>
          <w:iCs/>
          <w:sz w:val="28"/>
          <w:szCs w:val="28"/>
          <w:lang w:val="es-ES"/>
        </w:rPr>
        <w:t>para asegurar</w:t>
      </w:r>
      <w:r w:rsidRPr="0096658B">
        <w:rPr>
          <w:rFonts w:ascii="Times New Roman" w:hAnsi="Times New Roman" w:cs="Times New Roman"/>
          <w:iCs/>
          <w:sz w:val="28"/>
          <w:szCs w:val="28"/>
          <w:lang w:val="es-ES"/>
        </w:rPr>
        <w:t xml:space="preserve"> el </w:t>
      </w:r>
      <w:r w:rsidRPr="0096658B">
        <w:rPr>
          <w:rFonts w:ascii="Times New Roman" w:hAnsi="Times New Roman" w:cs="Times New Roman"/>
          <w:iCs/>
          <w:sz w:val="28"/>
          <w:szCs w:val="28"/>
          <w:lang w:val="es-ES"/>
        </w:rPr>
        <w:t xml:space="preserve">mandato de </w:t>
      </w:r>
      <w:r w:rsidRPr="0096658B">
        <w:rPr>
          <w:rFonts w:ascii="Times New Roman" w:hAnsi="Times New Roman" w:cs="Times New Roman"/>
          <w:i/>
          <w:sz w:val="28"/>
          <w:szCs w:val="28"/>
          <w:lang w:val="es-ES"/>
        </w:rPr>
        <w:t>paridad</w:t>
      </w:r>
      <w:r w:rsidRPr="0096658B">
        <w:rPr>
          <w:rFonts w:ascii="Times New Roman" w:hAnsi="Times New Roman" w:cs="Times New Roman"/>
          <w:iCs/>
          <w:sz w:val="28"/>
          <w:szCs w:val="28"/>
          <w:lang w:val="es-ES"/>
        </w:rPr>
        <w:t xml:space="preserve"> en la conformación de las listas</w:t>
      </w:r>
      <w:r w:rsidRPr="0096658B">
        <w:rPr>
          <w:rFonts w:ascii="Times New Roman" w:hAnsi="Times New Roman" w:cs="Times New Roman"/>
          <w:iCs/>
          <w:sz w:val="28"/>
          <w:szCs w:val="28"/>
          <w:lang w:val="es-ES"/>
        </w:rPr>
        <w:t>,</w:t>
      </w:r>
      <w:r w:rsidRPr="0096658B">
        <w:rPr>
          <w:rFonts w:ascii="Times New Roman" w:hAnsi="Times New Roman" w:cs="Times New Roman"/>
          <w:i/>
          <w:sz w:val="28"/>
          <w:szCs w:val="28"/>
          <w:lang w:val="es-ES"/>
        </w:rPr>
        <w:t xml:space="preserve"> </w:t>
      </w:r>
      <w:r w:rsidRPr="0096658B">
        <w:rPr>
          <w:rFonts w:ascii="Times New Roman" w:hAnsi="Times New Roman" w:cs="Times New Roman"/>
          <w:i/>
          <w:sz w:val="28"/>
          <w:szCs w:val="28"/>
          <w:lang w:val="es-ES"/>
        </w:rPr>
        <w:t>(ii)</w:t>
      </w:r>
      <w:r w:rsidRPr="0096658B">
        <w:rPr>
          <w:rFonts w:ascii="Times New Roman" w:hAnsi="Times New Roman" w:cs="Times New Roman"/>
          <w:iCs/>
          <w:sz w:val="28"/>
          <w:szCs w:val="28"/>
          <w:lang w:val="es-ES"/>
        </w:rPr>
        <w:t xml:space="preserve"> n</w:t>
      </w:r>
      <w:r w:rsidRPr="0096658B">
        <w:rPr>
          <w:rFonts w:ascii="Times New Roman" w:hAnsi="Times New Roman" w:cs="Times New Roman"/>
          <w:iCs/>
          <w:sz w:val="28"/>
          <w:szCs w:val="28"/>
          <w:lang w:val="es-ES"/>
        </w:rPr>
        <w:t xml:space="preserve">o </w:t>
      </w:r>
      <w:r w:rsidRPr="0096658B">
        <w:rPr>
          <w:rFonts w:ascii="Times New Roman" w:hAnsi="Times New Roman" w:cs="Times New Roman"/>
          <w:iCs/>
          <w:sz w:val="28"/>
          <w:szCs w:val="28"/>
          <w:lang w:val="es-ES"/>
        </w:rPr>
        <w:t xml:space="preserve">parece incorporar una </w:t>
      </w:r>
      <w:r w:rsidRPr="0096658B">
        <w:rPr>
          <w:rFonts w:ascii="Times New Roman" w:hAnsi="Times New Roman" w:cs="Times New Roman"/>
          <w:iCs/>
          <w:sz w:val="28"/>
          <w:szCs w:val="28"/>
          <w:lang w:val="es-ES"/>
        </w:rPr>
        <w:t xml:space="preserve">medida </w:t>
      </w:r>
      <w:r w:rsidRPr="0096658B">
        <w:rPr>
          <w:rFonts w:ascii="Times New Roman" w:hAnsi="Times New Roman" w:cs="Times New Roman"/>
          <w:iCs/>
          <w:sz w:val="28"/>
          <w:szCs w:val="28"/>
          <w:lang w:val="es-ES"/>
        </w:rPr>
        <w:t>progresiv</w:t>
      </w:r>
      <w:r w:rsidRPr="0096658B">
        <w:rPr>
          <w:rFonts w:ascii="Times New Roman" w:hAnsi="Times New Roman" w:cs="Times New Roman"/>
          <w:iCs/>
          <w:sz w:val="28"/>
          <w:szCs w:val="28"/>
          <w:lang w:val="es-ES"/>
        </w:rPr>
        <w:t>a,</w:t>
      </w:r>
      <w:r w:rsidRPr="0096658B">
        <w:rPr>
          <w:rFonts w:ascii="Times New Roman" w:hAnsi="Times New Roman" w:cs="Times New Roman"/>
          <w:iCs/>
          <w:sz w:val="28"/>
          <w:szCs w:val="28"/>
          <w:lang w:val="es-ES"/>
        </w:rPr>
        <w:t xml:space="preserve"> en función de cumplir la </w:t>
      </w:r>
      <w:r w:rsidRPr="0096658B">
        <w:rPr>
          <w:rFonts w:ascii="Times New Roman" w:hAnsi="Times New Roman" w:cs="Times New Roman"/>
          <w:i/>
          <w:sz w:val="28"/>
          <w:szCs w:val="28"/>
          <w:lang w:val="es-ES"/>
        </w:rPr>
        <w:t>alternancia</w:t>
      </w:r>
      <w:r w:rsidRPr="0096658B">
        <w:rPr>
          <w:rFonts w:ascii="Times New Roman" w:hAnsi="Times New Roman" w:cs="Times New Roman"/>
          <w:iCs/>
          <w:sz w:val="28"/>
          <w:szCs w:val="28"/>
          <w:lang w:val="es-ES"/>
        </w:rPr>
        <w:t xml:space="preserve"> en las listas de candidatos</w:t>
      </w:r>
      <w:r w:rsidRPr="0096658B">
        <w:rPr>
          <w:rStyle w:val="Refdenotaalpie"/>
          <w:rFonts w:ascii="Times New Roman" w:hAnsi="Times New Roman"/>
          <w:iCs/>
          <w:sz w:val="28"/>
          <w:szCs w:val="28"/>
          <w:lang w:val="es-ES"/>
        </w:rPr>
        <w:footnoteReference w:id="274"/>
      </w:r>
      <w:r w:rsidRPr="0096658B">
        <w:rPr>
          <w:rFonts w:ascii="Times New Roman" w:hAnsi="Times New Roman" w:cs="Times New Roman"/>
          <w:iCs/>
          <w:sz w:val="28"/>
          <w:szCs w:val="28"/>
          <w:lang w:val="es-ES"/>
        </w:rPr>
        <w:t xml:space="preserve">, </w:t>
      </w:r>
      <w:r w:rsidRPr="0096658B">
        <w:rPr>
          <w:rFonts w:ascii="Times New Roman" w:hAnsi="Times New Roman" w:cs="Times New Roman"/>
          <w:iCs/>
          <w:sz w:val="28"/>
          <w:szCs w:val="28"/>
          <w:lang w:val="es-ES"/>
        </w:rPr>
        <w:t>ni</w:t>
      </w:r>
      <w:r w:rsidRPr="0096658B">
        <w:rPr>
          <w:rFonts w:ascii="Times New Roman" w:hAnsi="Times New Roman" w:cs="Times New Roman"/>
          <w:iCs/>
          <w:sz w:val="28"/>
          <w:szCs w:val="28"/>
          <w:lang w:val="es-ES"/>
        </w:rPr>
        <w:t xml:space="preserve"> (</w:t>
      </w:r>
      <w:r w:rsidRPr="0096658B">
        <w:rPr>
          <w:rFonts w:ascii="Times New Roman" w:hAnsi="Times New Roman" w:cs="Times New Roman"/>
          <w:i/>
          <w:sz w:val="28"/>
          <w:szCs w:val="28"/>
          <w:lang w:val="es-ES"/>
        </w:rPr>
        <w:t>iii)</w:t>
      </w:r>
      <w:r w:rsidRPr="0096658B">
        <w:rPr>
          <w:rFonts w:ascii="Times New Roman" w:hAnsi="Times New Roman" w:cs="Times New Roman"/>
          <w:iCs/>
          <w:sz w:val="28"/>
          <w:szCs w:val="28"/>
          <w:lang w:val="es-ES"/>
        </w:rPr>
        <w:t xml:space="preserve"> asegura </w:t>
      </w:r>
      <w:r w:rsidRPr="0096658B">
        <w:rPr>
          <w:rFonts w:ascii="Times New Roman" w:hAnsi="Times New Roman" w:cs="Times New Roman"/>
          <w:iCs/>
          <w:sz w:val="28"/>
          <w:szCs w:val="28"/>
          <w:lang w:val="es-ES"/>
        </w:rPr>
        <w:t>la representación de la</w:t>
      </w:r>
      <w:r w:rsidRPr="0096658B">
        <w:rPr>
          <w:rFonts w:ascii="Times New Roman" w:hAnsi="Times New Roman" w:cs="Times New Roman"/>
          <w:iCs/>
          <w:sz w:val="28"/>
          <w:szCs w:val="28"/>
          <w:lang w:val="es-ES"/>
        </w:rPr>
        <w:t>s</w:t>
      </w:r>
      <w:r w:rsidRPr="0096658B">
        <w:rPr>
          <w:rFonts w:ascii="Times New Roman" w:hAnsi="Times New Roman" w:cs="Times New Roman"/>
          <w:iCs/>
          <w:sz w:val="28"/>
          <w:szCs w:val="28"/>
          <w:lang w:val="es-ES"/>
        </w:rPr>
        <w:t xml:space="preserve"> mujer</w:t>
      </w:r>
      <w:r w:rsidRPr="0096658B">
        <w:rPr>
          <w:rFonts w:ascii="Times New Roman" w:hAnsi="Times New Roman" w:cs="Times New Roman"/>
          <w:iCs/>
          <w:sz w:val="28"/>
          <w:szCs w:val="28"/>
          <w:lang w:val="es-ES"/>
        </w:rPr>
        <w:t>es</w:t>
      </w:r>
      <w:r w:rsidRPr="0096658B">
        <w:rPr>
          <w:rFonts w:ascii="Times New Roman" w:hAnsi="Times New Roman" w:cs="Times New Roman"/>
          <w:iCs/>
          <w:sz w:val="28"/>
          <w:szCs w:val="28"/>
          <w:lang w:val="es-ES"/>
        </w:rPr>
        <w:t xml:space="preserve"> en términos de universalidad, </w:t>
      </w:r>
      <w:r w:rsidRPr="0096658B">
        <w:rPr>
          <w:rFonts w:ascii="Times New Roman" w:hAnsi="Times New Roman" w:cs="Times New Roman"/>
          <w:iCs/>
          <w:sz w:val="28"/>
          <w:szCs w:val="28"/>
          <w:lang w:val="es-ES"/>
        </w:rPr>
        <w:t xml:space="preserve">es decir, </w:t>
      </w:r>
      <w:r w:rsidRPr="0096658B">
        <w:rPr>
          <w:rFonts w:ascii="Times New Roman" w:hAnsi="Times New Roman" w:cs="Times New Roman"/>
          <w:iCs/>
          <w:sz w:val="28"/>
          <w:szCs w:val="28"/>
          <w:lang w:val="es-ES"/>
        </w:rPr>
        <w:t xml:space="preserve">en </w:t>
      </w:r>
      <w:r w:rsidRPr="0096658B">
        <w:rPr>
          <w:rFonts w:ascii="Times New Roman" w:hAnsi="Times New Roman" w:cs="Times New Roman"/>
          <w:iCs/>
          <w:sz w:val="28"/>
          <w:szCs w:val="28"/>
          <w:lang w:val="es-ES"/>
        </w:rPr>
        <w:t xml:space="preserve">el mayor alcance de </w:t>
      </w:r>
      <w:r w:rsidRPr="0096658B">
        <w:rPr>
          <w:rFonts w:ascii="Times New Roman" w:hAnsi="Times New Roman" w:cs="Times New Roman"/>
          <w:iCs/>
          <w:sz w:val="28"/>
          <w:szCs w:val="28"/>
          <w:lang w:val="es-ES"/>
        </w:rPr>
        <w:t xml:space="preserve">su participación </w:t>
      </w:r>
      <w:r w:rsidRPr="0096658B">
        <w:rPr>
          <w:rFonts w:ascii="Times New Roman" w:hAnsi="Times New Roman" w:cs="Times New Roman"/>
          <w:iCs/>
          <w:sz w:val="28"/>
          <w:szCs w:val="28"/>
          <w:lang w:val="es-ES"/>
        </w:rPr>
        <w:t>en el escenario político</w:t>
      </w:r>
      <w:r w:rsidRPr="0096658B">
        <w:rPr>
          <w:rFonts w:ascii="Times New Roman" w:hAnsi="Times New Roman" w:cs="Times New Roman"/>
          <w:iCs/>
          <w:sz w:val="28"/>
          <w:szCs w:val="28"/>
          <w:shd w:val="clear" w:color="auto" w:fill="FFFFFF"/>
        </w:rPr>
        <w:t>.</w:t>
      </w:r>
      <w:r w:rsidRPr="0096658B">
        <w:rPr>
          <w:rFonts w:ascii="Times New Roman" w:hAnsi="Times New Roman" w:cs="Times New Roman"/>
          <w:iCs/>
          <w:sz w:val="28"/>
          <w:szCs w:val="28"/>
          <w:lang w:val="es-ES"/>
        </w:rPr>
        <w:t xml:space="preserve"> Como indicó la Corte </w:t>
      </w:r>
      <w:r w:rsidRPr="0096658B">
        <w:rPr>
          <w:rFonts w:ascii="Times New Roman" w:hAnsi="Times New Roman" w:cs="Times New Roman"/>
          <w:iCs/>
          <w:sz w:val="28"/>
          <w:szCs w:val="28"/>
          <w:lang w:val="es-ES"/>
        </w:rPr>
        <w:t>en la Sentencia C-371 de 2000, este tipo de medidas, más que imponer un determinado porcentaje de cuota, deben estar diseñadas para remediar, de manera proporcional y progresiva, la baja participación de la</w:t>
      </w:r>
      <w:r w:rsidRPr="0096658B">
        <w:rPr>
          <w:rFonts w:ascii="Times New Roman" w:hAnsi="Times New Roman" w:cs="Times New Roman"/>
          <w:iCs/>
          <w:sz w:val="28"/>
          <w:szCs w:val="28"/>
          <w:lang w:val="es-ES"/>
        </w:rPr>
        <w:t>s</w:t>
      </w:r>
      <w:r w:rsidRPr="0096658B">
        <w:rPr>
          <w:rFonts w:ascii="Times New Roman" w:hAnsi="Times New Roman" w:cs="Times New Roman"/>
          <w:iCs/>
          <w:sz w:val="28"/>
          <w:szCs w:val="28"/>
          <w:lang w:val="es-ES"/>
        </w:rPr>
        <w:t xml:space="preserve"> mujer</w:t>
      </w:r>
      <w:r w:rsidRPr="0096658B">
        <w:rPr>
          <w:rFonts w:ascii="Times New Roman" w:hAnsi="Times New Roman" w:cs="Times New Roman"/>
          <w:iCs/>
          <w:sz w:val="28"/>
          <w:szCs w:val="28"/>
          <w:lang w:val="es-ES"/>
        </w:rPr>
        <w:t>es</w:t>
      </w:r>
      <w:r w:rsidRPr="0096658B">
        <w:rPr>
          <w:rFonts w:ascii="Times New Roman" w:hAnsi="Times New Roman" w:cs="Times New Roman"/>
          <w:iCs/>
          <w:sz w:val="28"/>
          <w:szCs w:val="28"/>
          <w:lang w:val="es-ES"/>
        </w:rPr>
        <w:t xml:space="preserve"> en los escenarios políticos y representa</w:t>
      </w:r>
      <w:r w:rsidRPr="0096658B">
        <w:rPr>
          <w:rFonts w:ascii="Times New Roman" w:hAnsi="Times New Roman" w:cs="Times New Roman"/>
          <w:iCs/>
          <w:sz w:val="28"/>
          <w:szCs w:val="28"/>
          <w:lang w:val="es-ES"/>
        </w:rPr>
        <w:t>tivos, que, en los términos de este mecanismo, a pesar de ser un avance en esta finalidad, no la logra en una proporción suficiente.</w:t>
      </w:r>
    </w:p>
    <w:p w:rsidR="00585385" w:rsidRPr="0096658B" w:rsidRDefault="0096658B" w:rsidP="006D641B">
      <w:pPr>
        <w:spacing w:after="0" w:line="240" w:lineRule="auto"/>
        <w:jc w:val="both"/>
        <w:rPr>
          <w:rFonts w:ascii="Times New Roman" w:hAnsi="Times New Roman" w:cs="Times New Roman"/>
          <w:iCs/>
          <w:sz w:val="28"/>
          <w:szCs w:val="28"/>
          <w:lang w:val="es-ES"/>
        </w:rPr>
      </w:pPr>
    </w:p>
    <w:p w:rsidR="009A0D98" w:rsidRPr="0096658B" w:rsidRDefault="0096658B" w:rsidP="009A0D98">
      <w:pPr>
        <w:spacing w:after="0" w:line="240" w:lineRule="auto"/>
        <w:jc w:val="both"/>
        <w:rPr>
          <w:rFonts w:ascii="Times New Roman" w:hAnsi="Times New Roman" w:cs="Times New Roman"/>
          <w:iCs/>
          <w:sz w:val="28"/>
          <w:szCs w:val="28"/>
          <w:lang w:val="es-ES"/>
        </w:rPr>
      </w:pPr>
      <w:r w:rsidRPr="0096658B">
        <w:rPr>
          <w:rFonts w:ascii="Times New Roman" w:hAnsi="Times New Roman" w:cs="Times New Roman"/>
          <w:iCs/>
          <w:sz w:val="28"/>
          <w:szCs w:val="28"/>
          <w:lang w:val="es-ES"/>
        </w:rPr>
        <w:t xml:space="preserve">En segundo lugar, </w:t>
      </w:r>
      <w:r w:rsidRPr="0096658B">
        <w:rPr>
          <w:rFonts w:ascii="Times New Roman" w:hAnsi="Times New Roman" w:cs="Times New Roman"/>
          <w:iCs/>
          <w:sz w:val="28"/>
          <w:szCs w:val="28"/>
          <w:lang w:val="es-ES"/>
        </w:rPr>
        <w:t>si bien la providencia señala que</w:t>
      </w:r>
      <w:r w:rsidRPr="0096658B">
        <w:rPr>
          <w:rFonts w:ascii="Times New Roman" w:hAnsi="Times New Roman" w:cs="Times New Roman"/>
          <w:iCs/>
          <w:sz w:val="28"/>
          <w:szCs w:val="28"/>
          <w:lang w:val="es-ES"/>
        </w:rPr>
        <w:t xml:space="preserve"> </w:t>
      </w:r>
      <w:r w:rsidRPr="0096658B">
        <w:rPr>
          <w:rFonts w:ascii="Times New Roman" w:hAnsi="Times New Roman" w:cs="Times New Roman"/>
          <w:iCs/>
          <w:sz w:val="28"/>
          <w:szCs w:val="28"/>
          <w:lang w:val="es-ES"/>
        </w:rPr>
        <w:t xml:space="preserve">el artículo 1 del proyecto de ley </w:t>
      </w:r>
      <w:r w:rsidRPr="0096658B">
        <w:rPr>
          <w:rFonts w:ascii="Times New Roman" w:hAnsi="Times New Roman" w:cs="Times New Roman"/>
          <w:iCs/>
          <w:sz w:val="28"/>
          <w:szCs w:val="28"/>
          <w:lang w:val="es-ES"/>
        </w:rPr>
        <w:t xml:space="preserve">“no regula los derechos de las </w:t>
      </w:r>
      <w:r w:rsidRPr="0096658B">
        <w:rPr>
          <w:rFonts w:ascii="Times New Roman" w:hAnsi="Times New Roman" w:cs="Times New Roman"/>
          <w:iCs/>
          <w:sz w:val="28"/>
          <w:szCs w:val="28"/>
          <w:lang w:val="es-ES"/>
        </w:rPr>
        <w:t>personas no binarias”</w:t>
      </w:r>
      <w:r w:rsidRPr="0096658B">
        <w:rPr>
          <w:rStyle w:val="Refdenotaalpie"/>
          <w:rFonts w:ascii="Times New Roman" w:hAnsi="Times New Roman"/>
          <w:iCs/>
          <w:sz w:val="28"/>
          <w:szCs w:val="28"/>
          <w:lang w:val="es-ES"/>
        </w:rPr>
        <w:footnoteReference w:id="275"/>
      </w:r>
      <w:r w:rsidRPr="0096658B">
        <w:rPr>
          <w:rFonts w:ascii="Times New Roman" w:hAnsi="Times New Roman" w:cs="Times New Roman"/>
          <w:iCs/>
          <w:sz w:val="28"/>
          <w:szCs w:val="28"/>
          <w:lang w:val="es-ES"/>
        </w:rPr>
        <w:t xml:space="preserve"> y</w:t>
      </w:r>
      <w:r w:rsidRPr="0096658B">
        <w:rPr>
          <w:rFonts w:ascii="Times New Roman" w:hAnsi="Times New Roman" w:cs="Times New Roman"/>
          <w:iCs/>
          <w:sz w:val="28"/>
          <w:szCs w:val="28"/>
          <w:lang w:val="es-ES"/>
        </w:rPr>
        <w:t>, por c</w:t>
      </w:r>
      <w:r w:rsidRPr="0096658B">
        <w:rPr>
          <w:rFonts w:ascii="Times New Roman" w:hAnsi="Times New Roman" w:cs="Times New Roman"/>
          <w:iCs/>
          <w:sz w:val="28"/>
          <w:szCs w:val="28"/>
          <w:lang w:val="es-ES"/>
        </w:rPr>
        <w:t xml:space="preserve">onsiguiente, </w:t>
      </w:r>
      <w:r w:rsidRPr="0096658B">
        <w:rPr>
          <w:rFonts w:ascii="Times New Roman" w:hAnsi="Times New Roman" w:cs="Times New Roman"/>
          <w:iCs/>
          <w:sz w:val="28"/>
          <w:szCs w:val="28"/>
          <w:lang w:val="es-ES"/>
        </w:rPr>
        <w:t xml:space="preserve">“no involucra la negación </w:t>
      </w:r>
      <w:r w:rsidRPr="0096658B">
        <w:rPr>
          <w:rFonts w:ascii="Times New Roman" w:hAnsi="Times New Roman" w:cs="Times New Roman"/>
          <w:iCs/>
          <w:sz w:val="28"/>
          <w:szCs w:val="28"/>
          <w:lang w:val="es-ES"/>
        </w:rPr>
        <w:t>de los derechos de las personas no binarias”</w:t>
      </w:r>
      <w:r w:rsidRPr="0096658B">
        <w:rPr>
          <w:rStyle w:val="Refdenotaalpie"/>
          <w:rFonts w:ascii="Times New Roman" w:hAnsi="Times New Roman"/>
          <w:iCs/>
          <w:sz w:val="28"/>
          <w:szCs w:val="28"/>
          <w:lang w:val="es-ES"/>
        </w:rPr>
        <w:footnoteReference w:id="276"/>
      </w:r>
      <w:r w:rsidRPr="0096658B">
        <w:rPr>
          <w:rFonts w:ascii="Times New Roman" w:hAnsi="Times New Roman" w:cs="Times New Roman"/>
          <w:iCs/>
          <w:sz w:val="28"/>
          <w:szCs w:val="28"/>
          <w:lang w:val="es-ES"/>
        </w:rPr>
        <w:t xml:space="preserve">, “en tanto que su objeto de regulación no se predica de ellas, sino que está concentrado exclusivamente </w:t>
      </w:r>
      <w:r w:rsidRPr="0096658B">
        <w:rPr>
          <w:rFonts w:ascii="Times New Roman" w:hAnsi="Times New Roman" w:cs="Times New Roman"/>
          <w:iCs/>
          <w:sz w:val="28"/>
          <w:szCs w:val="28"/>
          <w:lang w:val="es-ES"/>
        </w:rPr>
        <w:t xml:space="preserve">en los derechos de participación de </w:t>
      </w:r>
      <w:r w:rsidRPr="0096658B">
        <w:rPr>
          <w:rFonts w:ascii="Times New Roman" w:hAnsi="Times New Roman" w:cs="Times New Roman"/>
          <w:iCs/>
          <w:sz w:val="28"/>
          <w:szCs w:val="28"/>
          <w:lang w:val="es-ES"/>
        </w:rPr>
        <w:t>las mujeres”</w:t>
      </w:r>
      <w:r w:rsidRPr="0096658B">
        <w:rPr>
          <w:rFonts w:ascii="Times New Roman" w:hAnsi="Times New Roman" w:cs="Times New Roman"/>
          <w:iCs/>
          <w:sz w:val="28"/>
          <w:szCs w:val="28"/>
          <w:lang w:val="es-ES"/>
        </w:rPr>
        <w:t xml:space="preserve"> </w:t>
      </w:r>
      <w:r w:rsidRPr="0096658B">
        <w:rPr>
          <w:rFonts w:ascii="Times New Roman" w:hAnsi="Times New Roman" w:cs="Times New Roman"/>
          <w:iCs/>
          <w:sz w:val="28"/>
          <w:szCs w:val="28"/>
          <w:lang w:val="es-ES"/>
        </w:rPr>
        <w:t xml:space="preserve">en escenarios políticos y de representación, no resulta apropiado </w:t>
      </w:r>
      <w:r w:rsidRPr="0096658B">
        <w:rPr>
          <w:rFonts w:ascii="Times New Roman" w:hAnsi="Times New Roman" w:cs="Times New Roman"/>
          <w:iCs/>
          <w:sz w:val="28"/>
          <w:szCs w:val="28"/>
          <w:lang w:val="es-ES"/>
        </w:rPr>
        <w:t>aplicar</w:t>
      </w:r>
      <w:r w:rsidRPr="0096658B">
        <w:rPr>
          <w:rFonts w:ascii="Times New Roman" w:hAnsi="Times New Roman" w:cs="Times New Roman"/>
          <w:iCs/>
          <w:sz w:val="28"/>
          <w:szCs w:val="28"/>
          <w:lang w:val="es-ES"/>
        </w:rPr>
        <w:t xml:space="preserve"> el criterio de</w:t>
      </w:r>
      <w:r w:rsidRPr="0096658B">
        <w:rPr>
          <w:rFonts w:ascii="Times New Roman" w:hAnsi="Times New Roman" w:cs="Times New Roman"/>
          <w:iCs/>
          <w:sz w:val="28"/>
          <w:szCs w:val="28"/>
          <w:lang w:val="es-ES"/>
        </w:rPr>
        <w:t xml:space="preserve"> “personas de diferentes géneros”</w:t>
      </w:r>
      <w:r w:rsidRPr="0096658B">
        <w:rPr>
          <w:rStyle w:val="Refdenotaalpie"/>
          <w:rFonts w:ascii="Times New Roman" w:hAnsi="Times New Roman"/>
          <w:iCs/>
          <w:sz w:val="28"/>
          <w:szCs w:val="28"/>
          <w:lang w:val="es-ES"/>
        </w:rPr>
        <w:footnoteReference w:id="277"/>
      </w:r>
      <w:r w:rsidRPr="0096658B">
        <w:rPr>
          <w:rFonts w:ascii="Times New Roman" w:hAnsi="Times New Roman" w:cs="Times New Roman"/>
          <w:iCs/>
          <w:sz w:val="28"/>
          <w:szCs w:val="28"/>
          <w:lang w:val="es-ES"/>
        </w:rPr>
        <w:t xml:space="preserve">, </w:t>
      </w:r>
      <w:r w:rsidRPr="0096658B">
        <w:rPr>
          <w:rFonts w:ascii="Times New Roman" w:hAnsi="Times New Roman" w:cs="Times New Roman"/>
          <w:iCs/>
          <w:sz w:val="28"/>
          <w:szCs w:val="28"/>
          <w:lang w:val="es-ES"/>
        </w:rPr>
        <w:t xml:space="preserve">pues la Constitución sólo consagra, en esta materia, medidas afirmativas a favor de las mujeres, en los términos de lo </w:t>
      </w:r>
      <w:r w:rsidRPr="0096658B">
        <w:rPr>
          <w:rFonts w:ascii="Times New Roman" w:hAnsi="Times New Roman" w:cs="Times New Roman"/>
          <w:iCs/>
          <w:sz w:val="28"/>
          <w:szCs w:val="28"/>
          <w:lang w:val="es-ES"/>
        </w:rPr>
        <w:t>dispuesto en los artículos 40 (inciso final) y 43 (inciso primero), en concordancia con el artículo 13 de la Constitución.</w:t>
      </w:r>
    </w:p>
    <w:p w:rsidR="00585385" w:rsidRPr="0096658B" w:rsidRDefault="0096658B" w:rsidP="006D641B">
      <w:pPr>
        <w:spacing w:after="0" w:line="240" w:lineRule="auto"/>
        <w:jc w:val="both"/>
        <w:rPr>
          <w:rFonts w:ascii="Times New Roman" w:hAnsi="Times New Roman" w:cs="Times New Roman"/>
          <w:iCs/>
          <w:sz w:val="28"/>
          <w:szCs w:val="28"/>
          <w:lang w:val="es-ES"/>
        </w:rPr>
      </w:pPr>
    </w:p>
    <w:p w:rsidR="003A14EB" w:rsidRPr="0096658B" w:rsidRDefault="0096658B" w:rsidP="006E4754">
      <w:pPr>
        <w:spacing w:after="0" w:line="240" w:lineRule="auto"/>
        <w:jc w:val="both"/>
        <w:rPr>
          <w:rFonts w:ascii="Times New Roman" w:hAnsi="Times New Roman" w:cs="Times New Roman"/>
          <w:sz w:val="28"/>
          <w:szCs w:val="28"/>
        </w:rPr>
      </w:pPr>
    </w:p>
    <w:p w:rsidR="003A14EB" w:rsidRPr="0096658B" w:rsidRDefault="0096658B" w:rsidP="003A14EB">
      <w:pPr>
        <w:spacing w:after="0" w:line="240" w:lineRule="auto"/>
        <w:jc w:val="center"/>
        <w:rPr>
          <w:rFonts w:ascii="Times New Roman" w:hAnsi="Times New Roman" w:cs="Times New Roman"/>
          <w:b/>
          <w:bCs/>
          <w:sz w:val="28"/>
          <w:szCs w:val="28"/>
        </w:rPr>
      </w:pPr>
      <w:r w:rsidRPr="0096658B">
        <w:rPr>
          <w:rFonts w:ascii="Times New Roman" w:hAnsi="Times New Roman" w:cs="Times New Roman"/>
          <w:b/>
          <w:bCs/>
          <w:sz w:val="28"/>
          <w:szCs w:val="28"/>
        </w:rPr>
        <w:t>ANTONIO JOSÉ LIZARAZO OCAMPO</w:t>
      </w:r>
    </w:p>
    <w:p w:rsidR="003A14EB" w:rsidRPr="0096658B" w:rsidRDefault="0096658B" w:rsidP="003A14EB">
      <w:pPr>
        <w:spacing w:after="0" w:line="240" w:lineRule="auto"/>
        <w:jc w:val="center"/>
        <w:rPr>
          <w:rFonts w:ascii="Times New Roman" w:hAnsi="Times New Roman" w:cs="Times New Roman"/>
          <w:b/>
          <w:bCs/>
          <w:sz w:val="28"/>
          <w:szCs w:val="28"/>
        </w:rPr>
      </w:pPr>
      <w:r w:rsidRPr="0096658B">
        <w:rPr>
          <w:rFonts w:ascii="Times New Roman" w:hAnsi="Times New Roman" w:cs="Times New Roman"/>
          <w:b/>
          <w:bCs/>
          <w:sz w:val="28"/>
          <w:szCs w:val="28"/>
        </w:rPr>
        <w:t>Magistrado</w:t>
      </w:r>
    </w:p>
    <w:p w:rsidR="001F773D" w:rsidRPr="0096658B" w:rsidRDefault="0096658B" w:rsidP="00000B7D">
      <w:pPr>
        <w:shd w:val="clear" w:color="auto" w:fill="FFFFFF"/>
        <w:spacing w:line="293" w:lineRule="atLeast"/>
        <w:jc w:val="center"/>
        <w:textAlignment w:val="baseline"/>
        <w:rPr>
          <w:rFonts w:ascii="Times New Roman" w:hAnsi="Times New Roman" w:cs="Times New Roman"/>
          <w:b/>
          <w:bCs/>
          <w:color w:val="000000" w:themeColor="text1"/>
          <w:sz w:val="28"/>
          <w:szCs w:val="28"/>
          <w:bdr w:val="none" w:sz="0" w:space="0" w:color="auto" w:frame="1"/>
          <w:lang w:val="es-ES"/>
        </w:rPr>
      </w:pPr>
    </w:p>
    <w:p w:rsidR="001F773D" w:rsidRPr="0096658B" w:rsidRDefault="0096658B" w:rsidP="00000B7D">
      <w:pPr>
        <w:shd w:val="clear" w:color="auto" w:fill="FFFFFF"/>
        <w:spacing w:line="293" w:lineRule="atLeast"/>
        <w:jc w:val="center"/>
        <w:textAlignment w:val="baseline"/>
        <w:rPr>
          <w:rFonts w:ascii="Times New Roman" w:hAnsi="Times New Roman" w:cs="Times New Roman"/>
          <w:b/>
          <w:bCs/>
          <w:color w:val="000000" w:themeColor="text1"/>
          <w:sz w:val="28"/>
          <w:szCs w:val="28"/>
          <w:bdr w:val="none" w:sz="0" w:space="0" w:color="auto" w:frame="1"/>
          <w:lang w:val="es-ES"/>
        </w:rPr>
      </w:pPr>
    </w:p>
    <w:p w:rsidR="00000B7D" w:rsidRPr="0096658B" w:rsidRDefault="0096658B" w:rsidP="00000B7D">
      <w:pPr>
        <w:shd w:val="clear" w:color="auto" w:fill="FFFFFF"/>
        <w:spacing w:line="293" w:lineRule="atLeast"/>
        <w:jc w:val="center"/>
        <w:textAlignment w:val="baseline"/>
        <w:rPr>
          <w:rFonts w:ascii="Times New Roman" w:hAnsi="Times New Roman" w:cs="Times New Roman"/>
          <w:b/>
          <w:bCs/>
          <w:color w:val="000000" w:themeColor="text1"/>
          <w:sz w:val="28"/>
          <w:szCs w:val="28"/>
          <w:bdr w:val="none" w:sz="0" w:space="0" w:color="auto" w:frame="1"/>
          <w:lang w:val="es-ES"/>
        </w:rPr>
      </w:pPr>
      <w:r w:rsidRPr="0096658B">
        <w:rPr>
          <w:rFonts w:ascii="Times New Roman" w:hAnsi="Times New Roman" w:cs="Times New Roman"/>
          <w:b/>
          <w:bCs/>
          <w:color w:val="000000" w:themeColor="text1"/>
          <w:sz w:val="28"/>
          <w:szCs w:val="28"/>
          <w:bdr w:val="none" w:sz="0" w:space="0" w:color="auto" w:frame="1"/>
          <w:lang w:val="es-ES"/>
        </w:rPr>
        <w:t xml:space="preserve">ACLARACIÓN DE VOTO DEL MAGISTRADO </w:t>
      </w:r>
    </w:p>
    <w:p w:rsidR="0070776A" w:rsidRPr="0096658B" w:rsidRDefault="0096658B" w:rsidP="00000B7D">
      <w:pPr>
        <w:shd w:val="clear" w:color="auto" w:fill="FFFFFF"/>
        <w:spacing w:line="293" w:lineRule="atLeast"/>
        <w:jc w:val="center"/>
        <w:textAlignment w:val="baseline"/>
        <w:rPr>
          <w:rFonts w:ascii="Times New Roman" w:hAnsi="Times New Roman" w:cs="Times New Roman"/>
          <w:b/>
          <w:bCs/>
          <w:color w:val="000000" w:themeColor="text1"/>
          <w:sz w:val="28"/>
          <w:szCs w:val="28"/>
          <w:bdr w:val="none" w:sz="0" w:space="0" w:color="auto" w:frame="1"/>
          <w:lang w:val="es-ES"/>
        </w:rPr>
      </w:pPr>
      <w:r w:rsidRPr="0096658B">
        <w:rPr>
          <w:rFonts w:ascii="Times New Roman" w:hAnsi="Times New Roman" w:cs="Times New Roman"/>
          <w:b/>
          <w:bCs/>
          <w:color w:val="000000" w:themeColor="text1"/>
          <w:sz w:val="28"/>
          <w:szCs w:val="28"/>
          <w:bdr w:val="none" w:sz="0" w:space="0" w:color="auto" w:frame="1"/>
          <w:lang w:val="es-ES"/>
        </w:rPr>
        <w:t>JORGE ENRIQUE IBÁÑEZ NAJAR</w:t>
      </w:r>
    </w:p>
    <w:p w:rsidR="00000B7D" w:rsidRPr="0096658B" w:rsidRDefault="0096658B" w:rsidP="00000B7D">
      <w:pPr>
        <w:shd w:val="clear" w:color="auto" w:fill="FFFFFF"/>
        <w:spacing w:line="293" w:lineRule="atLeast"/>
        <w:jc w:val="center"/>
        <w:textAlignment w:val="baseline"/>
        <w:rPr>
          <w:rFonts w:ascii="Times New Roman" w:hAnsi="Times New Roman" w:cs="Times New Roman"/>
          <w:b/>
          <w:bCs/>
          <w:color w:val="000000" w:themeColor="text1"/>
          <w:sz w:val="28"/>
          <w:szCs w:val="28"/>
          <w:bdr w:val="none" w:sz="0" w:space="0" w:color="auto" w:frame="1"/>
          <w:lang w:val="es-ES"/>
        </w:rPr>
      </w:pPr>
      <w:r w:rsidRPr="0096658B">
        <w:rPr>
          <w:rFonts w:ascii="Times New Roman" w:hAnsi="Times New Roman" w:cs="Times New Roman"/>
          <w:b/>
          <w:bCs/>
          <w:color w:val="000000" w:themeColor="text1"/>
          <w:sz w:val="28"/>
          <w:szCs w:val="28"/>
          <w:bdr w:val="none" w:sz="0" w:space="0" w:color="auto" w:frame="1"/>
          <w:lang w:val="es-ES"/>
        </w:rPr>
        <w:t xml:space="preserve">A LA </w:t>
      </w:r>
      <w:r w:rsidRPr="0096658B">
        <w:rPr>
          <w:rFonts w:ascii="Times New Roman" w:hAnsi="Times New Roman" w:cs="Times New Roman"/>
          <w:b/>
          <w:bCs/>
          <w:color w:val="000000" w:themeColor="text1"/>
          <w:sz w:val="28"/>
          <w:szCs w:val="28"/>
          <w:bdr w:val="none" w:sz="0" w:space="0" w:color="auto" w:frame="1"/>
          <w:lang w:val="es-ES"/>
        </w:rPr>
        <w:t xml:space="preserve">SENTENCIA </w:t>
      </w:r>
      <w:r w:rsidRPr="0096658B">
        <w:rPr>
          <w:rFonts w:ascii="Times New Roman" w:hAnsi="Times New Roman" w:cs="Times New Roman"/>
          <w:b/>
          <w:bCs/>
          <w:color w:val="000000" w:themeColor="text1"/>
          <w:sz w:val="28"/>
          <w:szCs w:val="28"/>
          <w:bdr w:val="none" w:sz="0" w:space="0" w:color="auto" w:frame="1"/>
          <w:lang w:val="es-ES"/>
        </w:rPr>
        <w:t>C-136</w:t>
      </w:r>
      <w:r w:rsidRPr="0096658B">
        <w:rPr>
          <w:rFonts w:ascii="Times New Roman" w:hAnsi="Times New Roman" w:cs="Times New Roman"/>
          <w:b/>
          <w:bCs/>
          <w:color w:val="000000" w:themeColor="text1"/>
          <w:sz w:val="28"/>
          <w:szCs w:val="28"/>
          <w:bdr w:val="none" w:sz="0" w:space="0" w:color="auto" w:frame="1"/>
          <w:lang w:val="es-ES"/>
        </w:rPr>
        <w:t>/</w:t>
      </w:r>
      <w:r w:rsidRPr="0096658B">
        <w:rPr>
          <w:rFonts w:ascii="Times New Roman" w:hAnsi="Times New Roman" w:cs="Times New Roman"/>
          <w:b/>
          <w:bCs/>
          <w:color w:val="000000" w:themeColor="text1"/>
          <w:sz w:val="28"/>
          <w:szCs w:val="28"/>
          <w:bdr w:val="none" w:sz="0" w:space="0" w:color="auto" w:frame="1"/>
          <w:lang w:val="es-ES"/>
        </w:rPr>
        <w:t>2</w:t>
      </w:r>
      <w:r w:rsidRPr="0096658B">
        <w:rPr>
          <w:rFonts w:ascii="Times New Roman" w:hAnsi="Times New Roman" w:cs="Times New Roman"/>
          <w:b/>
          <w:bCs/>
          <w:color w:val="000000" w:themeColor="text1"/>
          <w:sz w:val="28"/>
          <w:szCs w:val="28"/>
          <w:bdr w:val="none" w:sz="0" w:space="0" w:color="auto" w:frame="1"/>
          <w:lang w:val="es-ES"/>
        </w:rPr>
        <w:t>4</w:t>
      </w:r>
    </w:p>
    <w:p w:rsidR="0069366E" w:rsidRPr="0096658B" w:rsidRDefault="0096658B" w:rsidP="00000B7D">
      <w:pPr>
        <w:shd w:val="clear" w:color="auto" w:fill="FFFFFF"/>
        <w:spacing w:line="293" w:lineRule="atLeast"/>
        <w:jc w:val="center"/>
        <w:textAlignment w:val="baseline"/>
        <w:rPr>
          <w:rFonts w:ascii="Times New Roman" w:hAnsi="Times New Roman" w:cs="Times New Roman"/>
          <w:b/>
          <w:bCs/>
          <w:color w:val="000000" w:themeColor="text1"/>
          <w:sz w:val="28"/>
          <w:szCs w:val="28"/>
          <w:bdr w:val="none" w:sz="0" w:space="0" w:color="auto" w:frame="1"/>
          <w:lang w:val="es-ES"/>
        </w:rPr>
      </w:pPr>
    </w:p>
    <w:p w:rsidR="00F955A6" w:rsidRPr="0096658B" w:rsidRDefault="0096658B" w:rsidP="00000B7D">
      <w:pPr>
        <w:shd w:val="clear" w:color="auto" w:fill="FFFFFF"/>
        <w:spacing w:line="293" w:lineRule="atLeast"/>
        <w:jc w:val="center"/>
        <w:textAlignment w:val="baseline"/>
        <w:rPr>
          <w:rFonts w:ascii="Times New Roman" w:hAnsi="Times New Roman" w:cs="Times New Roman"/>
          <w:b/>
          <w:bCs/>
          <w:color w:val="000000" w:themeColor="text1"/>
          <w:sz w:val="28"/>
          <w:szCs w:val="28"/>
          <w:bdr w:val="none" w:sz="0" w:space="0" w:color="auto" w:frame="1"/>
          <w:lang w:val="es-ES"/>
        </w:rPr>
      </w:pPr>
    </w:p>
    <w:p w:rsidR="00000B7D" w:rsidRPr="0096658B" w:rsidRDefault="0096658B" w:rsidP="00987D42">
      <w:pPr>
        <w:ind w:left="3969" w:right="49"/>
        <w:contextualSpacing/>
        <w:jc w:val="both"/>
        <w:rPr>
          <w:rFonts w:ascii="Times New Roman" w:hAnsi="Times New Roman" w:cs="Times New Roman"/>
          <w:color w:val="000000" w:themeColor="text1"/>
          <w:sz w:val="28"/>
          <w:szCs w:val="28"/>
          <w:lang w:val="es-ES_tradnl"/>
        </w:rPr>
      </w:pPr>
      <w:r w:rsidRPr="0096658B">
        <w:rPr>
          <w:rFonts w:ascii="Times New Roman" w:hAnsi="Times New Roman" w:cs="Times New Roman"/>
          <w:color w:val="000000" w:themeColor="text1"/>
          <w:sz w:val="28"/>
          <w:szCs w:val="28"/>
        </w:rPr>
        <w:t>Expediente</w:t>
      </w:r>
      <w:r w:rsidRPr="0096658B">
        <w:rPr>
          <w:rFonts w:ascii="Times New Roman" w:hAnsi="Times New Roman" w:cs="Times New Roman"/>
          <w:color w:val="000000" w:themeColor="text1"/>
          <w:sz w:val="28"/>
          <w:szCs w:val="28"/>
        </w:rPr>
        <w:t xml:space="preserve">: </w:t>
      </w:r>
      <w:r w:rsidRPr="0096658B">
        <w:rPr>
          <w:rFonts w:ascii="Times New Roman" w:hAnsi="Times New Roman" w:cs="Times New Roman"/>
          <w:color w:val="000000" w:themeColor="text1"/>
          <w:sz w:val="28"/>
          <w:szCs w:val="28"/>
          <w:lang w:val="es-ES_tradnl"/>
        </w:rPr>
        <w:t>PE-053</w:t>
      </w:r>
    </w:p>
    <w:p w:rsidR="00985181" w:rsidRPr="0096658B" w:rsidRDefault="0096658B" w:rsidP="00987D42">
      <w:pPr>
        <w:ind w:left="3969" w:right="49"/>
        <w:contextualSpacing/>
        <w:jc w:val="both"/>
        <w:rPr>
          <w:rFonts w:ascii="Times New Roman" w:eastAsia="Batang" w:hAnsi="Times New Roman" w:cs="Times New Roman"/>
          <w:color w:val="000000" w:themeColor="text1"/>
          <w:sz w:val="28"/>
          <w:szCs w:val="28"/>
        </w:rPr>
      </w:pPr>
    </w:p>
    <w:p w:rsidR="00987D42" w:rsidRPr="0096658B" w:rsidRDefault="0096658B" w:rsidP="00987D42">
      <w:pPr>
        <w:shd w:val="clear" w:color="auto" w:fill="FFFFFF"/>
        <w:ind w:left="3969"/>
        <w:jc w:val="both"/>
        <w:textAlignment w:val="baseline"/>
        <w:rPr>
          <w:rFonts w:ascii="Times New Roman" w:hAnsi="Times New Roman" w:cs="Times New Roman"/>
          <w:color w:val="000000" w:themeColor="text1"/>
          <w:sz w:val="28"/>
          <w:szCs w:val="28"/>
          <w:bdr w:val="none" w:sz="0" w:space="0" w:color="auto" w:frame="1"/>
          <w:lang w:val="es-ES"/>
        </w:rPr>
      </w:pPr>
      <w:r w:rsidRPr="0096658B">
        <w:rPr>
          <w:rFonts w:ascii="Times New Roman" w:hAnsi="Times New Roman" w:cs="Times New Roman"/>
          <w:color w:val="000000" w:themeColor="text1"/>
          <w:sz w:val="28"/>
          <w:szCs w:val="28"/>
          <w:bdr w:val="none" w:sz="0" w:space="0" w:color="auto" w:frame="1"/>
          <w:lang w:val="es-ES"/>
        </w:rPr>
        <w:t>Magistrad</w:t>
      </w:r>
      <w:r w:rsidRPr="0096658B">
        <w:rPr>
          <w:rFonts w:ascii="Times New Roman" w:hAnsi="Times New Roman" w:cs="Times New Roman"/>
          <w:color w:val="000000" w:themeColor="text1"/>
          <w:sz w:val="28"/>
          <w:szCs w:val="28"/>
          <w:bdr w:val="none" w:sz="0" w:space="0" w:color="auto" w:frame="1"/>
          <w:lang w:val="es-ES"/>
        </w:rPr>
        <w:t>a</w:t>
      </w:r>
      <w:r w:rsidRPr="0096658B">
        <w:rPr>
          <w:rFonts w:ascii="Times New Roman" w:hAnsi="Times New Roman" w:cs="Times New Roman"/>
          <w:color w:val="000000" w:themeColor="text1"/>
          <w:sz w:val="28"/>
          <w:szCs w:val="28"/>
          <w:bdr w:val="none" w:sz="0" w:space="0" w:color="auto" w:frame="1"/>
          <w:lang w:val="es-ES"/>
        </w:rPr>
        <w:t xml:space="preserve"> </w:t>
      </w:r>
      <w:r w:rsidRPr="0096658B">
        <w:rPr>
          <w:rFonts w:ascii="Times New Roman" w:hAnsi="Times New Roman" w:cs="Times New Roman"/>
          <w:color w:val="000000" w:themeColor="text1"/>
          <w:sz w:val="28"/>
          <w:szCs w:val="28"/>
          <w:bdr w:val="none" w:sz="0" w:space="0" w:color="auto" w:frame="1"/>
          <w:lang w:val="es-ES"/>
        </w:rPr>
        <w:t>P</w:t>
      </w:r>
      <w:r w:rsidRPr="0096658B">
        <w:rPr>
          <w:rFonts w:ascii="Times New Roman" w:hAnsi="Times New Roman" w:cs="Times New Roman"/>
          <w:color w:val="000000" w:themeColor="text1"/>
          <w:sz w:val="28"/>
          <w:szCs w:val="28"/>
          <w:bdr w:val="none" w:sz="0" w:space="0" w:color="auto" w:frame="1"/>
          <w:lang w:val="es-ES"/>
        </w:rPr>
        <w:t xml:space="preserve">onente: </w:t>
      </w:r>
    </w:p>
    <w:p w:rsidR="00000B7D" w:rsidRPr="0096658B" w:rsidRDefault="0096658B" w:rsidP="00987D42">
      <w:pPr>
        <w:shd w:val="clear" w:color="auto" w:fill="FFFFFF"/>
        <w:ind w:left="3969"/>
        <w:jc w:val="both"/>
        <w:textAlignment w:val="baseline"/>
        <w:rPr>
          <w:rFonts w:ascii="Times New Roman" w:hAnsi="Times New Roman" w:cs="Times New Roman"/>
          <w:color w:val="000000" w:themeColor="text1"/>
          <w:sz w:val="28"/>
          <w:szCs w:val="28"/>
          <w:lang w:val="es-ES"/>
        </w:rPr>
      </w:pPr>
      <w:r w:rsidRPr="0096658B">
        <w:rPr>
          <w:rFonts w:ascii="Times New Roman" w:hAnsi="Times New Roman" w:cs="Times New Roman"/>
          <w:color w:val="000000" w:themeColor="text1"/>
          <w:sz w:val="28"/>
          <w:szCs w:val="28"/>
          <w:bdr w:val="none" w:sz="0" w:space="0" w:color="auto" w:frame="1"/>
          <w:lang w:val="es-ES"/>
        </w:rPr>
        <w:t>Paola Andrea Meneses Mosquera</w:t>
      </w:r>
    </w:p>
    <w:p w:rsidR="00000B7D" w:rsidRPr="0096658B" w:rsidRDefault="0096658B" w:rsidP="00000B7D">
      <w:pPr>
        <w:jc w:val="both"/>
        <w:rPr>
          <w:rFonts w:ascii="Times New Roman" w:hAnsi="Times New Roman" w:cs="Times New Roman"/>
          <w:color w:val="000000" w:themeColor="text1"/>
          <w:sz w:val="28"/>
          <w:szCs w:val="28"/>
          <w:lang w:val="es-ES"/>
        </w:rPr>
      </w:pPr>
    </w:p>
    <w:p w:rsidR="00000B7D" w:rsidRPr="0096658B" w:rsidRDefault="0096658B" w:rsidP="00000B7D">
      <w:pPr>
        <w:jc w:val="both"/>
        <w:rPr>
          <w:rFonts w:ascii="Times New Roman" w:hAnsi="Times New Roman" w:cs="Times New Roman"/>
          <w:color w:val="000000" w:themeColor="text1"/>
          <w:sz w:val="28"/>
          <w:szCs w:val="28"/>
          <w:lang w:val="es-ES"/>
        </w:rPr>
      </w:pPr>
    </w:p>
    <w:p w:rsidR="006F50DF" w:rsidRPr="0096658B" w:rsidRDefault="0096658B" w:rsidP="00AB3C5B">
      <w:pPr>
        <w:pStyle w:val="Prrafodelista"/>
        <w:numPr>
          <w:ilvl w:val="0"/>
          <w:numId w:val="9"/>
        </w:numPr>
        <w:ind w:left="0" w:firstLine="0"/>
        <w:jc w:val="both"/>
        <w:rPr>
          <w:rFonts w:ascii="Times New Roman" w:hAnsi="Times New Roman" w:cs="Times New Roman"/>
          <w:color w:val="000000" w:themeColor="text1"/>
        </w:rPr>
      </w:pPr>
      <w:r w:rsidRPr="0096658B">
        <w:rPr>
          <w:rFonts w:ascii="Times New Roman" w:hAnsi="Times New Roman" w:cs="Times New Roman"/>
          <w:color w:val="000000" w:themeColor="text1"/>
        </w:rPr>
        <w:t>En l</w:t>
      </w:r>
      <w:r w:rsidRPr="0096658B">
        <w:rPr>
          <w:rFonts w:ascii="Times New Roman" w:hAnsi="Times New Roman" w:cs="Times New Roman"/>
          <w:color w:val="000000" w:themeColor="text1"/>
        </w:rPr>
        <w:t xml:space="preserve">a Sentencia </w:t>
      </w:r>
      <w:r w:rsidRPr="0096658B">
        <w:rPr>
          <w:rFonts w:ascii="Times New Roman" w:hAnsi="Times New Roman" w:cs="Times New Roman"/>
          <w:color w:val="000000" w:themeColor="text1"/>
        </w:rPr>
        <w:t>C-</w:t>
      </w:r>
      <w:r w:rsidRPr="0096658B">
        <w:rPr>
          <w:rFonts w:ascii="Times New Roman" w:hAnsi="Times New Roman" w:cs="Times New Roman"/>
          <w:color w:val="000000" w:themeColor="text1"/>
        </w:rPr>
        <w:t>136 de 202</w:t>
      </w:r>
      <w:r w:rsidRPr="0096658B">
        <w:rPr>
          <w:rFonts w:ascii="Times New Roman" w:hAnsi="Times New Roman" w:cs="Times New Roman"/>
          <w:color w:val="000000" w:themeColor="text1"/>
        </w:rPr>
        <w:t>4</w:t>
      </w:r>
      <w:r w:rsidRPr="0096658B">
        <w:rPr>
          <w:rFonts w:ascii="Times New Roman" w:hAnsi="Times New Roman" w:cs="Times New Roman"/>
          <w:color w:val="000000" w:themeColor="text1"/>
        </w:rPr>
        <w:t xml:space="preserve"> </w:t>
      </w:r>
      <w:r w:rsidRPr="0096658B">
        <w:rPr>
          <w:rFonts w:ascii="Times New Roman" w:hAnsi="Times New Roman" w:cs="Times New Roman"/>
          <w:color w:val="000000" w:themeColor="text1"/>
        </w:rPr>
        <w:t xml:space="preserve">se adelantó el control previo de constitucionalidad del proyecto de </w:t>
      </w:r>
      <w:r w:rsidRPr="0096658B">
        <w:rPr>
          <w:rFonts w:ascii="Times New Roman" w:hAnsi="Times New Roman" w:cs="Times New Roman"/>
          <w:color w:val="000000" w:themeColor="text1"/>
        </w:rPr>
        <w:t>Ley Estatutaria 093 de 2022 Senado – 349 de 2023 Cámara “</w:t>
      </w:r>
      <w:r w:rsidRPr="0096658B">
        <w:rPr>
          <w:rFonts w:ascii="Times New Roman" w:hAnsi="Times New Roman" w:cs="Times New Roman"/>
          <w:i/>
          <w:iCs/>
          <w:color w:val="000000" w:themeColor="text1"/>
        </w:rPr>
        <w:t xml:space="preserve">por la cual se adoptan </w:t>
      </w:r>
      <w:r w:rsidRPr="0096658B">
        <w:rPr>
          <w:rFonts w:ascii="Times New Roman" w:hAnsi="Times New Roman" w:cs="Times New Roman"/>
          <w:i/>
          <w:iCs/>
          <w:color w:val="000000" w:themeColor="text1"/>
        </w:rPr>
        <w:t>medidas para garantizar la participación paritaria de las mujeres en las diferentes ramas y órganos del Poder Público de conformidad con los artículos 13, 40 y 43 de la Constitución Política y se dictan otras disposiciones</w:t>
      </w:r>
      <w:r w:rsidRPr="0096658B">
        <w:rPr>
          <w:rFonts w:ascii="Times New Roman" w:hAnsi="Times New Roman" w:cs="Times New Roman"/>
          <w:color w:val="000000" w:themeColor="text1"/>
        </w:rPr>
        <w:t>”</w:t>
      </w:r>
      <w:r w:rsidRPr="0096658B">
        <w:rPr>
          <w:rFonts w:ascii="Times New Roman" w:hAnsi="Times New Roman" w:cs="Times New Roman"/>
          <w:color w:val="000000" w:themeColor="text1"/>
        </w:rPr>
        <w:t>.</w:t>
      </w:r>
      <w:r w:rsidRPr="0096658B">
        <w:rPr>
          <w:rFonts w:ascii="Times New Roman" w:hAnsi="Times New Roman" w:cs="Times New Roman"/>
          <w:color w:val="000000" w:themeColor="text1"/>
        </w:rPr>
        <w:t xml:space="preserve"> </w:t>
      </w:r>
      <w:r w:rsidRPr="0096658B">
        <w:rPr>
          <w:rFonts w:ascii="Times New Roman" w:hAnsi="Times New Roman" w:cs="Times New Roman"/>
          <w:color w:val="000000" w:themeColor="text1"/>
        </w:rPr>
        <w:t>La parte resolutiva de esta dec</w:t>
      </w:r>
      <w:r w:rsidRPr="0096658B">
        <w:rPr>
          <w:rFonts w:ascii="Times New Roman" w:hAnsi="Times New Roman" w:cs="Times New Roman"/>
          <w:color w:val="000000" w:themeColor="text1"/>
        </w:rPr>
        <w:t>isión fue adoptada de manera unánime por la Sala Plena y, si</w:t>
      </w:r>
      <w:r w:rsidRPr="0096658B">
        <w:rPr>
          <w:rFonts w:ascii="Times New Roman" w:hAnsi="Times New Roman" w:cs="Times New Roman"/>
          <w:color w:val="000000" w:themeColor="text1"/>
        </w:rPr>
        <w:t xml:space="preserve"> bien comparto </w:t>
      </w:r>
      <w:r w:rsidRPr="0096658B">
        <w:rPr>
          <w:rFonts w:ascii="Times New Roman" w:hAnsi="Times New Roman" w:cs="Times New Roman"/>
          <w:color w:val="000000" w:themeColor="text1"/>
        </w:rPr>
        <w:t xml:space="preserve">completamente </w:t>
      </w:r>
      <w:r w:rsidRPr="0096658B">
        <w:rPr>
          <w:rFonts w:ascii="Times New Roman" w:hAnsi="Times New Roman" w:cs="Times New Roman"/>
          <w:color w:val="000000" w:themeColor="text1"/>
        </w:rPr>
        <w:t xml:space="preserve">el sentido de la </w:t>
      </w:r>
      <w:r w:rsidRPr="0096658B">
        <w:rPr>
          <w:rFonts w:ascii="Times New Roman" w:hAnsi="Times New Roman" w:cs="Times New Roman"/>
          <w:color w:val="000000" w:themeColor="text1"/>
        </w:rPr>
        <w:t xml:space="preserve">parte resolutiva </w:t>
      </w:r>
      <w:r w:rsidRPr="0096658B">
        <w:rPr>
          <w:rFonts w:ascii="Times New Roman" w:hAnsi="Times New Roman" w:cs="Times New Roman"/>
          <w:color w:val="000000" w:themeColor="text1"/>
        </w:rPr>
        <w:t>adoptada</w:t>
      </w:r>
      <w:r w:rsidRPr="0096658B">
        <w:rPr>
          <w:rFonts w:ascii="Times New Roman" w:hAnsi="Times New Roman" w:cs="Times New Roman"/>
          <w:color w:val="000000" w:themeColor="text1"/>
        </w:rPr>
        <w:t xml:space="preserve">, </w:t>
      </w:r>
      <w:r w:rsidRPr="0096658B">
        <w:rPr>
          <w:rFonts w:ascii="Times New Roman" w:hAnsi="Times New Roman" w:cs="Times New Roman"/>
          <w:color w:val="000000" w:themeColor="text1"/>
        </w:rPr>
        <w:t xml:space="preserve">considero que </w:t>
      </w:r>
      <w:r w:rsidRPr="0096658B">
        <w:rPr>
          <w:rFonts w:ascii="Times New Roman" w:hAnsi="Times New Roman" w:cs="Times New Roman"/>
          <w:color w:val="000000" w:themeColor="text1"/>
        </w:rPr>
        <w:t xml:space="preserve">en </w:t>
      </w:r>
      <w:r w:rsidRPr="0096658B">
        <w:rPr>
          <w:rFonts w:ascii="Times New Roman" w:hAnsi="Times New Roman" w:cs="Times New Roman"/>
          <w:color w:val="000000" w:themeColor="text1"/>
        </w:rPr>
        <w:t>las consideraciones generales del fallo se debería haber</w:t>
      </w:r>
      <w:r w:rsidRPr="0096658B">
        <w:rPr>
          <w:rFonts w:ascii="Times New Roman" w:hAnsi="Times New Roman" w:cs="Times New Roman"/>
          <w:color w:val="000000" w:themeColor="text1"/>
        </w:rPr>
        <w:t xml:space="preserve"> explica</w:t>
      </w:r>
      <w:r w:rsidRPr="0096658B">
        <w:rPr>
          <w:rFonts w:ascii="Times New Roman" w:hAnsi="Times New Roman" w:cs="Times New Roman"/>
          <w:color w:val="000000" w:themeColor="text1"/>
        </w:rPr>
        <w:t>do</w:t>
      </w:r>
      <w:r w:rsidRPr="0096658B">
        <w:rPr>
          <w:rFonts w:ascii="Times New Roman" w:hAnsi="Times New Roman" w:cs="Times New Roman"/>
          <w:color w:val="000000" w:themeColor="text1"/>
        </w:rPr>
        <w:t xml:space="preserve"> con mayor detalle el alcance de la </w:t>
      </w:r>
      <w:r w:rsidRPr="0096658B">
        <w:rPr>
          <w:rFonts w:ascii="Times New Roman" w:hAnsi="Times New Roman" w:cs="Times New Roman"/>
          <w:color w:val="000000" w:themeColor="text1"/>
        </w:rPr>
        <w:t xml:space="preserve">potestad reglamentaria </w:t>
      </w:r>
      <w:r w:rsidRPr="0096658B">
        <w:rPr>
          <w:rFonts w:ascii="Times New Roman" w:hAnsi="Times New Roman" w:cs="Times New Roman"/>
          <w:color w:val="000000" w:themeColor="text1"/>
        </w:rPr>
        <w:t>prevista en</w:t>
      </w:r>
      <w:r w:rsidRPr="0096658B">
        <w:rPr>
          <w:rFonts w:ascii="Times New Roman" w:hAnsi="Times New Roman" w:cs="Times New Roman"/>
          <w:color w:val="000000" w:themeColor="text1"/>
        </w:rPr>
        <w:t xml:space="preserve"> el parágrafo 2 del artículo 4 de la Ley 581 de 2000</w:t>
      </w:r>
      <w:r w:rsidRPr="0096658B">
        <w:rPr>
          <w:rFonts w:ascii="Times New Roman" w:hAnsi="Times New Roman" w:cs="Times New Roman"/>
          <w:color w:val="000000" w:themeColor="text1"/>
        </w:rPr>
        <w:t>,</w:t>
      </w:r>
      <w:r w:rsidRPr="0096658B">
        <w:rPr>
          <w:rFonts w:ascii="Times New Roman" w:hAnsi="Times New Roman" w:cs="Times New Roman"/>
          <w:color w:val="000000" w:themeColor="text1"/>
        </w:rPr>
        <w:t xml:space="preserve"> que se </w:t>
      </w:r>
      <w:r w:rsidRPr="0096658B">
        <w:rPr>
          <w:rFonts w:ascii="Times New Roman" w:hAnsi="Times New Roman" w:cs="Times New Roman"/>
          <w:color w:val="000000" w:themeColor="text1"/>
        </w:rPr>
        <w:t xml:space="preserve">pretende </w:t>
      </w:r>
      <w:r w:rsidRPr="0096658B">
        <w:rPr>
          <w:rFonts w:ascii="Times New Roman" w:hAnsi="Times New Roman" w:cs="Times New Roman"/>
          <w:color w:val="000000" w:themeColor="text1"/>
        </w:rPr>
        <w:t>modificar a través de est</w:t>
      </w:r>
      <w:r w:rsidRPr="0096658B">
        <w:rPr>
          <w:rFonts w:ascii="Times New Roman" w:hAnsi="Times New Roman" w:cs="Times New Roman"/>
          <w:color w:val="000000" w:themeColor="text1"/>
        </w:rPr>
        <w:t>e proyecto de ley estatutaria.</w:t>
      </w:r>
    </w:p>
    <w:p w:rsidR="00271866" w:rsidRPr="0096658B" w:rsidRDefault="0096658B" w:rsidP="00271866">
      <w:pPr>
        <w:pStyle w:val="Prrafodelista"/>
        <w:ind w:left="0"/>
        <w:jc w:val="both"/>
        <w:rPr>
          <w:rFonts w:ascii="Times New Roman" w:hAnsi="Times New Roman" w:cs="Times New Roman"/>
          <w:color w:val="000000" w:themeColor="text1"/>
        </w:rPr>
      </w:pPr>
    </w:p>
    <w:p w:rsidR="00AD12B3" w:rsidRPr="0096658B" w:rsidRDefault="0096658B" w:rsidP="00AB3C5B">
      <w:pPr>
        <w:pStyle w:val="Prrafodelista"/>
        <w:numPr>
          <w:ilvl w:val="0"/>
          <w:numId w:val="9"/>
        </w:numPr>
        <w:ind w:left="0" w:firstLine="0"/>
        <w:jc w:val="both"/>
        <w:rPr>
          <w:rFonts w:ascii="Times New Roman" w:hAnsi="Times New Roman" w:cs="Times New Roman"/>
          <w:color w:val="000000" w:themeColor="text1"/>
        </w:rPr>
      </w:pPr>
      <w:r w:rsidRPr="0096658B">
        <w:rPr>
          <w:rFonts w:ascii="Times New Roman" w:hAnsi="Times New Roman" w:cs="Times New Roman"/>
          <w:color w:val="000000" w:themeColor="text1"/>
        </w:rPr>
        <w:t>A través de la Ley 581 de 2000 se reglamenta la adecuada y efectiva participación de la mujer e</w:t>
      </w:r>
      <w:r w:rsidRPr="0096658B">
        <w:rPr>
          <w:rFonts w:ascii="Times New Roman" w:hAnsi="Times New Roman" w:cs="Times New Roman"/>
          <w:color w:val="000000" w:themeColor="text1"/>
        </w:rPr>
        <w:t>n los niveles decisorios de las diferentes ramas y órganos del poder público</w:t>
      </w:r>
      <w:r w:rsidRPr="0096658B">
        <w:rPr>
          <w:rFonts w:ascii="Times New Roman" w:hAnsi="Times New Roman" w:cs="Times New Roman"/>
          <w:color w:val="000000" w:themeColor="text1"/>
        </w:rPr>
        <w:t>. En el texto vigente de la norma antes de que sea reformado por el proyecto de ley estatutaria que fue analizado por la Corte Constitucional en esta providencia, se determinaba qu</w:t>
      </w:r>
      <w:r w:rsidRPr="0096658B">
        <w:rPr>
          <w:rFonts w:ascii="Times New Roman" w:hAnsi="Times New Roman" w:cs="Times New Roman"/>
          <w:color w:val="000000" w:themeColor="text1"/>
        </w:rPr>
        <w:t>e la participación adecuada de la mujer en los niveles del poder público sería de mínimo el 30% en los cargos del máximo nivel decisorio</w:t>
      </w:r>
      <w:r w:rsidRPr="0096658B">
        <w:rPr>
          <w:rFonts w:ascii="Times New Roman" w:hAnsi="Times New Roman" w:cs="Times New Roman"/>
          <w:color w:val="000000" w:themeColor="text1"/>
        </w:rPr>
        <w:t xml:space="preserve"> y mínimo del 30% en los cargos de otros niveles decisorios. </w:t>
      </w:r>
    </w:p>
    <w:p w:rsidR="00AD12B3" w:rsidRPr="0096658B" w:rsidRDefault="0096658B" w:rsidP="00AD12B3">
      <w:pPr>
        <w:pStyle w:val="Prrafodelista"/>
        <w:rPr>
          <w:rFonts w:ascii="Times New Roman" w:hAnsi="Times New Roman" w:cs="Times New Roman"/>
          <w:color w:val="000000" w:themeColor="text1"/>
        </w:rPr>
      </w:pPr>
    </w:p>
    <w:p w:rsidR="00271866" w:rsidRPr="0096658B" w:rsidRDefault="0096658B" w:rsidP="00AB3C5B">
      <w:pPr>
        <w:pStyle w:val="Prrafodelista"/>
        <w:numPr>
          <w:ilvl w:val="0"/>
          <w:numId w:val="9"/>
        </w:numPr>
        <w:ind w:left="0" w:firstLine="0"/>
        <w:jc w:val="both"/>
        <w:rPr>
          <w:rFonts w:ascii="Times New Roman" w:hAnsi="Times New Roman" w:cs="Times New Roman"/>
          <w:color w:val="000000" w:themeColor="text1"/>
        </w:rPr>
      </w:pPr>
      <w:r w:rsidRPr="0096658B">
        <w:rPr>
          <w:rFonts w:ascii="Times New Roman" w:hAnsi="Times New Roman" w:cs="Times New Roman"/>
          <w:color w:val="000000" w:themeColor="text1"/>
        </w:rPr>
        <w:t>En concreto, para determinar qué se entiende por cargos d</w:t>
      </w:r>
      <w:r w:rsidRPr="0096658B">
        <w:rPr>
          <w:rFonts w:ascii="Times New Roman" w:hAnsi="Times New Roman" w:cs="Times New Roman"/>
          <w:color w:val="000000" w:themeColor="text1"/>
        </w:rPr>
        <w:t xml:space="preserve">el máximo nivel decisorio, el </w:t>
      </w:r>
      <w:r w:rsidRPr="0096658B">
        <w:rPr>
          <w:rFonts w:ascii="Times New Roman" w:hAnsi="Times New Roman" w:cs="Times New Roman"/>
          <w:color w:val="000000" w:themeColor="text1"/>
        </w:rPr>
        <w:t xml:space="preserve">literal a) del </w:t>
      </w:r>
      <w:r w:rsidRPr="0096658B">
        <w:rPr>
          <w:rFonts w:ascii="Times New Roman" w:hAnsi="Times New Roman" w:cs="Times New Roman"/>
          <w:color w:val="000000" w:themeColor="text1"/>
        </w:rPr>
        <w:t>artículo</w:t>
      </w:r>
      <w:r w:rsidRPr="0096658B">
        <w:rPr>
          <w:rFonts w:ascii="Times New Roman" w:hAnsi="Times New Roman" w:cs="Times New Roman"/>
          <w:color w:val="000000" w:themeColor="text1"/>
        </w:rPr>
        <w:t xml:space="preserve"> 4</w:t>
      </w:r>
      <w:r w:rsidRPr="0096658B">
        <w:rPr>
          <w:rFonts w:ascii="Times New Roman" w:hAnsi="Times New Roman" w:cs="Times New Roman"/>
          <w:color w:val="000000" w:themeColor="text1"/>
        </w:rPr>
        <w:t xml:space="preserve"> remite a</w:t>
      </w:r>
      <w:r w:rsidRPr="0096658B">
        <w:rPr>
          <w:rFonts w:ascii="Times New Roman" w:hAnsi="Times New Roman" w:cs="Times New Roman"/>
          <w:color w:val="000000" w:themeColor="text1"/>
        </w:rPr>
        <w:t xml:space="preserve"> la definición </w:t>
      </w:r>
      <w:r w:rsidRPr="0096658B">
        <w:rPr>
          <w:rFonts w:ascii="Times New Roman" w:hAnsi="Times New Roman" w:cs="Times New Roman"/>
          <w:color w:val="000000" w:themeColor="text1"/>
        </w:rPr>
        <w:t xml:space="preserve">que </w:t>
      </w:r>
      <w:r w:rsidRPr="0096658B">
        <w:rPr>
          <w:rFonts w:ascii="Times New Roman" w:hAnsi="Times New Roman" w:cs="Times New Roman"/>
          <w:color w:val="000000" w:themeColor="text1"/>
        </w:rPr>
        <w:t xml:space="preserve">prevé el </w:t>
      </w:r>
      <w:r w:rsidRPr="0096658B">
        <w:rPr>
          <w:rFonts w:ascii="Times New Roman" w:hAnsi="Times New Roman" w:cs="Times New Roman"/>
          <w:color w:val="000000" w:themeColor="text1"/>
        </w:rPr>
        <w:t xml:space="preserve">artículo 2 </w:t>
      </w:r>
      <w:r w:rsidRPr="0096658B">
        <w:rPr>
          <w:rFonts w:ascii="Times New Roman" w:hAnsi="Times New Roman" w:cs="Times New Roman"/>
          <w:color w:val="000000" w:themeColor="text1"/>
        </w:rPr>
        <w:t>de la misma ley</w:t>
      </w:r>
      <w:r w:rsidRPr="0096658B">
        <w:rPr>
          <w:rFonts w:ascii="Times New Roman" w:hAnsi="Times New Roman" w:cs="Times New Roman"/>
          <w:color w:val="000000" w:themeColor="text1"/>
        </w:rPr>
        <w:t xml:space="preserve"> sobre los cargos de máximo nivel decisorio</w:t>
      </w:r>
      <w:r w:rsidRPr="0096658B">
        <w:rPr>
          <w:rFonts w:ascii="Times New Roman" w:hAnsi="Times New Roman" w:cs="Times New Roman"/>
          <w:color w:val="000000" w:themeColor="text1"/>
        </w:rPr>
        <w:t xml:space="preserve">, a saber: </w:t>
      </w:r>
      <w:r w:rsidRPr="0096658B">
        <w:rPr>
          <w:rFonts w:ascii="Times New Roman" w:hAnsi="Times New Roman" w:cs="Times New Roman"/>
          <w:color w:val="000000" w:themeColor="text1"/>
        </w:rPr>
        <w:t>“</w:t>
      </w:r>
      <w:r w:rsidRPr="0096658B">
        <w:rPr>
          <w:rFonts w:ascii="Times New Roman" w:hAnsi="Times New Roman" w:cs="Times New Roman"/>
          <w:i/>
          <w:iCs/>
          <w:color w:val="000000" w:themeColor="text1"/>
          <w:lang w:val="es-CO"/>
        </w:rPr>
        <w:t xml:space="preserve">Para los efectos de esta ley, entiéndase como "máximo nivel decisorio", el que </w:t>
      </w:r>
      <w:r w:rsidRPr="0096658B">
        <w:rPr>
          <w:rFonts w:ascii="Times New Roman" w:hAnsi="Times New Roman" w:cs="Times New Roman"/>
          <w:i/>
          <w:iCs/>
          <w:color w:val="000000" w:themeColor="text1"/>
          <w:lang w:val="es-CO"/>
        </w:rPr>
        <w:t>corresponde a quienes ejercen los cargos de mayor jerarquía en las entidades de las tres ramas y órganos del poder público, en los niveles nacional, departamental, regional, provincial, distrital y municipal.</w:t>
      </w:r>
      <w:r w:rsidRPr="0096658B">
        <w:rPr>
          <w:rFonts w:ascii="Times New Roman" w:hAnsi="Times New Roman" w:cs="Times New Roman"/>
          <w:color w:val="000000" w:themeColor="text1"/>
          <w:lang w:val="es-CO"/>
        </w:rPr>
        <w:t>” A su vez,</w:t>
      </w:r>
      <w:r w:rsidRPr="0096658B">
        <w:rPr>
          <w:rFonts w:ascii="Times New Roman" w:hAnsi="Times New Roman" w:cs="Times New Roman"/>
          <w:color w:val="000000" w:themeColor="text1"/>
          <w:lang w:val="es-CO"/>
        </w:rPr>
        <w:t xml:space="preserve"> el literal b) del mismo artículo 4 r</w:t>
      </w:r>
      <w:r w:rsidRPr="0096658B">
        <w:rPr>
          <w:rFonts w:ascii="Times New Roman" w:hAnsi="Times New Roman" w:cs="Times New Roman"/>
          <w:color w:val="000000" w:themeColor="text1"/>
          <w:lang w:val="es-CO"/>
        </w:rPr>
        <w:t>emite al artículo 3 de la Ley 581 de 2000 que contiene los conceptos de qué son los cargos de otros niveles decisorios</w:t>
      </w:r>
      <w:r w:rsidRPr="0096658B">
        <w:rPr>
          <w:rFonts w:ascii="Times New Roman" w:hAnsi="Times New Roman" w:cs="Times New Roman"/>
          <w:color w:val="000000" w:themeColor="text1"/>
          <w:lang w:val="es-CO"/>
        </w:rPr>
        <w:t>, a saber: “</w:t>
      </w:r>
      <w:r w:rsidRPr="0096658B">
        <w:rPr>
          <w:rFonts w:ascii="Times New Roman" w:hAnsi="Times New Roman" w:cs="Times New Roman"/>
          <w:i/>
          <w:iCs/>
          <w:color w:val="000000" w:themeColor="text1"/>
          <w:lang w:val="es-CO"/>
        </w:rPr>
        <w:t xml:space="preserve">Entiéndase para los efectos de esta ley, por "otros niveles decisorios" los que correspondan a cargos de libre nombramiento y </w:t>
      </w:r>
      <w:r w:rsidRPr="0096658B">
        <w:rPr>
          <w:rFonts w:ascii="Times New Roman" w:hAnsi="Times New Roman" w:cs="Times New Roman"/>
          <w:i/>
          <w:iCs/>
          <w:color w:val="000000" w:themeColor="text1"/>
          <w:lang w:val="es-CO"/>
        </w:rPr>
        <w:t>remoción, de la rama ejecutiva, del personal administrativo de la rama legislativa y de los demás órganos del poder público, diferentes a los contemplados en el artículo anterior, y que tengan atribuciones de dirección y mando en la formulación, planeación</w:t>
      </w:r>
      <w:r w:rsidRPr="0096658B">
        <w:rPr>
          <w:rFonts w:ascii="Times New Roman" w:hAnsi="Times New Roman" w:cs="Times New Roman"/>
          <w:i/>
          <w:iCs/>
          <w:color w:val="000000" w:themeColor="text1"/>
          <w:lang w:val="es-CO"/>
        </w:rPr>
        <w:t>, coordinación, ejecución y control de las acciones y políticas del Estado, en los niveles nacional, departamental, regional, provincial, distrital y municipal, incluidos los cargos de libre nombramiento y remoción de la rama judicial.</w:t>
      </w:r>
      <w:r w:rsidRPr="0096658B">
        <w:rPr>
          <w:rFonts w:ascii="Times New Roman" w:hAnsi="Times New Roman" w:cs="Times New Roman"/>
          <w:color w:val="000000" w:themeColor="text1"/>
          <w:lang w:val="es-CO"/>
        </w:rPr>
        <w:t>”</w:t>
      </w:r>
    </w:p>
    <w:p w:rsidR="00790A86" w:rsidRPr="0096658B" w:rsidRDefault="0096658B" w:rsidP="00790A86">
      <w:pPr>
        <w:pStyle w:val="Prrafodelista"/>
        <w:ind w:left="0"/>
        <w:jc w:val="both"/>
        <w:rPr>
          <w:rFonts w:ascii="Times New Roman" w:hAnsi="Times New Roman" w:cs="Times New Roman"/>
          <w:color w:val="000000" w:themeColor="text1"/>
        </w:rPr>
      </w:pPr>
    </w:p>
    <w:p w:rsidR="00790A86" w:rsidRPr="0096658B" w:rsidRDefault="0096658B" w:rsidP="00AB3C5B">
      <w:pPr>
        <w:pStyle w:val="Prrafodelista"/>
        <w:numPr>
          <w:ilvl w:val="0"/>
          <w:numId w:val="9"/>
        </w:numPr>
        <w:ind w:left="0" w:firstLine="0"/>
        <w:jc w:val="both"/>
        <w:rPr>
          <w:rFonts w:ascii="Times New Roman" w:hAnsi="Times New Roman" w:cs="Times New Roman"/>
          <w:color w:val="000000" w:themeColor="text1"/>
        </w:rPr>
      </w:pPr>
      <w:r w:rsidRPr="0096658B">
        <w:rPr>
          <w:rFonts w:ascii="Times New Roman" w:hAnsi="Times New Roman" w:cs="Times New Roman"/>
          <w:color w:val="000000" w:themeColor="text1"/>
        </w:rPr>
        <w:t>El texto del enton</w:t>
      </w:r>
      <w:r w:rsidRPr="0096658B">
        <w:rPr>
          <w:rFonts w:ascii="Times New Roman" w:hAnsi="Times New Roman" w:cs="Times New Roman"/>
          <w:color w:val="000000" w:themeColor="text1"/>
        </w:rPr>
        <w:t>ces artículo 4 de la Ley 581 de 2000 solo establecía un parágrafo</w:t>
      </w:r>
      <w:r w:rsidRPr="0096658B">
        <w:rPr>
          <w:rFonts w:ascii="Times New Roman" w:hAnsi="Times New Roman" w:cs="Times New Roman"/>
          <w:color w:val="000000" w:themeColor="text1"/>
        </w:rPr>
        <w:t xml:space="preserve"> relativo a que el incumplimiento de estos mandatos constituiría causal de mala conducta que sería sancionada con suspensión en el ejercicio del cargo hasta por 30 días, y con la destitución </w:t>
      </w:r>
      <w:r w:rsidRPr="0096658B">
        <w:rPr>
          <w:rFonts w:ascii="Times New Roman" w:hAnsi="Times New Roman" w:cs="Times New Roman"/>
          <w:color w:val="000000" w:themeColor="text1"/>
        </w:rPr>
        <w:t>de persistir.</w:t>
      </w:r>
    </w:p>
    <w:p w:rsidR="00AF1216" w:rsidRPr="0096658B" w:rsidRDefault="0096658B" w:rsidP="00AF1216">
      <w:pPr>
        <w:pStyle w:val="Prrafodelista"/>
        <w:rPr>
          <w:rFonts w:ascii="Times New Roman" w:hAnsi="Times New Roman" w:cs="Times New Roman"/>
          <w:color w:val="000000" w:themeColor="text1"/>
        </w:rPr>
      </w:pPr>
    </w:p>
    <w:p w:rsidR="00AF1216" w:rsidRPr="0096658B" w:rsidRDefault="0096658B" w:rsidP="00AB3C5B">
      <w:pPr>
        <w:pStyle w:val="Prrafodelista"/>
        <w:numPr>
          <w:ilvl w:val="0"/>
          <w:numId w:val="9"/>
        </w:numPr>
        <w:ind w:left="0" w:firstLine="0"/>
        <w:jc w:val="both"/>
        <w:rPr>
          <w:rFonts w:ascii="Times New Roman" w:hAnsi="Times New Roman" w:cs="Times New Roman"/>
          <w:color w:val="000000" w:themeColor="text1"/>
        </w:rPr>
      </w:pPr>
      <w:r w:rsidRPr="0096658B">
        <w:rPr>
          <w:rFonts w:ascii="Times New Roman" w:hAnsi="Times New Roman" w:cs="Times New Roman"/>
          <w:color w:val="000000" w:themeColor="text1"/>
        </w:rPr>
        <w:t>Con el proyecto de ley estatutaria que fue objeto de conocimiento automático por esta Corporación, como bien lo expuso la Sala Plena en la sentencia, el Congreso de la República propuso una modificación para elevar los mínimos de participaci</w:t>
      </w:r>
      <w:r w:rsidRPr="0096658B">
        <w:rPr>
          <w:rFonts w:ascii="Times New Roman" w:hAnsi="Times New Roman" w:cs="Times New Roman"/>
          <w:color w:val="000000" w:themeColor="text1"/>
        </w:rPr>
        <w:t>ón de la mujer en este tipo de cargos a un 50%</w:t>
      </w:r>
      <w:r w:rsidRPr="0096658B">
        <w:rPr>
          <w:rFonts w:ascii="Times New Roman" w:hAnsi="Times New Roman" w:cs="Times New Roman"/>
          <w:color w:val="000000" w:themeColor="text1"/>
        </w:rPr>
        <w:t>. Además de reiterar el parágrafo con la sanción ya mencionada, con la reforma que se propone, se incluyó un segundo parágrafo que determina que “[e]</w:t>
      </w:r>
      <w:r w:rsidRPr="0096658B">
        <w:rPr>
          <w:rFonts w:ascii="Times New Roman" w:hAnsi="Times New Roman" w:cs="Times New Roman"/>
          <w:i/>
          <w:iCs/>
          <w:color w:val="000000" w:themeColor="text1"/>
        </w:rPr>
        <w:t>l Gobierno Nacional en el plazo de seis meses, contados a par</w:t>
      </w:r>
      <w:r w:rsidRPr="0096658B">
        <w:rPr>
          <w:rFonts w:ascii="Times New Roman" w:hAnsi="Times New Roman" w:cs="Times New Roman"/>
          <w:i/>
          <w:iCs/>
          <w:color w:val="000000" w:themeColor="text1"/>
        </w:rPr>
        <w:t>tir de la entrada en vigencia de la presente Ley, reglamentará los cargos a los cuales les aplicará la presente ley.”</w:t>
      </w:r>
    </w:p>
    <w:p w:rsidR="006F50DF" w:rsidRPr="0096658B" w:rsidRDefault="0096658B" w:rsidP="006F50DF">
      <w:pPr>
        <w:pStyle w:val="Prrafodelista"/>
        <w:ind w:left="0"/>
        <w:jc w:val="both"/>
        <w:rPr>
          <w:rFonts w:ascii="Times New Roman" w:hAnsi="Times New Roman" w:cs="Times New Roman"/>
          <w:color w:val="000000" w:themeColor="text1"/>
        </w:rPr>
      </w:pPr>
    </w:p>
    <w:p w:rsidR="005B6A1F" w:rsidRPr="0096658B" w:rsidRDefault="0096658B" w:rsidP="000D3006">
      <w:pPr>
        <w:pStyle w:val="Prrafodelista"/>
        <w:numPr>
          <w:ilvl w:val="0"/>
          <w:numId w:val="9"/>
        </w:numPr>
        <w:ind w:left="0" w:firstLine="0"/>
        <w:jc w:val="both"/>
        <w:rPr>
          <w:rFonts w:ascii="Times New Roman" w:hAnsi="Times New Roman" w:cs="Times New Roman"/>
          <w:color w:val="000000" w:themeColor="text1"/>
        </w:rPr>
      </w:pPr>
      <w:r w:rsidRPr="0096658B">
        <w:rPr>
          <w:rFonts w:ascii="Times New Roman" w:hAnsi="Times New Roman" w:cs="Times New Roman"/>
          <w:color w:val="000000" w:themeColor="text1"/>
        </w:rPr>
        <w:t xml:space="preserve">Sobre </w:t>
      </w:r>
      <w:r w:rsidRPr="0096658B">
        <w:rPr>
          <w:rFonts w:ascii="Times New Roman" w:hAnsi="Times New Roman" w:cs="Times New Roman"/>
          <w:color w:val="000000" w:themeColor="text1"/>
        </w:rPr>
        <w:t>este segundo parágrafo,</w:t>
      </w:r>
      <w:r w:rsidRPr="0096658B">
        <w:rPr>
          <w:rFonts w:ascii="Times New Roman" w:hAnsi="Times New Roman" w:cs="Times New Roman"/>
          <w:color w:val="000000" w:themeColor="text1"/>
        </w:rPr>
        <w:t xml:space="preserve"> la sentencia </w:t>
      </w:r>
      <w:r w:rsidRPr="0096658B">
        <w:rPr>
          <w:rFonts w:ascii="Times New Roman" w:hAnsi="Times New Roman" w:cs="Times New Roman"/>
          <w:color w:val="000000" w:themeColor="text1"/>
        </w:rPr>
        <w:t>reiteró</w:t>
      </w:r>
      <w:r w:rsidRPr="0096658B">
        <w:rPr>
          <w:rFonts w:ascii="Times New Roman" w:hAnsi="Times New Roman" w:cs="Times New Roman"/>
          <w:color w:val="000000" w:themeColor="text1"/>
        </w:rPr>
        <w:t xml:space="preserve"> de manera acertada</w:t>
      </w:r>
      <w:r w:rsidRPr="0096658B">
        <w:rPr>
          <w:rFonts w:ascii="Times New Roman" w:hAnsi="Times New Roman" w:cs="Times New Roman"/>
          <w:color w:val="000000" w:themeColor="text1"/>
        </w:rPr>
        <w:t xml:space="preserve"> la jurisprudencia de</w:t>
      </w:r>
      <w:r w:rsidRPr="0096658B">
        <w:rPr>
          <w:rFonts w:ascii="Times New Roman" w:hAnsi="Times New Roman" w:cs="Times New Roman"/>
          <w:color w:val="000000" w:themeColor="text1"/>
        </w:rPr>
        <w:t xml:space="preserve"> la Corte Constitucional en torno a que la función reglamentaria que ejerce</w:t>
      </w:r>
      <w:r w:rsidRPr="0096658B">
        <w:rPr>
          <w:rFonts w:ascii="Times New Roman" w:hAnsi="Times New Roman" w:cs="Times New Roman"/>
          <w:color w:val="000000" w:themeColor="text1"/>
        </w:rPr>
        <w:t xml:space="preserve"> el Presidente en virtud del artículo 189.11 de la Constitución es permanente y no es posible limitar su ejercicio a un espacio temporal. De ahí que hubiese sido necesario declarar </w:t>
      </w:r>
      <w:r w:rsidRPr="0096658B">
        <w:rPr>
          <w:rFonts w:ascii="Times New Roman" w:hAnsi="Times New Roman" w:cs="Times New Roman"/>
          <w:color w:val="000000" w:themeColor="text1"/>
        </w:rPr>
        <w:t>la constitucionalidad de este apartado de la norma “</w:t>
      </w:r>
      <w:r w:rsidRPr="0096658B">
        <w:rPr>
          <w:rFonts w:ascii="Times New Roman" w:hAnsi="Times New Roman" w:cs="Times New Roman"/>
          <w:i/>
          <w:iCs/>
          <w:color w:val="000000" w:themeColor="text1"/>
        </w:rPr>
        <w:t>en el entendido que el plazo de seis meses previsto en el parágrafo segundo no limita el ejercicio de la facultad reglamentaria del Presidente luego de cumplido ese plazo y de acuerdo con lo considerado e</w:t>
      </w:r>
      <w:r w:rsidRPr="0096658B">
        <w:rPr>
          <w:rFonts w:ascii="Times New Roman" w:hAnsi="Times New Roman" w:cs="Times New Roman"/>
          <w:i/>
          <w:iCs/>
          <w:color w:val="000000" w:themeColor="text1"/>
        </w:rPr>
        <w:t xml:space="preserve">n esta sentencia.” </w:t>
      </w:r>
      <w:r w:rsidRPr="0096658B">
        <w:rPr>
          <w:rFonts w:ascii="Times New Roman" w:hAnsi="Times New Roman" w:cs="Times New Roman"/>
          <w:color w:val="000000" w:themeColor="text1"/>
        </w:rPr>
        <w:t xml:space="preserve">En todo caso, </w:t>
      </w:r>
      <w:r w:rsidRPr="0096658B">
        <w:rPr>
          <w:rFonts w:ascii="Times New Roman" w:hAnsi="Times New Roman" w:cs="Times New Roman"/>
          <w:color w:val="000000" w:themeColor="text1"/>
        </w:rPr>
        <w:t>en cuanto al alcance del ejercicio de la potestad reglamentaria que se otorga expresamente al Presidente de la República en este parágrafo, la sentencia únicamente</w:t>
      </w:r>
      <w:r w:rsidRPr="0096658B">
        <w:rPr>
          <w:rFonts w:ascii="Times New Roman" w:hAnsi="Times New Roman" w:cs="Times New Roman"/>
          <w:color w:val="000000" w:themeColor="text1"/>
        </w:rPr>
        <w:t xml:space="preserve"> </w:t>
      </w:r>
      <w:r w:rsidRPr="0096658B">
        <w:rPr>
          <w:rFonts w:ascii="Times New Roman" w:hAnsi="Times New Roman" w:cs="Times New Roman"/>
          <w:color w:val="000000" w:themeColor="text1"/>
        </w:rPr>
        <w:t>explica</w:t>
      </w:r>
      <w:r w:rsidRPr="0096658B">
        <w:rPr>
          <w:rFonts w:ascii="Times New Roman" w:hAnsi="Times New Roman" w:cs="Times New Roman"/>
          <w:color w:val="000000" w:themeColor="text1"/>
        </w:rPr>
        <w:t xml:space="preserve"> que:</w:t>
      </w:r>
    </w:p>
    <w:p w:rsidR="0065459E" w:rsidRPr="0096658B" w:rsidRDefault="0096658B" w:rsidP="00AB3C5B">
      <w:pPr>
        <w:jc w:val="both"/>
        <w:rPr>
          <w:rFonts w:ascii="Times New Roman" w:hAnsi="Times New Roman" w:cs="Times New Roman"/>
          <w:color w:val="000000" w:themeColor="text1"/>
          <w:sz w:val="28"/>
          <w:szCs w:val="28"/>
          <w:lang w:val="es-ES"/>
        </w:rPr>
      </w:pPr>
    </w:p>
    <w:p w:rsidR="0065459E" w:rsidRPr="0096658B" w:rsidRDefault="0096658B" w:rsidP="000D3006">
      <w:pPr>
        <w:ind w:left="284" w:right="333"/>
        <w:jc w:val="both"/>
        <w:rPr>
          <w:rFonts w:ascii="Times New Roman" w:hAnsi="Times New Roman" w:cs="Times New Roman"/>
          <w:i/>
          <w:color w:val="000000" w:themeColor="text1"/>
          <w:sz w:val="28"/>
          <w:lang w:val="es-ES_tradnl"/>
        </w:rPr>
      </w:pPr>
      <w:r w:rsidRPr="0096658B">
        <w:rPr>
          <w:rFonts w:ascii="Times New Roman" w:hAnsi="Times New Roman" w:cs="Times New Roman"/>
          <w:i/>
          <w:iCs/>
          <w:color w:val="000000" w:themeColor="text1"/>
          <w:sz w:val="28"/>
          <w:szCs w:val="24"/>
          <w:lang w:val="es-ES"/>
        </w:rPr>
        <w:t>“</w:t>
      </w:r>
      <w:r w:rsidRPr="0096658B">
        <w:rPr>
          <w:rFonts w:ascii="Times New Roman" w:hAnsi="Times New Roman" w:cs="Times New Roman"/>
          <w:i/>
          <w:iCs/>
          <w:color w:val="000000" w:themeColor="text1"/>
          <w:sz w:val="28"/>
          <w:szCs w:val="24"/>
          <w:lang w:val="es-ES_tradnl"/>
        </w:rPr>
        <w:t xml:space="preserve">Adicionalmente, la Sala considera pertinente realizar dos precisiones acerca del alcance del mencionado parágrafo </w:t>
      </w:r>
      <w:r w:rsidRPr="0096658B">
        <w:rPr>
          <w:rFonts w:ascii="Times New Roman" w:hAnsi="Times New Roman" w:cs="Times New Roman"/>
          <w:i/>
          <w:color w:val="000000" w:themeColor="text1"/>
          <w:sz w:val="28"/>
          <w:lang w:val="es-ES_tradnl"/>
        </w:rPr>
        <w:t>segundo</w:t>
      </w:r>
      <w:r w:rsidRPr="0096658B">
        <w:rPr>
          <w:rFonts w:ascii="Times New Roman" w:hAnsi="Times New Roman" w:cs="Times New Roman"/>
          <w:i/>
          <w:iCs/>
          <w:color w:val="000000" w:themeColor="text1"/>
          <w:sz w:val="28"/>
          <w:szCs w:val="24"/>
          <w:lang w:val="es-ES_tradnl"/>
        </w:rPr>
        <w:t>. En primer</w:t>
      </w:r>
      <w:r w:rsidRPr="0096658B">
        <w:rPr>
          <w:rFonts w:ascii="Times New Roman" w:hAnsi="Times New Roman" w:cs="Times New Roman"/>
          <w:i/>
          <w:color w:val="000000" w:themeColor="text1"/>
          <w:sz w:val="28"/>
          <w:lang w:val="es-ES_tradnl"/>
        </w:rPr>
        <w:t xml:space="preserve"> lugar, </w:t>
      </w:r>
      <w:r w:rsidRPr="0096658B">
        <w:rPr>
          <w:rFonts w:ascii="Times New Roman" w:hAnsi="Times New Roman" w:cs="Times New Roman"/>
          <w:i/>
          <w:iCs/>
          <w:color w:val="000000" w:themeColor="text1"/>
          <w:sz w:val="28"/>
          <w:szCs w:val="24"/>
          <w:lang w:val="es-ES_tradnl"/>
        </w:rPr>
        <w:t>debe tenerse en cuenta que la facultad</w:t>
      </w:r>
      <w:r w:rsidRPr="0096658B">
        <w:rPr>
          <w:rFonts w:ascii="Times New Roman" w:hAnsi="Times New Roman" w:cs="Times New Roman"/>
          <w:i/>
          <w:color w:val="000000" w:themeColor="text1"/>
          <w:sz w:val="28"/>
          <w:lang w:val="es-ES_tradnl"/>
        </w:rPr>
        <w:t xml:space="preserve"> reglamentaria </w:t>
      </w:r>
      <w:r w:rsidRPr="0096658B">
        <w:rPr>
          <w:rFonts w:ascii="Times New Roman" w:hAnsi="Times New Roman" w:cs="Times New Roman"/>
          <w:i/>
          <w:iCs/>
          <w:color w:val="000000" w:themeColor="text1"/>
          <w:sz w:val="28"/>
          <w:szCs w:val="24"/>
          <w:lang w:val="es-ES_tradnl"/>
        </w:rPr>
        <w:t>es una competencia</w:t>
      </w:r>
      <w:r w:rsidRPr="0096658B">
        <w:rPr>
          <w:rFonts w:ascii="Times New Roman" w:hAnsi="Times New Roman" w:cs="Times New Roman"/>
          <w:i/>
          <w:color w:val="000000" w:themeColor="text1"/>
          <w:sz w:val="28"/>
          <w:lang w:val="es-ES_tradnl"/>
        </w:rPr>
        <w:t xml:space="preserve"> constitucional</w:t>
      </w:r>
      <w:r w:rsidRPr="0096658B">
        <w:rPr>
          <w:rFonts w:ascii="Times New Roman" w:hAnsi="Times New Roman" w:cs="Times New Roman"/>
          <w:i/>
          <w:iCs/>
          <w:color w:val="000000" w:themeColor="text1"/>
          <w:sz w:val="28"/>
          <w:szCs w:val="24"/>
          <w:lang w:val="es-ES_tradnl"/>
        </w:rPr>
        <w:t xml:space="preserve"> amplia</w:t>
      </w:r>
      <w:r w:rsidRPr="0096658B">
        <w:rPr>
          <w:rFonts w:ascii="Times New Roman" w:hAnsi="Times New Roman" w:cs="Times New Roman"/>
          <w:i/>
          <w:color w:val="000000" w:themeColor="text1"/>
          <w:sz w:val="28"/>
          <w:lang w:val="es-ES_tradnl"/>
        </w:rPr>
        <w:t xml:space="preserve">, lo que </w:t>
      </w:r>
      <w:r w:rsidRPr="0096658B">
        <w:rPr>
          <w:rFonts w:ascii="Times New Roman" w:hAnsi="Times New Roman" w:cs="Times New Roman"/>
          <w:i/>
          <w:iCs/>
          <w:color w:val="000000" w:themeColor="text1"/>
          <w:sz w:val="28"/>
          <w:szCs w:val="24"/>
          <w:lang w:val="es-ES_tradnl"/>
        </w:rPr>
        <w:t>implica</w:t>
      </w:r>
      <w:r w:rsidRPr="0096658B">
        <w:rPr>
          <w:rFonts w:ascii="Times New Roman" w:hAnsi="Times New Roman" w:cs="Times New Roman"/>
          <w:i/>
          <w:color w:val="000000" w:themeColor="text1"/>
          <w:sz w:val="28"/>
          <w:lang w:val="es-ES_tradnl"/>
        </w:rPr>
        <w:t xml:space="preserve"> que</w:t>
      </w:r>
      <w:r w:rsidRPr="0096658B">
        <w:rPr>
          <w:rFonts w:ascii="Times New Roman" w:hAnsi="Times New Roman" w:cs="Times New Roman"/>
          <w:i/>
          <w:iCs/>
          <w:color w:val="000000" w:themeColor="text1"/>
          <w:sz w:val="28"/>
          <w:szCs w:val="24"/>
          <w:lang w:val="es-ES_tradnl"/>
        </w:rPr>
        <w:t xml:space="preserve">, para el caso analizado, no </w:t>
      </w:r>
      <w:r w:rsidRPr="0096658B">
        <w:rPr>
          <w:rFonts w:ascii="Times New Roman" w:hAnsi="Times New Roman" w:cs="Times New Roman"/>
          <w:i/>
          <w:color w:val="000000" w:themeColor="text1"/>
          <w:sz w:val="28"/>
          <w:lang w:val="es-ES_tradnl"/>
        </w:rPr>
        <w:t xml:space="preserve">se </w:t>
      </w:r>
      <w:r w:rsidRPr="0096658B">
        <w:rPr>
          <w:rFonts w:ascii="Times New Roman" w:hAnsi="Times New Roman" w:cs="Times New Roman"/>
          <w:i/>
          <w:iCs/>
          <w:color w:val="000000" w:themeColor="text1"/>
          <w:sz w:val="28"/>
          <w:szCs w:val="24"/>
          <w:lang w:val="es-ES_tradnl"/>
        </w:rPr>
        <w:t>restringe a</w:t>
      </w:r>
      <w:r w:rsidRPr="0096658B">
        <w:rPr>
          <w:rFonts w:ascii="Times New Roman" w:hAnsi="Times New Roman" w:cs="Times New Roman"/>
          <w:i/>
          <w:color w:val="000000" w:themeColor="text1"/>
          <w:sz w:val="28"/>
          <w:lang w:val="es-ES_tradnl"/>
        </w:rPr>
        <w:t xml:space="preserve"> la materia </w:t>
      </w:r>
      <w:r w:rsidRPr="0096658B">
        <w:rPr>
          <w:rFonts w:ascii="Times New Roman" w:hAnsi="Times New Roman" w:cs="Times New Roman"/>
          <w:i/>
          <w:iCs/>
          <w:color w:val="000000" w:themeColor="text1"/>
          <w:sz w:val="28"/>
          <w:szCs w:val="24"/>
          <w:lang w:val="es-ES_tradnl"/>
        </w:rPr>
        <w:t>vinculada a los cargos directivos, sino</w:t>
      </w:r>
      <w:r w:rsidRPr="0096658B">
        <w:rPr>
          <w:rFonts w:ascii="Times New Roman" w:hAnsi="Times New Roman" w:cs="Times New Roman"/>
          <w:i/>
          <w:color w:val="000000" w:themeColor="text1"/>
          <w:sz w:val="28"/>
          <w:lang w:val="es-ES_tradnl"/>
        </w:rPr>
        <w:t xml:space="preserve"> que incluye todas aquellas medidas que, respetuosas del marco regulatorio fijado por el legislador estatutario, sean necesarias para la debida ejecución de la le</w:t>
      </w:r>
      <w:r w:rsidRPr="0096658B">
        <w:rPr>
          <w:rFonts w:ascii="Times New Roman" w:hAnsi="Times New Roman" w:cs="Times New Roman"/>
          <w:i/>
          <w:color w:val="000000" w:themeColor="text1"/>
          <w:sz w:val="28"/>
          <w:lang w:val="es-ES_tradnl"/>
        </w:rPr>
        <w:t>y</w:t>
      </w:r>
      <w:r w:rsidRPr="0096658B">
        <w:rPr>
          <w:rFonts w:ascii="Times New Roman" w:hAnsi="Times New Roman" w:cs="Times New Roman"/>
          <w:i/>
          <w:iCs/>
          <w:color w:val="000000" w:themeColor="text1"/>
          <w:sz w:val="28"/>
          <w:szCs w:val="24"/>
          <w:lang w:val="es-ES_tradnl"/>
        </w:rPr>
        <w:t>. En segundo lugar, también debe resaltarse que, como parte de ese marco, el legislador estatutario ya ha previsto el concepto de CMND y CND. En efecto, los artículos 2º y 3º de la Ley 581 de 2000 definen cada uno de estos cargos y estas disposiciones, co</w:t>
      </w:r>
      <w:r w:rsidRPr="0096658B">
        <w:rPr>
          <w:rFonts w:ascii="Times New Roman" w:hAnsi="Times New Roman" w:cs="Times New Roman"/>
          <w:i/>
          <w:iCs/>
          <w:color w:val="000000" w:themeColor="text1"/>
          <w:sz w:val="28"/>
          <w:szCs w:val="24"/>
          <w:lang w:val="es-ES_tradnl"/>
        </w:rPr>
        <w:t>mo es natural a partir de un criterio de jerarquía normativa, subordinan el ejercicio de la facultad reglamentaria.”</w:t>
      </w:r>
    </w:p>
    <w:p w:rsidR="0065459E" w:rsidRPr="0096658B" w:rsidRDefault="0096658B" w:rsidP="00AB3C5B">
      <w:pPr>
        <w:jc w:val="both"/>
        <w:rPr>
          <w:rFonts w:ascii="Times New Roman" w:hAnsi="Times New Roman" w:cs="Times New Roman"/>
          <w:color w:val="000000" w:themeColor="text1"/>
          <w:sz w:val="28"/>
          <w:lang w:val="es-ES_tradnl"/>
        </w:rPr>
      </w:pPr>
    </w:p>
    <w:p w:rsidR="00B80966" w:rsidRPr="0096658B" w:rsidRDefault="0096658B" w:rsidP="00AB3C5B">
      <w:pPr>
        <w:jc w:val="both"/>
        <w:rPr>
          <w:rFonts w:ascii="Times New Roman" w:hAnsi="Times New Roman" w:cs="Times New Roman"/>
          <w:color w:val="000000" w:themeColor="text1"/>
          <w:sz w:val="28"/>
          <w:szCs w:val="28"/>
          <w:lang w:val="es-ES"/>
        </w:rPr>
      </w:pPr>
    </w:p>
    <w:p w:rsidR="00E22CC0" w:rsidRPr="0096658B" w:rsidRDefault="0096658B" w:rsidP="00E05F17">
      <w:pPr>
        <w:pStyle w:val="Prrafodelista"/>
        <w:numPr>
          <w:ilvl w:val="0"/>
          <w:numId w:val="9"/>
        </w:numPr>
        <w:ind w:left="0" w:firstLine="0"/>
        <w:jc w:val="both"/>
        <w:rPr>
          <w:rFonts w:ascii="Times New Roman" w:hAnsi="Times New Roman" w:cs="Times New Roman"/>
          <w:color w:val="000000" w:themeColor="text1"/>
          <w:szCs w:val="27"/>
        </w:rPr>
      </w:pPr>
      <w:r w:rsidRPr="0096658B">
        <w:rPr>
          <w:rFonts w:ascii="Times New Roman" w:hAnsi="Times New Roman" w:cs="Times New Roman"/>
          <w:color w:val="000000" w:themeColor="text1"/>
        </w:rPr>
        <w:t xml:space="preserve">Esta aproximación de la sentencia </w:t>
      </w:r>
      <w:r w:rsidRPr="0096658B">
        <w:rPr>
          <w:rFonts w:ascii="Times New Roman" w:hAnsi="Times New Roman" w:cs="Times New Roman"/>
          <w:color w:val="000000" w:themeColor="text1"/>
        </w:rPr>
        <w:t>no se refiere a</w:t>
      </w:r>
      <w:r w:rsidRPr="0096658B">
        <w:rPr>
          <w:rFonts w:ascii="Times New Roman" w:hAnsi="Times New Roman" w:cs="Times New Roman"/>
          <w:color w:val="000000" w:themeColor="text1"/>
        </w:rPr>
        <w:t>l</w:t>
      </w:r>
      <w:r w:rsidRPr="0096658B">
        <w:rPr>
          <w:rFonts w:ascii="Times New Roman" w:hAnsi="Times New Roman" w:cs="Times New Roman"/>
          <w:color w:val="000000" w:themeColor="text1"/>
        </w:rPr>
        <w:t xml:space="preserve"> alcance de la regulación de las leyes estatutarias</w:t>
      </w:r>
      <w:r w:rsidRPr="0096658B">
        <w:rPr>
          <w:rFonts w:ascii="Times New Roman" w:hAnsi="Times New Roman" w:cs="Times New Roman"/>
          <w:color w:val="000000" w:themeColor="text1"/>
        </w:rPr>
        <w:t>, las cuales podrían</w:t>
      </w:r>
      <w:r w:rsidRPr="0096658B">
        <w:rPr>
          <w:rFonts w:ascii="Times New Roman" w:hAnsi="Times New Roman" w:cs="Times New Roman"/>
          <w:color w:val="000000" w:themeColor="text1"/>
        </w:rPr>
        <w:t>, incluso,</w:t>
      </w:r>
      <w:r w:rsidRPr="0096658B">
        <w:rPr>
          <w:rFonts w:ascii="Times New Roman" w:hAnsi="Times New Roman" w:cs="Times New Roman"/>
          <w:color w:val="000000" w:themeColor="text1"/>
        </w:rPr>
        <w:t xml:space="preserve"> agota</w:t>
      </w:r>
      <w:r w:rsidRPr="0096658B">
        <w:rPr>
          <w:rFonts w:ascii="Times New Roman" w:hAnsi="Times New Roman" w:cs="Times New Roman"/>
          <w:color w:val="000000" w:themeColor="text1"/>
        </w:rPr>
        <w:t xml:space="preserve">r totalmente </w:t>
      </w:r>
      <w:r w:rsidRPr="0096658B">
        <w:rPr>
          <w:rFonts w:ascii="Times New Roman" w:hAnsi="Times New Roman" w:cs="Times New Roman"/>
          <w:color w:val="000000" w:themeColor="text1"/>
        </w:rPr>
        <w:t>la materia</w:t>
      </w:r>
      <w:r w:rsidRPr="0096658B">
        <w:rPr>
          <w:rFonts w:ascii="Times New Roman" w:hAnsi="Times New Roman" w:cs="Times New Roman"/>
          <w:color w:val="000000" w:themeColor="text1"/>
        </w:rPr>
        <w:t xml:space="preserve"> que desarrollan</w:t>
      </w:r>
      <w:r w:rsidRPr="0096658B">
        <w:rPr>
          <w:rFonts w:ascii="Times New Roman" w:hAnsi="Times New Roman" w:cs="Times New Roman"/>
          <w:color w:val="000000" w:themeColor="text1"/>
        </w:rPr>
        <w:t>, sin que</w:t>
      </w:r>
      <w:r w:rsidRPr="0096658B">
        <w:rPr>
          <w:rFonts w:ascii="Times New Roman" w:hAnsi="Times New Roman" w:cs="Times New Roman"/>
          <w:color w:val="000000" w:themeColor="text1"/>
        </w:rPr>
        <w:t>, en ciertos escenarios,</w:t>
      </w:r>
      <w:r w:rsidRPr="0096658B">
        <w:rPr>
          <w:rFonts w:ascii="Times New Roman" w:hAnsi="Times New Roman" w:cs="Times New Roman"/>
          <w:color w:val="000000" w:themeColor="text1"/>
        </w:rPr>
        <w:t xml:space="preserve"> sea posible ejercer</w:t>
      </w:r>
      <w:r w:rsidRPr="0096658B">
        <w:rPr>
          <w:rFonts w:ascii="Times New Roman" w:hAnsi="Times New Roman" w:cs="Times New Roman"/>
          <w:color w:val="000000" w:themeColor="text1"/>
        </w:rPr>
        <w:t xml:space="preserve"> ninguna regulación por el legislador ordinario o en ejercicio de</w:t>
      </w:r>
      <w:r w:rsidRPr="0096658B">
        <w:rPr>
          <w:rFonts w:ascii="Times New Roman" w:hAnsi="Times New Roman" w:cs="Times New Roman"/>
          <w:color w:val="000000" w:themeColor="text1"/>
        </w:rPr>
        <w:t xml:space="preserve"> la potestad reglamentari</w:t>
      </w:r>
      <w:r w:rsidRPr="0096658B">
        <w:rPr>
          <w:rFonts w:ascii="Times New Roman" w:hAnsi="Times New Roman" w:cs="Times New Roman"/>
          <w:color w:val="000000" w:themeColor="text1"/>
        </w:rPr>
        <w:t>a</w:t>
      </w:r>
      <w:r w:rsidRPr="0096658B">
        <w:rPr>
          <w:rFonts w:ascii="Times New Roman" w:hAnsi="Times New Roman" w:cs="Times New Roman"/>
          <w:color w:val="000000" w:themeColor="text1"/>
        </w:rPr>
        <w:t xml:space="preserve"> por parte del Presidente de la República</w:t>
      </w:r>
      <w:r w:rsidRPr="0096658B">
        <w:rPr>
          <w:rFonts w:ascii="Times New Roman" w:hAnsi="Times New Roman" w:cs="Times New Roman"/>
          <w:color w:val="000000" w:themeColor="text1"/>
        </w:rPr>
        <w:t>.</w:t>
      </w:r>
      <w:r w:rsidRPr="0096658B">
        <w:rPr>
          <w:rFonts w:ascii="Times New Roman" w:hAnsi="Times New Roman" w:cs="Times New Roman"/>
          <w:color w:val="000000" w:themeColor="text1"/>
        </w:rPr>
        <w:t xml:space="preserve"> </w:t>
      </w:r>
    </w:p>
    <w:p w:rsidR="00E22CC0" w:rsidRPr="0096658B" w:rsidRDefault="0096658B" w:rsidP="00E22CC0">
      <w:pPr>
        <w:jc w:val="both"/>
        <w:rPr>
          <w:rFonts w:ascii="Times New Roman" w:hAnsi="Times New Roman" w:cs="Times New Roman"/>
          <w:color w:val="000000" w:themeColor="text1"/>
          <w:sz w:val="28"/>
          <w:szCs w:val="27"/>
          <w:lang w:val="es-ES"/>
        </w:rPr>
      </w:pPr>
    </w:p>
    <w:p w:rsidR="009F68B8" w:rsidRPr="0096658B" w:rsidRDefault="0096658B" w:rsidP="00C646AA">
      <w:pPr>
        <w:pStyle w:val="Prrafodelista"/>
        <w:numPr>
          <w:ilvl w:val="0"/>
          <w:numId w:val="9"/>
        </w:numPr>
        <w:ind w:left="0" w:firstLine="0"/>
        <w:jc w:val="both"/>
        <w:rPr>
          <w:rFonts w:ascii="Times New Roman" w:hAnsi="Times New Roman" w:cs="Times New Roman"/>
          <w:color w:val="000000" w:themeColor="text1"/>
          <w:szCs w:val="27"/>
        </w:rPr>
      </w:pPr>
      <w:r w:rsidRPr="0096658B">
        <w:rPr>
          <w:rFonts w:ascii="Times New Roman" w:hAnsi="Times New Roman" w:cs="Times New Roman"/>
          <w:color w:val="000000" w:themeColor="text1"/>
        </w:rPr>
        <w:t xml:space="preserve">De manera preliminar, es preciso destacar que </w:t>
      </w:r>
      <w:r w:rsidRPr="0096658B">
        <w:rPr>
          <w:rFonts w:ascii="Times New Roman" w:hAnsi="Times New Roman" w:cs="Times New Roman"/>
          <w:color w:val="000000" w:themeColor="text1"/>
        </w:rPr>
        <w:t xml:space="preserve">los artículos 152 y 153 de la Constitución </w:t>
      </w:r>
      <w:r w:rsidRPr="0096658B">
        <w:rPr>
          <w:rFonts w:ascii="Times New Roman" w:hAnsi="Times New Roman" w:cs="Times New Roman"/>
          <w:color w:val="000000" w:themeColor="text1"/>
        </w:rPr>
        <w:t>Política señalan las materias que deben ser reguladas mediante</w:t>
      </w:r>
      <w:r w:rsidRPr="0096658B">
        <w:rPr>
          <w:rFonts w:ascii="Times New Roman" w:hAnsi="Times New Roman" w:cs="Times New Roman"/>
          <w:color w:val="000000" w:themeColor="text1"/>
        </w:rPr>
        <w:t xml:space="preserve"> ley estatutaria</w:t>
      </w:r>
      <w:r w:rsidRPr="0096658B">
        <w:rPr>
          <w:rFonts w:ascii="Times New Roman" w:hAnsi="Times New Roman" w:cs="Times New Roman"/>
          <w:color w:val="000000" w:themeColor="text1"/>
        </w:rPr>
        <w:t xml:space="preserve">, así como el trámite de formación especial al que están sujetas, el cual supone </w:t>
      </w:r>
      <w:r w:rsidRPr="0096658B">
        <w:rPr>
          <w:rFonts w:ascii="Times New Roman" w:hAnsi="Times New Roman" w:cs="Times New Roman"/>
          <w:color w:val="000000" w:themeColor="text1"/>
        </w:rPr>
        <w:t>su</w:t>
      </w:r>
      <w:r w:rsidRPr="0096658B">
        <w:rPr>
          <w:rFonts w:ascii="Times New Roman" w:hAnsi="Times New Roman" w:cs="Times New Roman"/>
          <w:color w:val="000000" w:themeColor="text1"/>
        </w:rPr>
        <w:t xml:space="preserve"> aprob</w:t>
      </w:r>
      <w:r w:rsidRPr="0096658B">
        <w:rPr>
          <w:rFonts w:ascii="Times New Roman" w:hAnsi="Times New Roman" w:cs="Times New Roman"/>
          <w:color w:val="000000" w:themeColor="text1"/>
        </w:rPr>
        <w:t xml:space="preserve">ación por mayoría absoluta de los miembros del Congreso durante una misma legislatura, y el control de constitucionalidad previo y automático. </w:t>
      </w:r>
      <w:r w:rsidRPr="0096658B">
        <w:rPr>
          <w:rFonts w:ascii="Times New Roman" w:hAnsi="Times New Roman" w:cs="Times New Roman"/>
          <w:color w:val="000000" w:themeColor="text1"/>
        </w:rPr>
        <w:t xml:space="preserve">Acorde con el mencionado artículo 152, mediante leyes estatutarias el Congreso de la República regula </w:t>
      </w:r>
      <w:r w:rsidRPr="0096658B">
        <w:rPr>
          <w:rFonts w:ascii="Times New Roman" w:hAnsi="Times New Roman" w:cs="Times New Roman"/>
          <w:i/>
          <w:iCs/>
          <w:color w:val="000000" w:themeColor="text1"/>
        </w:rPr>
        <w:t xml:space="preserve">(i) </w:t>
      </w:r>
      <w:r w:rsidRPr="0096658B">
        <w:rPr>
          <w:rFonts w:ascii="Times New Roman" w:hAnsi="Times New Roman" w:cs="Times New Roman"/>
          <w:color w:val="000000" w:themeColor="text1"/>
        </w:rPr>
        <w:t>los der</w:t>
      </w:r>
      <w:r w:rsidRPr="0096658B">
        <w:rPr>
          <w:rFonts w:ascii="Times New Roman" w:hAnsi="Times New Roman" w:cs="Times New Roman"/>
          <w:color w:val="000000" w:themeColor="text1"/>
        </w:rPr>
        <w:t xml:space="preserve">echos fundamentales y, los procedimientos y recursos para su protección; </w:t>
      </w:r>
      <w:r w:rsidRPr="0096658B">
        <w:rPr>
          <w:rFonts w:ascii="Times New Roman" w:hAnsi="Times New Roman" w:cs="Times New Roman"/>
          <w:i/>
          <w:iCs/>
          <w:color w:val="000000" w:themeColor="text1"/>
        </w:rPr>
        <w:t>(ii)</w:t>
      </w:r>
      <w:r w:rsidRPr="0096658B">
        <w:rPr>
          <w:rFonts w:ascii="Times New Roman" w:hAnsi="Times New Roman" w:cs="Times New Roman"/>
          <w:color w:val="000000" w:themeColor="text1"/>
        </w:rPr>
        <w:t xml:space="preserve"> la administración de justicia; </w:t>
      </w:r>
      <w:r w:rsidRPr="0096658B">
        <w:rPr>
          <w:rFonts w:ascii="Times New Roman" w:hAnsi="Times New Roman" w:cs="Times New Roman"/>
          <w:i/>
          <w:iCs/>
          <w:color w:val="000000" w:themeColor="text1"/>
        </w:rPr>
        <w:t>(iii)</w:t>
      </w:r>
      <w:r w:rsidRPr="0096658B">
        <w:rPr>
          <w:rFonts w:ascii="Times New Roman" w:hAnsi="Times New Roman" w:cs="Times New Roman"/>
          <w:color w:val="000000" w:themeColor="text1"/>
        </w:rPr>
        <w:t xml:space="preserve"> la organización y régimen de los partidos políticos, estatuto de la oposición y funciones electorales; </w:t>
      </w:r>
      <w:r w:rsidRPr="0096658B">
        <w:rPr>
          <w:rFonts w:ascii="Times New Roman" w:hAnsi="Times New Roman" w:cs="Times New Roman"/>
          <w:i/>
          <w:iCs/>
          <w:color w:val="000000" w:themeColor="text1"/>
        </w:rPr>
        <w:t>(iv)</w:t>
      </w:r>
      <w:r w:rsidRPr="0096658B">
        <w:rPr>
          <w:rFonts w:ascii="Times New Roman" w:hAnsi="Times New Roman" w:cs="Times New Roman"/>
          <w:color w:val="000000" w:themeColor="text1"/>
        </w:rPr>
        <w:t xml:space="preserve"> las instituciones y mecanismos de</w:t>
      </w:r>
      <w:r w:rsidRPr="0096658B">
        <w:rPr>
          <w:rFonts w:ascii="Times New Roman" w:hAnsi="Times New Roman" w:cs="Times New Roman"/>
          <w:color w:val="000000" w:themeColor="text1"/>
        </w:rPr>
        <w:t xml:space="preserve"> participación ciudadana; </w:t>
      </w:r>
      <w:r w:rsidRPr="0096658B">
        <w:rPr>
          <w:rFonts w:ascii="Times New Roman" w:hAnsi="Times New Roman" w:cs="Times New Roman"/>
          <w:i/>
          <w:iCs/>
          <w:color w:val="000000" w:themeColor="text1"/>
        </w:rPr>
        <w:t xml:space="preserve">(v) </w:t>
      </w:r>
      <w:r w:rsidRPr="0096658B">
        <w:rPr>
          <w:rFonts w:ascii="Times New Roman" w:hAnsi="Times New Roman" w:cs="Times New Roman"/>
          <w:color w:val="000000" w:themeColor="text1"/>
        </w:rPr>
        <w:t xml:space="preserve">los estados de excepción y </w:t>
      </w:r>
      <w:r w:rsidRPr="0096658B">
        <w:rPr>
          <w:rFonts w:ascii="Times New Roman" w:hAnsi="Times New Roman" w:cs="Times New Roman"/>
          <w:i/>
          <w:iCs/>
          <w:color w:val="000000" w:themeColor="text1"/>
        </w:rPr>
        <w:t>(vi)</w:t>
      </w:r>
      <w:r w:rsidRPr="0096658B">
        <w:rPr>
          <w:rFonts w:ascii="Times New Roman" w:hAnsi="Times New Roman" w:cs="Times New Roman"/>
          <w:color w:val="000000" w:themeColor="text1"/>
        </w:rPr>
        <w:t xml:space="preserve"> la igualdad electoral entre los candidatos a la Presidencia de la República. </w:t>
      </w:r>
    </w:p>
    <w:p w:rsidR="009F68B8" w:rsidRPr="0096658B" w:rsidRDefault="0096658B" w:rsidP="009F68B8">
      <w:pPr>
        <w:pStyle w:val="Prrafodelista"/>
        <w:rPr>
          <w:rStyle w:val="normaltextrun"/>
          <w:rFonts w:ascii="Times New Roman" w:hAnsi="Times New Roman" w:cs="Times New Roman"/>
          <w:color w:val="000000" w:themeColor="text1"/>
        </w:rPr>
      </w:pPr>
    </w:p>
    <w:p w:rsidR="00832267" w:rsidRPr="0096658B" w:rsidRDefault="0096658B" w:rsidP="009F68B8">
      <w:pPr>
        <w:pStyle w:val="Prrafodelista"/>
        <w:numPr>
          <w:ilvl w:val="0"/>
          <w:numId w:val="9"/>
        </w:numPr>
        <w:ind w:left="0" w:firstLine="0"/>
        <w:jc w:val="both"/>
        <w:rPr>
          <w:rStyle w:val="normaltextrun"/>
          <w:rFonts w:ascii="Times New Roman" w:hAnsi="Times New Roman" w:cs="Times New Roman"/>
          <w:color w:val="000000" w:themeColor="text1"/>
          <w:szCs w:val="27"/>
        </w:rPr>
      </w:pPr>
      <w:r w:rsidRPr="0096658B">
        <w:rPr>
          <w:rStyle w:val="normaltextrun"/>
          <w:rFonts w:ascii="Times New Roman" w:hAnsi="Times New Roman" w:cs="Times New Roman"/>
          <w:color w:val="000000" w:themeColor="text1"/>
        </w:rPr>
        <w:t>L</w:t>
      </w:r>
      <w:r w:rsidRPr="0096658B">
        <w:rPr>
          <w:rStyle w:val="normaltextrun"/>
          <w:rFonts w:ascii="Times New Roman" w:hAnsi="Times New Roman" w:cs="Times New Roman"/>
          <w:color w:val="000000" w:themeColor="text1"/>
        </w:rPr>
        <w:t xml:space="preserve">as materias sometidas a la regulación vía ley estatutaria imponen un límite tanto </w:t>
      </w:r>
      <w:r w:rsidRPr="0096658B">
        <w:rPr>
          <w:rStyle w:val="normaltextrun"/>
          <w:rFonts w:ascii="Times New Roman" w:hAnsi="Times New Roman" w:cs="Times New Roman"/>
          <w:color w:val="000000" w:themeColor="text1"/>
        </w:rPr>
        <w:t xml:space="preserve">a la función </w:t>
      </w:r>
      <w:r w:rsidRPr="0096658B">
        <w:rPr>
          <w:rStyle w:val="normaltextrun"/>
          <w:rFonts w:ascii="Times New Roman" w:hAnsi="Times New Roman" w:cs="Times New Roman"/>
          <w:color w:val="000000" w:themeColor="text1"/>
        </w:rPr>
        <w:t>legislativ</w:t>
      </w:r>
      <w:r w:rsidRPr="0096658B">
        <w:rPr>
          <w:rStyle w:val="normaltextrun"/>
          <w:rFonts w:ascii="Times New Roman" w:hAnsi="Times New Roman" w:cs="Times New Roman"/>
          <w:color w:val="000000" w:themeColor="text1"/>
        </w:rPr>
        <w:t>a</w:t>
      </w:r>
      <w:r w:rsidRPr="0096658B">
        <w:rPr>
          <w:rStyle w:val="normaltextrun"/>
          <w:rFonts w:ascii="Times New Roman" w:hAnsi="Times New Roman" w:cs="Times New Roman"/>
          <w:color w:val="000000" w:themeColor="text1"/>
        </w:rPr>
        <w:t xml:space="preserve"> como a la potestad reglamentaria del Presidente de la República, </w:t>
      </w:r>
      <w:r w:rsidRPr="0096658B">
        <w:rPr>
          <w:rStyle w:val="normaltextrun"/>
          <w:rFonts w:ascii="Times New Roman" w:hAnsi="Times New Roman" w:cs="Times New Roman"/>
          <w:color w:val="000000" w:themeColor="text1"/>
        </w:rPr>
        <w:t xml:space="preserve">en el sentido que </w:t>
      </w:r>
      <w:r w:rsidRPr="0096658B">
        <w:rPr>
          <w:rStyle w:val="normaltextrun"/>
          <w:rFonts w:ascii="Times New Roman" w:hAnsi="Times New Roman" w:cs="Times New Roman"/>
          <w:color w:val="000000" w:themeColor="text1"/>
        </w:rPr>
        <w:t xml:space="preserve">no es dable que una ley ordinaria </w:t>
      </w:r>
      <w:r w:rsidRPr="0096658B">
        <w:rPr>
          <w:rStyle w:val="normaltextrun"/>
          <w:rFonts w:ascii="Times New Roman" w:hAnsi="Times New Roman" w:cs="Times New Roman"/>
          <w:color w:val="000000" w:themeColor="text1"/>
        </w:rPr>
        <w:t>o un decreto regule</w:t>
      </w:r>
      <w:r w:rsidRPr="0096658B">
        <w:rPr>
          <w:rStyle w:val="normaltextrun"/>
          <w:rFonts w:ascii="Times New Roman" w:hAnsi="Times New Roman" w:cs="Times New Roman"/>
          <w:color w:val="000000" w:themeColor="text1"/>
        </w:rPr>
        <w:t xml:space="preserve"> los aspectos centrales de </w:t>
      </w:r>
      <w:r w:rsidRPr="0096658B">
        <w:rPr>
          <w:rStyle w:val="normaltextrun"/>
          <w:rFonts w:ascii="Times New Roman" w:hAnsi="Times New Roman" w:cs="Times New Roman"/>
          <w:color w:val="000000" w:themeColor="text1"/>
        </w:rPr>
        <w:t>estas materias</w:t>
      </w:r>
      <w:r w:rsidRPr="0096658B">
        <w:rPr>
          <w:rStyle w:val="normaltextrun"/>
          <w:rFonts w:ascii="Times New Roman" w:hAnsi="Times New Roman" w:cs="Times New Roman"/>
          <w:color w:val="000000" w:themeColor="text1"/>
        </w:rPr>
        <w:t xml:space="preserve"> objeto de la reserva</w:t>
      </w:r>
      <w:r w:rsidRPr="0096658B">
        <w:rPr>
          <w:rStyle w:val="normaltextrun"/>
          <w:rFonts w:ascii="Times New Roman" w:hAnsi="Times New Roman" w:cs="Times New Roman"/>
          <w:color w:val="000000" w:themeColor="text1"/>
        </w:rPr>
        <w:t>.</w:t>
      </w:r>
      <w:r w:rsidRPr="0096658B">
        <w:rPr>
          <w:rStyle w:val="normaltextrun"/>
          <w:rFonts w:ascii="Times New Roman" w:hAnsi="Times New Roman" w:cs="Times New Roman"/>
          <w:color w:val="000000" w:themeColor="text1"/>
        </w:rPr>
        <w:t xml:space="preserve"> </w:t>
      </w:r>
      <w:r w:rsidRPr="0096658B">
        <w:rPr>
          <w:rStyle w:val="normaltextrun"/>
          <w:rFonts w:ascii="Times New Roman" w:hAnsi="Times New Roman" w:cs="Times New Roman"/>
          <w:color w:val="000000" w:themeColor="text1"/>
        </w:rPr>
        <w:t>En todo caso, l</w:t>
      </w:r>
      <w:r w:rsidRPr="0096658B">
        <w:rPr>
          <w:rStyle w:val="normaltextrun"/>
          <w:rFonts w:ascii="Times New Roman" w:hAnsi="Times New Roman" w:cs="Times New Roman"/>
          <w:color w:val="000000" w:themeColor="text1"/>
          <w:szCs w:val="27"/>
        </w:rPr>
        <w:t>o cierto es que no cualquier asunto rela</w:t>
      </w:r>
      <w:r w:rsidRPr="0096658B">
        <w:rPr>
          <w:rStyle w:val="normaltextrun"/>
          <w:rFonts w:ascii="Times New Roman" w:hAnsi="Times New Roman" w:cs="Times New Roman"/>
          <w:color w:val="000000" w:themeColor="text1"/>
          <w:szCs w:val="27"/>
        </w:rPr>
        <w:t>cionado con ese listado de materias deberá ser abordado o desarrollado por una ley estatutaria</w:t>
      </w:r>
      <w:r w:rsidRPr="0096658B">
        <w:rPr>
          <w:rStyle w:val="normaltextrun"/>
          <w:rFonts w:ascii="Times New Roman" w:hAnsi="Times New Roman" w:cs="Times New Roman"/>
          <w:color w:val="000000" w:themeColor="text1"/>
          <w:szCs w:val="27"/>
        </w:rPr>
        <w:t xml:space="preserve">. </w:t>
      </w:r>
      <w:r w:rsidRPr="0096658B">
        <w:rPr>
          <w:rFonts w:ascii="Times New Roman" w:hAnsi="Times New Roman" w:cs="Times New Roman"/>
          <w:color w:val="000000" w:themeColor="text1"/>
          <w:szCs w:val="27"/>
        </w:rPr>
        <w:t>Al respecto, la jurisprudencia constitucional ha destacado que</w:t>
      </w:r>
      <w:r w:rsidRPr="0096658B">
        <w:rPr>
          <w:rFonts w:ascii="Times New Roman" w:hAnsi="Times New Roman" w:cs="Times New Roman"/>
          <w:color w:val="000000" w:themeColor="text1"/>
          <w:szCs w:val="27"/>
        </w:rPr>
        <w:t xml:space="preserve"> la reserva de ley estatutaria debe interpretarse de manera restrictiva</w:t>
      </w:r>
      <w:r w:rsidRPr="0096658B">
        <w:rPr>
          <w:rFonts w:ascii="Times New Roman" w:hAnsi="Times New Roman" w:cs="Times New Roman"/>
          <w:color w:val="000000" w:themeColor="text1"/>
          <w:szCs w:val="27"/>
        </w:rPr>
        <w:t>, en aras de respetar el pr</w:t>
      </w:r>
      <w:r w:rsidRPr="0096658B">
        <w:rPr>
          <w:rFonts w:ascii="Times New Roman" w:hAnsi="Times New Roman" w:cs="Times New Roman"/>
          <w:color w:val="000000" w:themeColor="text1"/>
          <w:szCs w:val="27"/>
        </w:rPr>
        <w:t>incipio democrático y no vaciar de contenido al legislador ordinario</w:t>
      </w:r>
      <w:r w:rsidRPr="0096658B">
        <w:rPr>
          <w:rFonts w:ascii="Times New Roman" w:hAnsi="Times New Roman" w:cs="Times New Roman"/>
          <w:color w:val="000000" w:themeColor="text1"/>
          <w:szCs w:val="27"/>
        </w:rPr>
        <w:t>.</w:t>
      </w:r>
      <w:r w:rsidRPr="0096658B">
        <w:rPr>
          <w:rFonts w:ascii="Times New Roman" w:hAnsi="Times New Roman" w:cs="Times New Roman"/>
          <w:szCs w:val="27"/>
          <w:vertAlign w:val="superscript"/>
        </w:rPr>
        <w:footnoteReference w:id="278"/>
      </w:r>
      <w:r w:rsidRPr="0096658B">
        <w:rPr>
          <w:rFonts w:ascii="Times New Roman" w:hAnsi="Times New Roman" w:cs="Times New Roman"/>
          <w:color w:val="000000" w:themeColor="text1"/>
          <w:szCs w:val="27"/>
        </w:rPr>
        <w:t xml:space="preserve"> En la Sentencia C-053 de 2019, la Corte advirtió que “</w:t>
      </w:r>
      <w:r w:rsidRPr="0096658B">
        <w:rPr>
          <w:rFonts w:ascii="Times New Roman" w:hAnsi="Times New Roman" w:cs="Times New Roman"/>
          <w:i/>
          <w:iCs/>
          <w:color w:val="000000" w:themeColor="text1"/>
          <w:szCs w:val="27"/>
        </w:rPr>
        <w:t>no cualquier regulación que se ocupe de las materias contempladas por el artículo 152 requiere ser expedida por medio de dicho tipo</w:t>
      </w:r>
      <w:r w:rsidRPr="0096658B">
        <w:rPr>
          <w:rFonts w:ascii="Times New Roman" w:hAnsi="Times New Roman" w:cs="Times New Roman"/>
          <w:i/>
          <w:iCs/>
          <w:color w:val="000000" w:themeColor="text1"/>
          <w:szCs w:val="27"/>
        </w:rPr>
        <w:t xml:space="preserve"> de ley.”</w:t>
      </w:r>
      <w:r w:rsidRPr="0096658B">
        <w:rPr>
          <w:rFonts w:ascii="Times New Roman" w:hAnsi="Times New Roman" w:cs="Times New Roman"/>
          <w:i/>
          <w:iCs/>
          <w:color w:val="000000" w:themeColor="text1"/>
          <w:szCs w:val="27"/>
        </w:rPr>
        <w:t xml:space="preserve"> </w:t>
      </w:r>
    </w:p>
    <w:p w:rsidR="001A65B4" w:rsidRPr="0096658B" w:rsidRDefault="0096658B" w:rsidP="001A65B4">
      <w:pPr>
        <w:pStyle w:val="Prrafodelista"/>
        <w:rPr>
          <w:rStyle w:val="normaltextrun"/>
          <w:rFonts w:ascii="Times New Roman" w:hAnsi="Times New Roman" w:cs="Times New Roman"/>
          <w:color w:val="000000" w:themeColor="text1"/>
          <w:szCs w:val="27"/>
        </w:rPr>
      </w:pPr>
    </w:p>
    <w:p w:rsidR="001A65B4" w:rsidRPr="0096658B" w:rsidRDefault="0096658B" w:rsidP="001A65B4">
      <w:pPr>
        <w:pStyle w:val="Prrafodelista"/>
        <w:numPr>
          <w:ilvl w:val="0"/>
          <w:numId w:val="9"/>
        </w:numPr>
        <w:ind w:left="0" w:firstLine="0"/>
        <w:jc w:val="both"/>
        <w:rPr>
          <w:rStyle w:val="normaltextrun"/>
          <w:rFonts w:ascii="Times New Roman" w:hAnsi="Times New Roman" w:cs="Times New Roman"/>
          <w:color w:val="000000" w:themeColor="text1"/>
          <w:szCs w:val="27"/>
        </w:rPr>
      </w:pPr>
      <w:r w:rsidRPr="0096658B">
        <w:rPr>
          <w:rFonts w:ascii="Times New Roman" w:hAnsi="Times New Roman" w:cs="Times New Roman"/>
          <w:color w:val="000000" w:themeColor="text1"/>
        </w:rPr>
        <w:t xml:space="preserve">En esta línea, la Corte </w:t>
      </w:r>
      <w:r w:rsidRPr="0096658B">
        <w:rPr>
          <w:rFonts w:ascii="Times New Roman" w:hAnsi="Times New Roman" w:cs="Times New Roman"/>
          <w:color w:val="000000" w:themeColor="text1"/>
        </w:rPr>
        <w:t>ha resaltado</w:t>
      </w:r>
      <w:r w:rsidRPr="0096658B">
        <w:rPr>
          <w:rFonts w:ascii="Times New Roman" w:hAnsi="Times New Roman" w:cs="Times New Roman"/>
          <w:color w:val="000000" w:themeColor="text1"/>
        </w:rPr>
        <w:t xml:space="preserve"> que el tipo de desarrollo y el grado de detalle de la regulación dependerán del tipo de temática</w:t>
      </w:r>
      <w:r w:rsidRPr="0096658B">
        <w:rPr>
          <w:rFonts w:ascii="Times New Roman" w:hAnsi="Times New Roman" w:cs="Times New Roman"/>
          <w:color w:val="000000" w:themeColor="text1"/>
        </w:rPr>
        <w:t>.</w:t>
      </w:r>
      <w:r w:rsidRPr="0096658B">
        <w:rPr>
          <w:rStyle w:val="Refdenotaalpie"/>
          <w:rFonts w:ascii="Times New Roman" w:hAnsi="Times New Roman"/>
          <w:color w:val="000000" w:themeColor="text1"/>
        </w:rPr>
        <w:footnoteReference w:id="279"/>
      </w:r>
      <w:r w:rsidRPr="0096658B">
        <w:rPr>
          <w:rFonts w:ascii="Times New Roman" w:hAnsi="Times New Roman" w:cs="Times New Roman"/>
          <w:color w:val="000000" w:themeColor="text1"/>
        </w:rPr>
        <w:t xml:space="preserve"> </w:t>
      </w:r>
      <w:r w:rsidRPr="0096658B">
        <w:rPr>
          <w:rFonts w:ascii="Times New Roman" w:hAnsi="Times New Roman" w:cs="Times New Roman"/>
          <w:color w:val="000000" w:themeColor="text1"/>
        </w:rPr>
        <w:t xml:space="preserve">En cualquiera de estos asuntos reservados para este tipo de ley especial, </w:t>
      </w:r>
      <w:r w:rsidRPr="0096658B">
        <w:rPr>
          <w:rFonts w:ascii="Times New Roman" w:hAnsi="Times New Roman" w:cs="Times New Roman"/>
          <w:color w:val="000000" w:themeColor="text1"/>
        </w:rPr>
        <w:t>la precisión de los asuntos por ví</w:t>
      </w:r>
      <w:r w:rsidRPr="0096658B">
        <w:rPr>
          <w:rFonts w:ascii="Times New Roman" w:hAnsi="Times New Roman" w:cs="Times New Roman"/>
          <w:color w:val="000000" w:themeColor="text1"/>
        </w:rPr>
        <w:t xml:space="preserve">a </w:t>
      </w:r>
      <w:r w:rsidRPr="0096658B">
        <w:rPr>
          <w:rFonts w:ascii="Times New Roman" w:hAnsi="Times New Roman" w:cs="Times New Roman"/>
          <w:color w:val="000000" w:themeColor="text1"/>
        </w:rPr>
        <w:t>regulación</w:t>
      </w:r>
      <w:r w:rsidRPr="0096658B">
        <w:rPr>
          <w:rFonts w:ascii="Times New Roman" w:hAnsi="Times New Roman" w:cs="Times New Roman"/>
          <w:color w:val="000000" w:themeColor="text1"/>
        </w:rPr>
        <w:t xml:space="preserve"> estatutaria</w:t>
      </w:r>
      <w:r w:rsidRPr="0096658B">
        <w:rPr>
          <w:rFonts w:ascii="Times New Roman" w:hAnsi="Times New Roman" w:cs="Times New Roman"/>
          <w:color w:val="000000" w:themeColor="text1"/>
        </w:rPr>
        <w:t xml:space="preserve"> dependerá de las exigencias puntuales </w:t>
      </w:r>
      <w:r w:rsidRPr="0096658B">
        <w:rPr>
          <w:rFonts w:ascii="Times New Roman" w:hAnsi="Times New Roman" w:cs="Times New Roman"/>
          <w:color w:val="000000" w:themeColor="text1"/>
        </w:rPr>
        <w:t>de la materia.</w:t>
      </w:r>
      <w:r w:rsidRPr="0096658B">
        <w:rPr>
          <w:rFonts w:ascii="Times New Roman" w:hAnsi="Times New Roman" w:cs="Times New Roman"/>
          <w:color w:val="000000" w:themeColor="text1"/>
        </w:rPr>
        <w:t xml:space="preserve"> P</w:t>
      </w:r>
      <w:r w:rsidRPr="0096658B">
        <w:rPr>
          <w:rFonts w:ascii="Times New Roman" w:hAnsi="Times New Roman" w:cs="Times New Roman"/>
          <w:color w:val="000000" w:themeColor="text1"/>
        </w:rPr>
        <w:t xml:space="preserve">ese </w:t>
      </w:r>
      <w:r w:rsidRPr="0096658B">
        <w:rPr>
          <w:rFonts w:ascii="Times New Roman" w:hAnsi="Times New Roman" w:cs="Times New Roman"/>
          <w:color w:val="000000" w:themeColor="text1"/>
        </w:rPr>
        <w:t>a las distinciones que existen entre todas las materias enlistadas en el artículo 152 de la Constitución</w:t>
      </w:r>
      <w:r w:rsidRPr="0096658B">
        <w:rPr>
          <w:rFonts w:ascii="Times New Roman" w:hAnsi="Times New Roman" w:cs="Times New Roman"/>
          <w:color w:val="000000" w:themeColor="text1"/>
        </w:rPr>
        <w:t>, el Congreso de la República</w:t>
      </w:r>
      <w:r w:rsidRPr="0096658B">
        <w:rPr>
          <w:rFonts w:ascii="Times New Roman" w:hAnsi="Times New Roman" w:cs="Times New Roman"/>
          <w:color w:val="000000" w:themeColor="text1"/>
          <w:szCs w:val="27"/>
        </w:rPr>
        <w:t xml:space="preserve"> podría</w:t>
      </w:r>
      <w:r w:rsidRPr="0096658B">
        <w:rPr>
          <w:rFonts w:ascii="Times New Roman" w:hAnsi="Times New Roman" w:cs="Times New Roman"/>
          <w:color w:val="000000" w:themeColor="text1"/>
          <w:szCs w:val="27"/>
        </w:rPr>
        <w:t xml:space="preserve"> -y en algunos casos debería-</w:t>
      </w:r>
      <w:r w:rsidRPr="0096658B">
        <w:rPr>
          <w:rFonts w:ascii="Times New Roman" w:hAnsi="Times New Roman" w:cs="Times New Roman"/>
          <w:color w:val="000000" w:themeColor="text1"/>
          <w:szCs w:val="27"/>
        </w:rPr>
        <w:t>,</w:t>
      </w:r>
      <w:r w:rsidRPr="0096658B">
        <w:rPr>
          <w:rFonts w:ascii="Times New Roman" w:hAnsi="Times New Roman" w:cs="Times New Roman"/>
          <w:color w:val="000000" w:themeColor="text1"/>
          <w:szCs w:val="27"/>
        </w:rPr>
        <w:t xml:space="preserve"> agotar la materia</w:t>
      </w:r>
      <w:r w:rsidRPr="0096658B">
        <w:rPr>
          <w:rFonts w:ascii="Times New Roman" w:hAnsi="Times New Roman" w:cs="Times New Roman"/>
          <w:color w:val="000000" w:themeColor="text1"/>
          <w:szCs w:val="27"/>
        </w:rPr>
        <w:t xml:space="preserve"> completamente, de manera que no se requiera de un desarrollo posterior, ya sea por una ley ordinaria o por vía de reglamentación. </w:t>
      </w:r>
    </w:p>
    <w:p w:rsidR="00E05F17" w:rsidRPr="0096658B" w:rsidRDefault="0096658B" w:rsidP="00E05F17">
      <w:pPr>
        <w:jc w:val="both"/>
        <w:rPr>
          <w:rStyle w:val="normaltextrun"/>
          <w:rFonts w:ascii="Times New Roman" w:hAnsi="Times New Roman" w:cs="Times New Roman"/>
          <w:color w:val="000000" w:themeColor="text1"/>
          <w:sz w:val="28"/>
          <w:szCs w:val="27"/>
          <w:lang w:val="es-ES"/>
        </w:rPr>
      </w:pPr>
    </w:p>
    <w:p w:rsidR="00E22CC0" w:rsidRPr="0096658B" w:rsidRDefault="0096658B" w:rsidP="00D367DE">
      <w:pPr>
        <w:pStyle w:val="Prrafodelista"/>
        <w:numPr>
          <w:ilvl w:val="0"/>
          <w:numId w:val="9"/>
        </w:numPr>
        <w:ind w:left="0" w:firstLine="0"/>
        <w:jc w:val="both"/>
        <w:rPr>
          <w:rStyle w:val="normaltextrun"/>
          <w:rFonts w:ascii="Times New Roman" w:hAnsi="Times New Roman" w:cs="Times New Roman"/>
          <w:color w:val="000000" w:themeColor="text1"/>
          <w:szCs w:val="27"/>
        </w:rPr>
      </w:pPr>
      <w:r w:rsidRPr="0096658B">
        <w:rPr>
          <w:rStyle w:val="normaltextrun"/>
          <w:rFonts w:ascii="Times New Roman" w:hAnsi="Times New Roman" w:cs="Times New Roman"/>
          <w:color w:val="000000" w:themeColor="text1"/>
        </w:rPr>
        <w:t>Por ejemplo, e</w:t>
      </w:r>
      <w:r w:rsidRPr="0096658B">
        <w:rPr>
          <w:rStyle w:val="normaltextrun"/>
          <w:rFonts w:ascii="Times New Roman" w:hAnsi="Times New Roman" w:cs="Times New Roman"/>
          <w:color w:val="000000" w:themeColor="text1"/>
        </w:rPr>
        <w:t xml:space="preserve">sta Corporación </w:t>
      </w:r>
      <w:r w:rsidRPr="0096658B">
        <w:rPr>
          <w:rStyle w:val="normaltextrun"/>
          <w:rFonts w:ascii="Times New Roman" w:hAnsi="Times New Roman" w:cs="Times New Roman"/>
          <w:color w:val="000000" w:themeColor="text1"/>
        </w:rPr>
        <w:t xml:space="preserve">ha dicho que </w:t>
      </w:r>
      <w:r w:rsidRPr="0096658B">
        <w:rPr>
          <w:rStyle w:val="normaltextrun"/>
          <w:rFonts w:ascii="Times New Roman" w:hAnsi="Times New Roman" w:cs="Times New Roman"/>
          <w:color w:val="000000" w:themeColor="text1"/>
        </w:rPr>
        <w:t xml:space="preserve">las leyes estatutarias </w:t>
      </w:r>
      <w:r w:rsidRPr="0096658B">
        <w:rPr>
          <w:rStyle w:val="normaltextrun"/>
          <w:rFonts w:ascii="Times New Roman" w:hAnsi="Times New Roman" w:cs="Times New Roman"/>
          <w:color w:val="000000" w:themeColor="text1"/>
        </w:rPr>
        <w:t xml:space="preserve">que </w:t>
      </w:r>
      <w:r w:rsidRPr="0096658B">
        <w:rPr>
          <w:rStyle w:val="normaltextrun"/>
          <w:rFonts w:ascii="Times New Roman" w:hAnsi="Times New Roman" w:cs="Times New Roman"/>
          <w:color w:val="000000" w:themeColor="text1"/>
        </w:rPr>
        <w:t xml:space="preserve">se encargan de regular </w:t>
      </w:r>
      <w:r w:rsidRPr="0096658B">
        <w:rPr>
          <w:rStyle w:val="normaltextrun"/>
          <w:rFonts w:ascii="Times New Roman" w:hAnsi="Times New Roman" w:cs="Times New Roman"/>
          <w:color w:val="000000" w:themeColor="text1"/>
        </w:rPr>
        <w:t xml:space="preserve">lo atinente </w:t>
      </w:r>
      <w:r w:rsidRPr="0096658B">
        <w:rPr>
          <w:rStyle w:val="normaltextrun"/>
          <w:rFonts w:ascii="Times New Roman" w:hAnsi="Times New Roman" w:cs="Times New Roman"/>
          <w:color w:val="000000" w:themeColor="text1"/>
        </w:rPr>
        <w:t xml:space="preserve">a los derechos fundamentales </w:t>
      </w:r>
      <w:r w:rsidRPr="0096658B">
        <w:rPr>
          <w:rStyle w:val="normaltextrun"/>
          <w:rFonts w:ascii="Times New Roman" w:hAnsi="Times New Roman" w:cs="Times New Roman"/>
          <w:color w:val="000000" w:themeColor="text1"/>
        </w:rPr>
        <w:t xml:space="preserve">no fueron creadas con el fin de </w:t>
      </w:r>
      <w:r w:rsidRPr="0096658B">
        <w:rPr>
          <w:rStyle w:val="normaltextrun"/>
          <w:rFonts w:ascii="Times New Roman" w:hAnsi="Times New Roman" w:cs="Times New Roman"/>
          <w:color w:val="000000" w:themeColor="text1"/>
        </w:rPr>
        <w:t>establecer de</w:t>
      </w:r>
      <w:r w:rsidRPr="0096658B">
        <w:rPr>
          <w:rStyle w:val="normaltextrun"/>
          <w:rFonts w:ascii="Times New Roman" w:hAnsi="Times New Roman" w:cs="Times New Roman"/>
          <w:color w:val="000000" w:themeColor="text1"/>
        </w:rPr>
        <w:t xml:space="preserve"> forma exhaustiva y casuística todo </w:t>
      </w:r>
      <w:r w:rsidRPr="0096658B">
        <w:rPr>
          <w:rStyle w:val="normaltextrun"/>
          <w:rFonts w:ascii="Times New Roman" w:hAnsi="Times New Roman" w:cs="Times New Roman"/>
          <w:color w:val="000000" w:themeColor="text1"/>
        </w:rPr>
        <w:t>concepto</w:t>
      </w:r>
      <w:r w:rsidRPr="0096658B">
        <w:rPr>
          <w:rStyle w:val="normaltextrun"/>
          <w:rFonts w:ascii="Times New Roman" w:hAnsi="Times New Roman" w:cs="Times New Roman"/>
          <w:color w:val="000000" w:themeColor="text1"/>
        </w:rPr>
        <w:t xml:space="preserve"> </w:t>
      </w:r>
      <w:r w:rsidRPr="0096658B">
        <w:rPr>
          <w:rStyle w:val="normaltextrun"/>
          <w:rFonts w:ascii="Times New Roman" w:hAnsi="Times New Roman" w:cs="Times New Roman"/>
          <w:color w:val="000000" w:themeColor="text1"/>
        </w:rPr>
        <w:t>relacionado</w:t>
      </w:r>
      <w:r w:rsidRPr="0096658B">
        <w:rPr>
          <w:rStyle w:val="normaltextrun"/>
          <w:rFonts w:ascii="Times New Roman" w:hAnsi="Times New Roman" w:cs="Times New Roman"/>
          <w:color w:val="000000" w:themeColor="text1"/>
        </w:rPr>
        <w:t xml:space="preserve"> a ellos.</w:t>
      </w:r>
      <w:r w:rsidRPr="0096658B">
        <w:rPr>
          <w:rStyle w:val="Refdenotaalpie"/>
          <w:rFonts w:ascii="Times New Roman" w:hAnsi="Times New Roman"/>
          <w:color w:val="000000" w:themeColor="text1"/>
        </w:rPr>
        <w:footnoteReference w:id="280"/>
      </w:r>
      <w:r w:rsidRPr="0096658B">
        <w:rPr>
          <w:rStyle w:val="normaltextrun"/>
          <w:rFonts w:ascii="Times New Roman" w:hAnsi="Times New Roman" w:cs="Times New Roman"/>
          <w:color w:val="000000" w:themeColor="text1"/>
        </w:rPr>
        <w:t xml:space="preserve"> </w:t>
      </w:r>
      <w:r w:rsidRPr="0096658B">
        <w:rPr>
          <w:rStyle w:val="normaltextrun"/>
          <w:rFonts w:ascii="Times New Roman" w:hAnsi="Times New Roman" w:cs="Times New Roman"/>
          <w:color w:val="000000" w:themeColor="text1"/>
        </w:rPr>
        <w:t xml:space="preserve">La jurisprudencia ha </w:t>
      </w:r>
      <w:r w:rsidRPr="0096658B">
        <w:rPr>
          <w:rStyle w:val="normaltextrun"/>
          <w:rFonts w:ascii="Times New Roman" w:hAnsi="Times New Roman" w:cs="Times New Roman"/>
          <w:color w:val="000000" w:themeColor="text1"/>
        </w:rPr>
        <w:t>señalado</w:t>
      </w:r>
      <w:r w:rsidRPr="0096658B">
        <w:rPr>
          <w:rStyle w:val="normaltextrun"/>
          <w:rFonts w:ascii="Times New Roman" w:hAnsi="Times New Roman" w:cs="Times New Roman"/>
          <w:color w:val="000000" w:themeColor="text1"/>
        </w:rPr>
        <w:t xml:space="preserve"> que, e</w:t>
      </w:r>
      <w:r w:rsidRPr="0096658B">
        <w:rPr>
          <w:rStyle w:val="normaltextrun"/>
          <w:rFonts w:ascii="Times New Roman" w:hAnsi="Times New Roman" w:cs="Times New Roman"/>
          <w:color w:val="000000" w:themeColor="text1"/>
        </w:rPr>
        <w:t xml:space="preserve">n estos casos, la </w:t>
      </w:r>
      <w:r w:rsidRPr="0096658B">
        <w:rPr>
          <w:rStyle w:val="normaltextrun"/>
          <w:rFonts w:ascii="Times New Roman" w:hAnsi="Times New Roman" w:cs="Times New Roman"/>
          <w:color w:val="000000" w:themeColor="text1"/>
        </w:rPr>
        <w:t>interpretación restrictiva de la reserva de ley estatutaria</w:t>
      </w:r>
      <w:r w:rsidRPr="0096658B">
        <w:rPr>
          <w:rStyle w:val="normaltextrun"/>
          <w:rFonts w:ascii="Times New Roman" w:hAnsi="Times New Roman" w:cs="Times New Roman"/>
          <w:color w:val="000000" w:themeColor="text1"/>
        </w:rPr>
        <w:t xml:space="preserve"> </w:t>
      </w:r>
      <w:r w:rsidRPr="0096658B">
        <w:rPr>
          <w:rFonts w:ascii="Times New Roman" w:hAnsi="Times New Roman" w:cs="Times New Roman"/>
          <w:color w:val="000000" w:themeColor="text1"/>
        </w:rPr>
        <w:t>implica que el Legislador estatutario se encuentre facultado para desarrollar el núcleo esencial de los derechos fundamentales, con el fin de responder a las nuevas realidades y necesidades sociales; así como el desarrollo de procedimientos y recursos para</w:t>
      </w:r>
      <w:r w:rsidRPr="0096658B">
        <w:rPr>
          <w:rFonts w:ascii="Times New Roman" w:hAnsi="Times New Roman" w:cs="Times New Roman"/>
          <w:color w:val="000000" w:themeColor="text1"/>
        </w:rPr>
        <w:t xml:space="preserve"> la protección directa de esos derechos, los cuales pueden ser tanto de  naturaleza judicial, como de tipo administrativa</w:t>
      </w:r>
      <w:r w:rsidRPr="0096658B">
        <w:rPr>
          <w:rFonts w:ascii="Times New Roman" w:hAnsi="Times New Roman" w:cs="Times New Roman"/>
          <w:color w:val="000000" w:themeColor="text1"/>
        </w:rPr>
        <w:t>,</w:t>
      </w:r>
      <w:r w:rsidRPr="0096658B">
        <w:rPr>
          <w:rStyle w:val="Refdenotaalpie"/>
          <w:rFonts w:ascii="Times New Roman" w:hAnsi="Times New Roman"/>
          <w:color w:val="000000" w:themeColor="text1"/>
        </w:rPr>
        <w:footnoteReference w:id="281"/>
      </w:r>
      <w:r w:rsidRPr="0096658B">
        <w:rPr>
          <w:rFonts w:ascii="Times New Roman" w:hAnsi="Times New Roman" w:cs="Times New Roman"/>
          <w:color w:val="000000" w:themeColor="text1"/>
        </w:rPr>
        <w:t xml:space="preserve"> </w:t>
      </w:r>
      <w:r w:rsidRPr="0096658B">
        <w:rPr>
          <w:rStyle w:val="normaltextrun"/>
          <w:rFonts w:ascii="Times New Roman" w:hAnsi="Times New Roman" w:cs="Times New Roman"/>
          <w:color w:val="000000" w:themeColor="text1"/>
        </w:rPr>
        <w:t>es decir, que con su expedición no se agota la materia reglamentable</w:t>
      </w:r>
      <w:r w:rsidRPr="0096658B">
        <w:rPr>
          <w:rStyle w:val="normaltextrun"/>
          <w:rFonts w:ascii="Times New Roman" w:hAnsi="Times New Roman" w:cs="Times New Roman"/>
          <w:color w:val="000000" w:themeColor="text1"/>
        </w:rPr>
        <w:t>.</w:t>
      </w:r>
      <w:r w:rsidRPr="0096658B">
        <w:rPr>
          <w:rStyle w:val="Refdenotaalpie"/>
          <w:rFonts w:ascii="Times New Roman" w:hAnsi="Times New Roman"/>
          <w:color w:val="000000"/>
        </w:rPr>
        <w:footnoteReference w:id="282"/>
      </w:r>
      <w:r w:rsidRPr="0096658B">
        <w:rPr>
          <w:rStyle w:val="normaltextrun"/>
          <w:rFonts w:ascii="Times New Roman" w:hAnsi="Times New Roman" w:cs="Times New Roman"/>
          <w:color w:val="000000" w:themeColor="text1"/>
          <w:szCs w:val="27"/>
        </w:rPr>
        <w:t xml:space="preserve"> </w:t>
      </w:r>
      <w:r w:rsidRPr="0096658B">
        <w:rPr>
          <w:rFonts w:ascii="Times New Roman" w:hAnsi="Times New Roman" w:cs="Times New Roman"/>
          <w:color w:val="000000" w:themeColor="text1"/>
        </w:rPr>
        <w:t>En consecuencia, aquellas materias que no estén ligadas a los</w:t>
      </w:r>
      <w:r w:rsidRPr="0096658B">
        <w:rPr>
          <w:rFonts w:ascii="Times New Roman" w:hAnsi="Times New Roman" w:cs="Times New Roman"/>
          <w:color w:val="000000" w:themeColor="text1"/>
        </w:rPr>
        <w:t xml:space="preserve"> elementos básicos o estructurales de un derecho fundamental, podrán ser objeto de la potestad reglamentaria del Presidente de la República, lo que supone que su facultad queda restringida a emitir la normativa que permita la correcta ejecución y cumplimie</w:t>
      </w:r>
      <w:r w:rsidRPr="0096658B">
        <w:rPr>
          <w:rFonts w:ascii="Times New Roman" w:hAnsi="Times New Roman" w:cs="Times New Roman"/>
          <w:color w:val="000000" w:themeColor="text1"/>
        </w:rPr>
        <w:t>nto de la ley estatutaria.</w:t>
      </w:r>
    </w:p>
    <w:p w:rsidR="004241F4" w:rsidRPr="0096658B" w:rsidRDefault="0096658B" w:rsidP="004241F4">
      <w:pPr>
        <w:jc w:val="both"/>
        <w:rPr>
          <w:rStyle w:val="normaltextrun"/>
          <w:rFonts w:ascii="Times New Roman" w:hAnsi="Times New Roman" w:cs="Times New Roman"/>
          <w:color w:val="000000" w:themeColor="text1"/>
          <w:sz w:val="28"/>
          <w:szCs w:val="27"/>
          <w:lang w:val="es-ES"/>
        </w:rPr>
      </w:pPr>
    </w:p>
    <w:p w:rsidR="004241F4" w:rsidRPr="0096658B" w:rsidRDefault="0096658B" w:rsidP="00E05F17">
      <w:pPr>
        <w:pStyle w:val="Prrafodelista"/>
        <w:numPr>
          <w:ilvl w:val="0"/>
          <w:numId w:val="9"/>
        </w:numPr>
        <w:ind w:left="0" w:firstLine="0"/>
        <w:jc w:val="both"/>
        <w:rPr>
          <w:rStyle w:val="normaltextrun"/>
          <w:rFonts w:ascii="Times New Roman" w:hAnsi="Times New Roman" w:cs="Times New Roman"/>
          <w:color w:val="000000" w:themeColor="text1"/>
        </w:rPr>
      </w:pPr>
      <w:r w:rsidRPr="0096658B">
        <w:rPr>
          <w:rStyle w:val="normaltextrun"/>
          <w:rFonts w:ascii="Times New Roman" w:hAnsi="Times New Roman" w:cs="Times New Roman"/>
          <w:color w:val="000000" w:themeColor="text1"/>
        </w:rPr>
        <w:t>De otro la</w:t>
      </w:r>
      <w:r w:rsidRPr="0096658B">
        <w:rPr>
          <w:rStyle w:val="normaltextrun"/>
          <w:rFonts w:ascii="Times New Roman" w:hAnsi="Times New Roman" w:cs="Times New Roman"/>
          <w:color w:val="000000" w:themeColor="text1"/>
        </w:rPr>
        <w:t>d</w:t>
      </w:r>
      <w:r w:rsidRPr="0096658B">
        <w:rPr>
          <w:rStyle w:val="normaltextrun"/>
          <w:rFonts w:ascii="Times New Roman" w:hAnsi="Times New Roman" w:cs="Times New Roman"/>
          <w:color w:val="000000" w:themeColor="text1"/>
        </w:rPr>
        <w:t>o</w:t>
      </w:r>
      <w:r w:rsidRPr="0096658B">
        <w:rPr>
          <w:rStyle w:val="normaltextrun"/>
          <w:rFonts w:ascii="Times New Roman" w:hAnsi="Times New Roman" w:cs="Times New Roman"/>
          <w:color w:val="000000" w:themeColor="text1"/>
        </w:rPr>
        <w:t xml:space="preserve">, </w:t>
      </w:r>
      <w:r w:rsidRPr="0096658B">
        <w:rPr>
          <w:rStyle w:val="normaltextrun"/>
          <w:rFonts w:ascii="Times New Roman" w:hAnsi="Times New Roman" w:cs="Times New Roman"/>
          <w:color w:val="000000" w:themeColor="text1"/>
        </w:rPr>
        <w:t>respecto del</w:t>
      </w:r>
      <w:r w:rsidRPr="0096658B">
        <w:rPr>
          <w:rStyle w:val="normaltextrun"/>
          <w:rFonts w:ascii="Times New Roman" w:hAnsi="Times New Roman" w:cs="Times New Roman"/>
          <w:color w:val="000000" w:themeColor="text1"/>
        </w:rPr>
        <w:t xml:space="preserve"> literal </w:t>
      </w:r>
      <w:r w:rsidRPr="0096658B">
        <w:rPr>
          <w:rStyle w:val="normaltextrun"/>
          <w:rFonts w:ascii="Times New Roman" w:hAnsi="Times New Roman" w:cs="Times New Roman"/>
          <w:i/>
          <w:iCs/>
          <w:color w:val="000000" w:themeColor="text1"/>
        </w:rPr>
        <w:t xml:space="preserve">b) </w:t>
      </w:r>
      <w:r w:rsidRPr="0096658B">
        <w:rPr>
          <w:rStyle w:val="normaltextrun"/>
          <w:rFonts w:ascii="Times New Roman" w:hAnsi="Times New Roman" w:cs="Times New Roman"/>
          <w:color w:val="000000" w:themeColor="text1"/>
        </w:rPr>
        <w:t>del mencionado artículo</w:t>
      </w:r>
      <w:r w:rsidRPr="0096658B">
        <w:rPr>
          <w:rStyle w:val="normaltextrun"/>
          <w:rFonts w:ascii="Times New Roman" w:hAnsi="Times New Roman" w:cs="Times New Roman"/>
          <w:color w:val="000000" w:themeColor="text1"/>
        </w:rPr>
        <w:t xml:space="preserve"> </w:t>
      </w:r>
      <w:r w:rsidRPr="0096658B">
        <w:rPr>
          <w:rStyle w:val="normaltextrun"/>
          <w:rFonts w:ascii="Times New Roman" w:hAnsi="Times New Roman" w:cs="Times New Roman"/>
          <w:color w:val="000000" w:themeColor="text1"/>
        </w:rPr>
        <w:t xml:space="preserve">152, </w:t>
      </w:r>
      <w:r w:rsidRPr="0096658B">
        <w:rPr>
          <w:rStyle w:val="normaltextrun"/>
          <w:rFonts w:ascii="Times New Roman" w:hAnsi="Times New Roman" w:cs="Times New Roman"/>
          <w:color w:val="000000" w:themeColor="text1"/>
        </w:rPr>
        <w:t xml:space="preserve">la Sentencia C-114 de 1999, </w:t>
      </w:r>
      <w:r w:rsidRPr="0096658B">
        <w:rPr>
          <w:rStyle w:val="normaltextrun"/>
          <w:rFonts w:ascii="Times New Roman" w:hAnsi="Times New Roman" w:cs="Times New Roman"/>
          <w:color w:val="000000" w:themeColor="text1"/>
        </w:rPr>
        <w:t xml:space="preserve">al analizar el contenido </w:t>
      </w:r>
      <w:r w:rsidRPr="0096658B">
        <w:rPr>
          <w:rStyle w:val="normaltextrun"/>
          <w:rFonts w:ascii="Times New Roman" w:hAnsi="Times New Roman" w:cs="Times New Roman"/>
          <w:color w:val="000000" w:themeColor="text1"/>
        </w:rPr>
        <w:t xml:space="preserve">de la Ley Estatutaria de la Administración de Justicia </w:t>
      </w:r>
      <w:r w:rsidRPr="0096658B">
        <w:rPr>
          <w:rStyle w:val="normaltextrun"/>
          <w:rFonts w:ascii="Times New Roman" w:hAnsi="Times New Roman" w:cs="Times New Roman"/>
          <w:color w:val="000000" w:themeColor="text1"/>
        </w:rPr>
        <w:t xml:space="preserve">precisó </w:t>
      </w:r>
      <w:r w:rsidRPr="0096658B">
        <w:rPr>
          <w:rStyle w:val="normaltextrun"/>
          <w:rFonts w:ascii="Times New Roman" w:hAnsi="Times New Roman" w:cs="Times New Roman"/>
          <w:color w:val="000000" w:themeColor="text1"/>
        </w:rPr>
        <w:t>que aquella debía ocuparse esencialmente de la estructura general, así como de los principios sustanciales y procesales de la administración de justicia. En este entendido, sostuvo que el hecho de que una regulación haya sido materia de una ley estatutaria</w:t>
      </w:r>
      <w:r w:rsidRPr="0096658B">
        <w:rPr>
          <w:rStyle w:val="normaltextrun"/>
          <w:rFonts w:ascii="Times New Roman" w:hAnsi="Times New Roman" w:cs="Times New Roman"/>
          <w:color w:val="000000" w:themeColor="text1"/>
        </w:rPr>
        <w:t xml:space="preserve">, </w:t>
      </w:r>
      <w:r w:rsidRPr="0096658B">
        <w:rPr>
          <w:rStyle w:val="normaltextrun"/>
          <w:rFonts w:ascii="Times New Roman" w:hAnsi="Times New Roman" w:cs="Times New Roman"/>
          <w:i/>
          <w:color w:val="000000" w:themeColor="text1"/>
        </w:rPr>
        <w:t>“no por ello queda automáticamente excluida del ámbito normativo propio de la ley ordinaria.</w:t>
      </w:r>
      <w:r w:rsidRPr="0096658B">
        <w:rPr>
          <w:rStyle w:val="normaltextrun"/>
          <w:rFonts w:ascii="Times New Roman" w:hAnsi="Times New Roman" w:cs="Times New Roman"/>
          <w:iCs/>
          <w:color w:val="000000" w:themeColor="text1"/>
        </w:rPr>
        <w:t>”</w:t>
      </w:r>
      <w:r w:rsidRPr="0096658B">
        <w:rPr>
          <w:rStyle w:val="Refdenotaalpie"/>
          <w:rFonts w:ascii="Times New Roman" w:hAnsi="Times New Roman"/>
          <w:iCs/>
          <w:color w:val="000000"/>
        </w:rPr>
        <w:footnoteReference w:id="283"/>
      </w:r>
      <w:r w:rsidRPr="0096658B">
        <w:rPr>
          <w:rStyle w:val="normaltextrun"/>
          <w:rFonts w:ascii="Times New Roman" w:hAnsi="Times New Roman" w:cs="Times New Roman"/>
          <w:i/>
          <w:color w:val="000000" w:themeColor="text1"/>
        </w:rPr>
        <w:t xml:space="preserve"> </w:t>
      </w:r>
      <w:r w:rsidRPr="0096658B">
        <w:rPr>
          <w:rStyle w:val="normaltextrun"/>
          <w:rFonts w:ascii="Times New Roman" w:hAnsi="Times New Roman" w:cs="Times New Roman"/>
          <w:color w:val="000000" w:themeColor="text1"/>
        </w:rPr>
        <w:t>Ello, porque el propósito de las leyes estatutarias no debe ser, necesariamente, el de regular de forma exhaustiva la materia que constituye su objeto.</w:t>
      </w:r>
      <w:r w:rsidRPr="0096658B">
        <w:rPr>
          <w:rStyle w:val="Refdenotaalpie"/>
          <w:rFonts w:ascii="Times New Roman" w:hAnsi="Times New Roman"/>
          <w:color w:val="000000"/>
        </w:rPr>
        <w:footnoteReference w:id="284"/>
      </w:r>
    </w:p>
    <w:p w:rsidR="004241F4" w:rsidRPr="0096658B" w:rsidRDefault="0096658B" w:rsidP="004241F4">
      <w:pPr>
        <w:pStyle w:val="Prrafodelista"/>
        <w:rPr>
          <w:rStyle w:val="normaltextrun"/>
          <w:rFonts w:ascii="Times New Roman" w:eastAsiaTheme="minorHAnsi" w:hAnsi="Times New Roman" w:cs="Times New Roman"/>
          <w:color w:val="000000"/>
          <w:lang w:eastAsia="en-US"/>
        </w:rPr>
      </w:pPr>
    </w:p>
    <w:p w:rsidR="00E22CC0" w:rsidRPr="0096658B" w:rsidRDefault="0096658B" w:rsidP="00E22CC0">
      <w:pPr>
        <w:pStyle w:val="Prrafodelista"/>
        <w:numPr>
          <w:ilvl w:val="0"/>
          <w:numId w:val="9"/>
        </w:numPr>
        <w:ind w:left="0" w:firstLine="0"/>
        <w:jc w:val="both"/>
        <w:rPr>
          <w:rStyle w:val="normaltextrun"/>
          <w:rFonts w:ascii="Times New Roman" w:hAnsi="Times New Roman" w:cs="Times New Roman"/>
          <w:szCs w:val="18"/>
        </w:rPr>
      </w:pPr>
      <w:r w:rsidRPr="0096658B">
        <w:rPr>
          <w:rStyle w:val="normaltextrun"/>
          <w:rFonts w:ascii="Times New Roman" w:hAnsi="Times New Roman" w:cs="Times New Roman"/>
          <w:color w:val="000000"/>
        </w:rPr>
        <w:t>Por s</w:t>
      </w:r>
      <w:r w:rsidRPr="0096658B">
        <w:rPr>
          <w:rStyle w:val="normaltextrun"/>
          <w:rFonts w:ascii="Times New Roman" w:hAnsi="Times New Roman" w:cs="Times New Roman"/>
          <w:color w:val="000000"/>
        </w:rPr>
        <w:t>u parte</w:t>
      </w:r>
      <w:r w:rsidRPr="0096658B">
        <w:rPr>
          <w:rStyle w:val="normaltextrun"/>
          <w:rFonts w:ascii="Times New Roman" w:hAnsi="Times New Roman" w:cs="Times New Roman"/>
          <w:color w:val="000000"/>
        </w:rPr>
        <w:t>,</w:t>
      </w:r>
      <w:r w:rsidRPr="0096658B">
        <w:rPr>
          <w:rStyle w:val="normaltextrun"/>
          <w:rFonts w:ascii="Times New Roman" w:hAnsi="Times New Roman" w:cs="Times New Roman"/>
          <w:color w:val="000000"/>
        </w:rPr>
        <w:t xml:space="preserve"> </w:t>
      </w:r>
      <w:r w:rsidRPr="0096658B">
        <w:rPr>
          <w:rStyle w:val="normaltextrun"/>
          <w:rFonts w:ascii="Times New Roman" w:hAnsi="Times New Roman" w:cs="Times New Roman"/>
          <w:color w:val="000000"/>
        </w:rPr>
        <w:t xml:space="preserve">en la Sentencia C-145 de 1994, la Corte </w:t>
      </w:r>
      <w:r w:rsidRPr="0096658B">
        <w:rPr>
          <w:rStyle w:val="normaltextrun"/>
          <w:rFonts w:ascii="Times New Roman" w:hAnsi="Times New Roman" w:cs="Times New Roman"/>
          <w:color w:val="000000"/>
        </w:rPr>
        <w:t xml:space="preserve">se pronunció sobre el literal </w:t>
      </w:r>
      <w:r w:rsidRPr="0096658B">
        <w:rPr>
          <w:rStyle w:val="normaltextrun"/>
          <w:rFonts w:ascii="Times New Roman" w:hAnsi="Times New Roman" w:cs="Times New Roman"/>
          <w:i/>
          <w:iCs/>
          <w:color w:val="000000"/>
        </w:rPr>
        <w:t xml:space="preserve">c) </w:t>
      </w:r>
      <w:r w:rsidRPr="0096658B">
        <w:rPr>
          <w:rStyle w:val="normaltextrun"/>
          <w:rFonts w:ascii="Times New Roman" w:hAnsi="Times New Roman" w:cs="Times New Roman"/>
          <w:color w:val="000000"/>
        </w:rPr>
        <w:t>del referido artículo 152. En esta oportunidad,</w:t>
      </w:r>
      <w:r w:rsidRPr="0096658B">
        <w:rPr>
          <w:rStyle w:val="normaltextrun"/>
          <w:rFonts w:ascii="Times New Roman" w:hAnsi="Times New Roman" w:cs="Times New Roman"/>
          <w:color w:val="000000"/>
        </w:rPr>
        <w:t xml:space="preserve"> </w:t>
      </w:r>
      <w:r w:rsidRPr="0096658B">
        <w:rPr>
          <w:rStyle w:val="normaltextrun"/>
          <w:rFonts w:ascii="Times New Roman" w:hAnsi="Times New Roman" w:cs="Times New Roman"/>
          <w:color w:val="000000"/>
        </w:rPr>
        <w:t>observó</w:t>
      </w:r>
      <w:r w:rsidRPr="0096658B">
        <w:rPr>
          <w:rStyle w:val="normaltextrun"/>
          <w:rFonts w:ascii="Times New Roman" w:hAnsi="Times New Roman" w:cs="Times New Roman"/>
          <w:color w:val="000000"/>
        </w:rPr>
        <w:t xml:space="preserve"> que cuando la materia reglamentable</w:t>
      </w:r>
      <w:r w:rsidRPr="0096658B">
        <w:rPr>
          <w:rStyle w:val="normaltextrun"/>
          <w:rFonts w:ascii="Times New Roman" w:hAnsi="Times New Roman" w:cs="Times New Roman"/>
          <w:color w:val="000000"/>
        </w:rPr>
        <w:t xml:space="preserve"> de la ley estatutaria desborda el ejercicio de los derechos, como ocurre en materia electoral, aquella debería ser mucho más exhaustiva. Entre otras razones, porque es la propia Constitución la que así lo dispone y </w:t>
      </w:r>
      <w:r w:rsidRPr="0096658B">
        <w:rPr>
          <w:rStyle w:val="normaltextrun"/>
          <w:rFonts w:ascii="Times New Roman" w:hAnsi="Times New Roman" w:cs="Times New Roman"/>
          <w:color w:val="000000"/>
        </w:rPr>
        <w:t>trazar una regulación</w:t>
      </w:r>
      <w:r w:rsidRPr="0096658B">
        <w:rPr>
          <w:rStyle w:val="normaltextrun"/>
          <w:rFonts w:ascii="Times New Roman" w:hAnsi="Times New Roman" w:cs="Times New Roman"/>
          <w:color w:val="000000"/>
        </w:rPr>
        <w:t xml:space="preserve"> exhaustiva de las </w:t>
      </w:r>
      <w:r w:rsidRPr="0096658B">
        <w:rPr>
          <w:rStyle w:val="normaltextrun"/>
          <w:rFonts w:ascii="Times New Roman" w:hAnsi="Times New Roman" w:cs="Times New Roman"/>
          <w:color w:val="000000"/>
        </w:rPr>
        <w:t>funciones electorales no vacía al legislador ordinario de su competencia, como si sucede en el caso de los derechos fundamentales</w:t>
      </w:r>
      <w:r w:rsidRPr="0096658B">
        <w:rPr>
          <w:rStyle w:val="normaltextrun"/>
          <w:rFonts w:ascii="Times New Roman" w:hAnsi="Times New Roman" w:cs="Times New Roman"/>
          <w:color w:val="000000"/>
        </w:rPr>
        <w:t>.</w:t>
      </w:r>
      <w:r w:rsidRPr="0096658B">
        <w:rPr>
          <w:rStyle w:val="normaltextrun"/>
          <w:rFonts w:ascii="Times New Roman" w:hAnsi="Times New Roman" w:cs="Times New Roman"/>
          <w:color w:val="000000"/>
        </w:rPr>
        <w:t xml:space="preserve"> Así lo reiteró esta Corporación en la Sentencia C-226 de 1994, a saber:</w:t>
      </w:r>
    </w:p>
    <w:p w:rsidR="00972BBA" w:rsidRPr="0096658B" w:rsidRDefault="0096658B" w:rsidP="00972BBA">
      <w:pPr>
        <w:pStyle w:val="Prrafodelista"/>
        <w:rPr>
          <w:rStyle w:val="normaltextrun"/>
          <w:rFonts w:ascii="Times New Roman" w:hAnsi="Times New Roman" w:cs="Times New Roman"/>
          <w:szCs w:val="18"/>
        </w:rPr>
      </w:pPr>
    </w:p>
    <w:p w:rsidR="00972BBA" w:rsidRPr="0096658B" w:rsidRDefault="0096658B" w:rsidP="00972BBA">
      <w:pPr>
        <w:pStyle w:val="Prrafodelista"/>
        <w:ind w:left="284" w:right="332"/>
        <w:jc w:val="both"/>
        <w:rPr>
          <w:rStyle w:val="normaltextrun"/>
          <w:rFonts w:ascii="Times New Roman" w:hAnsi="Times New Roman" w:cs="Times New Roman"/>
          <w:szCs w:val="24"/>
        </w:rPr>
      </w:pPr>
      <w:r w:rsidRPr="0096658B">
        <w:rPr>
          <w:rStyle w:val="normaltextrun"/>
          <w:rFonts w:ascii="Times New Roman" w:hAnsi="Times New Roman" w:cs="Times New Roman"/>
          <w:szCs w:val="24"/>
        </w:rPr>
        <w:t>“</w:t>
      </w:r>
      <w:r w:rsidRPr="0096658B">
        <w:rPr>
          <w:rFonts w:ascii="Times New Roman" w:hAnsi="Times New Roman" w:cs="Times New Roman"/>
          <w:i/>
          <w:iCs/>
          <w:szCs w:val="24"/>
          <w:lang w:val="es-CO"/>
        </w:rPr>
        <w:t>Por consiguiente, conforme a los anteriores argumen</w:t>
      </w:r>
      <w:r w:rsidRPr="0096658B">
        <w:rPr>
          <w:rFonts w:ascii="Times New Roman" w:hAnsi="Times New Roman" w:cs="Times New Roman"/>
          <w:i/>
          <w:iCs/>
          <w:szCs w:val="24"/>
          <w:lang w:val="es-CO"/>
        </w:rPr>
        <w:t>tos, concluye la Corte Constitucional que a diferencia de lo que ocurre con los derechos fundamentales, </w:t>
      </w:r>
      <w:r w:rsidRPr="0096658B">
        <w:rPr>
          <w:rFonts w:ascii="Times New Roman" w:hAnsi="Times New Roman" w:cs="Times New Roman"/>
          <w:b/>
          <w:bCs/>
          <w:i/>
          <w:iCs/>
          <w:szCs w:val="24"/>
          <w:lang w:val="es-CO"/>
        </w:rPr>
        <w:t>en el caso de las funciones electorales, la ley estatutaria debe regular no sólo los elementos esenciales de las mismas sino todos aquellos aspectos per</w:t>
      </w:r>
      <w:r w:rsidRPr="0096658B">
        <w:rPr>
          <w:rFonts w:ascii="Times New Roman" w:hAnsi="Times New Roman" w:cs="Times New Roman"/>
          <w:b/>
          <w:bCs/>
          <w:i/>
          <w:iCs/>
          <w:szCs w:val="24"/>
          <w:lang w:val="es-CO"/>
        </w:rPr>
        <w:t>manentes para el ejercicio adecuado de tales funciones por los ciudadanos</w:t>
      </w:r>
      <w:r w:rsidRPr="0096658B">
        <w:rPr>
          <w:rFonts w:ascii="Times New Roman" w:hAnsi="Times New Roman" w:cs="Times New Roman"/>
          <w:i/>
          <w:iCs/>
          <w:szCs w:val="24"/>
          <w:lang w:val="es-CO"/>
        </w:rPr>
        <w:t xml:space="preserve">, lo cual incluye asuntos que podrían en apariencia ser considerados potestades menores o aspectos puramente técnicos, pero que tienen efectos determinantes en la dinámica electoral, </w:t>
      </w:r>
      <w:r w:rsidRPr="0096658B">
        <w:rPr>
          <w:rFonts w:ascii="Times New Roman" w:hAnsi="Times New Roman" w:cs="Times New Roman"/>
          <w:i/>
          <w:iCs/>
          <w:szCs w:val="24"/>
          <w:lang w:val="es-CO"/>
        </w:rPr>
        <w:t>como la fijación de las fechas de elecciones, el establecimiento de los términos de cierre de las inscripciones de candidatos o registro de votantes, la organización de las tarjetas electorales o de los sistemas de escrutinio, etc. </w:t>
      </w:r>
      <w:r w:rsidRPr="0096658B">
        <w:rPr>
          <w:rFonts w:ascii="Times New Roman" w:hAnsi="Times New Roman" w:cs="Times New Roman"/>
          <w:b/>
          <w:bCs/>
          <w:i/>
          <w:iCs/>
          <w:szCs w:val="24"/>
          <w:lang w:val="es-CO"/>
        </w:rPr>
        <w:t>Por su propia naturaleza</w:t>
      </w:r>
      <w:r w:rsidRPr="0096658B">
        <w:rPr>
          <w:rFonts w:ascii="Times New Roman" w:hAnsi="Times New Roman" w:cs="Times New Roman"/>
          <w:b/>
          <w:bCs/>
          <w:i/>
          <w:iCs/>
          <w:szCs w:val="24"/>
          <w:lang w:val="es-CO"/>
        </w:rPr>
        <w:t>, la ley estatutaria de funciones electorales es entonces de contenido detallado</w:t>
      </w:r>
      <w:r w:rsidRPr="0096658B">
        <w:rPr>
          <w:rFonts w:ascii="Times New Roman" w:hAnsi="Times New Roman" w:cs="Times New Roman"/>
          <w:i/>
          <w:iCs/>
          <w:szCs w:val="24"/>
          <w:lang w:val="es-CO"/>
        </w:rPr>
        <w:t>. Esto no impide que de manera excepcional ciertas materias electorales puedan ser reguladas mediante leyes ordinarias. Así, hay disposiciones que corresponden a aspectos puram</w:t>
      </w:r>
      <w:r w:rsidRPr="0096658B">
        <w:rPr>
          <w:rFonts w:ascii="Times New Roman" w:hAnsi="Times New Roman" w:cs="Times New Roman"/>
          <w:i/>
          <w:iCs/>
          <w:szCs w:val="24"/>
          <w:lang w:val="es-CO"/>
        </w:rPr>
        <w:t>ente operativos para facilitar la realización de una elección concreta y guardan conexidad con el tema electoral sin ser en sí mismas funciones electorales, como la autorización de una apropiación presupuestal para financiar unas elecciones determinadas. T</w:t>
      </w:r>
      <w:r w:rsidRPr="0096658B">
        <w:rPr>
          <w:rFonts w:ascii="Times New Roman" w:hAnsi="Times New Roman" w:cs="Times New Roman"/>
          <w:i/>
          <w:iCs/>
          <w:szCs w:val="24"/>
          <w:lang w:val="es-CO"/>
        </w:rPr>
        <w:t>ales materias pueden ser reguladas mediante estatutaria.”</w:t>
      </w:r>
      <w:r w:rsidRPr="0096658B">
        <w:rPr>
          <w:rFonts w:ascii="Times New Roman" w:hAnsi="Times New Roman" w:cs="Times New Roman"/>
          <w:szCs w:val="24"/>
          <w:lang w:val="es-CO"/>
        </w:rPr>
        <w:t> (énfasis por fuera del original)</w:t>
      </w:r>
    </w:p>
    <w:p w:rsidR="00415F9F" w:rsidRPr="0096658B" w:rsidRDefault="0096658B" w:rsidP="005E4044">
      <w:pPr>
        <w:rPr>
          <w:rFonts w:ascii="Times New Roman" w:hAnsi="Times New Roman" w:cs="Times New Roman"/>
          <w:color w:val="000000" w:themeColor="text1"/>
          <w:sz w:val="28"/>
          <w:lang w:val="es-ES"/>
        </w:rPr>
      </w:pPr>
    </w:p>
    <w:p w:rsidR="00972BBA" w:rsidRPr="0096658B" w:rsidRDefault="0096658B" w:rsidP="00197C1F">
      <w:pPr>
        <w:pStyle w:val="Prrafodelista"/>
        <w:numPr>
          <w:ilvl w:val="0"/>
          <w:numId w:val="9"/>
        </w:numPr>
        <w:ind w:left="0" w:firstLine="0"/>
        <w:jc w:val="both"/>
        <w:rPr>
          <w:rFonts w:ascii="Times New Roman" w:hAnsi="Times New Roman" w:cs="Times New Roman"/>
          <w:color w:val="000000" w:themeColor="text1"/>
        </w:rPr>
      </w:pPr>
      <w:r w:rsidRPr="0096658B">
        <w:rPr>
          <w:rFonts w:ascii="Times New Roman" w:hAnsi="Times New Roman" w:cs="Times New Roman"/>
          <w:color w:val="000000" w:themeColor="text1"/>
        </w:rPr>
        <w:t>Conforme con lo expuesto en precedencia,</w:t>
      </w:r>
      <w:r w:rsidRPr="0096658B">
        <w:rPr>
          <w:rFonts w:ascii="Times New Roman" w:hAnsi="Times New Roman" w:cs="Times New Roman"/>
          <w:color w:val="000000" w:themeColor="text1"/>
        </w:rPr>
        <w:t xml:space="preserve"> </w:t>
      </w:r>
      <w:r w:rsidRPr="0096658B">
        <w:rPr>
          <w:rFonts w:ascii="Times New Roman" w:hAnsi="Times New Roman" w:cs="Times New Roman"/>
          <w:color w:val="000000" w:themeColor="text1"/>
        </w:rPr>
        <w:t xml:space="preserve">el </w:t>
      </w:r>
      <w:r w:rsidRPr="0096658B">
        <w:rPr>
          <w:rFonts w:ascii="Times New Roman" w:hAnsi="Times New Roman" w:cs="Times New Roman"/>
          <w:color w:val="000000" w:themeColor="text1"/>
        </w:rPr>
        <w:t>l</w:t>
      </w:r>
      <w:r w:rsidRPr="0096658B">
        <w:rPr>
          <w:rFonts w:ascii="Times New Roman" w:hAnsi="Times New Roman" w:cs="Times New Roman"/>
          <w:color w:val="000000" w:themeColor="text1"/>
        </w:rPr>
        <w:t>egislador estatutario podría agotar completamente la regulación de una materia, y ello dependerá del tipo de temáticas</w:t>
      </w:r>
      <w:r w:rsidRPr="0096658B">
        <w:rPr>
          <w:rFonts w:ascii="Times New Roman" w:hAnsi="Times New Roman" w:cs="Times New Roman"/>
          <w:color w:val="000000" w:themeColor="text1"/>
        </w:rPr>
        <w:t>. Como se explicó en asuntos de, por ejemplo, el desarrollo de derechos fundamentales y administración de justicia, queda un ámbito de regulación y reglamentación que podría ser luego abordado por el legislador ordinario o por el Presidente de la República</w:t>
      </w:r>
      <w:r w:rsidRPr="0096658B">
        <w:rPr>
          <w:rFonts w:ascii="Times New Roman" w:hAnsi="Times New Roman" w:cs="Times New Roman"/>
          <w:color w:val="000000" w:themeColor="text1"/>
        </w:rPr>
        <w:t xml:space="preserve"> por vía de reglamentación.</w:t>
      </w:r>
    </w:p>
    <w:p w:rsidR="00D8233E" w:rsidRPr="0096658B" w:rsidRDefault="0096658B" w:rsidP="00D8233E">
      <w:pPr>
        <w:pStyle w:val="Prrafodelista"/>
        <w:rPr>
          <w:rFonts w:ascii="Times New Roman" w:hAnsi="Times New Roman" w:cs="Times New Roman"/>
          <w:color w:val="000000" w:themeColor="text1"/>
        </w:rPr>
      </w:pPr>
    </w:p>
    <w:p w:rsidR="00D8233E" w:rsidRPr="0096658B" w:rsidRDefault="0096658B" w:rsidP="00D8233E">
      <w:pPr>
        <w:pStyle w:val="Prrafodelista"/>
        <w:numPr>
          <w:ilvl w:val="0"/>
          <w:numId w:val="9"/>
        </w:numPr>
        <w:ind w:left="0" w:firstLine="0"/>
        <w:jc w:val="both"/>
        <w:rPr>
          <w:rFonts w:ascii="Times New Roman" w:hAnsi="Times New Roman" w:cs="Times New Roman"/>
          <w:color w:val="000000" w:themeColor="text1"/>
        </w:rPr>
      </w:pPr>
      <w:r w:rsidRPr="0096658B">
        <w:rPr>
          <w:rFonts w:ascii="Times New Roman" w:hAnsi="Times New Roman" w:cs="Times New Roman"/>
          <w:color w:val="000000" w:themeColor="text1"/>
        </w:rPr>
        <w:t>Bajo este panorama</w:t>
      </w:r>
      <w:r w:rsidRPr="0096658B">
        <w:rPr>
          <w:rFonts w:ascii="Times New Roman" w:hAnsi="Times New Roman" w:cs="Times New Roman"/>
          <w:color w:val="000000" w:themeColor="text1"/>
        </w:rPr>
        <w:t xml:space="preserve">, la Corte </w:t>
      </w:r>
      <w:r w:rsidRPr="0096658B">
        <w:rPr>
          <w:rFonts w:ascii="Times New Roman" w:hAnsi="Times New Roman" w:cs="Times New Roman"/>
          <w:color w:val="000000" w:themeColor="text1"/>
        </w:rPr>
        <w:t xml:space="preserve">ha </w:t>
      </w:r>
      <w:r w:rsidRPr="0096658B">
        <w:rPr>
          <w:rFonts w:ascii="Times New Roman" w:hAnsi="Times New Roman" w:cs="Times New Roman"/>
          <w:color w:val="000000" w:themeColor="text1"/>
        </w:rPr>
        <w:t>precisado</w:t>
      </w:r>
      <w:r w:rsidRPr="0096658B">
        <w:rPr>
          <w:rFonts w:ascii="Times New Roman" w:hAnsi="Times New Roman" w:cs="Times New Roman"/>
          <w:color w:val="000000" w:themeColor="text1"/>
        </w:rPr>
        <w:t xml:space="preserve"> que no todas las leyes requieren del ejercicio de la potestad reglamentaria del Presidente, pues cuando las leyes expedidas por el Legislador han sido formuladas de forma tan detallada </w:t>
      </w:r>
      <w:r w:rsidRPr="0096658B">
        <w:rPr>
          <w:rFonts w:ascii="Times New Roman" w:hAnsi="Times New Roman" w:cs="Times New Roman"/>
          <w:color w:val="000000" w:themeColor="text1"/>
        </w:rPr>
        <w:t xml:space="preserve">y los temas contenidos en ella han sido desarrollados tan minuciosamente, </w:t>
      </w:r>
      <w:r w:rsidRPr="0096658B">
        <w:rPr>
          <w:rFonts w:ascii="Times New Roman" w:hAnsi="Times New Roman" w:cs="Times New Roman"/>
          <w:i/>
          <w:color w:val="000000" w:themeColor="text1"/>
        </w:rPr>
        <w:t>prima facie</w:t>
      </w:r>
      <w:r w:rsidRPr="0096658B">
        <w:rPr>
          <w:rFonts w:ascii="Times New Roman" w:hAnsi="Times New Roman" w:cs="Times New Roman"/>
          <w:i/>
          <w:color w:val="000000" w:themeColor="text1"/>
        </w:rPr>
        <w:t>,</w:t>
      </w:r>
      <w:r w:rsidRPr="0096658B">
        <w:rPr>
          <w:rFonts w:ascii="Times New Roman" w:hAnsi="Times New Roman" w:cs="Times New Roman"/>
          <w:i/>
          <w:color w:val="000000" w:themeColor="text1"/>
        </w:rPr>
        <w:t xml:space="preserve"> </w:t>
      </w:r>
      <w:r w:rsidRPr="0096658B">
        <w:rPr>
          <w:rFonts w:ascii="Times New Roman" w:hAnsi="Times New Roman" w:cs="Times New Roman"/>
          <w:color w:val="000000" w:themeColor="text1"/>
        </w:rPr>
        <w:t xml:space="preserve">no habría lugar </w:t>
      </w:r>
      <w:r w:rsidRPr="0096658B">
        <w:rPr>
          <w:rFonts w:ascii="Times New Roman" w:hAnsi="Times New Roman" w:cs="Times New Roman"/>
          <w:color w:val="000000" w:themeColor="text1"/>
        </w:rPr>
        <w:t>a</w:t>
      </w:r>
      <w:r w:rsidRPr="0096658B">
        <w:rPr>
          <w:rFonts w:ascii="Times New Roman" w:hAnsi="Times New Roman" w:cs="Times New Roman"/>
          <w:color w:val="000000" w:themeColor="text1"/>
        </w:rPr>
        <w:t xml:space="preserve"> una reglamentación posterior.</w:t>
      </w:r>
      <w:r w:rsidRPr="0096658B">
        <w:rPr>
          <w:rStyle w:val="Refdenotaalpie"/>
          <w:rFonts w:ascii="Times New Roman" w:hAnsi="Times New Roman"/>
          <w:color w:val="000000" w:themeColor="text1"/>
        </w:rPr>
        <w:footnoteReference w:id="285"/>
      </w:r>
      <w:r w:rsidRPr="0096658B">
        <w:rPr>
          <w:rFonts w:ascii="Times New Roman" w:hAnsi="Times New Roman" w:cs="Times New Roman"/>
          <w:color w:val="000000" w:themeColor="text1"/>
        </w:rPr>
        <w:t xml:space="preserve"> </w:t>
      </w:r>
      <w:r w:rsidRPr="0096658B">
        <w:rPr>
          <w:rFonts w:ascii="Times New Roman" w:hAnsi="Times New Roman" w:cs="Times New Roman"/>
          <w:color w:val="000000" w:themeColor="text1"/>
        </w:rPr>
        <w:t>Al respecto,</w:t>
      </w:r>
      <w:r w:rsidRPr="0096658B">
        <w:rPr>
          <w:rFonts w:ascii="Times New Roman" w:hAnsi="Times New Roman" w:cs="Times New Roman"/>
          <w:color w:val="000000" w:themeColor="text1"/>
        </w:rPr>
        <w:t xml:space="preserve"> ha dicho que la potestad reglamentaria se ve restringida</w:t>
      </w:r>
      <w:r w:rsidRPr="0096658B">
        <w:rPr>
          <w:rFonts w:ascii="Times New Roman" w:hAnsi="Times New Roman" w:cs="Times New Roman"/>
          <w:color w:val="2D2D2D"/>
          <w:shd w:val="clear" w:color="auto" w:fill="FFFFFF"/>
        </w:rPr>
        <w:t xml:space="preserve"> “</w:t>
      </w:r>
      <w:r w:rsidRPr="0096658B">
        <w:rPr>
          <w:rFonts w:ascii="Times New Roman" w:hAnsi="Times New Roman" w:cs="Times New Roman"/>
          <w:i/>
          <w:iCs/>
          <w:color w:val="2D2D2D"/>
          <w:shd w:val="clear" w:color="auto" w:fill="FFFFFF"/>
        </w:rPr>
        <w:t xml:space="preserve">en la medida en que el Congreso utilice en mayor </w:t>
      </w:r>
      <w:r w:rsidRPr="0096658B">
        <w:rPr>
          <w:rFonts w:ascii="Times New Roman" w:hAnsi="Times New Roman" w:cs="Times New Roman"/>
          <w:i/>
          <w:iCs/>
          <w:color w:val="2D2D2D"/>
          <w:shd w:val="clear" w:color="auto" w:fill="FFFFFF"/>
        </w:rPr>
        <w:t>o menor grado sus poderes jurídicos.</w:t>
      </w:r>
      <w:r w:rsidRPr="0096658B">
        <w:rPr>
          <w:rFonts w:ascii="Times New Roman" w:hAnsi="Times New Roman" w:cs="Times New Roman"/>
          <w:color w:val="2D2D2D"/>
          <w:shd w:val="clear" w:color="auto" w:fill="FFFFFF"/>
        </w:rPr>
        <w:t>”</w:t>
      </w:r>
      <w:r w:rsidRPr="0096658B">
        <w:rPr>
          <w:rStyle w:val="Refdenotaalpie"/>
          <w:rFonts w:ascii="Times New Roman" w:hAnsi="Times New Roman"/>
          <w:color w:val="2D2D2D"/>
          <w:shd w:val="clear" w:color="auto" w:fill="FFFFFF"/>
        </w:rPr>
        <w:footnoteReference w:id="286"/>
      </w:r>
      <w:r w:rsidRPr="0096658B">
        <w:rPr>
          <w:rFonts w:ascii="Times New Roman" w:hAnsi="Times New Roman" w:cs="Times New Roman"/>
          <w:color w:val="2D2D2D"/>
          <w:shd w:val="clear" w:color="auto" w:fill="FFFFFF"/>
        </w:rPr>
        <w:t xml:space="preserve"> Esto, en tanto el </w:t>
      </w:r>
      <w:r w:rsidRPr="0096658B">
        <w:rPr>
          <w:rFonts w:ascii="Times New Roman" w:hAnsi="Times New Roman" w:cs="Times New Roman"/>
          <w:color w:val="2D2D2D"/>
          <w:shd w:val="clear" w:color="auto" w:fill="FFFFFF"/>
        </w:rPr>
        <w:t>l</w:t>
      </w:r>
      <w:r w:rsidRPr="0096658B">
        <w:rPr>
          <w:rFonts w:ascii="Times New Roman" w:hAnsi="Times New Roman" w:cs="Times New Roman"/>
          <w:color w:val="2D2D2D"/>
          <w:shd w:val="clear" w:color="auto" w:fill="FFFFFF"/>
        </w:rPr>
        <w:t xml:space="preserve">egislador puede ser minucioso en su tarea, y por ende, la facultad reglamentaria de la ley se minimiza. </w:t>
      </w:r>
      <w:r w:rsidRPr="0096658B">
        <w:rPr>
          <w:rFonts w:ascii="Times New Roman" w:hAnsi="Times New Roman" w:cs="Times New Roman"/>
          <w:color w:val="2D2D2D"/>
          <w:shd w:val="clear" w:color="auto" w:fill="FFFFFF"/>
        </w:rPr>
        <w:t>T</w:t>
      </w:r>
      <w:r w:rsidRPr="0096658B">
        <w:rPr>
          <w:rFonts w:ascii="Times New Roman" w:hAnsi="Times New Roman" w:cs="Times New Roman"/>
          <w:color w:val="2D2D2D"/>
          <w:shd w:val="clear" w:color="auto" w:fill="FFFFFF"/>
        </w:rPr>
        <w:t>ambién puede suceder lo contrario.</w:t>
      </w:r>
      <w:r w:rsidRPr="0096658B">
        <w:rPr>
          <w:rStyle w:val="Refdenotaalpie"/>
          <w:rFonts w:ascii="Times New Roman" w:hAnsi="Times New Roman"/>
          <w:color w:val="2D2D2D"/>
          <w:shd w:val="clear" w:color="auto" w:fill="FFFFFF"/>
        </w:rPr>
        <w:footnoteReference w:id="287"/>
      </w:r>
      <w:r w:rsidRPr="0096658B">
        <w:rPr>
          <w:rFonts w:ascii="Times New Roman" w:hAnsi="Times New Roman" w:cs="Times New Roman"/>
          <w:color w:val="2D2D2D"/>
          <w:shd w:val="clear" w:color="auto" w:fill="FFFFFF"/>
        </w:rPr>
        <w:t xml:space="preserve"> </w:t>
      </w:r>
      <w:r w:rsidRPr="0096658B">
        <w:rPr>
          <w:rFonts w:ascii="Times New Roman" w:hAnsi="Times New Roman" w:cs="Times New Roman"/>
          <w:color w:val="2D2D2D"/>
          <w:shd w:val="clear" w:color="auto" w:fill="FFFFFF"/>
        </w:rPr>
        <w:t>Por consiguiente</w:t>
      </w:r>
      <w:r w:rsidRPr="0096658B">
        <w:rPr>
          <w:rFonts w:ascii="Times New Roman" w:hAnsi="Times New Roman" w:cs="Times New Roman"/>
          <w:color w:val="2D2D2D"/>
          <w:shd w:val="clear" w:color="auto" w:fill="FFFFFF"/>
        </w:rPr>
        <w:t xml:space="preserve">, </w:t>
      </w:r>
      <w:r w:rsidRPr="0096658B">
        <w:rPr>
          <w:rFonts w:ascii="Times New Roman" w:hAnsi="Times New Roman" w:cs="Times New Roman"/>
          <w:i/>
          <w:color w:val="000000" w:themeColor="text1"/>
        </w:rPr>
        <w:t>“a mayor precisión y detalle se restrin</w:t>
      </w:r>
      <w:r w:rsidRPr="0096658B">
        <w:rPr>
          <w:rFonts w:ascii="Times New Roman" w:hAnsi="Times New Roman" w:cs="Times New Roman"/>
          <w:i/>
          <w:color w:val="000000" w:themeColor="text1"/>
        </w:rPr>
        <w:t>girá el ámbito propio del reglamento y, a mayor generalidad y falta de éstos, aumentará la potestad reglamentaria."</w:t>
      </w:r>
      <w:r w:rsidRPr="0096658B">
        <w:rPr>
          <w:rStyle w:val="Refdenotaalpie"/>
          <w:rFonts w:ascii="Times New Roman" w:hAnsi="Times New Roman"/>
          <w:i/>
          <w:color w:val="000000" w:themeColor="text1"/>
        </w:rPr>
        <w:footnoteReference w:id="288"/>
      </w:r>
    </w:p>
    <w:p w:rsidR="00D02510" w:rsidRPr="0096658B" w:rsidRDefault="0096658B" w:rsidP="00D02510">
      <w:pPr>
        <w:pStyle w:val="Prrafodelista"/>
        <w:rPr>
          <w:rFonts w:ascii="Times New Roman" w:hAnsi="Times New Roman" w:cs="Times New Roman"/>
          <w:color w:val="000000" w:themeColor="text1"/>
        </w:rPr>
      </w:pPr>
    </w:p>
    <w:p w:rsidR="00D02510" w:rsidRPr="0096658B" w:rsidRDefault="0096658B" w:rsidP="00D02510">
      <w:pPr>
        <w:pStyle w:val="Prrafodelista"/>
        <w:numPr>
          <w:ilvl w:val="0"/>
          <w:numId w:val="9"/>
        </w:numPr>
        <w:ind w:left="0" w:firstLine="0"/>
        <w:jc w:val="both"/>
        <w:rPr>
          <w:rFonts w:ascii="Times New Roman" w:hAnsi="Times New Roman" w:cs="Times New Roman"/>
          <w:color w:val="000000" w:themeColor="text1"/>
        </w:rPr>
      </w:pPr>
      <w:r w:rsidRPr="0096658B">
        <w:rPr>
          <w:rFonts w:ascii="Times New Roman" w:hAnsi="Times New Roman" w:cs="Times New Roman"/>
          <w:color w:val="000000" w:themeColor="text1"/>
          <w:szCs w:val="27"/>
        </w:rPr>
        <w:t>En palabras de la Corte Constitucional:</w:t>
      </w:r>
      <w:r w:rsidRPr="0096658B">
        <w:rPr>
          <w:rFonts w:ascii="Times New Roman" w:hAnsi="Times New Roman" w:cs="Times New Roman"/>
          <w:szCs w:val="27"/>
        </w:rPr>
        <w:t xml:space="preserve"> “</w:t>
      </w:r>
      <w:r w:rsidRPr="0096658B">
        <w:rPr>
          <w:rFonts w:ascii="Times New Roman" w:hAnsi="Times New Roman" w:cs="Times New Roman"/>
          <w:i/>
          <w:lang w:val="es-CO"/>
        </w:rPr>
        <w:t>cuando la ley no necesita de regulación ulterior y la de reglamentar, en el caso contrario, ha de</w:t>
      </w:r>
      <w:r w:rsidRPr="0096658B">
        <w:rPr>
          <w:rFonts w:ascii="Times New Roman" w:hAnsi="Times New Roman" w:cs="Times New Roman"/>
          <w:i/>
          <w:lang w:val="es-CO"/>
        </w:rPr>
        <w:t xml:space="preserve"> resaltarse el énfasis marcado por la jurisprudencia constitucional en el sentido en que, en este último evento, la competencia reglamentaria se dirige a la producción de actos administrativos por medio de los cuales lo que se busca es convertir en realida</w:t>
      </w:r>
      <w:r w:rsidRPr="0096658B">
        <w:rPr>
          <w:rFonts w:ascii="Times New Roman" w:hAnsi="Times New Roman" w:cs="Times New Roman"/>
          <w:i/>
          <w:lang w:val="es-CO"/>
        </w:rPr>
        <w:t>d el enunciado abstracto de la ley para encauzarla hacia la operatividad efectiva en el plano de lo real. Así, la potestad reglamentaria se conecta, con la expedición de normas de carácter general - sean ellas decretos, resoluciones o circulares - impresci</w:t>
      </w:r>
      <w:r w:rsidRPr="0096658B">
        <w:rPr>
          <w:rFonts w:ascii="Times New Roman" w:hAnsi="Times New Roman" w:cs="Times New Roman"/>
          <w:i/>
          <w:lang w:val="es-CO"/>
        </w:rPr>
        <w:t>ndibles para la cumplida ejecución de la ley</w:t>
      </w:r>
      <w:r w:rsidRPr="0096658B">
        <w:rPr>
          <w:rFonts w:ascii="Times New Roman" w:hAnsi="Times New Roman" w:cs="Times New Roman"/>
          <w:lang w:val="es-CO"/>
        </w:rPr>
        <w:t>.”</w:t>
      </w:r>
      <w:r w:rsidRPr="0096658B">
        <w:rPr>
          <w:rFonts w:ascii="Times New Roman" w:hAnsi="Times New Roman" w:cs="Times New Roman"/>
          <w:vertAlign w:val="superscript"/>
          <w:lang w:val="es-CO"/>
        </w:rPr>
        <w:footnoteReference w:id="289"/>
      </w:r>
    </w:p>
    <w:p w:rsidR="00D8233E" w:rsidRPr="0096658B" w:rsidRDefault="0096658B" w:rsidP="00D8233E">
      <w:pPr>
        <w:pStyle w:val="Prrafodelista"/>
        <w:rPr>
          <w:rFonts w:ascii="Times New Roman" w:hAnsi="Times New Roman" w:cs="Times New Roman"/>
          <w:color w:val="2D2D2D"/>
          <w:shd w:val="clear" w:color="auto" w:fill="FFFFFF"/>
        </w:rPr>
      </w:pPr>
    </w:p>
    <w:p w:rsidR="00AE2DDE" w:rsidRPr="0096658B" w:rsidRDefault="0096658B" w:rsidP="00000B7D">
      <w:pPr>
        <w:pStyle w:val="Prrafodelista"/>
        <w:numPr>
          <w:ilvl w:val="0"/>
          <w:numId w:val="9"/>
        </w:numPr>
        <w:ind w:left="0" w:firstLine="0"/>
        <w:jc w:val="both"/>
        <w:rPr>
          <w:rFonts w:ascii="Times New Roman" w:hAnsi="Times New Roman" w:cs="Times New Roman"/>
          <w:color w:val="000000" w:themeColor="text1"/>
        </w:rPr>
      </w:pPr>
      <w:r w:rsidRPr="0096658B">
        <w:rPr>
          <w:rFonts w:ascii="Times New Roman" w:hAnsi="Times New Roman" w:cs="Times New Roman"/>
          <w:color w:val="2D2D2D"/>
          <w:shd w:val="clear" w:color="auto" w:fill="FFFFFF"/>
        </w:rPr>
        <w:t xml:space="preserve">En síntesis, </w:t>
      </w:r>
      <w:r w:rsidRPr="0096658B">
        <w:rPr>
          <w:rFonts w:ascii="Times New Roman" w:hAnsi="Times New Roman" w:cs="Times New Roman"/>
          <w:color w:val="000000" w:themeColor="text1"/>
        </w:rPr>
        <w:t>la Corte ha aclarado que el ejercicio de la potestad reglamentaria no lo traza de forma caprichosa ni subjetiva el Presidente</w:t>
      </w:r>
      <w:r w:rsidRPr="0096658B">
        <w:rPr>
          <w:rFonts w:ascii="Times New Roman" w:hAnsi="Times New Roman" w:cs="Times New Roman"/>
          <w:color w:val="000000" w:themeColor="text1"/>
        </w:rPr>
        <w:t xml:space="preserve"> de la República, sino que lo determina el mismo Legislador cuando dicta la ley. </w:t>
      </w:r>
      <w:r w:rsidRPr="0096658B">
        <w:rPr>
          <w:rFonts w:ascii="Times New Roman" w:hAnsi="Times New Roman" w:cs="Times New Roman"/>
          <w:color w:val="000000" w:themeColor="text1"/>
        </w:rPr>
        <w:t>Razón por la cual</w:t>
      </w:r>
      <w:r w:rsidRPr="0096658B">
        <w:rPr>
          <w:rFonts w:ascii="Times New Roman" w:hAnsi="Times New Roman" w:cs="Times New Roman"/>
          <w:color w:val="000000" w:themeColor="text1"/>
        </w:rPr>
        <w:t>, el requisito fundamental que</w:t>
      </w:r>
      <w:r w:rsidRPr="0096658B">
        <w:rPr>
          <w:rFonts w:ascii="Times New Roman" w:hAnsi="Times New Roman" w:cs="Times New Roman"/>
          <w:color w:val="000000" w:themeColor="text1"/>
        </w:rPr>
        <w:t xml:space="preserve"> esencialmente</w:t>
      </w:r>
      <w:r w:rsidRPr="0096658B">
        <w:rPr>
          <w:rFonts w:ascii="Times New Roman" w:hAnsi="Times New Roman" w:cs="Times New Roman"/>
          <w:color w:val="000000" w:themeColor="text1"/>
        </w:rPr>
        <w:t xml:space="preserve"> supone la potestad reglamentaria es la existencia previa de un contenido o materia legal por reglamentar</w:t>
      </w:r>
      <w:r w:rsidRPr="0096658B">
        <w:rPr>
          <w:rFonts w:ascii="Times New Roman" w:hAnsi="Times New Roman" w:cs="Times New Roman"/>
          <w:color w:val="000000" w:themeColor="text1"/>
        </w:rPr>
        <w:t>.</w:t>
      </w:r>
      <w:r w:rsidRPr="0096658B">
        <w:rPr>
          <w:rStyle w:val="Refdenotaalpie"/>
          <w:rFonts w:ascii="Times New Roman" w:hAnsi="Times New Roman"/>
          <w:color w:val="000000" w:themeColor="text1"/>
        </w:rPr>
        <w:footnoteReference w:id="290"/>
      </w:r>
      <w:r w:rsidRPr="0096658B">
        <w:rPr>
          <w:rFonts w:ascii="Times New Roman" w:hAnsi="Times New Roman" w:cs="Times New Roman"/>
          <w:color w:val="000000" w:themeColor="text1"/>
        </w:rPr>
        <w:t xml:space="preserve"> </w:t>
      </w:r>
    </w:p>
    <w:p w:rsidR="008833E9" w:rsidRPr="0096658B" w:rsidRDefault="0096658B" w:rsidP="00BB6AE3">
      <w:pPr>
        <w:rPr>
          <w:rFonts w:ascii="Times New Roman" w:hAnsi="Times New Roman" w:cs="Times New Roman"/>
          <w:i/>
          <w:iCs/>
          <w:color w:val="000000" w:themeColor="text1"/>
          <w:sz w:val="28"/>
          <w:szCs w:val="28"/>
          <w:lang w:val="es-ES"/>
        </w:rPr>
      </w:pPr>
    </w:p>
    <w:p w:rsidR="00E22CC0" w:rsidRPr="0096658B" w:rsidRDefault="0096658B" w:rsidP="00EB3D30">
      <w:pPr>
        <w:pStyle w:val="Prrafodelista"/>
        <w:numPr>
          <w:ilvl w:val="0"/>
          <w:numId w:val="9"/>
        </w:numPr>
        <w:ind w:left="0" w:firstLine="0"/>
        <w:jc w:val="both"/>
        <w:rPr>
          <w:rFonts w:ascii="Times New Roman" w:hAnsi="Times New Roman" w:cs="Times New Roman"/>
          <w:color w:val="000000" w:themeColor="text1"/>
        </w:rPr>
      </w:pPr>
      <w:r w:rsidRPr="0096658B">
        <w:rPr>
          <w:rFonts w:ascii="Times New Roman" w:hAnsi="Times New Roman" w:cs="Times New Roman"/>
          <w:color w:val="000000" w:themeColor="text1"/>
        </w:rPr>
        <w:t>Ahora, con independencia de lo anterior, en algunos escenarios el Presidente podrá reglamentar por expresa disposición constitucional materias específicas</w:t>
      </w:r>
      <w:r w:rsidRPr="0096658B">
        <w:rPr>
          <w:rFonts w:ascii="Times New Roman" w:hAnsi="Times New Roman" w:cs="Times New Roman"/>
          <w:color w:val="000000" w:themeColor="text1"/>
        </w:rPr>
        <w:t>.</w:t>
      </w:r>
      <w:r w:rsidRPr="0096658B">
        <w:rPr>
          <w:rStyle w:val="Refdenotaalpie"/>
          <w:rFonts w:ascii="Times New Roman" w:hAnsi="Times New Roman"/>
          <w:color w:val="000000" w:themeColor="text1"/>
        </w:rPr>
        <w:footnoteReference w:id="291"/>
      </w:r>
      <w:r w:rsidRPr="0096658B">
        <w:rPr>
          <w:rFonts w:ascii="Times New Roman" w:hAnsi="Times New Roman" w:cs="Times New Roman"/>
          <w:color w:val="000000" w:themeColor="text1"/>
        </w:rPr>
        <w:t xml:space="preserve"> </w:t>
      </w:r>
      <w:r w:rsidRPr="0096658B">
        <w:rPr>
          <w:rFonts w:ascii="Times New Roman" w:hAnsi="Times New Roman" w:cs="Times New Roman"/>
          <w:color w:val="000000" w:themeColor="text1"/>
        </w:rPr>
        <w:t xml:space="preserve">Por ejemplo, </w:t>
      </w:r>
      <w:r w:rsidRPr="0096658B">
        <w:rPr>
          <w:rFonts w:ascii="Times New Roman" w:hAnsi="Times New Roman" w:cs="Times New Roman"/>
          <w:i/>
          <w:iCs/>
          <w:color w:val="000000" w:themeColor="text1"/>
        </w:rPr>
        <w:t xml:space="preserve">(i) </w:t>
      </w:r>
      <w:r w:rsidRPr="0096658B">
        <w:rPr>
          <w:rFonts w:ascii="Times New Roman" w:hAnsi="Times New Roman" w:cs="Times New Roman"/>
          <w:color w:val="000000" w:themeColor="text1"/>
        </w:rPr>
        <w:t xml:space="preserve">el artículo 5 transitorio revistió al Presidente </w:t>
      </w:r>
      <w:r w:rsidRPr="0096658B">
        <w:rPr>
          <w:rFonts w:ascii="Times New Roman" w:hAnsi="Times New Roman" w:cs="Times New Roman"/>
          <w:color w:val="000000" w:themeColor="text1"/>
        </w:rPr>
        <w:t>de la República de precisas facul</w:t>
      </w:r>
      <w:r w:rsidRPr="0096658B">
        <w:rPr>
          <w:rFonts w:ascii="Times New Roman" w:hAnsi="Times New Roman" w:cs="Times New Roman"/>
          <w:color w:val="000000" w:themeColor="text1"/>
        </w:rPr>
        <w:t>tades extraordinarias para “</w:t>
      </w:r>
      <w:r w:rsidRPr="0096658B">
        <w:rPr>
          <w:rFonts w:ascii="Times New Roman" w:hAnsi="Times New Roman" w:cs="Times New Roman"/>
          <w:i/>
          <w:iCs/>
          <w:color w:val="000000" w:themeColor="text1"/>
        </w:rPr>
        <w:t xml:space="preserve">a) Expedir las normas que organicen la Fiscalía General y las normas de procedimiento penal; b) Reglamentar el derecho de tutela; c) Tomar las medidas administrativas necesarias para el funcionamiento de la Corte Constitucional </w:t>
      </w:r>
      <w:r w:rsidRPr="0096658B">
        <w:rPr>
          <w:rFonts w:ascii="Times New Roman" w:hAnsi="Times New Roman" w:cs="Times New Roman"/>
          <w:i/>
          <w:iCs/>
          <w:color w:val="000000" w:themeColor="text1"/>
        </w:rPr>
        <w:t>y el Consejo Superior de la Judicatura; d) Expedir el Presupuesto General de la Nación para la vigencia de 1992; e) Expedir normas transitorias</w:t>
      </w:r>
      <w:r w:rsidRPr="0096658B">
        <w:rPr>
          <w:rFonts w:ascii="Times New Roman" w:hAnsi="Times New Roman" w:cs="Times New Roman"/>
          <w:i/>
          <w:iCs/>
          <w:color w:val="000000" w:themeColor="text1"/>
        </w:rPr>
        <w:t xml:space="preserve"> para descongestionar los despachos judiciales.” </w:t>
      </w:r>
      <w:r w:rsidRPr="0096658B">
        <w:rPr>
          <w:rFonts w:ascii="Times New Roman" w:hAnsi="Times New Roman" w:cs="Times New Roman"/>
          <w:color w:val="000000" w:themeColor="text1"/>
        </w:rPr>
        <w:t>Por otro lado,</w:t>
      </w:r>
      <w:r w:rsidRPr="0096658B">
        <w:rPr>
          <w:rFonts w:ascii="Times New Roman" w:hAnsi="Times New Roman" w:cs="Times New Roman"/>
          <w:i/>
          <w:iCs/>
          <w:color w:val="000000" w:themeColor="text1"/>
        </w:rPr>
        <w:t xml:space="preserve"> </w:t>
      </w:r>
      <w:r w:rsidRPr="0096658B">
        <w:rPr>
          <w:rFonts w:ascii="Times New Roman" w:hAnsi="Times New Roman" w:cs="Times New Roman"/>
          <w:color w:val="000000" w:themeColor="text1"/>
        </w:rPr>
        <w:t>el artículo 39 transitorio que revistió de potest</w:t>
      </w:r>
      <w:r w:rsidRPr="0096658B">
        <w:rPr>
          <w:rFonts w:ascii="Times New Roman" w:hAnsi="Times New Roman" w:cs="Times New Roman"/>
          <w:color w:val="000000" w:themeColor="text1"/>
        </w:rPr>
        <w:t>ades al Presidente para que</w:t>
      </w:r>
      <w:r w:rsidRPr="0096658B">
        <w:rPr>
          <w:rFonts w:ascii="Times New Roman" w:hAnsi="Times New Roman" w:cs="Times New Roman"/>
          <w:color w:val="000000" w:themeColor="text1"/>
        </w:rPr>
        <w:t>,</w:t>
      </w:r>
      <w:r w:rsidRPr="0096658B">
        <w:rPr>
          <w:rFonts w:ascii="Times New Roman" w:hAnsi="Times New Roman" w:cs="Times New Roman"/>
          <w:color w:val="000000" w:themeColor="text1"/>
        </w:rPr>
        <w:t xml:space="preserve"> en un término de tres meses, expidiera los decretos con fuerza de ley para crear los departamentos erigidos como tal por la Constitución</w:t>
      </w:r>
      <w:r w:rsidRPr="0096658B">
        <w:rPr>
          <w:rFonts w:ascii="Times New Roman" w:hAnsi="Times New Roman" w:cs="Times New Roman"/>
          <w:color w:val="000000" w:themeColor="text1"/>
        </w:rPr>
        <w:t>. También</w:t>
      </w:r>
      <w:r w:rsidRPr="0096658B">
        <w:rPr>
          <w:rFonts w:ascii="Times New Roman" w:hAnsi="Times New Roman" w:cs="Times New Roman"/>
          <w:color w:val="000000" w:themeColor="text1"/>
        </w:rPr>
        <w:t xml:space="preserve"> </w:t>
      </w:r>
      <w:r w:rsidRPr="0096658B">
        <w:rPr>
          <w:rFonts w:ascii="Times New Roman" w:hAnsi="Times New Roman" w:cs="Times New Roman"/>
          <w:color w:val="000000" w:themeColor="text1"/>
        </w:rPr>
        <w:t>e</w:t>
      </w:r>
      <w:r w:rsidRPr="0096658B">
        <w:rPr>
          <w:rFonts w:ascii="Times New Roman" w:hAnsi="Times New Roman" w:cs="Times New Roman"/>
          <w:color w:val="000000" w:themeColor="text1"/>
        </w:rPr>
        <w:t xml:space="preserve">l artículo 58 transitorio, el cual </w:t>
      </w:r>
      <w:r w:rsidRPr="0096658B">
        <w:rPr>
          <w:rFonts w:ascii="Times New Roman" w:hAnsi="Times New Roman" w:cs="Times New Roman"/>
          <w:i/>
          <w:iCs/>
          <w:color w:val="000000" w:themeColor="text1"/>
        </w:rPr>
        <w:t>“como atribución constitucional propia”</w:t>
      </w:r>
      <w:r w:rsidRPr="0096658B">
        <w:rPr>
          <w:rFonts w:ascii="Times New Roman" w:hAnsi="Times New Roman" w:cs="Times New Roman"/>
          <w:i/>
          <w:iCs/>
          <w:color w:val="000000" w:themeColor="text1"/>
        </w:rPr>
        <w:t>,</w:t>
      </w:r>
      <w:r w:rsidRPr="0096658B">
        <w:rPr>
          <w:rFonts w:ascii="Times New Roman" w:hAnsi="Times New Roman" w:cs="Times New Roman"/>
          <w:color w:val="000000" w:themeColor="text1"/>
        </w:rPr>
        <w:t xml:space="preserve"> autorizó que el Presidente de la República interviniera en las actividades financiera, bursátil, aseguradora y cualquier otra relacionada con el manejo e inversión de recursos captados del público.</w:t>
      </w:r>
    </w:p>
    <w:p w:rsidR="00D02510" w:rsidRPr="0096658B" w:rsidRDefault="0096658B" w:rsidP="00D02510">
      <w:pPr>
        <w:pStyle w:val="Prrafodelista"/>
        <w:rPr>
          <w:rFonts w:ascii="Times New Roman" w:hAnsi="Times New Roman" w:cs="Times New Roman"/>
          <w:color w:val="000000" w:themeColor="text1"/>
        </w:rPr>
      </w:pPr>
    </w:p>
    <w:p w:rsidR="00D02510" w:rsidRPr="0096658B" w:rsidRDefault="0096658B" w:rsidP="00CE5BAA">
      <w:pPr>
        <w:pStyle w:val="Prrafodelista"/>
        <w:numPr>
          <w:ilvl w:val="0"/>
          <w:numId w:val="9"/>
        </w:numPr>
        <w:ind w:left="0" w:firstLine="0"/>
        <w:rPr>
          <w:rFonts w:ascii="Times New Roman" w:hAnsi="Times New Roman" w:cs="Times New Roman"/>
          <w:color w:val="000000" w:themeColor="text1"/>
        </w:rPr>
      </w:pPr>
      <w:r w:rsidRPr="0096658B">
        <w:rPr>
          <w:rFonts w:ascii="Times New Roman" w:hAnsi="Times New Roman" w:cs="Times New Roman"/>
          <w:color w:val="000000" w:themeColor="text1"/>
        </w:rPr>
        <w:t>La explicación realizada hasta este punto puede</w:t>
      </w:r>
      <w:r w:rsidRPr="0096658B">
        <w:rPr>
          <w:rFonts w:ascii="Times New Roman" w:hAnsi="Times New Roman" w:cs="Times New Roman"/>
          <w:color w:val="000000" w:themeColor="text1"/>
        </w:rPr>
        <w:t xml:space="preserve"> ilustra</w:t>
      </w:r>
      <w:r w:rsidRPr="0096658B">
        <w:rPr>
          <w:rFonts w:ascii="Times New Roman" w:hAnsi="Times New Roman" w:cs="Times New Roman"/>
          <w:color w:val="000000" w:themeColor="text1"/>
        </w:rPr>
        <w:t>r</w:t>
      </w:r>
      <w:r w:rsidRPr="0096658B">
        <w:rPr>
          <w:rFonts w:ascii="Times New Roman" w:hAnsi="Times New Roman" w:cs="Times New Roman"/>
          <w:color w:val="000000" w:themeColor="text1"/>
        </w:rPr>
        <w:t>se</w:t>
      </w:r>
      <w:r w:rsidRPr="0096658B">
        <w:rPr>
          <w:rFonts w:ascii="Times New Roman" w:hAnsi="Times New Roman" w:cs="Times New Roman"/>
          <w:color w:val="000000" w:themeColor="text1"/>
        </w:rPr>
        <w:t xml:space="preserve"> claramente en el siguiente gráfico:</w:t>
      </w:r>
    </w:p>
    <w:p w:rsidR="00D02510" w:rsidRPr="0096658B" w:rsidRDefault="0096658B" w:rsidP="00D02510">
      <w:pPr>
        <w:jc w:val="center"/>
        <w:rPr>
          <w:rFonts w:ascii="Times New Roman" w:hAnsi="Times New Roman" w:cs="Times New Roman"/>
          <w:color w:val="000000" w:themeColor="text1"/>
          <w:sz w:val="28"/>
          <w:szCs w:val="28"/>
          <w:lang w:val="es-ES"/>
        </w:rPr>
      </w:pPr>
      <w:r w:rsidRPr="0096658B">
        <w:rPr>
          <w:rFonts w:ascii="Times New Roman" w:hAnsi="Times New Roman" w:cs="Times New Roman"/>
          <w:noProof/>
          <w:color w:val="000000" w:themeColor="text1"/>
          <w:sz w:val="28"/>
          <w:szCs w:val="28"/>
        </w:rPr>
        <w:drawing>
          <wp:inline distT="0" distB="0" distL="0" distR="0" wp14:anchorId="49C97756" wp14:editId="30DBFE34">
            <wp:extent cx="5000625" cy="2943860"/>
            <wp:effectExtent l="0" t="0" r="9525" b="8890"/>
            <wp:docPr id="3"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r="15195"/>
                    <a:stretch/>
                  </pic:blipFill>
                  <pic:spPr bwMode="auto">
                    <a:xfrm>
                      <a:off x="0" y="0"/>
                      <a:ext cx="5000625" cy="2943860"/>
                    </a:xfrm>
                    <a:prstGeom prst="rect">
                      <a:avLst/>
                    </a:prstGeom>
                    <a:noFill/>
                    <a:ln>
                      <a:noFill/>
                    </a:ln>
                    <a:extLst>
                      <a:ext uri="{53640926-AAD7-44D8-BBD7-CCE9431645EC}">
                        <a14:shadowObscured xmlns:a14="http://schemas.microsoft.com/office/drawing/2010/main"/>
                      </a:ext>
                    </a:extLst>
                  </pic:spPr>
                </pic:pic>
              </a:graphicData>
            </a:graphic>
          </wp:inline>
        </w:drawing>
      </w:r>
    </w:p>
    <w:p w:rsidR="00D02510" w:rsidRPr="0096658B" w:rsidRDefault="0096658B" w:rsidP="00E22CC0">
      <w:pPr>
        <w:jc w:val="both"/>
        <w:rPr>
          <w:rFonts w:ascii="Times New Roman" w:hAnsi="Times New Roman" w:cs="Times New Roman"/>
          <w:color w:val="000000" w:themeColor="text1"/>
          <w:sz w:val="28"/>
          <w:szCs w:val="28"/>
          <w:lang w:val="es-ES"/>
        </w:rPr>
      </w:pPr>
    </w:p>
    <w:p w:rsidR="00740A2C" w:rsidRPr="0096658B" w:rsidRDefault="0096658B" w:rsidP="008B17FE">
      <w:pPr>
        <w:pStyle w:val="Prrafodelista"/>
        <w:numPr>
          <w:ilvl w:val="0"/>
          <w:numId w:val="9"/>
        </w:numPr>
        <w:ind w:left="0" w:firstLine="0"/>
        <w:jc w:val="both"/>
        <w:rPr>
          <w:rFonts w:ascii="Times New Roman" w:hAnsi="Times New Roman" w:cs="Times New Roman"/>
          <w:color w:val="000000" w:themeColor="text1"/>
        </w:rPr>
      </w:pPr>
      <w:r w:rsidRPr="0096658B">
        <w:rPr>
          <w:rFonts w:ascii="Times New Roman" w:hAnsi="Times New Roman" w:cs="Times New Roman"/>
          <w:i/>
          <w:iCs/>
          <w:color w:val="000000" w:themeColor="text1"/>
        </w:rPr>
        <w:t>El alcance de l</w:t>
      </w:r>
      <w:r w:rsidRPr="0096658B">
        <w:rPr>
          <w:rFonts w:ascii="Times New Roman" w:hAnsi="Times New Roman" w:cs="Times New Roman"/>
          <w:i/>
          <w:iCs/>
          <w:color w:val="000000" w:themeColor="text1"/>
        </w:rPr>
        <w:t>a potestad reglamentaria del Gobierno nacional</w:t>
      </w:r>
      <w:r w:rsidRPr="0096658B">
        <w:rPr>
          <w:rFonts w:ascii="Times New Roman" w:hAnsi="Times New Roman" w:cs="Times New Roman"/>
          <w:i/>
          <w:iCs/>
          <w:color w:val="000000" w:themeColor="text1"/>
        </w:rPr>
        <w:t xml:space="preserve"> en el presente caso</w:t>
      </w:r>
      <w:r w:rsidRPr="0096658B">
        <w:rPr>
          <w:rFonts w:ascii="Times New Roman" w:hAnsi="Times New Roman" w:cs="Times New Roman"/>
          <w:i/>
          <w:iCs/>
          <w:color w:val="000000" w:themeColor="text1"/>
        </w:rPr>
        <w:t>.</w:t>
      </w:r>
      <w:r w:rsidRPr="0096658B">
        <w:rPr>
          <w:rFonts w:ascii="Times New Roman" w:hAnsi="Times New Roman" w:cs="Times New Roman"/>
          <w:i/>
          <w:iCs/>
          <w:color w:val="000000" w:themeColor="text1"/>
        </w:rPr>
        <w:t xml:space="preserve"> </w:t>
      </w:r>
      <w:r w:rsidRPr="0096658B">
        <w:rPr>
          <w:rFonts w:ascii="Times New Roman" w:hAnsi="Times New Roman" w:cs="Times New Roman"/>
          <w:color w:val="000000" w:themeColor="text1"/>
        </w:rPr>
        <w:t>Respecto del artículo 4 de la Ley 581 de 2000 cuya reforma se pretende con el proyecto de ley estatutario analizado por esta Corpor</w:t>
      </w:r>
      <w:r w:rsidRPr="0096658B">
        <w:rPr>
          <w:rFonts w:ascii="Times New Roman" w:hAnsi="Times New Roman" w:cs="Times New Roman"/>
          <w:color w:val="000000" w:themeColor="text1"/>
        </w:rPr>
        <w:t>ación, debe entenderse claramente que no corresponde a uno de los escenarios en el que el legislador estatutario hubiese agotado con todo el detalle</w:t>
      </w:r>
      <w:r w:rsidRPr="0096658B">
        <w:rPr>
          <w:rFonts w:ascii="Times New Roman" w:hAnsi="Times New Roman" w:cs="Times New Roman"/>
          <w:color w:val="000000" w:themeColor="text1"/>
        </w:rPr>
        <w:t xml:space="preserve"> la materia de protección. En efecto, en línea con la jurisprudencia constitucional, al tratarse de una regulación relacionada con los derechos fundamentales de las mujeres, la regulación no tendría que ser exhaustiva, sino que hay lugar para que por medio</w:t>
      </w:r>
      <w:r w:rsidRPr="0096658B">
        <w:rPr>
          <w:rFonts w:ascii="Times New Roman" w:hAnsi="Times New Roman" w:cs="Times New Roman"/>
          <w:color w:val="000000" w:themeColor="text1"/>
        </w:rPr>
        <w:t xml:space="preserve"> de una ley ordinaria o de la potestad reglamentaria del Presidente de la República se determinen los demás supuestos que se requieran</w:t>
      </w:r>
      <w:r w:rsidRPr="0096658B">
        <w:rPr>
          <w:rFonts w:ascii="Times New Roman" w:hAnsi="Times New Roman" w:cs="Times New Roman"/>
          <w:color w:val="000000" w:themeColor="text1"/>
        </w:rPr>
        <w:t>.</w:t>
      </w:r>
    </w:p>
    <w:p w:rsidR="00A465B6" w:rsidRPr="0096658B" w:rsidRDefault="0096658B" w:rsidP="00731095">
      <w:pPr>
        <w:pStyle w:val="Prrafodelista"/>
        <w:numPr>
          <w:ilvl w:val="0"/>
          <w:numId w:val="9"/>
        </w:numPr>
        <w:ind w:left="0" w:firstLine="0"/>
        <w:jc w:val="both"/>
        <w:rPr>
          <w:rFonts w:ascii="Times New Roman" w:hAnsi="Times New Roman" w:cs="Times New Roman"/>
          <w:color w:val="000000" w:themeColor="text1"/>
        </w:rPr>
      </w:pPr>
      <w:r w:rsidRPr="0096658B">
        <w:rPr>
          <w:rFonts w:ascii="Times New Roman" w:hAnsi="Times New Roman" w:cs="Times New Roman"/>
          <w:color w:val="000000" w:themeColor="text1"/>
        </w:rPr>
        <w:t>En este caso, el legislador estatutario consideró relevante incluir e</w:t>
      </w:r>
      <w:r w:rsidRPr="0096658B">
        <w:rPr>
          <w:rFonts w:ascii="Times New Roman" w:hAnsi="Times New Roman" w:cs="Times New Roman"/>
          <w:color w:val="000000" w:themeColor="text1"/>
        </w:rPr>
        <w:t>l</w:t>
      </w:r>
      <w:r w:rsidRPr="0096658B">
        <w:rPr>
          <w:rFonts w:ascii="Times New Roman" w:hAnsi="Times New Roman" w:cs="Times New Roman"/>
          <w:color w:val="000000" w:themeColor="text1"/>
        </w:rPr>
        <w:t xml:space="preserve"> parágrafo 2 </w:t>
      </w:r>
      <w:r w:rsidRPr="0096658B">
        <w:rPr>
          <w:rFonts w:ascii="Times New Roman" w:hAnsi="Times New Roman" w:cs="Times New Roman"/>
          <w:color w:val="000000" w:themeColor="text1"/>
        </w:rPr>
        <w:t xml:space="preserve">lo cual </w:t>
      </w:r>
      <w:r w:rsidRPr="0096658B">
        <w:rPr>
          <w:rFonts w:ascii="Times New Roman" w:hAnsi="Times New Roman" w:cs="Times New Roman"/>
          <w:color w:val="000000" w:themeColor="text1"/>
        </w:rPr>
        <w:t>permite</w:t>
      </w:r>
      <w:r w:rsidRPr="0096658B">
        <w:rPr>
          <w:rFonts w:ascii="Times New Roman" w:hAnsi="Times New Roman" w:cs="Times New Roman"/>
          <w:color w:val="000000" w:themeColor="text1"/>
        </w:rPr>
        <w:t xml:space="preserve"> concluir que, en líne</w:t>
      </w:r>
      <w:r w:rsidRPr="0096658B">
        <w:rPr>
          <w:rFonts w:ascii="Times New Roman" w:hAnsi="Times New Roman" w:cs="Times New Roman"/>
          <w:color w:val="000000" w:themeColor="text1"/>
        </w:rPr>
        <w:t xml:space="preserve">a con lo anterior, hay lugar para el ejercicio de la potestad reglamentaria </w:t>
      </w:r>
      <w:r w:rsidRPr="0096658B">
        <w:rPr>
          <w:rFonts w:ascii="Times New Roman" w:hAnsi="Times New Roman" w:cs="Times New Roman"/>
          <w:color w:val="000000" w:themeColor="text1"/>
        </w:rPr>
        <w:t xml:space="preserve">en aras de </w:t>
      </w:r>
      <w:r w:rsidRPr="0096658B">
        <w:rPr>
          <w:rFonts w:ascii="Times New Roman" w:hAnsi="Times New Roman" w:cs="Times New Roman"/>
          <w:color w:val="000000" w:themeColor="text1"/>
        </w:rPr>
        <w:t>determinar otros aspectos no esenciales de los derechos fundamentales que se disponen en la norma cuya reforma se persigue</w:t>
      </w:r>
      <w:r w:rsidRPr="0096658B">
        <w:rPr>
          <w:rFonts w:ascii="Times New Roman" w:hAnsi="Times New Roman" w:cs="Times New Roman"/>
          <w:color w:val="000000" w:themeColor="text1"/>
        </w:rPr>
        <w:t xml:space="preserve">, que se requieran para la debida ejecución de </w:t>
      </w:r>
      <w:r w:rsidRPr="0096658B">
        <w:rPr>
          <w:rFonts w:ascii="Times New Roman" w:hAnsi="Times New Roman" w:cs="Times New Roman"/>
          <w:color w:val="000000" w:themeColor="text1"/>
        </w:rPr>
        <w:t>la norma</w:t>
      </w:r>
      <w:r w:rsidRPr="0096658B">
        <w:rPr>
          <w:rFonts w:ascii="Times New Roman" w:hAnsi="Times New Roman" w:cs="Times New Roman"/>
          <w:color w:val="000000" w:themeColor="text1"/>
        </w:rPr>
        <w:t>.</w:t>
      </w:r>
      <w:r w:rsidRPr="0096658B">
        <w:rPr>
          <w:rFonts w:ascii="Times New Roman" w:hAnsi="Times New Roman" w:cs="Times New Roman"/>
          <w:color w:val="000000" w:themeColor="text1"/>
        </w:rPr>
        <w:t xml:space="preserve"> Esto, en virtud de lo previsto en el artículo 189.11 de la Constitución.</w:t>
      </w:r>
    </w:p>
    <w:p w:rsidR="00A465B6" w:rsidRPr="0096658B" w:rsidRDefault="0096658B" w:rsidP="00A465B6">
      <w:pPr>
        <w:pStyle w:val="Prrafodelista"/>
        <w:ind w:left="0"/>
        <w:jc w:val="both"/>
        <w:rPr>
          <w:rFonts w:ascii="Times New Roman" w:hAnsi="Times New Roman" w:cs="Times New Roman"/>
          <w:color w:val="000000" w:themeColor="text1"/>
        </w:rPr>
      </w:pPr>
    </w:p>
    <w:p w:rsidR="00F37318" w:rsidRPr="0096658B" w:rsidRDefault="0096658B" w:rsidP="00731095">
      <w:pPr>
        <w:pStyle w:val="Prrafodelista"/>
        <w:numPr>
          <w:ilvl w:val="0"/>
          <w:numId w:val="9"/>
        </w:numPr>
        <w:ind w:left="0" w:firstLine="0"/>
        <w:jc w:val="both"/>
        <w:rPr>
          <w:rFonts w:ascii="Times New Roman" w:hAnsi="Times New Roman" w:cs="Times New Roman"/>
          <w:color w:val="000000" w:themeColor="text1"/>
        </w:rPr>
      </w:pPr>
      <w:r w:rsidRPr="0096658B">
        <w:rPr>
          <w:rFonts w:ascii="Times New Roman" w:hAnsi="Times New Roman" w:cs="Times New Roman"/>
          <w:color w:val="000000" w:themeColor="text1"/>
        </w:rPr>
        <w:t>Ahora, cabe destacar que el proyecto de ley estatutaria restringió expresamente que esa facultad reglamentaria se reconocía c</w:t>
      </w:r>
      <w:r w:rsidRPr="0096658B">
        <w:rPr>
          <w:rFonts w:ascii="Times New Roman" w:hAnsi="Times New Roman" w:cs="Times New Roman"/>
          <w:color w:val="000000" w:themeColor="text1"/>
        </w:rPr>
        <w:t xml:space="preserve">on miras a que el Presidente de la República </w:t>
      </w:r>
      <w:r w:rsidRPr="0096658B">
        <w:rPr>
          <w:rFonts w:ascii="Times New Roman" w:hAnsi="Times New Roman" w:cs="Times New Roman"/>
          <w:color w:val="000000" w:themeColor="text1"/>
        </w:rPr>
        <w:t>se</w:t>
      </w:r>
      <w:r w:rsidRPr="0096658B">
        <w:rPr>
          <w:rFonts w:ascii="Times New Roman" w:hAnsi="Times New Roman" w:cs="Times New Roman"/>
          <w:color w:val="000000" w:themeColor="text1"/>
        </w:rPr>
        <w:t xml:space="preserve"> refiera a</w:t>
      </w:r>
      <w:r w:rsidRPr="0096658B">
        <w:rPr>
          <w:rFonts w:ascii="Times New Roman" w:hAnsi="Times New Roman" w:cs="Times New Roman"/>
          <w:color w:val="000000" w:themeColor="text1"/>
        </w:rPr>
        <w:t xml:space="preserve"> “</w:t>
      </w:r>
      <w:r w:rsidRPr="0096658B">
        <w:rPr>
          <w:rFonts w:ascii="Times New Roman" w:hAnsi="Times New Roman" w:cs="Times New Roman"/>
          <w:i/>
          <w:iCs/>
          <w:color w:val="000000" w:themeColor="text1"/>
        </w:rPr>
        <w:t xml:space="preserve">los cargos a los cuales les aplicará” </w:t>
      </w:r>
      <w:r w:rsidRPr="0096658B">
        <w:rPr>
          <w:rFonts w:ascii="Times New Roman" w:hAnsi="Times New Roman" w:cs="Times New Roman"/>
          <w:color w:val="000000" w:themeColor="text1"/>
        </w:rPr>
        <w:t>lo previsto en esta ley</w:t>
      </w:r>
      <w:r w:rsidRPr="0096658B">
        <w:rPr>
          <w:rFonts w:ascii="Times New Roman" w:hAnsi="Times New Roman" w:cs="Times New Roman"/>
          <w:i/>
          <w:iCs/>
          <w:color w:val="000000" w:themeColor="text1"/>
        </w:rPr>
        <w:t xml:space="preserve">. </w:t>
      </w:r>
      <w:r w:rsidRPr="0096658B">
        <w:rPr>
          <w:rFonts w:ascii="Times New Roman" w:hAnsi="Times New Roman" w:cs="Times New Roman"/>
          <w:color w:val="000000" w:themeColor="text1"/>
        </w:rPr>
        <w:t xml:space="preserve">De ahí que la Sentencia acertó </w:t>
      </w:r>
      <w:r w:rsidRPr="0096658B">
        <w:rPr>
          <w:rFonts w:ascii="Times New Roman" w:hAnsi="Times New Roman" w:cs="Times New Roman"/>
          <w:color w:val="000000" w:themeColor="text1"/>
        </w:rPr>
        <w:t>cuando</w:t>
      </w:r>
      <w:r w:rsidRPr="0096658B">
        <w:rPr>
          <w:rFonts w:ascii="Times New Roman" w:hAnsi="Times New Roman" w:cs="Times New Roman"/>
          <w:color w:val="000000" w:themeColor="text1"/>
        </w:rPr>
        <w:t xml:space="preserve"> </w:t>
      </w:r>
      <w:r w:rsidRPr="0096658B">
        <w:rPr>
          <w:rFonts w:ascii="Times New Roman" w:hAnsi="Times New Roman" w:cs="Times New Roman"/>
          <w:color w:val="000000" w:themeColor="text1"/>
        </w:rPr>
        <w:t>anotó que “</w:t>
      </w:r>
      <w:r w:rsidRPr="0096658B">
        <w:rPr>
          <w:rFonts w:ascii="Times New Roman" w:hAnsi="Times New Roman" w:cs="Times New Roman"/>
          <w:i/>
          <w:iCs/>
          <w:color w:val="000000" w:themeColor="text1"/>
        </w:rPr>
        <w:t>la facultad reglamentaria es una competencia constitucional amplia, lo que implica que, para el caso</w:t>
      </w:r>
      <w:r w:rsidRPr="0096658B">
        <w:rPr>
          <w:rFonts w:ascii="Times New Roman" w:hAnsi="Times New Roman" w:cs="Times New Roman"/>
          <w:i/>
          <w:iCs/>
          <w:color w:val="000000" w:themeColor="text1"/>
        </w:rPr>
        <w:t xml:space="preserve"> analizado, no se restringe</w:t>
      </w:r>
      <w:r w:rsidRPr="0096658B">
        <w:rPr>
          <w:rFonts w:ascii="Times New Roman" w:hAnsi="Times New Roman" w:cs="Times New Roman"/>
          <w:i/>
          <w:iCs/>
          <w:color w:val="000000" w:themeColor="text1"/>
        </w:rPr>
        <w:t xml:space="preserve"> a la</w:t>
      </w:r>
      <w:r w:rsidRPr="0096658B">
        <w:rPr>
          <w:rFonts w:ascii="Times New Roman" w:hAnsi="Times New Roman" w:cs="Times New Roman"/>
          <w:i/>
          <w:iCs/>
          <w:color w:val="000000" w:themeColor="text1"/>
        </w:rPr>
        <w:t xml:space="preserve"> materia vinculada a los cargos directivos, sino que incluye todas aquellas medidas que, respetuosas del marco regulatorio fijado por el legislador estatutario, sean necesarias para la debida ejecución de la ley.” </w:t>
      </w:r>
    </w:p>
    <w:p w:rsidR="00F37318" w:rsidRPr="0096658B" w:rsidRDefault="0096658B" w:rsidP="00F37318">
      <w:pPr>
        <w:pStyle w:val="Prrafodelista"/>
        <w:rPr>
          <w:rFonts w:ascii="Times New Roman" w:hAnsi="Times New Roman" w:cs="Times New Roman"/>
          <w:color w:val="000000" w:themeColor="text1"/>
        </w:rPr>
      </w:pPr>
    </w:p>
    <w:p w:rsidR="00F37318" w:rsidRPr="0096658B" w:rsidRDefault="0096658B" w:rsidP="00731095">
      <w:pPr>
        <w:pStyle w:val="Prrafodelista"/>
        <w:numPr>
          <w:ilvl w:val="0"/>
          <w:numId w:val="9"/>
        </w:numPr>
        <w:ind w:left="0" w:firstLine="0"/>
        <w:jc w:val="both"/>
        <w:rPr>
          <w:rFonts w:ascii="Times New Roman" w:hAnsi="Times New Roman" w:cs="Times New Roman"/>
          <w:color w:val="000000" w:themeColor="text1"/>
        </w:rPr>
      </w:pPr>
      <w:r w:rsidRPr="0096658B">
        <w:rPr>
          <w:rFonts w:ascii="Times New Roman" w:hAnsi="Times New Roman" w:cs="Times New Roman"/>
          <w:color w:val="000000" w:themeColor="text1"/>
        </w:rPr>
        <w:t xml:space="preserve">En efecto, con base en lo que se ha expuesto hasta este punto, la </w:t>
      </w:r>
      <w:r w:rsidRPr="0096658B">
        <w:rPr>
          <w:rFonts w:ascii="Times New Roman" w:hAnsi="Times New Roman" w:cs="Times New Roman"/>
          <w:color w:val="000000" w:themeColor="text1"/>
        </w:rPr>
        <w:t>reserva de la ley estatutaria debe ser analizada de manera restrictiva en virtud del principio democrático y, dependiendo de la materia que sea objeto de desarrollo legal, e</w:t>
      </w:r>
      <w:r w:rsidRPr="0096658B">
        <w:rPr>
          <w:rFonts w:ascii="Times New Roman" w:hAnsi="Times New Roman" w:cs="Times New Roman"/>
          <w:color w:val="000000" w:themeColor="text1"/>
        </w:rPr>
        <w:t>l</w:t>
      </w:r>
      <w:r w:rsidRPr="0096658B">
        <w:rPr>
          <w:rFonts w:ascii="Times New Roman" w:hAnsi="Times New Roman" w:cs="Times New Roman"/>
          <w:color w:val="000000" w:themeColor="text1"/>
        </w:rPr>
        <w:t xml:space="preserve"> legislador esta</w:t>
      </w:r>
      <w:r w:rsidRPr="0096658B">
        <w:rPr>
          <w:rFonts w:ascii="Times New Roman" w:hAnsi="Times New Roman" w:cs="Times New Roman"/>
          <w:color w:val="000000" w:themeColor="text1"/>
        </w:rPr>
        <w:t xml:space="preserve">tutario tiene una exigencia mayor o menor en la exhaustividad </w:t>
      </w:r>
      <w:r w:rsidRPr="0096658B">
        <w:rPr>
          <w:rFonts w:ascii="Times New Roman" w:hAnsi="Times New Roman" w:cs="Times New Roman"/>
          <w:color w:val="000000" w:themeColor="text1"/>
        </w:rPr>
        <w:t>d</w:t>
      </w:r>
      <w:r w:rsidRPr="0096658B">
        <w:rPr>
          <w:rFonts w:ascii="Times New Roman" w:hAnsi="Times New Roman" w:cs="Times New Roman"/>
          <w:color w:val="000000" w:themeColor="text1"/>
        </w:rPr>
        <w:t xml:space="preserve">el asunto. Como en este caso se trata de derechos fundamentales, </w:t>
      </w:r>
      <w:r w:rsidRPr="0096658B">
        <w:rPr>
          <w:rFonts w:ascii="Times New Roman" w:hAnsi="Times New Roman" w:cs="Times New Roman"/>
          <w:i/>
          <w:iCs/>
          <w:color w:val="000000" w:themeColor="text1"/>
        </w:rPr>
        <w:t>prima facie</w:t>
      </w:r>
      <w:r w:rsidRPr="0096658B">
        <w:rPr>
          <w:rFonts w:ascii="Times New Roman" w:hAnsi="Times New Roman" w:cs="Times New Roman"/>
          <w:color w:val="000000" w:themeColor="text1"/>
        </w:rPr>
        <w:t>, no le correspondía al legislador determinar todo su contenido</w:t>
      </w:r>
      <w:r w:rsidRPr="0096658B">
        <w:rPr>
          <w:rFonts w:ascii="Times New Roman" w:hAnsi="Times New Roman" w:cs="Times New Roman"/>
          <w:color w:val="000000" w:themeColor="text1"/>
        </w:rPr>
        <w:t xml:space="preserve"> y</w:t>
      </w:r>
      <w:r w:rsidRPr="0096658B">
        <w:rPr>
          <w:rFonts w:ascii="Times New Roman" w:hAnsi="Times New Roman" w:cs="Times New Roman"/>
          <w:color w:val="000000" w:themeColor="text1"/>
        </w:rPr>
        <w:t>,</w:t>
      </w:r>
      <w:r w:rsidRPr="0096658B">
        <w:rPr>
          <w:rFonts w:ascii="Times New Roman" w:hAnsi="Times New Roman" w:cs="Times New Roman"/>
          <w:color w:val="000000" w:themeColor="text1"/>
        </w:rPr>
        <w:t xml:space="preserve"> en esa misma medida, tampoco podía restringir las </w:t>
      </w:r>
      <w:r w:rsidRPr="0096658B">
        <w:rPr>
          <w:rFonts w:ascii="Times New Roman" w:hAnsi="Times New Roman" w:cs="Times New Roman"/>
          <w:color w:val="000000" w:themeColor="text1"/>
        </w:rPr>
        <w:t>temáticas que puedan ser luego precisadas por vía de decretos reglamentarios.</w:t>
      </w:r>
      <w:r w:rsidRPr="0096658B">
        <w:rPr>
          <w:rFonts w:ascii="Times New Roman" w:hAnsi="Times New Roman" w:cs="Times New Roman"/>
          <w:color w:val="000000" w:themeColor="text1"/>
        </w:rPr>
        <w:t xml:space="preserve"> </w:t>
      </w:r>
    </w:p>
    <w:p w:rsidR="00F37318" w:rsidRPr="0096658B" w:rsidRDefault="0096658B" w:rsidP="00F37318">
      <w:pPr>
        <w:pStyle w:val="Prrafodelista"/>
        <w:rPr>
          <w:rFonts w:ascii="Times New Roman" w:hAnsi="Times New Roman" w:cs="Times New Roman"/>
          <w:color w:val="000000" w:themeColor="text1"/>
        </w:rPr>
      </w:pPr>
    </w:p>
    <w:p w:rsidR="00BC08ED" w:rsidRPr="0096658B" w:rsidRDefault="0096658B" w:rsidP="00731095">
      <w:pPr>
        <w:pStyle w:val="Prrafodelista"/>
        <w:numPr>
          <w:ilvl w:val="0"/>
          <w:numId w:val="9"/>
        </w:numPr>
        <w:ind w:left="0" w:firstLine="0"/>
        <w:jc w:val="both"/>
        <w:rPr>
          <w:rFonts w:ascii="Times New Roman" w:hAnsi="Times New Roman" w:cs="Times New Roman"/>
          <w:color w:val="000000" w:themeColor="text1"/>
        </w:rPr>
      </w:pPr>
      <w:r w:rsidRPr="0096658B">
        <w:rPr>
          <w:rFonts w:ascii="Times New Roman" w:hAnsi="Times New Roman" w:cs="Times New Roman"/>
          <w:color w:val="000000" w:themeColor="text1"/>
        </w:rPr>
        <w:t>En todo caso, tal como pasa con la determinación de un plazo para ejercer esa facultad, establecer un asunto para reglamentar no necesariamente restringe la posibilidad de</w:t>
      </w:r>
      <w:r w:rsidRPr="0096658B">
        <w:rPr>
          <w:rFonts w:ascii="Times New Roman" w:hAnsi="Times New Roman" w:cs="Times New Roman"/>
          <w:color w:val="000000" w:themeColor="text1"/>
        </w:rPr>
        <w:t>l Pre</w:t>
      </w:r>
      <w:r w:rsidRPr="0096658B">
        <w:rPr>
          <w:rFonts w:ascii="Times New Roman" w:hAnsi="Times New Roman" w:cs="Times New Roman"/>
          <w:color w:val="000000" w:themeColor="text1"/>
        </w:rPr>
        <w:t>sidente de utilizar esta potestad para precisar todo lo que</w:t>
      </w:r>
      <w:r w:rsidRPr="0096658B">
        <w:rPr>
          <w:rFonts w:ascii="Times New Roman" w:hAnsi="Times New Roman" w:cs="Times New Roman"/>
          <w:color w:val="000000" w:themeColor="text1"/>
        </w:rPr>
        <w:t>,</w:t>
      </w:r>
      <w:r w:rsidRPr="0096658B">
        <w:rPr>
          <w:rFonts w:ascii="Times New Roman" w:hAnsi="Times New Roman" w:cs="Times New Roman"/>
          <w:color w:val="000000" w:themeColor="text1"/>
        </w:rPr>
        <w:t xml:space="preserve"> en el marco regulatorio fijado por el legislador, se requieran para </w:t>
      </w:r>
      <w:r w:rsidRPr="0096658B">
        <w:rPr>
          <w:rFonts w:ascii="Times New Roman" w:hAnsi="Times New Roman" w:cs="Times New Roman"/>
          <w:color w:val="000000" w:themeColor="text1"/>
        </w:rPr>
        <w:t>la garantía de lo previsto en la ley.</w:t>
      </w:r>
    </w:p>
    <w:p w:rsidR="007B2A9E" w:rsidRPr="0096658B" w:rsidRDefault="0096658B" w:rsidP="007B2A9E">
      <w:pPr>
        <w:pStyle w:val="Prrafodelista"/>
        <w:ind w:left="0"/>
        <w:jc w:val="both"/>
        <w:rPr>
          <w:rFonts w:ascii="Times New Roman" w:hAnsi="Times New Roman" w:cs="Times New Roman"/>
          <w:color w:val="000000" w:themeColor="text1"/>
        </w:rPr>
      </w:pPr>
    </w:p>
    <w:p w:rsidR="008833E9" w:rsidRPr="0096658B" w:rsidRDefault="0096658B" w:rsidP="009E3AA9">
      <w:pPr>
        <w:pStyle w:val="Prrafodelista"/>
        <w:numPr>
          <w:ilvl w:val="0"/>
          <w:numId w:val="9"/>
        </w:numPr>
        <w:ind w:left="0" w:firstLine="0"/>
        <w:jc w:val="both"/>
        <w:rPr>
          <w:rFonts w:ascii="Times New Roman" w:hAnsi="Times New Roman" w:cs="Times New Roman"/>
          <w:color w:val="000000" w:themeColor="text1"/>
        </w:rPr>
      </w:pPr>
      <w:r w:rsidRPr="0096658B">
        <w:rPr>
          <w:rFonts w:ascii="Times New Roman" w:hAnsi="Times New Roman" w:cs="Times New Roman"/>
          <w:color w:val="000000" w:themeColor="text1"/>
        </w:rPr>
        <w:t xml:space="preserve">Ahora bien, parece curioso que el Legislador en el proyecto de ley estatutaria hubiese </w:t>
      </w:r>
      <w:r w:rsidRPr="0096658B">
        <w:rPr>
          <w:rFonts w:ascii="Times New Roman" w:hAnsi="Times New Roman" w:cs="Times New Roman"/>
          <w:color w:val="000000" w:themeColor="text1"/>
        </w:rPr>
        <w:t>s</w:t>
      </w:r>
      <w:r w:rsidRPr="0096658B">
        <w:rPr>
          <w:rFonts w:ascii="Times New Roman" w:hAnsi="Times New Roman" w:cs="Times New Roman"/>
          <w:color w:val="000000" w:themeColor="text1"/>
        </w:rPr>
        <w:t xml:space="preserve">uscrito el ejercicio de la reglamentación a </w:t>
      </w:r>
      <w:r w:rsidRPr="0096658B">
        <w:rPr>
          <w:rFonts w:ascii="Times New Roman" w:hAnsi="Times New Roman" w:cs="Times New Roman"/>
          <w:i/>
          <w:iCs/>
          <w:color w:val="000000" w:themeColor="text1"/>
        </w:rPr>
        <w:t xml:space="preserve">los cargos </w:t>
      </w:r>
      <w:r w:rsidRPr="0096658B">
        <w:rPr>
          <w:rFonts w:ascii="Times New Roman" w:hAnsi="Times New Roman" w:cs="Times New Roman"/>
          <w:color w:val="000000" w:themeColor="text1"/>
        </w:rPr>
        <w:t>en los que se hacen exigibles estos nuevos porcentajes mínimos de participación. C</w:t>
      </w:r>
      <w:r w:rsidRPr="0096658B">
        <w:rPr>
          <w:rFonts w:ascii="Times New Roman" w:hAnsi="Times New Roman" w:cs="Times New Roman"/>
          <w:color w:val="000000" w:themeColor="text1"/>
        </w:rPr>
        <w:t>omo apenas lo enuncia la sentencia, lo cierto es que en los artículos 2 y 3 de la Ley 581</w:t>
      </w:r>
      <w:r w:rsidRPr="0096658B">
        <w:rPr>
          <w:rFonts w:ascii="Times New Roman" w:hAnsi="Times New Roman" w:cs="Times New Roman"/>
          <w:color w:val="000000" w:themeColor="text1"/>
        </w:rPr>
        <w:t xml:space="preserve">, </w:t>
      </w:r>
      <w:r w:rsidRPr="0096658B">
        <w:rPr>
          <w:rFonts w:ascii="Times New Roman" w:hAnsi="Times New Roman" w:cs="Times New Roman"/>
          <w:color w:val="000000" w:themeColor="text1"/>
        </w:rPr>
        <w:t>en los términos en que se</w:t>
      </w:r>
      <w:r w:rsidRPr="0096658B">
        <w:rPr>
          <w:rFonts w:ascii="Times New Roman" w:hAnsi="Times New Roman" w:cs="Times New Roman"/>
          <w:color w:val="000000" w:themeColor="text1"/>
        </w:rPr>
        <w:t xml:space="preserve"> expuso en la parte inicial de esta aclaración, el legislador desde el año 2000</w:t>
      </w:r>
      <w:r w:rsidRPr="0096658B">
        <w:rPr>
          <w:rFonts w:ascii="Times New Roman" w:hAnsi="Times New Roman" w:cs="Times New Roman"/>
          <w:color w:val="000000" w:themeColor="text1"/>
        </w:rPr>
        <w:t xml:space="preserve"> identificó concretamente el concepto de lo que se entiende por cargos </w:t>
      </w:r>
      <w:r w:rsidRPr="0096658B">
        <w:rPr>
          <w:rFonts w:ascii="Times New Roman" w:hAnsi="Times New Roman" w:cs="Times New Roman"/>
          <w:color w:val="000000" w:themeColor="text1"/>
        </w:rPr>
        <w:t xml:space="preserve">de máximo nivel decisorio y cargos de otros niveles. </w:t>
      </w:r>
      <w:r w:rsidRPr="0096658B">
        <w:rPr>
          <w:rFonts w:ascii="Times New Roman" w:hAnsi="Times New Roman" w:cs="Times New Roman"/>
          <w:color w:val="000000" w:themeColor="text1"/>
        </w:rPr>
        <w:t>De manera que</w:t>
      </w:r>
      <w:r w:rsidRPr="0096658B">
        <w:rPr>
          <w:rFonts w:ascii="Times New Roman" w:hAnsi="Times New Roman" w:cs="Times New Roman"/>
          <w:color w:val="000000" w:themeColor="text1"/>
        </w:rPr>
        <w:t>, al menos sobre este escenario de regla</w:t>
      </w:r>
      <w:r w:rsidRPr="0096658B">
        <w:rPr>
          <w:rFonts w:ascii="Times New Roman" w:hAnsi="Times New Roman" w:cs="Times New Roman"/>
          <w:color w:val="000000" w:themeColor="text1"/>
        </w:rPr>
        <w:t>mentación al que se refiere el parágrafo 2,</w:t>
      </w:r>
      <w:r w:rsidRPr="0096658B">
        <w:rPr>
          <w:rFonts w:ascii="Times New Roman" w:hAnsi="Times New Roman" w:cs="Times New Roman"/>
          <w:color w:val="000000" w:themeColor="text1"/>
        </w:rPr>
        <w:t xml:space="preserve"> no</w:t>
      </w:r>
      <w:r w:rsidRPr="0096658B">
        <w:rPr>
          <w:rFonts w:ascii="Times New Roman" w:hAnsi="Times New Roman" w:cs="Times New Roman"/>
          <w:color w:val="000000" w:themeColor="text1"/>
        </w:rPr>
        <w:t xml:space="preserve"> habría claridad sobre cuál sería </w:t>
      </w:r>
      <w:r w:rsidRPr="0096658B">
        <w:rPr>
          <w:rFonts w:ascii="Times New Roman" w:hAnsi="Times New Roman" w:cs="Times New Roman"/>
          <w:color w:val="000000" w:themeColor="text1"/>
        </w:rPr>
        <w:t>la posibilidad de</w:t>
      </w:r>
      <w:r w:rsidRPr="0096658B">
        <w:rPr>
          <w:rFonts w:ascii="Times New Roman" w:hAnsi="Times New Roman" w:cs="Times New Roman"/>
          <w:color w:val="000000" w:themeColor="text1"/>
        </w:rPr>
        <w:t xml:space="preserve"> reglamentación que pueda realizar el Presidente</w:t>
      </w:r>
      <w:r w:rsidRPr="0096658B">
        <w:rPr>
          <w:rFonts w:ascii="Times New Roman" w:hAnsi="Times New Roman" w:cs="Times New Roman"/>
          <w:color w:val="000000" w:themeColor="text1"/>
        </w:rPr>
        <w:t>, ya que</w:t>
      </w:r>
      <w:r w:rsidRPr="0096658B">
        <w:rPr>
          <w:rFonts w:ascii="Times New Roman" w:hAnsi="Times New Roman" w:cs="Times New Roman"/>
          <w:color w:val="000000" w:themeColor="text1"/>
        </w:rPr>
        <w:t xml:space="preserve"> no podrá modificar ni reformar lo </w:t>
      </w:r>
      <w:r w:rsidRPr="0096658B">
        <w:rPr>
          <w:rFonts w:ascii="Times New Roman" w:hAnsi="Times New Roman" w:cs="Times New Roman"/>
          <w:color w:val="000000" w:themeColor="text1"/>
        </w:rPr>
        <w:t>consagrado</w:t>
      </w:r>
      <w:r w:rsidRPr="0096658B">
        <w:rPr>
          <w:rFonts w:ascii="Times New Roman" w:hAnsi="Times New Roman" w:cs="Times New Roman"/>
          <w:color w:val="000000" w:themeColor="text1"/>
        </w:rPr>
        <w:t xml:space="preserve"> en </w:t>
      </w:r>
      <w:r w:rsidRPr="0096658B">
        <w:rPr>
          <w:rFonts w:ascii="Times New Roman" w:hAnsi="Times New Roman" w:cs="Times New Roman"/>
          <w:color w:val="000000" w:themeColor="text1"/>
        </w:rPr>
        <w:t xml:space="preserve">tales </w:t>
      </w:r>
      <w:r w:rsidRPr="0096658B">
        <w:rPr>
          <w:rFonts w:ascii="Times New Roman" w:hAnsi="Times New Roman" w:cs="Times New Roman"/>
          <w:color w:val="000000" w:themeColor="text1"/>
        </w:rPr>
        <w:t>disposiciones legislativas.</w:t>
      </w:r>
      <w:r w:rsidRPr="0096658B">
        <w:rPr>
          <w:rFonts w:ascii="Times New Roman" w:hAnsi="Times New Roman" w:cs="Times New Roman"/>
          <w:color w:val="000000" w:themeColor="text1"/>
        </w:rPr>
        <w:t xml:space="preserve"> </w:t>
      </w:r>
      <w:r w:rsidRPr="0096658B">
        <w:rPr>
          <w:rFonts w:ascii="Times New Roman" w:hAnsi="Times New Roman" w:cs="Times New Roman"/>
          <w:color w:val="000000" w:themeColor="text1"/>
        </w:rPr>
        <w:t>U</w:t>
      </w:r>
      <w:r w:rsidRPr="0096658B">
        <w:rPr>
          <w:rFonts w:ascii="Times New Roman" w:hAnsi="Times New Roman" w:cs="Times New Roman"/>
          <w:color w:val="000000" w:themeColor="text1"/>
        </w:rPr>
        <w:t>na norma reglamenta</w:t>
      </w:r>
      <w:r w:rsidRPr="0096658B">
        <w:rPr>
          <w:rFonts w:ascii="Times New Roman" w:hAnsi="Times New Roman" w:cs="Times New Roman"/>
          <w:color w:val="000000" w:themeColor="text1"/>
        </w:rPr>
        <w:t>ria no podría limitar el sentido de la ley</w:t>
      </w:r>
      <w:r w:rsidRPr="0096658B">
        <w:rPr>
          <w:rFonts w:ascii="Times New Roman" w:hAnsi="Times New Roman" w:cs="Times New Roman"/>
          <w:color w:val="000000" w:themeColor="text1"/>
        </w:rPr>
        <w:t>, ni</w:t>
      </w:r>
      <w:r w:rsidRPr="0096658B">
        <w:rPr>
          <w:rFonts w:ascii="Times New Roman" w:hAnsi="Times New Roman" w:cs="Times New Roman"/>
          <w:color w:val="000000" w:themeColor="text1"/>
        </w:rPr>
        <w:t xml:space="preserve"> disminuir la participación de la mujer en los cargos públicos</w:t>
      </w:r>
      <w:r w:rsidRPr="0096658B">
        <w:rPr>
          <w:rFonts w:ascii="Times New Roman" w:hAnsi="Times New Roman" w:cs="Times New Roman"/>
          <w:color w:val="000000" w:themeColor="text1"/>
        </w:rPr>
        <w:t xml:space="preserve"> o, incluso, extender la definición de tales tipos de cargos más allá de lo que ya </w:t>
      </w:r>
      <w:r w:rsidRPr="0096658B">
        <w:rPr>
          <w:rFonts w:ascii="Times New Roman" w:hAnsi="Times New Roman" w:cs="Times New Roman"/>
          <w:color w:val="000000" w:themeColor="text1"/>
        </w:rPr>
        <w:t xml:space="preserve">fija </w:t>
      </w:r>
      <w:r w:rsidRPr="0096658B">
        <w:rPr>
          <w:rFonts w:ascii="Times New Roman" w:hAnsi="Times New Roman" w:cs="Times New Roman"/>
          <w:color w:val="000000" w:themeColor="text1"/>
        </w:rPr>
        <w:t>la ley.</w:t>
      </w:r>
      <w:r w:rsidRPr="0096658B">
        <w:rPr>
          <w:rFonts w:ascii="Times New Roman" w:hAnsi="Times New Roman" w:cs="Times New Roman"/>
          <w:color w:val="000000" w:themeColor="text1"/>
        </w:rPr>
        <w:t xml:space="preserve"> </w:t>
      </w:r>
    </w:p>
    <w:p w:rsidR="008833E9" w:rsidRPr="0096658B" w:rsidRDefault="0096658B" w:rsidP="000D3006">
      <w:pPr>
        <w:pStyle w:val="Prrafodelista"/>
        <w:rPr>
          <w:rFonts w:ascii="Times New Roman" w:hAnsi="Times New Roman" w:cs="Times New Roman"/>
          <w:color w:val="000000" w:themeColor="text1"/>
        </w:rPr>
      </w:pPr>
    </w:p>
    <w:p w:rsidR="00000B7D" w:rsidRPr="0096658B" w:rsidRDefault="0096658B" w:rsidP="00E315F4">
      <w:pPr>
        <w:pStyle w:val="Prrafodelista"/>
        <w:numPr>
          <w:ilvl w:val="0"/>
          <w:numId w:val="9"/>
        </w:numPr>
        <w:ind w:left="0" w:firstLine="0"/>
        <w:jc w:val="both"/>
        <w:rPr>
          <w:rFonts w:ascii="Times New Roman" w:hAnsi="Times New Roman" w:cs="Times New Roman"/>
          <w:color w:val="000000" w:themeColor="text1"/>
        </w:rPr>
      </w:pPr>
      <w:r w:rsidRPr="0096658B">
        <w:rPr>
          <w:rFonts w:ascii="Times New Roman" w:hAnsi="Times New Roman" w:cs="Times New Roman"/>
          <w:color w:val="000000" w:themeColor="text1"/>
        </w:rPr>
        <w:t>Conforme con</w:t>
      </w:r>
      <w:r w:rsidRPr="0096658B">
        <w:rPr>
          <w:rFonts w:ascii="Times New Roman" w:hAnsi="Times New Roman" w:cs="Times New Roman"/>
          <w:color w:val="000000" w:themeColor="text1"/>
        </w:rPr>
        <w:t xml:space="preserve"> lo </w:t>
      </w:r>
      <w:r w:rsidRPr="0096658B">
        <w:rPr>
          <w:rFonts w:ascii="Times New Roman" w:hAnsi="Times New Roman" w:cs="Times New Roman"/>
          <w:color w:val="000000" w:themeColor="text1"/>
        </w:rPr>
        <w:t>expuesto en precedencia</w:t>
      </w:r>
      <w:r w:rsidRPr="0096658B">
        <w:rPr>
          <w:rFonts w:ascii="Times New Roman" w:hAnsi="Times New Roman" w:cs="Times New Roman"/>
          <w:color w:val="000000" w:themeColor="text1"/>
        </w:rPr>
        <w:t xml:space="preserve">, </w:t>
      </w:r>
      <w:r w:rsidRPr="0096658B">
        <w:rPr>
          <w:rFonts w:ascii="Times New Roman" w:hAnsi="Times New Roman" w:cs="Times New Roman"/>
          <w:color w:val="000000" w:themeColor="text1"/>
        </w:rPr>
        <w:t xml:space="preserve">considero prudente </w:t>
      </w:r>
      <w:r w:rsidRPr="0096658B">
        <w:rPr>
          <w:rFonts w:ascii="Times New Roman" w:hAnsi="Times New Roman" w:cs="Times New Roman"/>
          <w:color w:val="000000" w:themeColor="text1"/>
        </w:rPr>
        <w:t xml:space="preserve">aclarar mi postura respecto a la interpretación del </w:t>
      </w:r>
      <w:r w:rsidRPr="0096658B">
        <w:rPr>
          <w:rFonts w:ascii="Times New Roman" w:hAnsi="Times New Roman" w:cs="Times New Roman"/>
          <w:color w:val="000000" w:themeColor="text1"/>
        </w:rPr>
        <w:t xml:space="preserve">parágrafo 2 del artículo 1 </w:t>
      </w:r>
      <w:r w:rsidRPr="0096658B">
        <w:rPr>
          <w:rFonts w:ascii="Times New Roman" w:hAnsi="Times New Roman" w:cs="Times New Roman"/>
          <w:color w:val="000000" w:themeColor="text1"/>
        </w:rPr>
        <w:t xml:space="preserve">del Proyecto de Ley. </w:t>
      </w:r>
      <w:r w:rsidRPr="0096658B">
        <w:rPr>
          <w:rFonts w:ascii="Times New Roman" w:hAnsi="Times New Roman" w:cs="Times New Roman"/>
          <w:color w:val="000000" w:themeColor="text1"/>
          <w:bdr w:val="none" w:sz="0" w:space="0" w:color="auto" w:frame="1"/>
        </w:rPr>
        <w:t>En estos términos, dejo consignad</w:t>
      </w:r>
      <w:r w:rsidRPr="0096658B">
        <w:rPr>
          <w:rFonts w:ascii="Times New Roman" w:hAnsi="Times New Roman" w:cs="Times New Roman"/>
          <w:color w:val="000000" w:themeColor="text1"/>
          <w:bdr w:val="none" w:sz="0" w:space="0" w:color="auto" w:frame="1"/>
        </w:rPr>
        <w:t>a</w:t>
      </w:r>
      <w:r w:rsidRPr="0096658B">
        <w:rPr>
          <w:rFonts w:ascii="Times New Roman" w:hAnsi="Times New Roman" w:cs="Times New Roman"/>
          <w:color w:val="000000" w:themeColor="text1"/>
          <w:bdr w:val="none" w:sz="0" w:space="0" w:color="auto" w:frame="1"/>
        </w:rPr>
        <w:t xml:space="preserve"> mi </w:t>
      </w:r>
      <w:r w:rsidRPr="0096658B">
        <w:rPr>
          <w:rFonts w:ascii="Times New Roman" w:hAnsi="Times New Roman" w:cs="Times New Roman"/>
          <w:color w:val="000000" w:themeColor="text1"/>
          <w:bdr w:val="none" w:sz="0" w:space="0" w:color="auto" w:frame="1"/>
        </w:rPr>
        <w:t>aclaración</w:t>
      </w:r>
      <w:r w:rsidRPr="0096658B">
        <w:rPr>
          <w:rFonts w:ascii="Times New Roman" w:hAnsi="Times New Roman" w:cs="Times New Roman"/>
          <w:color w:val="000000" w:themeColor="text1"/>
          <w:bdr w:val="none" w:sz="0" w:space="0" w:color="auto" w:frame="1"/>
        </w:rPr>
        <w:t xml:space="preserve"> de voto.</w:t>
      </w:r>
    </w:p>
    <w:p w:rsidR="00157464" w:rsidRPr="0096658B" w:rsidRDefault="0096658B" w:rsidP="00000B7D">
      <w:pPr>
        <w:jc w:val="both"/>
        <w:rPr>
          <w:rFonts w:ascii="Times New Roman" w:hAnsi="Times New Roman" w:cs="Times New Roman"/>
          <w:color w:val="000000" w:themeColor="text1"/>
          <w:sz w:val="28"/>
          <w:szCs w:val="28"/>
          <w:lang w:val="es-ES"/>
        </w:rPr>
      </w:pPr>
    </w:p>
    <w:p w:rsidR="00286D48" w:rsidRPr="0096658B" w:rsidRDefault="0096658B" w:rsidP="00F200D1">
      <w:pPr>
        <w:shd w:val="clear" w:color="auto" w:fill="FFFFFF"/>
        <w:spacing w:line="293" w:lineRule="atLeast"/>
        <w:jc w:val="both"/>
        <w:textAlignment w:val="baseline"/>
        <w:rPr>
          <w:rFonts w:ascii="Times New Roman" w:hAnsi="Times New Roman" w:cs="Times New Roman"/>
          <w:i/>
          <w:iCs/>
          <w:color w:val="000000" w:themeColor="text1"/>
          <w:sz w:val="28"/>
          <w:szCs w:val="28"/>
          <w:bdr w:val="none" w:sz="0" w:space="0" w:color="auto" w:frame="1"/>
          <w:lang w:val="es-ES"/>
        </w:rPr>
      </w:pPr>
      <w:r w:rsidRPr="0096658B">
        <w:rPr>
          <w:rFonts w:ascii="Times New Roman" w:hAnsi="Times New Roman" w:cs="Times New Roman"/>
          <w:color w:val="000000" w:themeColor="text1"/>
          <w:sz w:val="28"/>
          <w:szCs w:val="28"/>
          <w:bdr w:val="none" w:sz="0" w:space="0" w:color="auto" w:frame="1"/>
          <w:lang w:val="es-ES"/>
        </w:rPr>
        <w:t>Fecha </w:t>
      </w:r>
      <w:r w:rsidRPr="0096658B">
        <w:rPr>
          <w:rFonts w:ascii="Times New Roman" w:hAnsi="Times New Roman" w:cs="Times New Roman"/>
          <w:i/>
          <w:iCs/>
          <w:color w:val="000000" w:themeColor="text1"/>
          <w:sz w:val="28"/>
          <w:szCs w:val="28"/>
          <w:bdr w:val="none" w:sz="0" w:space="0" w:color="auto" w:frame="1"/>
          <w:lang w:val="es-ES"/>
        </w:rPr>
        <w:t>ut supra.</w:t>
      </w:r>
    </w:p>
    <w:p w:rsidR="00DB74B8" w:rsidRPr="0096658B" w:rsidRDefault="0096658B" w:rsidP="00F200D1">
      <w:pPr>
        <w:shd w:val="clear" w:color="auto" w:fill="FFFFFF"/>
        <w:spacing w:line="293" w:lineRule="atLeast"/>
        <w:jc w:val="both"/>
        <w:textAlignment w:val="baseline"/>
        <w:rPr>
          <w:rFonts w:ascii="Times New Roman" w:hAnsi="Times New Roman" w:cs="Times New Roman"/>
          <w:color w:val="000000" w:themeColor="text1"/>
          <w:sz w:val="28"/>
          <w:szCs w:val="28"/>
          <w:lang w:val="es-ES"/>
        </w:rPr>
      </w:pPr>
    </w:p>
    <w:p w:rsidR="00DB74B8" w:rsidRPr="0096658B" w:rsidRDefault="0096658B" w:rsidP="00F200D1">
      <w:pPr>
        <w:shd w:val="clear" w:color="auto" w:fill="FFFFFF"/>
        <w:spacing w:line="293" w:lineRule="atLeast"/>
        <w:jc w:val="both"/>
        <w:textAlignment w:val="baseline"/>
        <w:rPr>
          <w:rFonts w:ascii="Times New Roman" w:hAnsi="Times New Roman" w:cs="Times New Roman"/>
          <w:color w:val="000000" w:themeColor="text1"/>
          <w:sz w:val="28"/>
          <w:szCs w:val="28"/>
          <w:lang w:val="es-ES"/>
        </w:rPr>
      </w:pPr>
    </w:p>
    <w:p w:rsidR="00DB74B8" w:rsidRPr="0096658B" w:rsidRDefault="0096658B" w:rsidP="00DB74B8">
      <w:pPr>
        <w:shd w:val="clear" w:color="auto" w:fill="FFFFFF"/>
        <w:spacing w:line="293" w:lineRule="atLeast"/>
        <w:jc w:val="center"/>
        <w:textAlignment w:val="baseline"/>
        <w:rPr>
          <w:rFonts w:ascii="Times New Roman" w:hAnsi="Times New Roman" w:cs="Times New Roman"/>
          <w:b/>
          <w:bCs/>
          <w:color w:val="000000" w:themeColor="text1"/>
          <w:sz w:val="28"/>
          <w:szCs w:val="28"/>
          <w:lang w:val="es-ES"/>
        </w:rPr>
      </w:pPr>
      <w:r w:rsidRPr="0096658B">
        <w:rPr>
          <w:rFonts w:ascii="Times New Roman" w:hAnsi="Times New Roman" w:cs="Times New Roman"/>
          <w:b/>
          <w:bCs/>
          <w:color w:val="000000" w:themeColor="text1"/>
          <w:sz w:val="28"/>
          <w:szCs w:val="28"/>
          <w:lang w:val="es-ES"/>
        </w:rPr>
        <w:t xml:space="preserve">JORGE ENRIQUE IBÁÑEZ NAJAR </w:t>
      </w:r>
    </w:p>
    <w:p w:rsidR="00DB74B8" w:rsidRPr="0096658B" w:rsidRDefault="0096658B" w:rsidP="00DB74B8">
      <w:pPr>
        <w:shd w:val="clear" w:color="auto" w:fill="FFFFFF"/>
        <w:spacing w:line="293" w:lineRule="atLeast"/>
        <w:jc w:val="center"/>
        <w:textAlignment w:val="baseline"/>
        <w:rPr>
          <w:rFonts w:ascii="Times New Roman" w:hAnsi="Times New Roman" w:cs="Times New Roman"/>
          <w:b/>
          <w:bCs/>
          <w:color w:val="000000" w:themeColor="text1"/>
          <w:sz w:val="28"/>
          <w:szCs w:val="28"/>
          <w:lang w:val="es-ES"/>
        </w:rPr>
      </w:pPr>
      <w:r w:rsidRPr="0096658B">
        <w:rPr>
          <w:rFonts w:ascii="Times New Roman" w:hAnsi="Times New Roman" w:cs="Times New Roman"/>
          <w:b/>
          <w:bCs/>
          <w:color w:val="000000" w:themeColor="text1"/>
          <w:sz w:val="28"/>
          <w:szCs w:val="28"/>
          <w:lang w:val="es-ES"/>
        </w:rPr>
        <w:t>Magistrado</w:t>
      </w:r>
    </w:p>
    <w:sectPr w:rsidR="00DB74B8" w:rsidRPr="0096658B">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96658B">
      <w:pPr>
        <w:spacing w:after="0" w:line="240" w:lineRule="auto"/>
      </w:pPr>
      <w:r>
        <w:separator/>
      </w:r>
    </w:p>
  </w:endnote>
  <w:endnote w:type="continuationSeparator" w:id="0">
    <w:p w:rsidR="00000000" w:rsidRDefault="009665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96658B">
      <w:pPr>
        <w:spacing w:after="0" w:line="240" w:lineRule="auto"/>
      </w:pPr>
      <w:r>
        <w:separator/>
      </w:r>
    </w:p>
  </w:footnote>
  <w:footnote w:type="continuationSeparator" w:id="0">
    <w:p w:rsidR="00000000" w:rsidRDefault="0096658B">
      <w:pPr>
        <w:spacing w:after="0" w:line="240" w:lineRule="auto"/>
      </w:pPr>
      <w:r>
        <w:continuationSeparator/>
      </w:r>
    </w:p>
  </w:footnote>
  <w:footnote w:id="1">
    <w:p w:rsidR="001569E9" w:rsidRPr="00B809EF" w:rsidRDefault="0096658B" w:rsidP="00F67E09">
      <w:pPr>
        <w:pStyle w:val="Textonotapie"/>
      </w:pPr>
      <w:r w:rsidRPr="00B809EF">
        <w:rPr>
          <w:rStyle w:val="Refdenotaalpie"/>
        </w:rPr>
        <w:footnoteRef/>
      </w:r>
      <w:r w:rsidRPr="00B809EF">
        <w:t xml:space="preserve"> El texto corresponde al aprobado por ambas cámaras luego del trámite de conciliación, remitido a la Corte por el Secretario General del Senado de la República. </w:t>
      </w:r>
      <w:r w:rsidRPr="00B809EF">
        <w:rPr>
          <w:i/>
        </w:rPr>
        <w:t xml:space="preserve">Ver. </w:t>
      </w:r>
      <w:r w:rsidRPr="00B809EF">
        <w:t>Expediente Digital. Expediente del trámite legislativo, pp. 327-329.</w:t>
      </w:r>
    </w:p>
  </w:footnote>
  <w:footnote w:id="2">
    <w:p w:rsidR="001569E9" w:rsidRPr="00B809EF" w:rsidRDefault="0096658B" w:rsidP="00F67E09">
      <w:pPr>
        <w:pStyle w:val="Textonotapie"/>
      </w:pPr>
      <w:r w:rsidRPr="00B809EF">
        <w:rPr>
          <w:rStyle w:val="Refdenotaalpie"/>
        </w:rPr>
        <w:footnoteRef/>
      </w:r>
      <w:r w:rsidRPr="00B809EF">
        <w:t xml:space="preserve"> Expediente digital, concepto del Ministerio de Hacienda y Crédito Público. </w:t>
      </w:r>
    </w:p>
  </w:footnote>
  <w:footnote w:id="3">
    <w:p w:rsidR="001569E9" w:rsidRPr="00B809EF" w:rsidRDefault="0096658B" w:rsidP="00F67E09">
      <w:pPr>
        <w:pStyle w:val="Textonotapie"/>
      </w:pPr>
      <w:r w:rsidRPr="00B809EF">
        <w:rPr>
          <w:rStyle w:val="Refdenotaalpie"/>
        </w:rPr>
        <w:footnoteRef/>
      </w:r>
      <w:r w:rsidRPr="00B809EF">
        <w:t xml:space="preserve"> Id., p. 4.</w:t>
      </w:r>
    </w:p>
  </w:footnote>
  <w:footnote w:id="4">
    <w:p w:rsidR="001569E9" w:rsidRPr="00B809EF" w:rsidRDefault="0096658B" w:rsidP="00F67E09">
      <w:pPr>
        <w:pStyle w:val="Textonotapie"/>
      </w:pPr>
      <w:r w:rsidRPr="00B809EF">
        <w:rPr>
          <w:rStyle w:val="Refdenotaalpie"/>
        </w:rPr>
        <w:footnoteRef/>
      </w:r>
      <w:r w:rsidRPr="00B809EF">
        <w:t xml:space="preserve"> En cuanto a las condiciones para que resulte exigible el concepto de impacto fiscal, el Ministerio de Hacienda refiere a las sentencias C-520 de 2019 y C-085 de 202</w:t>
      </w:r>
      <w:r w:rsidRPr="00B809EF">
        <w:t xml:space="preserve">2. </w:t>
      </w:r>
    </w:p>
  </w:footnote>
  <w:footnote w:id="5">
    <w:p w:rsidR="001569E9" w:rsidRPr="00B809EF" w:rsidRDefault="0096658B" w:rsidP="00F67E09">
      <w:pPr>
        <w:pStyle w:val="Textonotapie"/>
      </w:pPr>
      <w:r w:rsidRPr="00B809EF">
        <w:rPr>
          <w:rStyle w:val="Refdenotaalpie"/>
        </w:rPr>
        <w:footnoteRef/>
      </w:r>
      <w:r w:rsidRPr="00B809EF">
        <w:t xml:space="preserve"> Expediente digital. Intervención del Secretario General del Senado, p. 12.</w:t>
      </w:r>
    </w:p>
  </w:footnote>
  <w:footnote w:id="6">
    <w:p w:rsidR="001569E9" w:rsidRPr="00B809EF" w:rsidRDefault="0096658B" w:rsidP="00F67E09">
      <w:pPr>
        <w:pStyle w:val="Textonotapie"/>
      </w:pPr>
      <w:r w:rsidRPr="00B809EF">
        <w:rPr>
          <w:rStyle w:val="Refdenotaalpie"/>
        </w:rPr>
        <w:footnoteRef/>
      </w:r>
      <w:r w:rsidRPr="00B809EF">
        <w:t xml:space="preserve"> Expediente digital. Intervención del Ministerio de Justicia, p. 8.</w:t>
      </w:r>
    </w:p>
  </w:footnote>
  <w:footnote w:id="7">
    <w:p w:rsidR="001569E9" w:rsidRPr="00B809EF" w:rsidRDefault="0096658B" w:rsidP="00F67E09">
      <w:pPr>
        <w:pStyle w:val="Textonotapie"/>
      </w:pPr>
      <w:r w:rsidRPr="00B809EF">
        <w:rPr>
          <w:rStyle w:val="Refdenotaalpie"/>
        </w:rPr>
        <w:footnoteRef/>
      </w:r>
      <w:r w:rsidRPr="00B809EF">
        <w:t xml:space="preserve"> Convención Interamericana para Prevenir, Sancionar y Erradicar la Violencia contra la Mujer – Convención</w:t>
      </w:r>
      <w:r w:rsidRPr="00B809EF">
        <w:t xml:space="preserve"> de Belém do Pará. </w:t>
      </w:r>
    </w:p>
  </w:footnote>
  <w:footnote w:id="8">
    <w:p w:rsidR="001569E9" w:rsidRPr="00B809EF" w:rsidRDefault="0096658B" w:rsidP="00F67E09">
      <w:pPr>
        <w:pStyle w:val="Textonotapie"/>
      </w:pPr>
      <w:r w:rsidRPr="00B809EF">
        <w:rPr>
          <w:rStyle w:val="Refdenotaalpie"/>
        </w:rPr>
        <w:footnoteRef/>
      </w:r>
      <w:r w:rsidRPr="00B809EF">
        <w:t xml:space="preserve"> Expediente Digital. Intervención de la Comisión Colombiana de Juristas, p. 14.</w:t>
      </w:r>
    </w:p>
  </w:footnote>
  <w:footnote w:id="9">
    <w:p w:rsidR="001569E9" w:rsidRPr="00B809EF" w:rsidRDefault="0096658B" w:rsidP="00F67E09">
      <w:pPr>
        <w:pStyle w:val="Textonotapie"/>
      </w:pPr>
      <w:r w:rsidRPr="00B809EF">
        <w:rPr>
          <w:rStyle w:val="Refdenotaalpie"/>
        </w:rPr>
        <w:footnoteRef/>
      </w:r>
      <w:r w:rsidRPr="00B809EF">
        <w:t xml:space="preserve"> Expediente digital. Intervención de la Universidad Libre, p. 11</w:t>
      </w:r>
    </w:p>
  </w:footnote>
  <w:footnote w:id="10">
    <w:p w:rsidR="001569E9" w:rsidRPr="00B809EF" w:rsidRDefault="0096658B" w:rsidP="00F67E09">
      <w:pPr>
        <w:pStyle w:val="Textonotapie"/>
      </w:pPr>
      <w:r w:rsidRPr="00B809EF">
        <w:rPr>
          <w:rStyle w:val="Refdenotaalpie"/>
        </w:rPr>
        <w:footnoteRef/>
      </w:r>
      <w:r w:rsidRPr="00B809EF">
        <w:t xml:space="preserve"> “Por la cual se reglamenta la adecuada y efectiva participación de la mujer en los nive</w:t>
      </w:r>
      <w:r w:rsidRPr="00B809EF">
        <w:t>les decisorios de las diferentes ramas y órganos del poder público, de conformidad con los artículos 13, 40 y 43 de la Constitución Nacional y se dictan otras disposiciones”. El control previo de constitucionalidad de la Ley 581 de 2000 se realizó en la se</w:t>
      </w:r>
      <w:r w:rsidRPr="00B809EF">
        <w:t>ntencia C-371 de 2000.</w:t>
      </w:r>
    </w:p>
  </w:footnote>
  <w:footnote w:id="11">
    <w:p w:rsidR="001569E9" w:rsidRPr="00B809EF" w:rsidRDefault="0096658B" w:rsidP="00F67E09">
      <w:pPr>
        <w:pStyle w:val="Textonotapie"/>
      </w:pPr>
      <w:r w:rsidRPr="00B809EF">
        <w:rPr>
          <w:rStyle w:val="Refdenotaalpie"/>
        </w:rPr>
        <w:footnoteRef/>
      </w:r>
      <w:r w:rsidRPr="00B809EF">
        <w:t xml:space="preserve"> “Por la cual se adoptan reglas de organización y funcionamiento de los partidos y movimientos políticos, de los procesos electorales y se dictan otras disposiciones”. La Corte realizó el control previo de constitucionalidad de esta</w:t>
      </w:r>
      <w:r w:rsidRPr="00B809EF">
        <w:t xml:space="preserve"> Ley mediante la sentencia C-490 de 2011. </w:t>
      </w:r>
    </w:p>
  </w:footnote>
  <w:footnote w:id="12">
    <w:p w:rsidR="00FA49E5" w:rsidRPr="00B809EF" w:rsidRDefault="0096658B" w:rsidP="00FA49E5">
      <w:pPr>
        <w:pStyle w:val="Textonotapie"/>
      </w:pPr>
      <w:r w:rsidRPr="00B809EF">
        <w:rPr>
          <w:rStyle w:val="Refdenotaalpie"/>
        </w:rPr>
        <w:footnoteRef/>
      </w:r>
      <w:r w:rsidRPr="00B809EF">
        <w:t xml:space="preserve"> Sentencia C-133 de 2022, citando la sentencia C-247 de 1995. </w:t>
      </w:r>
    </w:p>
  </w:footnote>
  <w:footnote w:id="13">
    <w:p w:rsidR="00FA49E5" w:rsidRPr="00B809EF" w:rsidRDefault="0096658B" w:rsidP="00FA49E5">
      <w:pPr>
        <w:pStyle w:val="Textonotapie"/>
      </w:pPr>
      <w:r w:rsidRPr="00B809EF">
        <w:rPr>
          <w:rStyle w:val="Refdenotaalpie"/>
        </w:rPr>
        <w:footnoteRef/>
      </w:r>
      <w:r w:rsidRPr="00B809EF">
        <w:t xml:space="preserve"> Sentencias C-687 de 2002, C-162 de 2003, C-643 de 2011, C-038 de 2018, C-022 de 2021 y C-133 de 2022. </w:t>
      </w:r>
    </w:p>
  </w:footnote>
  <w:footnote w:id="14">
    <w:p w:rsidR="00FA49E5" w:rsidRPr="00B809EF" w:rsidRDefault="0096658B" w:rsidP="00FA49E5">
      <w:pPr>
        <w:pStyle w:val="Textonotapie"/>
        <w:rPr>
          <w:lang w:val="es-ES_tradnl"/>
        </w:rPr>
      </w:pPr>
      <w:r w:rsidRPr="00B809EF">
        <w:rPr>
          <w:rStyle w:val="Refdenotaalpie"/>
        </w:rPr>
        <w:footnoteRef/>
      </w:r>
      <w:r w:rsidRPr="00B809EF">
        <w:t xml:space="preserve"> </w:t>
      </w:r>
      <w:r w:rsidRPr="00B809EF">
        <w:rPr>
          <w:lang w:val="es-ES_tradnl"/>
        </w:rPr>
        <w:t>Sentencias C-522 de 2023, C-204 de 2019, C</w:t>
      </w:r>
      <w:r w:rsidRPr="00B809EF">
        <w:rPr>
          <w:lang w:val="es-ES_tradnl"/>
        </w:rPr>
        <w:t>-370 de 2019, C-007 de 2017, entre otras.</w:t>
      </w:r>
    </w:p>
  </w:footnote>
  <w:footnote w:id="15">
    <w:p w:rsidR="00FA49E5" w:rsidRPr="00B809EF" w:rsidRDefault="0096658B" w:rsidP="00FA49E5">
      <w:pPr>
        <w:pStyle w:val="Textonotapie"/>
        <w:rPr>
          <w:iCs/>
        </w:rPr>
      </w:pPr>
      <w:r w:rsidRPr="00B809EF">
        <w:rPr>
          <w:rStyle w:val="Refdenotaalpie"/>
        </w:rPr>
        <w:footnoteRef/>
      </w:r>
      <w:r w:rsidRPr="00B809EF">
        <w:t xml:space="preserve"> El objeto directo se refiere a la intención de la ley de regular de manera clara el derecho fundamental. Luego, “</w:t>
      </w:r>
      <w:r w:rsidRPr="00B809EF">
        <w:rPr>
          <w:iCs/>
        </w:rPr>
        <w:t xml:space="preserve">si el objeto de la ley es regular materias relacionadas con un derecho fundamental, pero no el derecho fundamental en sí mismo, el trámite de ley estatutaria no es requerido”. Sentencia C-818 de 2011. </w:t>
      </w:r>
      <w:r w:rsidRPr="00B809EF">
        <w:rPr>
          <w:i/>
        </w:rPr>
        <w:t>Cfr.</w:t>
      </w:r>
      <w:r w:rsidRPr="00B809EF">
        <w:rPr>
          <w:iCs/>
        </w:rPr>
        <w:t xml:space="preserve"> </w:t>
      </w:r>
      <w:r w:rsidRPr="00B809EF">
        <w:t>Sentencia C-385 de 2015.</w:t>
      </w:r>
    </w:p>
  </w:footnote>
  <w:footnote w:id="16">
    <w:p w:rsidR="00FA49E5" w:rsidRPr="00B809EF" w:rsidRDefault="0096658B" w:rsidP="00FA49E5">
      <w:pPr>
        <w:pStyle w:val="Textonotapie"/>
      </w:pPr>
      <w:r w:rsidRPr="00B809EF">
        <w:rPr>
          <w:rStyle w:val="Refdenotaalpie"/>
        </w:rPr>
        <w:footnoteRef/>
      </w:r>
      <w:r w:rsidRPr="00B809EF">
        <w:rPr>
          <w:color w:val="2D2D2D"/>
          <w:shd w:val="clear" w:color="auto" w:fill="FFFFFF"/>
        </w:rPr>
        <w:t xml:space="preserve"> Sentencia C-022 de 2021</w:t>
      </w:r>
      <w:r w:rsidRPr="00B809EF">
        <w:rPr>
          <w:color w:val="2D2D2D"/>
          <w:shd w:val="clear" w:color="auto" w:fill="FFFFFF"/>
        </w:rPr>
        <w:t>. </w:t>
      </w:r>
    </w:p>
  </w:footnote>
  <w:footnote w:id="17">
    <w:p w:rsidR="00FA49E5" w:rsidRPr="00B809EF" w:rsidRDefault="0096658B" w:rsidP="00FA49E5">
      <w:pPr>
        <w:pStyle w:val="Textonotapie"/>
      </w:pPr>
      <w:r w:rsidRPr="00B809EF">
        <w:rPr>
          <w:vertAlign w:val="superscript"/>
        </w:rPr>
        <w:footnoteRef/>
      </w:r>
      <w:r w:rsidRPr="00B809EF">
        <w:t xml:space="preserve">  Ib. </w:t>
      </w:r>
    </w:p>
  </w:footnote>
  <w:footnote w:id="18">
    <w:p w:rsidR="00FA49E5" w:rsidRPr="00B809EF" w:rsidRDefault="0096658B" w:rsidP="00FA49E5">
      <w:pPr>
        <w:pStyle w:val="Textonotapie"/>
      </w:pPr>
      <w:r w:rsidRPr="00B809EF">
        <w:rPr>
          <w:rStyle w:val="Refdenotaalpie"/>
        </w:rPr>
        <w:footnoteRef/>
      </w:r>
      <w:r w:rsidRPr="00B809EF">
        <w:t xml:space="preserve"> Sentencia C-371 de 2000, fundamento jurídico 2. </w:t>
      </w:r>
    </w:p>
  </w:footnote>
  <w:footnote w:id="19">
    <w:p w:rsidR="00FA49E5" w:rsidRPr="00B809EF" w:rsidRDefault="0096658B" w:rsidP="00FA49E5">
      <w:pPr>
        <w:pStyle w:val="Textonotapie"/>
        <w:rPr>
          <w:lang w:val="es-ES_tradnl"/>
        </w:rPr>
      </w:pPr>
      <w:r w:rsidRPr="00B809EF">
        <w:rPr>
          <w:rStyle w:val="Refdenotaalpie"/>
        </w:rPr>
        <w:footnoteRef/>
      </w:r>
      <w:r w:rsidRPr="00B809EF">
        <w:t xml:space="preserve"> </w:t>
      </w:r>
      <w:r w:rsidRPr="00B809EF">
        <w:rPr>
          <w:lang w:val="es-ES_tradnl"/>
        </w:rPr>
        <w:t xml:space="preserve">Sentencia C-484 de 2017. </w:t>
      </w:r>
      <w:r w:rsidRPr="00B809EF">
        <w:rPr>
          <w:i/>
          <w:iCs/>
          <w:lang w:val="es-ES_tradnl"/>
        </w:rPr>
        <w:t>Cfr.</w:t>
      </w:r>
      <w:r w:rsidRPr="00B809EF">
        <w:rPr>
          <w:lang w:val="es-ES_tradnl"/>
        </w:rPr>
        <w:t xml:space="preserve"> </w:t>
      </w:r>
      <w:r w:rsidRPr="00B809EF">
        <w:rPr>
          <w:color w:val="2D2D2D"/>
          <w:shd w:val="clear" w:color="auto" w:fill="FFFFFF"/>
        </w:rPr>
        <w:t>Sentencias C-490 de 2011, C-713 de 2008 y C-295 de 2002.</w:t>
      </w:r>
    </w:p>
  </w:footnote>
  <w:footnote w:id="20">
    <w:p w:rsidR="001569E9" w:rsidRPr="00B809EF" w:rsidRDefault="0096658B" w:rsidP="00F67E09">
      <w:pPr>
        <w:pStyle w:val="Textonotapie"/>
      </w:pPr>
      <w:r w:rsidRPr="00B809EF">
        <w:rPr>
          <w:rStyle w:val="Refdenotaalpie"/>
        </w:rPr>
        <w:footnoteRef/>
      </w:r>
      <w:r w:rsidRPr="00B809EF">
        <w:t xml:space="preserve"> Sentencias C-540 de 2012 y C-032 de 2021, entre otras. </w:t>
      </w:r>
    </w:p>
  </w:footnote>
  <w:footnote w:id="21">
    <w:p w:rsidR="001569E9" w:rsidRPr="00B809EF" w:rsidRDefault="0096658B" w:rsidP="00F67E09">
      <w:pPr>
        <w:pStyle w:val="Textonotapie"/>
      </w:pPr>
      <w:r w:rsidRPr="00B809EF">
        <w:rPr>
          <w:rStyle w:val="Refdenotaalpie"/>
        </w:rPr>
        <w:footnoteRef/>
      </w:r>
      <w:r w:rsidRPr="00B809EF">
        <w:t xml:space="preserve"> Pp. 1-13.</w:t>
      </w:r>
    </w:p>
  </w:footnote>
  <w:footnote w:id="22">
    <w:p w:rsidR="001569E9" w:rsidRPr="00B809EF" w:rsidRDefault="0096658B" w:rsidP="00F67E09">
      <w:pPr>
        <w:pStyle w:val="Textonotapie"/>
      </w:pPr>
      <w:r w:rsidRPr="00B809EF">
        <w:rPr>
          <w:rStyle w:val="Refdenotaalpie"/>
        </w:rPr>
        <w:footnoteRef/>
      </w:r>
      <w:r w:rsidRPr="00B809EF">
        <w:t xml:space="preserve"> Sentencia C-011 de 2010.</w:t>
      </w:r>
    </w:p>
  </w:footnote>
  <w:footnote w:id="23">
    <w:p w:rsidR="001569E9" w:rsidRPr="00B809EF" w:rsidRDefault="0096658B" w:rsidP="00F67E09">
      <w:pPr>
        <w:pStyle w:val="Textonotapie"/>
      </w:pPr>
      <w:r w:rsidRPr="00B809EF">
        <w:rPr>
          <w:rStyle w:val="Refdenotaalpie"/>
        </w:rPr>
        <w:footnoteRef/>
      </w:r>
      <w:r w:rsidRPr="00B809EF">
        <w:t xml:space="preserve"> Senten</w:t>
      </w:r>
      <w:r w:rsidRPr="00B809EF">
        <w:t>cia C-032 de 2021, fundamento jurídico 31.</w:t>
      </w:r>
    </w:p>
  </w:footnote>
  <w:footnote w:id="24">
    <w:p w:rsidR="001569E9" w:rsidRPr="00B809EF" w:rsidRDefault="0096658B" w:rsidP="00F67E09">
      <w:pPr>
        <w:pStyle w:val="Textonotapie"/>
      </w:pPr>
      <w:r w:rsidRPr="00B809EF">
        <w:rPr>
          <w:rStyle w:val="Refdenotaalpie"/>
        </w:rPr>
        <w:footnoteRef/>
      </w:r>
      <w:r w:rsidRPr="00B809EF">
        <w:t xml:space="preserve"> Sentencia C-252 de 2019. “La misma disposición prevé que el deber de llevar a cabo el anuncio previo a la votación está a cargo del Presidente de la Cámara o de la Comisión respectiva, y, en todo caso, debe surt</w:t>
      </w:r>
      <w:r w:rsidRPr="00B809EF">
        <w:t xml:space="preserve">irse “en sesión distinta a aquella en la cual se realizará la votación”. </w:t>
      </w:r>
      <w:r w:rsidRPr="00B809EF">
        <w:rPr>
          <w:i/>
          <w:iCs/>
        </w:rPr>
        <w:t>Cfr</w:t>
      </w:r>
      <w:r w:rsidRPr="00B809EF">
        <w:t>. Sentencias C-644 de 2004, C-305 de 2010 y C-214 de 2017. En estas sentencias, la Corte ha desarrollado las siguientes sub-reglas en relación las características del anuncio previ</w:t>
      </w:r>
      <w:r w:rsidRPr="00B809EF">
        <w:t xml:space="preserve">o: </w:t>
      </w:r>
      <w:r w:rsidRPr="00B809EF">
        <w:rPr>
          <w:i/>
          <w:iCs/>
        </w:rPr>
        <w:t>(i)</w:t>
      </w:r>
      <w:r w:rsidRPr="00B809EF">
        <w:t xml:space="preserve"> no exige el uso de fórmulas sacramentales; </w:t>
      </w:r>
      <w:r w:rsidRPr="00B809EF">
        <w:rPr>
          <w:i/>
          <w:iCs/>
        </w:rPr>
        <w:t>(ii)</w:t>
      </w:r>
      <w:r w:rsidRPr="00B809EF">
        <w:t xml:space="preserve"> debe determinar la sesión futura en que tendrá lugar la votación del proyecto; </w:t>
      </w:r>
      <w:r w:rsidRPr="00B809EF">
        <w:rPr>
          <w:i/>
          <w:iCs/>
        </w:rPr>
        <w:t>(iii)</w:t>
      </w:r>
      <w:r w:rsidRPr="00B809EF">
        <w:t xml:space="preserve"> la fecha de esa sesión posterior ha de ser cierta, determinada o, por lo menos, determinable; </w:t>
      </w:r>
      <w:r w:rsidRPr="00B809EF">
        <w:rPr>
          <w:i/>
          <w:iCs/>
        </w:rPr>
        <w:t>(iv)</w:t>
      </w:r>
      <w:r w:rsidRPr="00B809EF">
        <w:t xml:space="preserve"> debe llevarse a c</w:t>
      </w:r>
      <w:r w:rsidRPr="00B809EF">
        <w:t xml:space="preserve">abo una “cadena de anuncios por aplazamiento de la votación”; y </w:t>
      </w:r>
      <w:r w:rsidRPr="00B809EF">
        <w:rPr>
          <w:i/>
          <w:iCs/>
        </w:rPr>
        <w:t>(v)</w:t>
      </w:r>
      <w:r w:rsidRPr="00B809EF">
        <w:t xml:space="preserve"> se dará por satisfecho el requisito de “anuncio previo del debate cuando a pesar de no efectuarse la votación en la fecha prevista, finalmente ésta se realiza en la primera ocasión en que </w:t>
      </w:r>
      <w:r w:rsidRPr="00B809EF">
        <w:t>vuelve a sesionarse”.</w:t>
      </w:r>
    </w:p>
  </w:footnote>
  <w:footnote w:id="25">
    <w:p w:rsidR="001569E9" w:rsidRPr="00B809EF" w:rsidRDefault="0096658B" w:rsidP="00F67E09">
      <w:pPr>
        <w:pStyle w:val="Textonotapie"/>
      </w:pPr>
      <w:r w:rsidRPr="00B809EF">
        <w:rPr>
          <w:rStyle w:val="Refdenotaalpie"/>
        </w:rPr>
        <w:footnoteRef/>
      </w:r>
      <w:r w:rsidRPr="00B809EF">
        <w:t xml:space="preserve"> Acta No. 17 de la sesión del 4 de octubre de 2022, publicada en la Gaceta del Congreso 1718 del 22 de diciembre de 2022, p. 2.</w:t>
      </w:r>
    </w:p>
  </w:footnote>
  <w:footnote w:id="26">
    <w:p w:rsidR="001569E9" w:rsidRPr="00B809EF" w:rsidRDefault="0096658B" w:rsidP="00F67E09">
      <w:pPr>
        <w:pStyle w:val="Textonotapie"/>
      </w:pPr>
      <w:r w:rsidRPr="00B809EF">
        <w:rPr>
          <w:rStyle w:val="Refdenotaalpie"/>
        </w:rPr>
        <w:footnoteRef/>
      </w:r>
      <w:r w:rsidRPr="00B809EF">
        <w:t xml:space="preserve"> Acta No. 34 de la sesión plenaria del 13 de diciembre de 2022, publicada en la Gaceta del Congreso 277 </w:t>
      </w:r>
      <w:r w:rsidRPr="00B809EF">
        <w:t xml:space="preserve">del 10 de abril de 2023, p. 15. </w:t>
      </w:r>
    </w:p>
  </w:footnote>
  <w:footnote w:id="27">
    <w:p w:rsidR="001569E9" w:rsidRPr="00B809EF" w:rsidRDefault="0096658B" w:rsidP="00F67E09">
      <w:pPr>
        <w:pStyle w:val="Textonotapie"/>
      </w:pPr>
      <w:r w:rsidRPr="00B809EF">
        <w:rPr>
          <w:rStyle w:val="Refdenotaalpie"/>
        </w:rPr>
        <w:footnoteRef/>
      </w:r>
      <w:r w:rsidRPr="00B809EF">
        <w:t xml:space="preserve"> Acta No. 47 de la sesión del 9 de mayo de 2023, publicada en la Gaceta del Congreso 809 del 4 de julio de 2023, p. 9.</w:t>
      </w:r>
    </w:p>
  </w:footnote>
  <w:footnote w:id="28">
    <w:p w:rsidR="001569E9" w:rsidRPr="00B809EF" w:rsidRDefault="0096658B" w:rsidP="00F67E09">
      <w:pPr>
        <w:pStyle w:val="Textonotapie"/>
      </w:pPr>
      <w:r w:rsidRPr="00B809EF">
        <w:rPr>
          <w:rStyle w:val="Refdenotaalpie"/>
        </w:rPr>
        <w:footnoteRef/>
      </w:r>
      <w:r w:rsidRPr="00B809EF">
        <w:t xml:space="preserve"> Acta No. 66 de la sesión plenaria del 14 de junio de 2023, publicada en la Gaceta del Congreso 1402 del 4 de octubre de 2023, p. 52.</w:t>
      </w:r>
    </w:p>
  </w:footnote>
  <w:footnote w:id="29">
    <w:p w:rsidR="001569E9" w:rsidRPr="00B809EF" w:rsidRDefault="0096658B" w:rsidP="00F67E09">
      <w:pPr>
        <w:pStyle w:val="Textonotapie"/>
      </w:pPr>
      <w:r w:rsidRPr="00B809EF">
        <w:rPr>
          <w:rStyle w:val="Refdenotaalpie"/>
        </w:rPr>
        <w:footnoteRef/>
      </w:r>
      <w:r w:rsidRPr="00B809EF">
        <w:t xml:space="preserve"> Acta No. 59 de la sesión plenaria del 27 de julio de 2023, publicada en la Gaceta del Congreso 933 del 27 de julio de 20</w:t>
      </w:r>
      <w:r w:rsidRPr="00B809EF">
        <w:t>23, p. 6.</w:t>
      </w:r>
    </w:p>
  </w:footnote>
  <w:footnote w:id="30">
    <w:p w:rsidR="001569E9" w:rsidRPr="00B809EF" w:rsidRDefault="0096658B" w:rsidP="00F67E09">
      <w:pPr>
        <w:pStyle w:val="Textonotapie"/>
      </w:pPr>
      <w:r w:rsidRPr="00B809EF">
        <w:rPr>
          <w:rStyle w:val="Refdenotaalpie"/>
        </w:rPr>
        <w:footnoteRef/>
      </w:r>
      <w:r w:rsidRPr="00B809EF">
        <w:t xml:space="preserve"> Acta No. 68 de la sesión plenaria del 16 de junio de 2023, publicada en la Gaceta del Congreso 1706 del 4 de diciembre de 2023, p. 133. </w:t>
      </w:r>
    </w:p>
  </w:footnote>
  <w:footnote w:id="31">
    <w:p w:rsidR="001569E9" w:rsidRPr="00B809EF" w:rsidRDefault="0096658B" w:rsidP="00F67E09">
      <w:pPr>
        <w:pStyle w:val="Textonotapie"/>
      </w:pPr>
      <w:r w:rsidRPr="00B809EF">
        <w:rPr>
          <w:rStyle w:val="Refdenotaalpie"/>
        </w:rPr>
        <w:footnoteRef/>
      </w:r>
      <w:r w:rsidRPr="00B809EF">
        <w:t xml:space="preserve"> Sentencias C-947 de 2014, C-337 de 2015, C-492 de 2019 y C-032 de 2021. </w:t>
      </w:r>
    </w:p>
  </w:footnote>
  <w:footnote w:id="32">
    <w:p w:rsidR="001569E9" w:rsidRPr="00B809EF" w:rsidRDefault="0096658B" w:rsidP="00F67E09">
      <w:pPr>
        <w:pStyle w:val="Textonotapie"/>
      </w:pPr>
      <w:r w:rsidRPr="00B809EF">
        <w:rPr>
          <w:rStyle w:val="Refdenotaalpie"/>
        </w:rPr>
        <w:footnoteRef/>
      </w:r>
      <w:r w:rsidRPr="00B809EF">
        <w:t xml:space="preserve"> En efecto, en el acta de la sesión se señala que “Siendo las 1:59 p. m., la Presidencia levanta la sesión, y convoca a sesión conjunta de las Comisiones Primeras del honorable Senado de la República, y la honorable Cámara de Representantes, para el día mi</w:t>
      </w:r>
      <w:r w:rsidRPr="00B809EF">
        <w:t>ércoles 5 de octubre de 2022 a partir de las 9:00 a. m., en el salón Guillermo Valencia del Capitolio Nacional.” Gaceta del Congreso 1718 de 2022, p. 53.</w:t>
      </w:r>
    </w:p>
  </w:footnote>
  <w:footnote w:id="33">
    <w:p w:rsidR="001569E9" w:rsidRPr="00B809EF" w:rsidRDefault="0096658B" w:rsidP="00F67E09">
      <w:pPr>
        <w:pStyle w:val="Textonotapie"/>
        <w:rPr>
          <w:lang w:val="es-ES_tradnl"/>
        </w:rPr>
      </w:pPr>
      <w:r w:rsidRPr="00B809EF">
        <w:rPr>
          <w:rStyle w:val="Refdenotaalpie"/>
        </w:rPr>
        <w:footnoteRef/>
      </w:r>
      <w:r w:rsidRPr="00B809EF">
        <w:t xml:space="preserve"> La mayoría absoluta se verifica cuando la decisión es adoptada por la mayoría de los votos de los in</w:t>
      </w:r>
      <w:r w:rsidRPr="00B809EF">
        <w:t xml:space="preserve">tegrantes de la comisión o plenaria correspondiente. Ley 5ª de 1992, artículo 117-2. </w:t>
      </w:r>
    </w:p>
  </w:footnote>
  <w:footnote w:id="34">
    <w:p w:rsidR="001569E9" w:rsidRPr="00B809EF" w:rsidRDefault="0096658B" w:rsidP="00F67E09">
      <w:pPr>
        <w:pStyle w:val="Textonotapie"/>
      </w:pPr>
      <w:r w:rsidRPr="00B809EF">
        <w:rPr>
          <w:rStyle w:val="Refdenotaalpie"/>
        </w:rPr>
        <w:footnoteRef/>
      </w:r>
      <w:r w:rsidRPr="00B809EF">
        <w:t xml:space="preserve"> Corresponde a la cuarta parte de los miembros de la respectiva corporación o comisión permanente. Ley 5ª de 1992, artículo 116-1.</w:t>
      </w:r>
    </w:p>
  </w:footnote>
  <w:footnote w:id="35">
    <w:p w:rsidR="001569E9" w:rsidRPr="00B809EF" w:rsidRDefault="0096658B" w:rsidP="00F67E09">
      <w:pPr>
        <w:pStyle w:val="Textonotapie"/>
      </w:pPr>
      <w:r w:rsidRPr="00B809EF">
        <w:rPr>
          <w:rStyle w:val="Refdenotaalpie"/>
        </w:rPr>
        <w:footnoteRef/>
      </w:r>
      <w:r w:rsidRPr="00B809EF">
        <w:t xml:space="preserve"> El </w:t>
      </w:r>
      <w:r w:rsidRPr="00B809EF">
        <w:rPr>
          <w:i/>
          <w:iCs/>
        </w:rPr>
        <w:t>quorum</w:t>
      </w:r>
      <w:r w:rsidRPr="00B809EF">
        <w:t xml:space="preserve"> decisorio ordinario corres</w:t>
      </w:r>
      <w:r w:rsidRPr="00B809EF">
        <w:t>ponde a la mayoría de los integrantes de la corporación o comisión permanente. Ley 5ª de 1992, artículo 116-2.</w:t>
      </w:r>
    </w:p>
  </w:footnote>
  <w:footnote w:id="36">
    <w:p w:rsidR="001569E9" w:rsidRPr="00B809EF" w:rsidRDefault="0096658B" w:rsidP="00F67E09">
      <w:pPr>
        <w:pStyle w:val="Textonotapie"/>
      </w:pPr>
      <w:r w:rsidRPr="00B809EF">
        <w:rPr>
          <w:rStyle w:val="Refdenotaalpie"/>
        </w:rPr>
        <w:footnoteRef/>
      </w:r>
      <w:r w:rsidRPr="00B809EF">
        <w:t xml:space="preserve"> Para el cálculo de la mayoría absoluta, la jurisprudencia utiliza como parámetro el número entero siguiente a la mitad de los integrantes de la</w:t>
      </w:r>
      <w:r w:rsidRPr="00B809EF">
        <w:t xml:space="preserve"> comisión o plenaria respectiva. Sobre el particular, la sentencia C-784 de 2014 expresó: “En la jurisprudencia de la Corte, en el derecho comparado, en la doctrina y en la práctica parlamentaria, cuando se tiene en cuenta el caso de las asambleas impares,</w:t>
      </w:r>
      <w:r w:rsidRPr="00B809EF">
        <w:t xml:space="preserve"> se concibe la mayoría absoluta o bien como cualquier número entero superior a la mitad de los integrantes, o bien como más de la mitad de los integrantes, o bien como la mayoría de los integrantes de una célula. Si la Corporación está integrada por un núm</w:t>
      </w:r>
      <w:r w:rsidRPr="00B809EF">
        <w:t>ero par –y tiene 102 miembros-, la mayoría absoluta es 52 o más; si la conforma un número impar –y tiene 105 miembros- la mayoría absoluta es 53 o más. En ambos casos, los resultados responden exactamente a cualquiera de las definiciones antes mencionadas.</w:t>
      </w:r>
      <w:r w:rsidRPr="00B809EF">
        <w:t xml:space="preserve"> No es necesario variar la definición, según si el cuerpo está constituido por un número par o impar”.</w:t>
      </w:r>
    </w:p>
  </w:footnote>
  <w:footnote w:id="37">
    <w:p w:rsidR="001569E9" w:rsidRPr="00B809EF" w:rsidRDefault="0096658B" w:rsidP="00F67E09">
      <w:pPr>
        <w:pStyle w:val="Textonotapie"/>
      </w:pPr>
      <w:r w:rsidRPr="00B809EF">
        <w:rPr>
          <w:rStyle w:val="Refdenotaalpie"/>
        </w:rPr>
        <w:footnoteRef/>
      </w:r>
      <w:r w:rsidRPr="00B809EF">
        <w:t xml:space="preserve"> 35 miembros que prevé el artículo 2º de la Ley 3ª de 1992, uno adicional conforme la Ley 1909 de 2018, dos miembros para los cuatrienios legislativos 2</w:t>
      </w:r>
      <w:r w:rsidRPr="00B809EF">
        <w:t xml:space="preserve">018-2022 y 2022-2026 de acuerdo con la Ley 1921 de 2018 y tres miembros adicionales para los cuatrienios 2022-2026 y 2023-2030, conforme la Ley 2267 de 2022. </w:t>
      </w:r>
    </w:p>
  </w:footnote>
  <w:footnote w:id="38">
    <w:p w:rsidR="001569E9" w:rsidRPr="00B809EF" w:rsidRDefault="0096658B" w:rsidP="00F67E09">
      <w:pPr>
        <w:pStyle w:val="Textonotapie"/>
      </w:pPr>
      <w:r w:rsidRPr="00B809EF">
        <w:rPr>
          <w:rStyle w:val="Refdenotaalpie"/>
        </w:rPr>
        <w:footnoteRef/>
      </w:r>
      <w:r w:rsidRPr="00B809EF">
        <w:t xml:space="preserve"> Gaceta del Congreso 95 de 2023, p. 1.</w:t>
      </w:r>
    </w:p>
  </w:footnote>
  <w:footnote w:id="39">
    <w:p w:rsidR="001569E9" w:rsidRPr="00B809EF" w:rsidRDefault="0096658B" w:rsidP="00F67E09">
      <w:pPr>
        <w:pStyle w:val="Textonotapie"/>
      </w:pPr>
      <w:r w:rsidRPr="00B809EF">
        <w:rPr>
          <w:rStyle w:val="Refdenotaalpie"/>
        </w:rPr>
        <w:footnoteRef/>
      </w:r>
      <w:r w:rsidRPr="00B809EF">
        <w:t xml:space="preserve"> Id., p. 19.</w:t>
      </w:r>
    </w:p>
  </w:footnote>
  <w:footnote w:id="40">
    <w:p w:rsidR="001569E9" w:rsidRPr="00B809EF" w:rsidRDefault="0096658B" w:rsidP="00F67E09">
      <w:pPr>
        <w:pStyle w:val="Textonotapie"/>
      </w:pPr>
      <w:r w:rsidRPr="00B809EF">
        <w:rPr>
          <w:rStyle w:val="Refdenotaalpie"/>
        </w:rPr>
        <w:footnoteRef/>
      </w:r>
      <w:r w:rsidRPr="00B809EF">
        <w:t xml:space="preserve"> Id., p. 20.</w:t>
      </w:r>
    </w:p>
  </w:footnote>
  <w:footnote w:id="41">
    <w:p w:rsidR="001569E9" w:rsidRPr="00B809EF" w:rsidRDefault="0096658B" w:rsidP="00F67E09">
      <w:pPr>
        <w:pStyle w:val="Textonotapie"/>
      </w:pPr>
      <w:r w:rsidRPr="00B809EF">
        <w:rPr>
          <w:rStyle w:val="Refdenotaalpie"/>
        </w:rPr>
        <w:footnoteRef/>
      </w:r>
      <w:r w:rsidRPr="00B809EF">
        <w:t xml:space="preserve"> Gaceta del Congreso 285 de </w:t>
      </w:r>
      <w:r w:rsidRPr="00B809EF">
        <w:t>2023, pp. 1-2.</w:t>
      </w:r>
    </w:p>
  </w:footnote>
  <w:footnote w:id="42">
    <w:p w:rsidR="001569E9" w:rsidRPr="00B809EF" w:rsidRDefault="0096658B" w:rsidP="00F67E09">
      <w:pPr>
        <w:pStyle w:val="Textonotapie"/>
      </w:pPr>
      <w:r w:rsidRPr="00B809EF">
        <w:rPr>
          <w:rStyle w:val="Refdenotaalpie"/>
        </w:rPr>
        <w:footnoteRef/>
      </w:r>
      <w:r w:rsidRPr="00B809EF">
        <w:t xml:space="preserve"> Id., p. 49-50.</w:t>
      </w:r>
    </w:p>
  </w:footnote>
  <w:footnote w:id="43">
    <w:p w:rsidR="001569E9" w:rsidRPr="00B809EF" w:rsidRDefault="0096658B" w:rsidP="00F67E09">
      <w:pPr>
        <w:pStyle w:val="Textonotapie"/>
      </w:pPr>
      <w:r w:rsidRPr="00B809EF">
        <w:rPr>
          <w:rStyle w:val="Refdenotaalpie"/>
        </w:rPr>
        <w:footnoteRef/>
      </w:r>
      <w:r w:rsidRPr="00B809EF">
        <w:t xml:space="preserve"> Id., p. 50-51.</w:t>
      </w:r>
    </w:p>
  </w:footnote>
  <w:footnote w:id="44">
    <w:p w:rsidR="001569E9" w:rsidRPr="00B809EF" w:rsidRDefault="0096658B" w:rsidP="00F67E09">
      <w:pPr>
        <w:pStyle w:val="Textonotapie"/>
      </w:pPr>
      <w:r w:rsidRPr="00B809EF">
        <w:rPr>
          <w:rStyle w:val="Refdenotaalpie"/>
        </w:rPr>
        <w:footnoteRef/>
      </w:r>
      <w:r w:rsidRPr="00B809EF">
        <w:t xml:space="preserve"> Id., p. 51-52.</w:t>
      </w:r>
    </w:p>
  </w:footnote>
  <w:footnote w:id="45">
    <w:p w:rsidR="001569E9" w:rsidRPr="00B809EF" w:rsidRDefault="0096658B" w:rsidP="00F67E09">
      <w:pPr>
        <w:pStyle w:val="Textonotapie"/>
        <w:rPr>
          <w:i/>
        </w:rPr>
      </w:pPr>
      <w:r w:rsidRPr="00B809EF">
        <w:rPr>
          <w:rStyle w:val="Refdenotaalpie"/>
        </w:rPr>
        <w:footnoteRef/>
      </w:r>
      <w:r w:rsidRPr="00B809EF">
        <w:t xml:space="preserve"> Sobre la inclusión de las proposiciones, el presidente de la Comisión explicó el asunto antes de someter la votación el título y el articulado en bloque, del modo siguiente: </w:t>
      </w:r>
      <w:r w:rsidRPr="00B809EF">
        <w:rPr>
          <w:i/>
        </w:rPr>
        <w:t>“Entendido Sen</w:t>
      </w:r>
      <w:r w:rsidRPr="00B809EF">
        <w:rPr>
          <w:i/>
        </w:rPr>
        <w:t>ador Alejandro, yo creo que la</w:t>
      </w:r>
    </w:p>
    <w:p w:rsidR="001569E9" w:rsidRPr="00B809EF" w:rsidRDefault="0096658B" w:rsidP="00F67E09">
      <w:pPr>
        <w:pStyle w:val="Textonotapie"/>
      </w:pPr>
      <w:r w:rsidRPr="00B809EF">
        <w:t>ponente la avala también para votar en bloque, entonces con las proposiciones leídas avaladas, son listas abiertas Senador Alejandro, son listas abiertas, de manera que no, la garantiza simplemente que en la lista haya la mit</w:t>
      </w:r>
      <w:r w:rsidRPr="00B809EF">
        <w:t>ad como ocurre hoy, ¿nos la deja como constancia?, gracias, Senador Alejandro, queda como constancia.</w:t>
      </w:r>
    </w:p>
    <w:p w:rsidR="001569E9" w:rsidRPr="00B809EF" w:rsidRDefault="0096658B" w:rsidP="00F67E09">
      <w:pPr>
        <w:pStyle w:val="Textonotapie"/>
      </w:pPr>
      <w:r w:rsidRPr="00B809EF">
        <w:t>Entonces, sometemos a votación el bloque del articulado, la omisión de la lectura, las proposiciones avaladas que han sido informadas, el título y la preg</w:t>
      </w:r>
      <w:r w:rsidRPr="00B809EF">
        <w:t xml:space="preserve">unta. Lea el título señor Secretario. </w:t>
      </w:r>
    </w:p>
    <w:p w:rsidR="001569E9" w:rsidRPr="00B809EF" w:rsidRDefault="0096658B" w:rsidP="00F67E09">
      <w:pPr>
        <w:pStyle w:val="Textonotapie"/>
      </w:pPr>
      <w:r w:rsidRPr="00B809EF">
        <w:t xml:space="preserve">La Presidencia somete a consideración de la plenaria la omisión de la lectura del articulado y, cierra su discusión. </w:t>
      </w:r>
    </w:p>
    <w:p w:rsidR="001569E9" w:rsidRPr="00B809EF" w:rsidRDefault="0096658B" w:rsidP="00F67E09">
      <w:pPr>
        <w:pStyle w:val="Textonotapie"/>
        <w:rPr>
          <w:iCs/>
        </w:rPr>
      </w:pPr>
      <w:r w:rsidRPr="00B809EF">
        <w:t>La Presidencia somete a consideración de la plenaria el bloque del articulado con las proposiciones</w:t>
      </w:r>
      <w:r w:rsidRPr="00B809EF">
        <w:t xml:space="preserve"> modificativas avaladas a los artículos 3º y 4º presentadas por los honorables Senadores Gustavo Bolívar Moreno y Óscar Mauricio Giraldo Hernández al Proyecto de ley número 93 de 2022 Senado y, cerrada su discusión pregunta: ¿Adopta la plenaria el articula</w:t>
      </w:r>
      <w:r w:rsidRPr="00B809EF">
        <w:t xml:space="preserve">do con las modificaciones propuestas?”. </w:t>
      </w:r>
      <w:r w:rsidRPr="00B809EF">
        <w:rPr>
          <w:iCs/>
        </w:rPr>
        <w:t>Id., p. 51.</w:t>
      </w:r>
    </w:p>
  </w:footnote>
  <w:footnote w:id="46">
    <w:p w:rsidR="001569E9" w:rsidRPr="00B809EF" w:rsidRDefault="0096658B" w:rsidP="00F67E09">
      <w:pPr>
        <w:pStyle w:val="Textonotapie"/>
      </w:pPr>
      <w:r w:rsidRPr="00B809EF">
        <w:rPr>
          <w:rStyle w:val="Refdenotaalpie"/>
        </w:rPr>
        <w:footnoteRef/>
      </w:r>
      <w:r w:rsidRPr="00B809EF">
        <w:t xml:space="preserve"> Id., p. 52-53.</w:t>
      </w:r>
    </w:p>
  </w:footnote>
  <w:footnote w:id="47">
    <w:p w:rsidR="001569E9" w:rsidRPr="00B809EF" w:rsidRDefault="0096658B" w:rsidP="00F67E09">
      <w:pPr>
        <w:pStyle w:val="Textonotapie"/>
      </w:pPr>
      <w:r w:rsidRPr="00B809EF">
        <w:rPr>
          <w:rStyle w:val="Refdenotaalpie"/>
        </w:rPr>
        <w:footnoteRef/>
      </w:r>
      <w:r w:rsidRPr="00B809EF">
        <w:t xml:space="preserve"> Gaceta del Congreso 810 de 2023, pp. 1-2.</w:t>
      </w:r>
    </w:p>
  </w:footnote>
  <w:footnote w:id="48">
    <w:p w:rsidR="001569E9" w:rsidRPr="00B809EF" w:rsidRDefault="0096658B" w:rsidP="00F67E09">
      <w:pPr>
        <w:pStyle w:val="Textonotapie"/>
      </w:pPr>
      <w:r w:rsidRPr="00B809EF">
        <w:rPr>
          <w:rStyle w:val="Refdenotaalpie"/>
        </w:rPr>
        <w:footnoteRef/>
      </w:r>
      <w:r w:rsidRPr="00B809EF">
        <w:t xml:space="preserve"> La primera proposición fue presentada por el representante Pedro Suárez Vaca y el contenido, modificatorio del parágrafo 4º del artículo 1º, </w:t>
      </w:r>
      <w:r w:rsidRPr="00B809EF">
        <w:t>es el siguiente: “El Gobierno nacional, por medio del Ministerio de la Igualdad o quien haga sus veces, deberá rendir un informe bianual a las Comisiones Primeras Constitucionales del Congreso de la República donde se presente un balance respecto a la impl</w:t>
      </w:r>
      <w:r w:rsidRPr="00B809EF">
        <w:t>ementación de las medidas para garantizar la participación paritaria de las mujeres en los cargos de máximo nivel decisorio y cargo de otro nivel decisorio en el orden nacional, departamental, municipal, distrital y local.” La segunda proposición fue formu</w:t>
      </w:r>
      <w:r w:rsidRPr="00B809EF">
        <w:t>lada por la representante Piedad Correal y modificaba el parágrafo 2º del artículo 1º del modo siguiente: “El Gobierno nacional en el plazo de seis meses, contados a partir de la entrada en vigencia de la presente ley, aplicará lo pertinente a los cargos a</w:t>
      </w:r>
      <w:r w:rsidRPr="00B809EF">
        <w:t xml:space="preserve"> los cuales les aplicará la presente ley”. Id., p. 11.</w:t>
      </w:r>
    </w:p>
  </w:footnote>
  <w:footnote w:id="49">
    <w:p w:rsidR="001569E9" w:rsidRPr="00B809EF" w:rsidRDefault="0096658B" w:rsidP="00F67E09">
      <w:pPr>
        <w:pStyle w:val="Textonotapie"/>
      </w:pPr>
      <w:r w:rsidRPr="00B809EF">
        <w:rPr>
          <w:rStyle w:val="Refdenotaalpie"/>
        </w:rPr>
        <w:footnoteRef/>
      </w:r>
      <w:r w:rsidRPr="00B809EF">
        <w:t xml:space="preserve"> Id., pp. 11-12.</w:t>
      </w:r>
    </w:p>
  </w:footnote>
  <w:footnote w:id="50">
    <w:p w:rsidR="001569E9" w:rsidRPr="00B809EF" w:rsidRDefault="0096658B" w:rsidP="00F67E09">
      <w:pPr>
        <w:pStyle w:val="Textonotapie"/>
      </w:pPr>
      <w:r w:rsidRPr="00B809EF">
        <w:rPr>
          <w:rStyle w:val="Refdenotaalpie"/>
        </w:rPr>
        <w:footnoteRef/>
      </w:r>
      <w:r w:rsidRPr="00B809EF">
        <w:t xml:space="preserve"> Id., pp. 12-13.</w:t>
      </w:r>
    </w:p>
  </w:footnote>
  <w:footnote w:id="51">
    <w:p w:rsidR="001569E9" w:rsidRPr="00B809EF" w:rsidRDefault="0096658B" w:rsidP="00F67E09">
      <w:pPr>
        <w:pStyle w:val="Textonotapie"/>
      </w:pPr>
      <w:r w:rsidRPr="00B809EF">
        <w:rPr>
          <w:rStyle w:val="Refdenotaalpie"/>
        </w:rPr>
        <w:footnoteRef/>
      </w:r>
      <w:r w:rsidRPr="00B809EF">
        <w:t xml:space="preserve"> Id., p. 14.</w:t>
      </w:r>
    </w:p>
  </w:footnote>
  <w:footnote w:id="52">
    <w:p w:rsidR="001569E9" w:rsidRPr="00B809EF" w:rsidRDefault="0096658B" w:rsidP="00F67E09">
      <w:pPr>
        <w:pStyle w:val="Textonotapie"/>
      </w:pPr>
      <w:r w:rsidRPr="00B809EF">
        <w:rPr>
          <w:rStyle w:val="Refdenotaalpie"/>
        </w:rPr>
        <w:footnoteRef/>
      </w:r>
      <w:r w:rsidRPr="00B809EF">
        <w:t xml:space="preserve"> Id., p. 14-15.</w:t>
      </w:r>
    </w:p>
  </w:footnote>
  <w:footnote w:id="53">
    <w:p w:rsidR="001569E9" w:rsidRPr="00B809EF" w:rsidRDefault="0096658B" w:rsidP="00F67E09">
      <w:pPr>
        <w:pStyle w:val="Textonotapie"/>
      </w:pPr>
      <w:r w:rsidRPr="00B809EF">
        <w:rPr>
          <w:rStyle w:val="Refdenotaalpie"/>
        </w:rPr>
        <w:footnoteRef/>
      </w:r>
      <w:r w:rsidRPr="00B809EF">
        <w:t xml:space="preserve"> Gaceta del Congreso 1504 de 2023, p. 1-9. </w:t>
      </w:r>
    </w:p>
  </w:footnote>
  <w:footnote w:id="54">
    <w:p w:rsidR="001569E9" w:rsidRPr="00B809EF" w:rsidRDefault="0096658B" w:rsidP="00F67E09">
      <w:pPr>
        <w:pStyle w:val="Textonotapie"/>
        <w:rPr>
          <w:lang w:val="en-US"/>
        </w:rPr>
      </w:pPr>
      <w:r w:rsidRPr="00B809EF">
        <w:rPr>
          <w:rStyle w:val="Refdenotaalpie"/>
        </w:rPr>
        <w:footnoteRef/>
      </w:r>
      <w:r w:rsidRPr="00B809EF">
        <w:rPr>
          <w:lang w:val="en-US"/>
        </w:rPr>
        <w:t xml:space="preserve"> Id., pp. 31-33.</w:t>
      </w:r>
    </w:p>
  </w:footnote>
  <w:footnote w:id="55">
    <w:p w:rsidR="001569E9" w:rsidRPr="00B809EF" w:rsidRDefault="0096658B" w:rsidP="00F67E09">
      <w:pPr>
        <w:pStyle w:val="Textonotapie"/>
        <w:rPr>
          <w:lang w:val="en-US"/>
        </w:rPr>
      </w:pPr>
      <w:r w:rsidRPr="00B809EF">
        <w:rPr>
          <w:rStyle w:val="Refdenotaalpie"/>
        </w:rPr>
        <w:footnoteRef/>
      </w:r>
      <w:r w:rsidRPr="00B809EF">
        <w:rPr>
          <w:lang w:val="en-US"/>
        </w:rPr>
        <w:t xml:space="preserve"> Id., pp. 33-35.</w:t>
      </w:r>
    </w:p>
  </w:footnote>
  <w:footnote w:id="56">
    <w:p w:rsidR="001569E9" w:rsidRPr="00B809EF" w:rsidRDefault="0096658B" w:rsidP="00F67E09">
      <w:pPr>
        <w:pStyle w:val="Textonotapie"/>
        <w:rPr>
          <w:lang w:val="en-US"/>
        </w:rPr>
      </w:pPr>
      <w:r w:rsidRPr="00B809EF">
        <w:rPr>
          <w:rStyle w:val="Refdenotaalpie"/>
        </w:rPr>
        <w:footnoteRef/>
      </w:r>
      <w:r w:rsidRPr="00B809EF">
        <w:rPr>
          <w:lang w:val="en-US"/>
        </w:rPr>
        <w:t xml:space="preserve"> Id, pp. 37-39.</w:t>
      </w:r>
    </w:p>
  </w:footnote>
  <w:footnote w:id="57">
    <w:p w:rsidR="001569E9" w:rsidRPr="00B809EF" w:rsidRDefault="0096658B" w:rsidP="00F67E09">
      <w:pPr>
        <w:pStyle w:val="Textonotapie"/>
      </w:pPr>
      <w:r w:rsidRPr="00B809EF">
        <w:rPr>
          <w:rStyle w:val="Refdenotaalpie"/>
        </w:rPr>
        <w:footnoteRef/>
      </w:r>
      <w:r w:rsidRPr="00B809EF">
        <w:t xml:space="preserve"> El texto con la proposición avalada era el siguiente: “Artículo Primero. Modifíquese el artículo cuarto de la Ley 581 del 2000 el cual quedará así:</w:t>
      </w:r>
    </w:p>
    <w:p w:rsidR="001569E9" w:rsidRPr="00B809EF" w:rsidRDefault="0096658B" w:rsidP="00F67E09">
      <w:pPr>
        <w:pStyle w:val="Textonotapie"/>
      </w:pPr>
      <w:r w:rsidRPr="00B809EF">
        <w:t>Artículo Cuarto. Participación Efectiva de la Mujer. La participación adecuada de las mujeres en los nivele</w:t>
      </w:r>
      <w:r w:rsidRPr="00B809EF">
        <w:t>s del poder público, definidos en el artículo segundo y tercero de la presente ley, se hará efectiva, aplicando por parte de las autoridades nominadoras, las siguientes reglas:</w:t>
      </w:r>
    </w:p>
    <w:p w:rsidR="001569E9" w:rsidRPr="00B809EF" w:rsidRDefault="0096658B" w:rsidP="00F67E09">
      <w:pPr>
        <w:pStyle w:val="Textonotapie"/>
      </w:pPr>
      <w:r w:rsidRPr="00B809EF">
        <w:t>A. Mínimo del 50% de los cargos del máximo nivel decisorio de que trata el artí</w:t>
      </w:r>
      <w:r w:rsidRPr="00B809EF">
        <w:t>culo segundo, serán desempeñados por mujeres, mínimo el 50% de los cargos de otros niveles decisorios de que trata el artículo tercero, serán desempeñados por mujeres.</w:t>
      </w:r>
    </w:p>
    <w:p w:rsidR="001569E9" w:rsidRPr="00B809EF" w:rsidRDefault="0096658B" w:rsidP="00F67E09">
      <w:pPr>
        <w:pStyle w:val="Textonotapie"/>
      </w:pPr>
      <w:r w:rsidRPr="00B809EF">
        <w:t xml:space="preserve">Parágrafo. El incumplimiento de lo ordenado en este artículo, constituye causal de mala </w:t>
      </w:r>
      <w:r w:rsidRPr="00B809EF">
        <w:t>conducta, que será sancionada, con suspensión, hasta de 30 días en el ejercicio del cargo y con la destitución del mismo, en caso de persistir en la conducta, de conformidad con el régimen disciplinario vigente.</w:t>
      </w:r>
    </w:p>
    <w:p w:rsidR="001569E9" w:rsidRPr="00B809EF" w:rsidRDefault="0096658B" w:rsidP="00F67E09">
      <w:pPr>
        <w:pStyle w:val="Textonotapie"/>
      </w:pPr>
      <w:r w:rsidRPr="00B809EF">
        <w:t xml:space="preserve">Parágrafo segundo. El Gobierno nacional, en </w:t>
      </w:r>
      <w:r w:rsidRPr="00B809EF">
        <w:t>el plazo de 6 meses, contados a partir de la entrada en vigencia de la presente ley, reglamentará los cargos de los cuales, se aplicará la presente ley”</w:t>
      </w:r>
      <w:r w:rsidRPr="00B809EF">
        <w:t>.</w:t>
      </w:r>
      <w:r w:rsidRPr="00B809EF">
        <w:t xml:space="preserve"> Ibidem, p. 42.</w:t>
      </w:r>
    </w:p>
  </w:footnote>
  <w:footnote w:id="58">
    <w:p w:rsidR="001569E9" w:rsidRPr="00B809EF" w:rsidRDefault="0096658B" w:rsidP="00F67E09">
      <w:pPr>
        <w:pStyle w:val="Textonotapie"/>
      </w:pPr>
      <w:r w:rsidRPr="00B809EF">
        <w:rPr>
          <w:rStyle w:val="Refdenotaalpie"/>
        </w:rPr>
        <w:footnoteRef/>
      </w:r>
      <w:r w:rsidRPr="00B809EF">
        <w:t xml:space="preserve"> Id., pp. 42-44.</w:t>
      </w:r>
    </w:p>
  </w:footnote>
  <w:footnote w:id="59">
    <w:p w:rsidR="001569E9" w:rsidRPr="00B809EF" w:rsidRDefault="0096658B" w:rsidP="00F67E09">
      <w:pPr>
        <w:pStyle w:val="Textonotapie"/>
      </w:pPr>
      <w:r w:rsidRPr="00B809EF">
        <w:rPr>
          <w:rStyle w:val="Refdenotaalpie"/>
        </w:rPr>
        <w:footnoteRef/>
      </w:r>
      <w:r w:rsidRPr="00B809EF">
        <w:t xml:space="preserve"> Al respecto, durante el debate se expresó lo siguiente: “Dirección </w:t>
      </w:r>
      <w:r w:rsidRPr="00B809EF">
        <w:t>de Presidencia, David Ricardo Racero Mayorca:</w:t>
      </w:r>
    </w:p>
    <w:p w:rsidR="001569E9" w:rsidRPr="00B809EF" w:rsidRDefault="0096658B" w:rsidP="00F67E09">
      <w:pPr>
        <w:pStyle w:val="Textonotapie"/>
      </w:pPr>
      <w:r w:rsidRPr="00B809EF">
        <w:t>Si hubo o no ya acuerdo, ya tengo que poner a votar, ya toca poner porque pues es justamente ya la votación de la Plenaria la que dirime, no hay un consenso, sí, listo.</w:t>
      </w:r>
    </w:p>
    <w:p w:rsidR="001569E9" w:rsidRPr="00B809EF" w:rsidRDefault="0096658B" w:rsidP="00F67E09">
      <w:pPr>
        <w:pStyle w:val="Textonotapie"/>
      </w:pPr>
      <w:r w:rsidRPr="00B809EF">
        <w:t>Vale, ya hay un acuerdo y ya se está reda</w:t>
      </w:r>
      <w:r w:rsidRPr="00B809EF">
        <w:t>ctando el tema final, Representante Guida nos informa cuál es el acuerdo, por favor adelante.</w:t>
      </w:r>
    </w:p>
    <w:p w:rsidR="001569E9" w:rsidRPr="00B809EF" w:rsidRDefault="0096658B" w:rsidP="00F67E09">
      <w:pPr>
        <w:pStyle w:val="Textonotapie"/>
      </w:pPr>
      <w:r w:rsidRPr="00B809EF">
        <w:t>Intervención del representante a la Cámara Hernando Guida Ponce:</w:t>
      </w:r>
    </w:p>
    <w:p w:rsidR="001569E9" w:rsidRPr="00B809EF" w:rsidRDefault="0096658B" w:rsidP="00F67E09">
      <w:pPr>
        <w:pStyle w:val="Textonotapie"/>
      </w:pPr>
      <w:r w:rsidRPr="00B809EF">
        <w:t>Gracias Presidente, los que hemos estado reunidos tratando de redactar este artículo 3°, hemos ll</w:t>
      </w:r>
      <w:r w:rsidRPr="00B809EF">
        <w:t>egado a un principio de acuerdo para someterlo a consideración de la Plenaria, el acuerdo consta de lo siguiente.</w:t>
      </w:r>
    </w:p>
    <w:p w:rsidR="001569E9" w:rsidRPr="00B809EF" w:rsidRDefault="0096658B" w:rsidP="00F67E09">
      <w:pPr>
        <w:pStyle w:val="Textonotapie"/>
        <w:rPr>
          <w:lang w:val="es-ES_tradnl"/>
        </w:rPr>
      </w:pPr>
      <w:r w:rsidRPr="00B809EF">
        <w:t>Las listas para elegir menos de 5 curules, deberán llevar al menos una mujer, y la que van a elegir la lista que componga 5 o más, mínimo el 3</w:t>
      </w:r>
      <w:r w:rsidRPr="00B809EF">
        <w:t>0% de género, eso es lo que se está redactando en estos momentos para presentarlo a consideración de la Plenaria.”</w:t>
      </w:r>
    </w:p>
  </w:footnote>
  <w:footnote w:id="60">
    <w:p w:rsidR="001569E9" w:rsidRPr="00B809EF" w:rsidRDefault="0096658B" w:rsidP="00F67E09">
      <w:pPr>
        <w:pStyle w:val="Textonotapie"/>
      </w:pPr>
      <w:r w:rsidRPr="00B809EF">
        <w:rPr>
          <w:rStyle w:val="Refdenotaalpie"/>
        </w:rPr>
        <w:footnoteRef/>
      </w:r>
      <w:r w:rsidRPr="00B809EF">
        <w:t xml:space="preserve"> La proposición sustitutiva resultante tuvo la siguiente redacción: “Así quedaría el artículo 3°.</w:t>
      </w:r>
    </w:p>
    <w:p w:rsidR="001569E9" w:rsidRPr="00B809EF" w:rsidRDefault="0096658B" w:rsidP="00F67E09">
      <w:pPr>
        <w:pStyle w:val="Textonotapie"/>
      </w:pPr>
      <w:r w:rsidRPr="00B809EF">
        <w:t>Agréguese un inciso al artículo 28 de la L</w:t>
      </w:r>
      <w:r w:rsidRPr="00B809EF">
        <w:t>ey 1475 de 2011, el cual quedará así:</w:t>
      </w:r>
    </w:p>
    <w:p w:rsidR="001569E9" w:rsidRPr="00B809EF" w:rsidRDefault="0096658B" w:rsidP="00F67E09">
      <w:pPr>
        <w:pStyle w:val="Textonotapie"/>
      </w:pPr>
      <w:r w:rsidRPr="00B809EF">
        <w:t>En las listas donde se elijan menos de 5 curules para corporaciones de elección popular o los que se sometan a consulta exceptuando su resultado, deberán integrar al menos una mujer.</w:t>
      </w:r>
    </w:p>
    <w:p w:rsidR="001569E9" w:rsidRPr="00B809EF" w:rsidRDefault="0096658B" w:rsidP="00F67E09">
      <w:pPr>
        <w:pStyle w:val="Textonotapie"/>
      </w:pPr>
      <w:r w:rsidRPr="00B809EF">
        <w:t>Parágrafo.</w:t>
      </w:r>
    </w:p>
    <w:p w:rsidR="001569E9" w:rsidRPr="00B809EF" w:rsidRDefault="0096658B" w:rsidP="00F67E09">
      <w:pPr>
        <w:pStyle w:val="Textonotapie"/>
      </w:pPr>
      <w:r w:rsidRPr="00B809EF">
        <w:t>Lo dispuesto en el prese</w:t>
      </w:r>
      <w:r w:rsidRPr="00B809EF">
        <w:t>nte inciso, aplicara a partir del año 2026”</w:t>
      </w:r>
      <w:r w:rsidRPr="00B809EF">
        <w:t>.</w:t>
      </w:r>
      <w:r w:rsidRPr="00B809EF">
        <w:t xml:space="preserve"> Ibidem, p. 46.</w:t>
      </w:r>
    </w:p>
  </w:footnote>
  <w:footnote w:id="61">
    <w:p w:rsidR="001569E9" w:rsidRPr="00B809EF" w:rsidRDefault="0096658B" w:rsidP="00F67E09">
      <w:pPr>
        <w:pStyle w:val="Textonotapie"/>
      </w:pPr>
      <w:r w:rsidRPr="00B809EF">
        <w:rPr>
          <w:rStyle w:val="Refdenotaalpie"/>
        </w:rPr>
        <w:footnoteRef/>
      </w:r>
      <w:r w:rsidRPr="00B809EF">
        <w:t xml:space="preserve"> Id., pp. 47-48</w:t>
      </w:r>
    </w:p>
  </w:footnote>
  <w:footnote w:id="62">
    <w:p w:rsidR="001569E9" w:rsidRPr="00B809EF" w:rsidRDefault="0096658B" w:rsidP="00F67E09">
      <w:pPr>
        <w:pStyle w:val="Textonotapie"/>
      </w:pPr>
      <w:r w:rsidRPr="00B809EF">
        <w:rPr>
          <w:rStyle w:val="Refdenotaalpie"/>
        </w:rPr>
        <w:footnoteRef/>
      </w:r>
      <w:r w:rsidRPr="00B809EF">
        <w:t xml:space="preserve"> El artículo propuesto fue el siguiente: “La Paridad no solo se refiere al derecho de la mujer, sino también al género no binario, quienes gozan de los mismos derechos constituci</w:t>
      </w:r>
      <w:r w:rsidRPr="00B809EF">
        <w:t>onales y legales y de conformidad con lo establecido en la Sentencia T-033 del 2022”</w:t>
      </w:r>
      <w:r w:rsidRPr="00B809EF">
        <w:t>.</w:t>
      </w:r>
      <w:r w:rsidRPr="00B809EF">
        <w:t xml:space="preserve"> Id., p. 49.</w:t>
      </w:r>
    </w:p>
  </w:footnote>
  <w:footnote w:id="63">
    <w:p w:rsidR="001569E9" w:rsidRPr="00B809EF" w:rsidRDefault="0096658B" w:rsidP="00F67E09">
      <w:pPr>
        <w:pStyle w:val="Textonotapie"/>
      </w:pPr>
      <w:r w:rsidRPr="00B809EF">
        <w:rPr>
          <w:rStyle w:val="Refdenotaalpie"/>
        </w:rPr>
        <w:footnoteRef/>
      </w:r>
      <w:r w:rsidRPr="00B809EF">
        <w:t xml:space="preserve"> Id., pp. 49-50.</w:t>
      </w:r>
    </w:p>
  </w:footnote>
  <w:footnote w:id="64">
    <w:p w:rsidR="001569E9" w:rsidRPr="00B809EF" w:rsidRDefault="0096658B" w:rsidP="00F67E09">
      <w:pPr>
        <w:pStyle w:val="Textonotapie"/>
      </w:pPr>
      <w:r w:rsidRPr="00B809EF">
        <w:rPr>
          <w:rStyle w:val="Refdenotaalpie"/>
        </w:rPr>
        <w:footnoteRef/>
      </w:r>
      <w:r w:rsidRPr="00B809EF">
        <w:t xml:space="preserve"> Id., pp. 50-51.</w:t>
      </w:r>
    </w:p>
  </w:footnote>
  <w:footnote w:id="65">
    <w:p w:rsidR="001569E9" w:rsidRPr="00B809EF" w:rsidRDefault="0096658B" w:rsidP="00F67E09">
      <w:pPr>
        <w:pStyle w:val="Textonotapie"/>
      </w:pPr>
      <w:r w:rsidRPr="00B809EF">
        <w:rPr>
          <w:rStyle w:val="Refdenotaalpie"/>
        </w:rPr>
        <w:footnoteRef/>
      </w:r>
      <w:r w:rsidRPr="00B809EF">
        <w:t xml:space="preserve"> Sentencia C-816 de 2004. </w:t>
      </w:r>
    </w:p>
  </w:footnote>
  <w:footnote w:id="66">
    <w:p w:rsidR="001569E9" w:rsidRPr="00B809EF" w:rsidRDefault="0096658B" w:rsidP="00F67E09">
      <w:pPr>
        <w:pStyle w:val="Textonotapie"/>
      </w:pPr>
      <w:r w:rsidRPr="00B809EF">
        <w:rPr>
          <w:rStyle w:val="Refdenotaalpie"/>
        </w:rPr>
        <w:footnoteRef/>
      </w:r>
      <w:r w:rsidRPr="00B809EF">
        <w:t xml:space="preserve"> Gaceta del Congreso 1373 de 2023, pp. 1-2.</w:t>
      </w:r>
    </w:p>
  </w:footnote>
  <w:footnote w:id="67">
    <w:p w:rsidR="001569E9" w:rsidRPr="00B809EF" w:rsidRDefault="0096658B" w:rsidP="00F67E09">
      <w:pPr>
        <w:pStyle w:val="Textonotapie"/>
      </w:pPr>
      <w:r w:rsidRPr="00B809EF">
        <w:rPr>
          <w:rStyle w:val="Refdenotaalpie"/>
        </w:rPr>
        <w:footnoteRef/>
      </w:r>
      <w:r w:rsidRPr="00B809EF">
        <w:t xml:space="preserve"> Id., pp. 105-106.</w:t>
      </w:r>
    </w:p>
  </w:footnote>
  <w:footnote w:id="68">
    <w:p w:rsidR="001569E9" w:rsidRPr="00B809EF" w:rsidRDefault="0096658B" w:rsidP="00F67E09">
      <w:pPr>
        <w:pStyle w:val="Textonotapie"/>
      </w:pPr>
      <w:r w:rsidRPr="00B809EF">
        <w:rPr>
          <w:rStyle w:val="Refdenotaalpie"/>
        </w:rPr>
        <w:footnoteRef/>
      </w:r>
      <w:r w:rsidRPr="00B809EF">
        <w:t xml:space="preserve"> Gaceta del Congreso 1493 de</w:t>
      </w:r>
      <w:r w:rsidRPr="00B809EF">
        <w:t xml:space="preserve"> 2023, pp. 4-5.</w:t>
      </w:r>
    </w:p>
  </w:footnote>
  <w:footnote w:id="69">
    <w:p w:rsidR="001569E9" w:rsidRPr="00B809EF" w:rsidRDefault="0096658B" w:rsidP="00F67E09">
      <w:pPr>
        <w:pStyle w:val="Textonotapie"/>
      </w:pPr>
      <w:r w:rsidRPr="00B809EF">
        <w:rPr>
          <w:rStyle w:val="Refdenotaalpie"/>
        </w:rPr>
        <w:footnoteRef/>
      </w:r>
      <w:r w:rsidRPr="00B809EF">
        <w:t xml:space="preserve"> Id., pp. 24-25.</w:t>
      </w:r>
    </w:p>
  </w:footnote>
  <w:footnote w:id="70">
    <w:p w:rsidR="001569E9" w:rsidRPr="00B809EF" w:rsidRDefault="0096658B" w:rsidP="00F67E09">
      <w:pPr>
        <w:pStyle w:val="Textonotapie"/>
      </w:pPr>
      <w:r w:rsidRPr="00B809EF">
        <w:rPr>
          <w:rStyle w:val="Refdenotaalpie"/>
        </w:rPr>
        <w:footnoteRef/>
      </w:r>
      <w:r w:rsidRPr="00B809EF">
        <w:t xml:space="preserve"> Sentencia C-084 de 2019, que a su vez reitera las sentencias C-648 de 2006, C-015 de 2016, C-801 de 2003, C-839 de 2003, C-726 de 2015 y C-379 de 2016. </w:t>
      </w:r>
    </w:p>
  </w:footnote>
  <w:footnote w:id="71">
    <w:p w:rsidR="001569E9" w:rsidRPr="00B809EF" w:rsidRDefault="0096658B" w:rsidP="00F67E09">
      <w:pPr>
        <w:pStyle w:val="Textonotapie"/>
      </w:pPr>
      <w:r w:rsidRPr="00B809EF">
        <w:rPr>
          <w:rStyle w:val="Refdenotaalpie"/>
        </w:rPr>
        <w:footnoteRef/>
      </w:r>
      <w:r w:rsidRPr="00B809EF">
        <w:t xml:space="preserve"> Id.</w:t>
      </w:r>
    </w:p>
  </w:footnote>
  <w:footnote w:id="72">
    <w:p w:rsidR="001569E9" w:rsidRPr="00B809EF" w:rsidRDefault="0096658B" w:rsidP="00F67E09">
      <w:pPr>
        <w:pStyle w:val="Textonotapie"/>
      </w:pPr>
      <w:r w:rsidRPr="00B809EF">
        <w:rPr>
          <w:rStyle w:val="Refdenotaalpie"/>
        </w:rPr>
        <w:footnoteRef/>
      </w:r>
      <w:r w:rsidRPr="00B809EF">
        <w:t xml:space="preserve"> Sentencia C-193 de 2023, que reitera varias decisiones sobre el concepto de identidad flexible. </w:t>
      </w:r>
    </w:p>
  </w:footnote>
  <w:footnote w:id="73">
    <w:p w:rsidR="001569E9" w:rsidRPr="00B809EF" w:rsidRDefault="0096658B" w:rsidP="00F67E09">
      <w:pPr>
        <w:pStyle w:val="Textonotapie"/>
      </w:pPr>
      <w:r w:rsidRPr="00B809EF">
        <w:rPr>
          <w:rStyle w:val="Refdenotaalpie"/>
        </w:rPr>
        <w:footnoteRef/>
      </w:r>
      <w:r w:rsidRPr="00B809EF">
        <w:t xml:space="preserve"> Sobre este asunto se utiliza la recopilación realizada en la sentencia C-390 de 2023, la cual reitera, entre otras, las sentencias C-507 de 2020, C-167 de 2</w:t>
      </w:r>
      <w:r w:rsidRPr="00B809EF">
        <w:t xml:space="preserve">021 y C-306 de 2022. </w:t>
      </w:r>
    </w:p>
  </w:footnote>
  <w:footnote w:id="74">
    <w:p w:rsidR="001569E9" w:rsidRPr="00B809EF" w:rsidRDefault="0096658B" w:rsidP="00F67E09">
      <w:pPr>
        <w:pStyle w:val="Textonotapie"/>
      </w:pPr>
      <w:r w:rsidRPr="00B809EF">
        <w:rPr>
          <w:rStyle w:val="Refdenotaalpie"/>
        </w:rPr>
        <w:footnoteRef/>
      </w:r>
      <w:r w:rsidRPr="00B809EF">
        <w:t xml:space="preserve"> Gaceta del Congreso 898 de 2022, pp. 1-13.</w:t>
      </w:r>
    </w:p>
  </w:footnote>
  <w:footnote w:id="75">
    <w:p w:rsidR="001569E9" w:rsidRPr="00B809EF" w:rsidRDefault="0096658B" w:rsidP="00F67E09">
      <w:pPr>
        <w:pStyle w:val="Textonotapie"/>
      </w:pPr>
      <w:r w:rsidRPr="00B809EF">
        <w:rPr>
          <w:rStyle w:val="Refdenotaalpie"/>
        </w:rPr>
        <w:footnoteRef/>
      </w:r>
      <w:r w:rsidRPr="00B809EF">
        <w:t xml:space="preserve"> El texto aprobado por la Comisión Primera del Senado fue publicado en la Gaceta del Congreso 1377 de 2022.</w:t>
      </w:r>
    </w:p>
  </w:footnote>
  <w:footnote w:id="76">
    <w:p w:rsidR="001569E9" w:rsidRPr="00B809EF" w:rsidRDefault="0096658B" w:rsidP="00F67E09">
      <w:pPr>
        <w:pStyle w:val="Textonotapie"/>
      </w:pPr>
      <w:r w:rsidRPr="00B809EF">
        <w:rPr>
          <w:rStyle w:val="Refdenotaalpie"/>
        </w:rPr>
        <w:footnoteRef/>
      </w:r>
      <w:r w:rsidRPr="00B809EF">
        <w:t xml:space="preserve"> El texto aprobado por la plenaria del Senado está publicado en la Gaceta del C</w:t>
      </w:r>
      <w:r w:rsidRPr="00B809EF">
        <w:t xml:space="preserve">ongreso 1708 de 2022. </w:t>
      </w:r>
    </w:p>
  </w:footnote>
  <w:footnote w:id="77">
    <w:p w:rsidR="001569E9" w:rsidRPr="00B809EF" w:rsidRDefault="0096658B" w:rsidP="00F67E09">
      <w:pPr>
        <w:pStyle w:val="Textonotapie"/>
      </w:pPr>
      <w:r w:rsidRPr="00B809EF">
        <w:rPr>
          <w:rStyle w:val="Refdenotaalpie"/>
        </w:rPr>
        <w:footnoteRef/>
      </w:r>
      <w:r w:rsidRPr="00B809EF">
        <w:t xml:space="preserve"> El nuevo texto del artículo 3°, así integrado, fue el siguiente: “Artículo 3º. Modifíquese el artículo 28º de la Ley 1475 de 2011, el cual quedará así:</w:t>
      </w:r>
    </w:p>
    <w:p w:rsidR="001569E9" w:rsidRPr="00B809EF" w:rsidRDefault="0096658B" w:rsidP="00F67E09">
      <w:pPr>
        <w:pStyle w:val="Textonotapie"/>
      </w:pPr>
      <w:r w:rsidRPr="00B809EF">
        <w:t>Artículo 28. Inscripción de candidatos. Los partidos y movimientos políticos co</w:t>
      </w:r>
      <w:r w:rsidRPr="00B809EF">
        <w:t>n personería jurídica podrán inscribir candidatos a cargos y corporaciones de elección popular previa verificación del cumplimiento de las calidades y requisitos de sus candidatos, así como de que no se encuentran incursos en causales de inhabilidad o inco</w:t>
      </w:r>
      <w:r w:rsidRPr="00B809EF">
        <w:t xml:space="preserve">mpatibilidad. Dichos candidatos deberán ser escogidos mediante procedimientos democráticos, de conformidad con sus estatutos. Las listas donde se elijan 5 o más curules para corporaciones de elección popular o las que se sometan a consulta -exceptuando su </w:t>
      </w:r>
      <w:r w:rsidRPr="00B809EF">
        <w:t>resultado- deberán conformarse por mínimo un 50% de uno de los géneros.</w:t>
      </w:r>
    </w:p>
    <w:p w:rsidR="001569E9" w:rsidRPr="00B809EF" w:rsidRDefault="0096658B" w:rsidP="00F67E09">
      <w:pPr>
        <w:pStyle w:val="Textonotapie"/>
      </w:pPr>
      <w:r w:rsidRPr="00B809EF">
        <w:t>Los Partidos y Movimientos Políticos con Personería Jurídica podrán inscribir candidatos y listas para toda clase de cargos y corporaciones de elección popular, excepto para la elecció</w:t>
      </w:r>
      <w:r w:rsidRPr="00B809EF">
        <w:t>n de congresistas por las circunscripciones especiales de minorías étnicas.</w:t>
      </w:r>
    </w:p>
    <w:p w:rsidR="001569E9" w:rsidRPr="00B809EF" w:rsidRDefault="0096658B" w:rsidP="00F67E09">
      <w:pPr>
        <w:pStyle w:val="Textonotapie"/>
      </w:pPr>
      <w:r w:rsidRPr="00B809EF">
        <w:t>Los candidatos de los grupos significativos de ciudadanos serán inscritos por un comité</w:t>
      </w:r>
    </w:p>
    <w:p w:rsidR="001569E9" w:rsidRPr="00B809EF" w:rsidRDefault="0096658B" w:rsidP="00F67E09">
      <w:pPr>
        <w:pStyle w:val="Textonotapie"/>
      </w:pPr>
      <w:r w:rsidRPr="00B809EF">
        <w:t>integrado por tres (3) ciudadanos, el cual deberá registrarse ante la correspondiente autori</w:t>
      </w:r>
      <w:r w:rsidRPr="00B809EF">
        <w:t>dad electoral cuando menos un (1) mes antes de la fecha de cierre de la respectiva inscripción y, en todo caso, antes del inicio de la recolección de firmas de apoyo a la candidatura o lista. Los nombres de los integrantes del Comité, así como el de los ca</w:t>
      </w:r>
      <w:r w:rsidRPr="00B809EF">
        <w:t>ndidatos que postulen, deberán figurar en el formulario de recolección de las firmas de apoyo.</w:t>
      </w:r>
    </w:p>
    <w:p w:rsidR="001569E9" w:rsidRPr="00B809EF" w:rsidRDefault="0096658B" w:rsidP="00F67E09">
      <w:pPr>
        <w:pStyle w:val="Textonotapie"/>
      </w:pPr>
      <w:r w:rsidRPr="00B809EF">
        <w:t>Los partidos y movimientos políticos con personería jurídica que decidan promover el voto en blanco y los comités independientes que se organicen para el efecto,</w:t>
      </w:r>
      <w:r w:rsidRPr="00B809EF">
        <w:t xml:space="preserve"> deberán inscribirse ante la autoridad electoral competente para recibir la inscripción de candidatos, de listas o de la correspondiente iniciativa en los mecanismos de participación ciudadana. A dichos promotores se les reconocerán, en lo que fuere pertin</w:t>
      </w:r>
      <w:r w:rsidRPr="00B809EF">
        <w:t>ente, los derechos y garantías que la ley establece para las demás campañas electorales, incluida la reposición de gastos de campaña, hasta el monto que previamente haya fijado el Consejo Nacional Electoral.”</w:t>
      </w:r>
    </w:p>
    <w:p w:rsidR="001569E9" w:rsidRPr="00B809EF" w:rsidRDefault="0096658B" w:rsidP="00F67E09">
      <w:pPr>
        <w:pStyle w:val="Textonotapie"/>
      </w:pPr>
      <w:r w:rsidRPr="00B809EF">
        <w:rPr>
          <w:i/>
        </w:rPr>
        <w:t xml:space="preserve">Vid. </w:t>
      </w:r>
      <w:r w:rsidRPr="00B809EF">
        <w:t>Gaceta del Congreso 384 de 2023, p. 37.</w:t>
      </w:r>
    </w:p>
  </w:footnote>
  <w:footnote w:id="78">
    <w:p w:rsidR="001569E9" w:rsidRPr="00B809EF" w:rsidRDefault="0096658B" w:rsidP="00F67E09">
      <w:pPr>
        <w:pStyle w:val="Textonotapie"/>
      </w:pPr>
      <w:r w:rsidRPr="00B809EF">
        <w:rPr>
          <w:rStyle w:val="Refdenotaalpie"/>
        </w:rPr>
        <w:footnoteRef/>
      </w:r>
      <w:r w:rsidRPr="00B809EF">
        <w:t xml:space="preserve"> </w:t>
      </w:r>
      <w:r w:rsidRPr="00B809EF">
        <w:t>El texto aprobado en el primer debate en la Cámara de Representantes fue publicado en la Gaceta del Congreso 547 de 2023.</w:t>
      </w:r>
    </w:p>
  </w:footnote>
  <w:footnote w:id="79">
    <w:p w:rsidR="001569E9" w:rsidRPr="00B809EF" w:rsidRDefault="0096658B" w:rsidP="00F67E09">
      <w:pPr>
        <w:pStyle w:val="Textonotapie"/>
      </w:pPr>
      <w:r w:rsidRPr="00B809EF">
        <w:rPr>
          <w:rStyle w:val="Refdenotaalpie"/>
        </w:rPr>
        <w:footnoteRef/>
      </w:r>
      <w:r w:rsidRPr="00B809EF">
        <w:t xml:space="preserve"> Gaceta del Congreso 547 de 2023, pp. 23-25.</w:t>
      </w:r>
    </w:p>
  </w:footnote>
  <w:footnote w:id="80">
    <w:p w:rsidR="001569E9" w:rsidRPr="00B809EF" w:rsidRDefault="0096658B" w:rsidP="00F67E09">
      <w:pPr>
        <w:pStyle w:val="Textonotapie"/>
      </w:pPr>
      <w:r w:rsidRPr="00B809EF">
        <w:rPr>
          <w:rStyle w:val="Refdenotaalpie"/>
        </w:rPr>
        <w:footnoteRef/>
      </w:r>
      <w:r w:rsidRPr="00B809EF">
        <w:t xml:space="preserve"> El texto aprobado en segundo debate en la Cámara de Representantes fue publicado en la</w:t>
      </w:r>
      <w:r w:rsidRPr="00B809EF">
        <w:t xml:space="preserve"> Gaceta del Congreso 750 de 2023. </w:t>
      </w:r>
    </w:p>
  </w:footnote>
  <w:footnote w:id="81">
    <w:p w:rsidR="001569E9" w:rsidRPr="00B809EF" w:rsidRDefault="0096658B" w:rsidP="00F67E09">
      <w:pPr>
        <w:pStyle w:val="Textonotapie"/>
      </w:pPr>
      <w:r w:rsidRPr="00B809EF">
        <w:rPr>
          <w:rStyle w:val="Refdenotaalpie"/>
        </w:rPr>
        <w:footnoteRef/>
      </w:r>
      <w:r w:rsidRPr="00B809EF">
        <w:t xml:space="preserve"> Sentencias C-170 de 2021 y C-133 de 2022, entre otras. </w:t>
      </w:r>
    </w:p>
  </w:footnote>
  <w:footnote w:id="82">
    <w:p w:rsidR="001569E9" w:rsidRPr="00B809EF" w:rsidRDefault="0096658B" w:rsidP="00F67E09">
      <w:pPr>
        <w:pStyle w:val="Textonotapie"/>
      </w:pPr>
      <w:r w:rsidRPr="00B809EF">
        <w:rPr>
          <w:rStyle w:val="Refdenotaalpie"/>
        </w:rPr>
        <w:footnoteRef/>
      </w:r>
      <w:r w:rsidRPr="00B809EF">
        <w:t xml:space="preserve"> En este apartado se usa la síntesis jurisprudencial contenida en la sentencia C-054 de 2023. </w:t>
      </w:r>
    </w:p>
  </w:footnote>
  <w:footnote w:id="83">
    <w:p w:rsidR="001569E9" w:rsidRPr="00B809EF" w:rsidRDefault="0096658B" w:rsidP="00F67E09">
      <w:pPr>
        <w:pStyle w:val="Textonotapie"/>
      </w:pPr>
      <w:r w:rsidRPr="00B809EF">
        <w:rPr>
          <w:rStyle w:val="Refdenotaalpie"/>
        </w:rPr>
        <w:footnoteRef/>
      </w:r>
      <w:r w:rsidRPr="00B809EF">
        <w:t xml:space="preserve"> Sentencia SU-123 de 2018</w:t>
      </w:r>
    </w:p>
  </w:footnote>
  <w:footnote w:id="84">
    <w:p w:rsidR="001569E9" w:rsidRPr="00B809EF" w:rsidRDefault="0096658B" w:rsidP="00F67E09">
      <w:pPr>
        <w:pStyle w:val="Textonotapie"/>
      </w:pPr>
      <w:r w:rsidRPr="00B809EF">
        <w:rPr>
          <w:rStyle w:val="Refdenotaalpie"/>
        </w:rPr>
        <w:footnoteRef/>
      </w:r>
      <w:r w:rsidRPr="00B809EF">
        <w:t xml:space="preserve"> Sentencia C-1051 de 2012. </w:t>
      </w:r>
    </w:p>
  </w:footnote>
  <w:footnote w:id="85">
    <w:p w:rsidR="001569E9" w:rsidRPr="00B809EF" w:rsidRDefault="0096658B" w:rsidP="00F67E09">
      <w:pPr>
        <w:pStyle w:val="Textonotapie"/>
      </w:pPr>
      <w:r w:rsidRPr="00B809EF">
        <w:rPr>
          <w:rStyle w:val="Refdenotaalpie"/>
        </w:rPr>
        <w:footnoteRef/>
      </w:r>
      <w:r w:rsidRPr="00B809EF">
        <w:t xml:space="preserve"> Ley 649 de 2001 para el caso de las circunscripciones especiales de la Cámara de Representantes. Para el caso de las curules indígenas en el Senado de la República se aplican las reglas especiales previstas en el artículo 171 de la Constitución. </w:t>
      </w:r>
    </w:p>
  </w:footnote>
  <w:footnote w:id="86">
    <w:p w:rsidR="001569E9" w:rsidRPr="00B809EF" w:rsidRDefault="0096658B" w:rsidP="00F67E09">
      <w:pPr>
        <w:pStyle w:val="Textonotapie"/>
      </w:pPr>
      <w:r w:rsidRPr="00B809EF">
        <w:rPr>
          <w:rStyle w:val="Refdenotaalpie"/>
        </w:rPr>
        <w:footnoteRef/>
      </w:r>
      <w:r w:rsidRPr="00B809EF">
        <w:t xml:space="preserve"> Sobre </w:t>
      </w:r>
      <w:r w:rsidRPr="00B809EF">
        <w:t>el particular, en la sentencia C-490 de 2011 se señaló lo siguiente: “Como se señaló al inicio de este apartado, el inciso segundo del artículo 28 del Proyecto prevé que la potestad de los partidos y movimientos políticos con personería jurídica para inscr</w:t>
      </w:r>
      <w:r w:rsidRPr="00B809EF">
        <w:t>ibir candidatos a las distintas elecciones de cargos uninominales o corporaciones públicas, opera con exclusión de “la elección de congresistas por las circunscripciones especiales de minorías étnicas”. Esto trae como consecuencia que respecto de estas cir</w:t>
      </w:r>
      <w:r w:rsidRPr="00B809EF">
        <w:t xml:space="preserve">cunscripciones se aplica un régimen excepcional, en los términos del inciso primero del artículo 108 C.P., en el que solo podrán postular candidatos al Congreso las agrupaciones políticas de carácter minoritario.  </w:t>
      </w:r>
    </w:p>
    <w:p w:rsidR="001569E9" w:rsidRPr="00B809EF" w:rsidRDefault="0096658B" w:rsidP="00F67E09">
      <w:pPr>
        <w:pStyle w:val="Textonotapie"/>
      </w:pPr>
      <w:r w:rsidRPr="00B809EF">
        <w:t xml:space="preserve">A juicio de la Sala, esta disposición es </w:t>
      </w:r>
      <w:r w:rsidRPr="00B809EF">
        <w:t>armónica con los postulados constitucionales. Como se indicó, la previsión contenida en el inciso segundo y tercero del artículo 28 del Proyecto limita la potestad que tienen los partidos y movimientos políticos con personería jurídica de inscribir candida</w:t>
      </w:r>
      <w:r w:rsidRPr="00B809EF">
        <w:t>tos y listas para toda clase de cargos y corporaciones de elección popular, en cuanto les prohíbe inscribir candidatos a Senado y Cámara de Representantes por las circunscripciones especiales de minorías étnicas.</w:t>
      </w:r>
    </w:p>
    <w:p w:rsidR="001569E9" w:rsidRPr="00B809EF" w:rsidRDefault="0096658B" w:rsidP="00F67E09">
      <w:pPr>
        <w:pStyle w:val="Textonotapie"/>
      </w:pPr>
      <w:r w:rsidRPr="00B809EF">
        <w:t>[</w:t>
      </w:r>
      <w:r w:rsidRPr="00B809EF">
        <w:t>…</w:t>
      </w:r>
      <w:r w:rsidRPr="00B809EF">
        <w:t>]</w:t>
      </w:r>
    </w:p>
    <w:p w:rsidR="001569E9" w:rsidRPr="00B809EF" w:rsidRDefault="0096658B" w:rsidP="00F67E09">
      <w:pPr>
        <w:pStyle w:val="Textonotapie"/>
      </w:pPr>
      <w:r w:rsidRPr="00B809EF">
        <w:t>Atendiendo a la importancia de garantiz</w:t>
      </w:r>
      <w:r w:rsidRPr="00B809EF">
        <w:t>ar esta composición pluralista dentro de las corporaciones públicas del orden nacional, tanto en la providencia señalada como en la C-089 de 1994 se concluyó que el legislador está facultado para limitar el derecho de los partidos y movimientos políticos a</w:t>
      </w:r>
      <w:r w:rsidRPr="00B809EF">
        <w:t xml:space="preserve"> postular candidatos a cargos de elección popular (Art. 108 C.N), siempre que se verifique que los requisitos impuestos para hacerlo sean razonables, de conformidad con los “mínimos históricamente sostenibles en un momento dado”, y siempre que no obstaculi</w:t>
      </w:r>
      <w:r w:rsidRPr="00B809EF">
        <w:t>cen en un alto grado el ejercicio de los derechos políticos individuales contenidos en el artículo 40 Superior.</w:t>
      </w:r>
    </w:p>
    <w:p w:rsidR="001569E9" w:rsidRPr="00B809EF" w:rsidRDefault="0096658B" w:rsidP="00F67E09">
      <w:pPr>
        <w:pStyle w:val="Textonotapie"/>
      </w:pPr>
      <w:r w:rsidRPr="00B809EF">
        <w:t>Las disposiciones mencionadas contienen una limitación a la facultad de los partidos y movimientos políticos con personería jurídica para inscri</w:t>
      </w:r>
      <w:r w:rsidRPr="00B809EF">
        <w:t>bir candidatos a los cargos de elección popular, pues les impiden avalar candidatos por la circunscripción especial de minorías étnicas de Senado y Cámara de Representantes. No obstante, la Corte considera que se trata de una decisión que cabe razonablemen</w:t>
      </w:r>
      <w:r w:rsidRPr="00B809EF">
        <w:t>te dentro del ámbito discrecional del legislador estatutario toda vez que se trata de un mecanismo destinado a garantizar un bien constitucionalmente valioso, como lo es que las comunidades étnicas estén efectivamente representadas en las corporaciones púb</w:t>
      </w:r>
      <w:r w:rsidRPr="00B809EF">
        <w:t>licas del orden nacional, pues no solo quien se postula debe ser un representante y miembro de grupos étnicos como lo establece el artículo 171 inciso 3 de la Constitución, sino que también debe estar avalado políticamente por organizaciones propias de las</w:t>
      </w:r>
      <w:r w:rsidRPr="00B809EF">
        <w:t xml:space="preserve"> comunidades étnicas, cuyo interés principal sean las necesidades de esta población minoritaria. Además, la medida es razonable, pues no limita de manera excesiva la facultad que tienen los partidos y movimientos con personería jurídica de presentar candid</w:t>
      </w:r>
      <w:r w:rsidRPr="00B809EF">
        <w:t>atos a cargos de elección popular, comoquiera que pueden hacerlo por la circunscripción ordinaria, por la circunscripción internacional de la Cámara de Representantes y por la circunscripción de minorías políticas (Art. 176 C.P.), esta última en caso de qu</w:t>
      </w:r>
      <w:r w:rsidRPr="00B809EF">
        <w:t>e la ley así lo regule”.</w:t>
      </w:r>
    </w:p>
  </w:footnote>
  <w:footnote w:id="87">
    <w:p w:rsidR="001569E9" w:rsidRPr="00B809EF" w:rsidRDefault="0096658B" w:rsidP="00F67E09">
      <w:pPr>
        <w:pStyle w:val="Textonotapie"/>
      </w:pPr>
      <w:r w:rsidRPr="00B809EF">
        <w:rPr>
          <w:rStyle w:val="Refdenotaalpie"/>
        </w:rPr>
        <w:footnoteRef/>
      </w:r>
      <w:r w:rsidRPr="00B809EF">
        <w:t xml:space="preserve"> Sentencias C-511 de 2003, C-150 de 2015, entre otras. </w:t>
      </w:r>
    </w:p>
  </w:footnote>
  <w:footnote w:id="88">
    <w:p w:rsidR="001569E9" w:rsidRPr="00B809EF" w:rsidRDefault="0096658B" w:rsidP="00F67E09">
      <w:pPr>
        <w:pStyle w:val="Textonotapie"/>
      </w:pPr>
      <w:r w:rsidRPr="00B809EF">
        <w:rPr>
          <w:rStyle w:val="Refdenotaalpie"/>
        </w:rPr>
        <w:footnoteRef/>
      </w:r>
      <w:r w:rsidRPr="00B809EF">
        <w:t xml:space="preserve"> Sentencias C-089 de 1994, C-490 de 2011, C-150 de 2015 y C-379 de 2016, entre otras. </w:t>
      </w:r>
    </w:p>
  </w:footnote>
  <w:footnote w:id="89">
    <w:p w:rsidR="001569E9" w:rsidRPr="00B809EF" w:rsidRDefault="0096658B" w:rsidP="00F67E09">
      <w:pPr>
        <w:pStyle w:val="Textonotapie"/>
      </w:pPr>
      <w:r w:rsidRPr="00B809EF">
        <w:rPr>
          <w:rStyle w:val="Refdenotaalpie"/>
        </w:rPr>
        <w:footnoteRef/>
      </w:r>
      <w:r w:rsidRPr="00B809EF">
        <w:t xml:space="preserve"> Sentencias C-029 de 2009 y C-577 de 2011, entre otras. </w:t>
      </w:r>
    </w:p>
  </w:footnote>
  <w:footnote w:id="90">
    <w:p w:rsidR="001569E9" w:rsidRPr="00B809EF" w:rsidRDefault="0096658B" w:rsidP="00F67E09">
      <w:pPr>
        <w:pStyle w:val="Textonotapie"/>
      </w:pPr>
      <w:r w:rsidRPr="00B809EF">
        <w:rPr>
          <w:rStyle w:val="Refdenotaalpie"/>
        </w:rPr>
        <w:footnoteRef/>
      </w:r>
      <w:r w:rsidRPr="00B809EF">
        <w:t xml:space="preserve"> Sentencia C-371 de 2000. </w:t>
      </w:r>
    </w:p>
  </w:footnote>
  <w:footnote w:id="91">
    <w:p w:rsidR="001569E9" w:rsidRPr="00B809EF" w:rsidRDefault="0096658B" w:rsidP="00F67E09">
      <w:pPr>
        <w:pStyle w:val="Textonotapie"/>
      </w:pPr>
      <w:r w:rsidRPr="00B809EF">
        <w:rPr>
          <w:rStyle w:val="Refdenotaalpie"/>
        </w:rPr>
        <w:footnoteRef/>
      </w:r>
      <w:r w:rsidRPr="00B809EF">
        <w:t xml:space="preserve"> Sentencias C-891 de 2002 y SU-123 de 2018, entre otras. </w:t>
      </w:r>
    </w:p>
  </w:footnote>
  <w:footnote w:id="92">
    <w:p w:rsidR="001569E9" w:rsidRPr="00B809EF" w:rsidRDefault="0096658B" w:rsidP="00F67E09">
      <w:pPr>
        <w:pStyle w:val="Textonotapie"/>
      </w:pPr>
      <w:r w:rsidRPr="00B809EF">
        <w:rPr>
          <w:rStyle w:val="Refdenotaalpie"/>
        </w:rPr>
        <w:footnoteRef/>
      </w:r>
      <w:r w:rsidRPr="00B809EF">
        <w:t xml:space="preserve"> Acerca del contenido y alcance de la equidad de género en el ámbito de los partidos y movimientos políticos, </w:t>
      </w:r>
      <w:r w:rsidRPr="00B809EF">
        <w:rPr>
          <w:i/>
          <w:iCs/>
        </w:rPr>
        <w:t xml:space="preserve">vid. </w:t>
      </w:r>
      <w:r w:rsidRPr="00B809EF">
        <w:t xml:space="preserve">Sentencias C-490 de 2011 y C-027 de 2018. </w:t>
      </w:r>
    </w:p>
  </w:footnote>
  <w:footnote w:id="93">
    <w:p w:rsidR="001569E9" w:rsidRPr="00B809EF" w:rsidRDefault="0096658B" w:rsidP="00F67E09">
      <w:pPr>
        <w:pStyle w:val="Textonotapie"/>
      </w:pPr>
      <w:r w:rsidRPr="00B809EF">
        <w:rPr>
          <w:rStyle w:val="Refdenotaalpie"/>
        </w:rPr>
        <w:footnoteRef/>
      </w:r>
      <w:r w:rsidRPr="00B809EF">
        <w:t xml:space="preserve"> El reconocimiento de las mujeres com</w:t>
      </w:r>
      <w:r w:rsidRPr="00B809EF">
        <w:t xml:space="preserve">o minoría históricamente discriminada ha sido una constante en la jurisprudencia constitucional. Sobre el particular, en la reciente sentencia C-197 de 2023 se hizo referencia extensa a esa categoría y a propósito de la eficacia del derecho a la seguridad </w:t>
      </w:r>
      <w:r w:rsidRPr="00B809EF">
        <w:t xml:space="preserve">social en pensiones de las mujeres. Esta misma referencia se </w:t>
      </w:r>
      <w:r w:rsidRPr="00B809EF">
        <w:t xml:space="preserve">ha </w:t>
      </w:r>
      <w:r w:rsidRPr="00B809EF">
        <w:t xml:space="preserve">utilizado recientemente en las sentencias C-586 de 2016, C-519 de 2019, C-055 de 2022 y C-059 de 2023, entre varias decisiones en ese sentido. </w:t>
      </w:r>
    </w:p>
  </w:footnote>
  <w:footnote w:id="94">
    <w:p w:rsidR="007537CE" w:rsidRPr="00B809EF" w:rsidRDefault="0096658B" w:rsidP="00F67E09">
      <w:pPr>
        <w:pStyle w:val="Textonotapie"/>
      </w:pPr>
      <w:r w:rsidRPr="00B809EF">
        <w:rPr>
          <w:rStyle w:val="Refdenotaalpie"/>
        </w:rPr>
        <w:footnoteRef/>
      </w:r>
      <w:r w:rsidRPr="00B809EF">
        <w:t xml:space="preserve"> </w:t>
      </w:r>
      <w:r w:rsidRPr="00B809EF">
        <w:t>Para efectos de esta sentencia el concepto “la</w:t>
      </w:r>
      <w:r w:rsidRPr="00B809EF">
        <w:t>bores de cuidado” engloba las actividades que el artículo 2º de la Ley 1413 de 2010 define como “economía del cuidado” y “trabajo de hogar no remunerado”. El primero, de acuerdo con esa disposición, consiste en el trabajo no remunerado que se realiza en el</w:t>
      </w:r>
      <w:r w:rsidRPr="00B809EF">
        <w:t xml:space="preserve"> hogar, relacionado con el mantenimiento de la vivienda, los cuidados a otras personas del hogar o la comunidad y el mantenimiento de la fuerza de trabajo remunerado. El segundo refiere a los servicios domésticos, personales y de cuidados generados y consu</w:t>
      </w:r>
      <w:r w:rsidRPr="00B809EF">
        <w:t xml:space="preserve">midos dentro del propio hogar, por los que no se percibe retribución económica directa. </w:t>
      </w:r>
    </w:p>
  </w:footnote>
  <w:footnote w:id="95">
    <w:p w:rsidR="001569E9" w:rsidRPr="00B809EF" w:rsidRDefault="0096658B" w:rsidP="00F67E09">
      <w:pPr>
        <w:pStyle w:val="Textonotapie"/>
      </w:pPr>
      <w:r w:rsidRPr="00B809EF">
        <w:rPr>
          <w:rStyle w:val="Refdenotaalpie"/>
        </w:rPr>
        <w:footnoteRef/>
      </w:r>
      <w:r w:rsidRPr="00B809EF">
        <w:t xml:space="preserve"> Sobre el particular, la sentencia C-038 de 2021 expresa que “Efectivamente, durante mucho tiempo se impuso la idea que asocia a las mujeres con su supuesto carácter </w:t>
      </w:r>
      <w:r w:rsidRPr="00B809EF">
        <w:t>sumiso, intuitivo, débil e irracional. Como consecuencia natural de esa concepción totalmente arbitraria –carente de fundamento y justificación–, se consolidó un modelo patriarcal en el que el hombre asumió la posición dominante y fue llamado a mandar, a a</w:t>
      </w:r>
      <w:r w:rsidRPr="00B809EF">
        <w:t>dministrar los bienes de la mujer e incluso a asumir el poder decisorio en el terreno en el que se definen los asuntos privados y públicos que les conciernen a las mujeres. Esta circunstancia ha dado origen a generalizaciones y estereotipos discriminatorio</w:t>
      </w:r>
      <w:r w:rsidRPr="00B809EF">
        <w:t>s, vale decir, a patrones de sumisión o subvaloración de construcción social y cultural que tienden a menospreciar a las mujeres y a excluirlas de participar en actividades significativas desde el punto de vista individual, social, cultural, económico, pol</w:t>
      </w:r>
      <w:r w:rsidRPr="00B809EF">
        <w:t>ítico y jurídico. ||            Desde muy temprano esta Corte se propuso identificar y derribar estos estereotipos, dando cuenta de su carácter prejuicioso, del daño que han generado y de la manera como su uso se refleja también en el campo social, cultura</w:t>
      </w:r>
      <w:r w:rsidRPr="00B809EF">
        <w:t>l, económico, político y jurídico. En la sentencia C-371 de 2000, al analizar la constitucionalidad del proyecto de ley estatutaria N°62/98 Senado y 158/98 Cámara, "por la cual se reglamenta la adecuada y efectiva participación de la mujer en los niveles d</w:t>
      </w:r>
      <w:r w:rsidRPr="00B809EF">
        <w:t>ecisorios de las diferentes ramas y órganos del poder público, de conformidad con los artículos 13, 40 y 43 de la Constitución Nacional y se dictan otras disposiciones" ilustró la Corte sobre la existencia de categorías que se consideran sospechosas, preci</w:t>
      </w:r>
      <w:r w:rsidRPr="00B809EF">
        <w:t>samente, por cuanto han estado asociadas a prácticas o cosmovisiones que tienden a subvalorar a las mujeres”.</w:t>
      </w:r>
    </w:p>
  </w:footnote>
  <w:footnote w:id="96">
    <w:p w:rsidR="001569E9" w:rsidRPr="00B809EF" w:rsidRDefault="0096658B" w:rsidP="00F67E09">
      <w:pPr>
        <w:pStyle w:val="Textonotapie"/>
      </w:pPr>
      <w:r w:rsidRPr="00B809EF">
        <w:rPr>
          <w:rStyle w:val="Refdenotaalpie"/>
        </w:rPr>
        <w:footnoteRef/>
      </w:r>
      <w:r w:rsidRPr="00B809EF">
        <w:t xml:space="preserve"> La Corte hizo expresa referencia a la inequidad en la distribución de las labores de cuidado en la sentencia C-415 de 2022, cuando expresó que “</w:t>
      </w:r>
      <w:r w:rsidRPr="00B809EF">
        <w:t>todas las personas, sin distinción, son interdependientes y frágiles, requieren de otras que, por lo menos, en un momento de su existencia las asista. Cuando no existe Estado de Bienestar organizado, las labores de cuidado se gestionan por la decisión autó</w:t>
      </w:r>
      <w:r w:rsidRPr="00B809EF">
        <w:t>noma, que por regla general es limitada y se traduce en trabajo no remunerado que impacta intensamente a quienes deben ocuparse de él. Históricamente, las mujeres -madre- han sido designadas preferentemente para ocuparse de esa labor, en oposición al hombr</w:t>
      </w:r>
      <w:r w:rsidRPr="00B809EF">
        <w:t>e -padre- a quien se le ha relevado de tener similar trato. || El tiempo que se utiliza socialmente para el trabajo de cuidado, y la forma en que se divide sexualmente nos determina qué tipo de sociedad construimos. El modelo familiarista entiende que el c</w:t>
      </w:r>
      <w:r w:rsidRPr="00B809EF">
        <w:t>uidado es del ámbito privado y la solidaridad intergeneracional es fundamental. El modelo desfamiliarista reconoce al Estado una responsabilidad en algunos servicios de cuidado”.</w:t>
      </w:r>
    </w:p>
  </w:footnote>
  <w:footnote w:id="97">
    <w:p w:rsidR="001569E9" w:rsidRPr="00B809EF" w:rsidRDefault="0096658B" w:rsidP="00F67E09">
      <w:pPr>
        <w:pStyle w:val="Textonotapie"/>
      </w:pPr>
      <w:r w:rsidRPr="00B809EF">
        <w:rPr>
          <w:rStyle w:val="Refdenotaalpie"/>
        </w:rPr>
        <w:footnoteRef/>
      </w:r>
      <w:r w:rsidRPr="00B809EF">
        <w:t xml:space="preserve"> Al respecto, la sentencia C-371 de 2000 expresa lo siguiente: “El artículo </w:t>
      </w:r>
      <w:r w:rsidRPr="00B809EF">
        <w:t>13 de la Carta, no sólo consagra el principio de igualdad formal ante la ley, sino que en el inciso 2° obliga al propio Estado a promover "las condiciones para que la igualdad sea real y efectiva (...)" y a adoptar "medidas en favor de grupos discriminados</w:t>
      </w:r>
      <w:r w:rsidRPr="00B809EF">
        <w:t xml:space="preserve"> y marginados". Una de esas medidas, precisamente, es la que se adopta en el proyecto de ley cuya constitucionalidad se analiza, tal como se mostró más arriba, y cuya instrumentación detallada está contenida en los artículos que más adelante serán objeto d</w:t>
      </w:r>
      <w:r w:rsidRPr="00B809EF">
        <w:t>e examen.</w:t>
      </w:r>
    </w:p>
    <w:p w:rsidR="001569E9" w:rsidRPr="00B809EF" w:rsidRDefault="0096658B" w:rsidP="00F67E09">
      <w:pPr>
        <w:pStyle w:val="Textonotapie"/>
      </w:pPr>
      <w:r w:rsidRPr="00B809EF">
        <w:t xml:space="preserve">Queda claro, entonces, que el propósito de la ley no sólo no vulnera la prohibición contenida en el artículo 13 de la Carta de establecer discriminaciones en razón del sexo sino que, al revés, pretende eliminar la discriminación que una práctica </w:t>
      </w:r>
      <w:r w:rsidRPr="00B809EF">
        <w:t xml:space="preserve">secular ha determinado en perjuicio de las mujeres. </w:t>
      </w:r>
    </w:p>
    <w:p w:rsidR="001569E9" w:rsidRPr="00B809EF" w:rsidRDefault="0096658B" w:rsidP="00F67E09">
      <w:pPr>
        <w:pStyle w:val="Textonotapie"/>
      </w:pPr>
      <w:r w:rsidRPr="00B809EF">
        <w:t>Interpretando esa disposición en concordancia con el artículo 1º superior que establece el carácter pluralista del Estado colombiano, se hace una claridad mayor sobre el asunto. Porque es un hecho inconc</w:t>
      </w:r>
      <w:r w:rsidRPr="00B809EF">
        <w:t>uso que entre la mujer y el hombre existen diferencias. Pero ellas resultan irrelevantes desde el punto de vista de la igualdad ante la ley (artículo 13 C.P.). En cambio resultan relevantes y significativas desde el punto de vista del pluralismo. De otro m</w:t>
      </w:r>
      <w:r w:rsidRPr="00B809EF">
        <w:t>odo, tales diferenciaciones no pueden invocarse, en una democracia participativa y pluralista, para excluir sino para integrar. Porque sin el punto de vista específico que ha de tener la mujer -determinado por innegables particularidades biológicas y sicol</w:t>
      </w:r>
      <w:r w:rsidRPr="00B809EF">
        <w:t>ógicas-, confrontado y matizado con el del varón -resultado también de factores naturales y culturales inevadibles-, la decisión política será parcializada, sesgada y, por ende, contraria a la voluntad general que encarna el interés común”.</w:t>
      </w:r>
    </w:p>
  </w:footnote>
  <w:footnote w:id="98">
    <w:p w:rsidR="00B70D31" w:rsidRPr="00B809EF" w:rsidRDefault="0096658B">
      <w:pPr>
        <w:pStyle w:val="Textonotapie"/>
      </w:pPr>
      <w:r w:rsidRPr="00B809EF">
        <w:rPr>
          <w:rStyle w:val="Refdenotaalpie"/>
        </w:rPr>
        <w:footnoteRef/>
      </w:r>
      <w:r w:rsidRPr="00B809EF">
        <w:t xml:space="preserve"> Los datos que</w:t>
      </w:r>
      <w:r w:rsidRPr="00B809EF">
        <w:t xml:space="preserve"> justifican esta afirmación son expuestos en esta sentencia en el apartado “El balance de las medidas de cuota”, posterior en esta decisión. </w:t>
      </w:r>
    </w:p>
  </w:footnote>
  <w:footnote w:id="99">
    <w:p w:rsidR="001569E9" w:rsidRPr="00B809EF" w:rsidRDefault="0096658B" w:rsidP="00F67E09">
      <w:pPr>
        <w:pStyle w:val="Textonotapie"/>
        <w:rPr>
          <w:lang w:val="en-US"/>
        </w:rPr>
      </w:pPr>
      <w:r w:rsidRPr="00B809EF">
        <w:rPr>
          <w:rStyle w:val="Refdenotaalpie"/>
        </w:rPr>
        <w:footnoteRef/>
      </w:r>
      <w:r w:rsidRPr="00B809EF">
        <w:rPr>
          <w:lang w:val="en-US"/>
        </w:rPr>
        <w:t xml:space="preserve"> Qaddour, Jomana. (2020). Women's quotas: making the case for codifying syrian women's political participation. </w:t>
      </w:r>
      <w:r w:rsidRPr="00B809EF">
        <w:rPr>
          <w:i/>
          <w:iCs/>
          <w:lang w:val="en-US"/>
        </w:rPr>
        <w:t>W</w:t>
      </w:r>
      <w:r w:rsidRPr="00B809EF">
        <w:rPr>
          <w:i/>
          <w:iCs/>
          <w:lang w:val="en-US"/>
        </w:rPr>
        <w:t>illiam &amp; Mary Journal of Race, Gender, and Social Justice</w:t>
      </w:r>
      <w:r w:rsidRPr="00B809EF">
        <w:rPr>
          <w:lang w:val="en-US"/>
        </w:rPr>
        <w:t>, 26(3), 557-598.</w:t>
      </w:r>
    </w:p>
  </w:footnote>
  <w:footnote w:id="100">
    <w:p w:rsidR="001569E9" w:rsidRPr="00B809EF" w:rsidRDefault="0096658B" w:rsidP="00F67E09">
      <w:pPr>
        <w:pStyle w:val="Textonotapie"/>
      </w:pPr>
      <w:r w:rsidRPr="00B809EF">
        <w:rPr>
          <w:rStyle w:val="Refdenotaalpie"/>
        </w:rPr>
        <w:footnoteRef/>
      </w:r>
      <w:r w:rsidRPr="00B809EF">
        <w:rPr>
          <w:lang w:val="en-US"/>
        </w:rPr>
        <w:t xml:space="preserve"> Artículo 23. </w:t>
      </w:r>
      <w:r w:rsidRPr="00B809EF">
        <w:t xml:space="preserve">Derechos Políticos 1. Todos los ciudadanos deben gozar de los siguientes derechos y oportunidades: </w:t>
      </w:r>
    </w:p>
    <w:p w:rsidR="001569E9" w:rsidRPr="00B809EF" w:rsidRDefault="0096658B" w:rsidP="00F67E09">
      <w:pPr>
        <w:pStyle w:val="Textonotapie"/>
      </w:pPr>
      <w:r w:rsidRPr="00B809EF">
        <w:t>a) De participar en la dirección de los asuntos públicos, directam</w:t>
      </w:r>
      <w:r w:rsidRPr="00B809EF">
        <w:t xml:space="preserve">ente o por medio de representantes libremente elegidos; </w:t>
      </w:r>
    </w:p>
    <w:p w:rsidR="001569E9" w:rsidRPr="00B809EF" w:rsidRDefault="0096658B" w:rsidP="00F67E09">
      <w:pPr>
        <w:pStyle w:val="Textonotapie"/>
      </w:pPr>
      <w:r w:rsidRPr="00B809EF">
        <w:t xml:space="preserve">b) De votar y ser elegidos en elecciones periódicas auténticas, realizadas por sufragio universal e igual y por voto secreto que garantice la libre expresión de la voluntad de los electores, y </w:t>
      </w:r>
    </w:p>
    <w:p w:rsidR="001569E9" w:rsidRPr="00B809EF" w:rsidRDefault="0096658B" w:rsidP="00F67E09">
      <w:pPr>
        <w:pStyle w:val="Textonotapie"/>
      </w:pPr>
      <w:r w:rsidRPr="00B809EF">
        <w:t>c) De</w:t>
      </w:r>
      <w:r w:rsidRPr="00B809EF">
        <w:t xml:space="preserve"> tener acceso, en condiciones generales de igualdad, a las funciones públicas de su país. </w:t>
      </w:r>
    </w:p>
    <w:p w:rsidR="001569E9" w:rsidRPr="00B809EF" w:rsidRDefault="0096658B" w:rsidP="00F67E09">
      <w:pPr>
        <w:pStyle w:val="Textonotapie"/>
      </w:pPr>
      <w:r w:rsidRPr="00B809EF">
        <w:t>2. La ley puede reglamentar el ejercicio de los derechos y oportunidades a que se refiere el inciso anterior, exclusivamente por razones de edad, nacionalidad, resid</w:t>
      </w:r>
      <w:r w:rsidRPr="00B809EF">
        <w:t>encia, idioma, instrucción, capacidad civil o mental, o condena, por juez competente, en proceso penal.</w:t>
      </w:r>
    </w:p>
  </w:footnote>
  <w:footnote w:id="101">
    <w:p w:rsidR="001569E9" w:rsidRPr="00B809EF" w:rsidRDefault="0096658B" w:rsidP="00F67E09">
      <w:pPr>
        <w:pStyle w:val="Textonotapie"/>
      </w:pPr>
      <w:r w:rsidRPr="00B809EF">
        <w:rPr>
          <w:rStyle w:val="Refdenotaalpie"/>
        </w:rPr>
        <w:footnoteRef/>
      </w:r>
      <w:r w:rsidRPr="00B809EF">
        <w:t xml:space="preserve"> CEDAW. Artículo 1º: A los efectos de la presente Convención, la expresión “discriminación contra la mujer” denotará toda distinción, exclusión o restr</w:t>
      </w:r>
      <w:r w:rsidRPr="00B809EF">
        <w:t>icción basada en el sexo que tenga por objeto o resultado menoscabar o anular el reconocimiento, goce o ejercicio por la mujer, independientemente de su estado civil, sobre la base de la igualdad del hombre y la mujer, de los derechos humanos y las liberta</w:t>
      </w:r>
      <w:r w:rsidRPr="00B809EF">
        <w:t>des fundamentales en las esferas política, económica, social, cultural y civil o en cualquier otra esfera.</w:t>
      </w:r>
    </w:p>
  </w:footnote>
  <w:footnote w:id="102">
    <w:p w:rsidR="00EB6610" w:rsidRPr="00B809EF" w:rsidRDefault="0096658B">
      <w:pPr>
        <w:pStyle w:val="Textonotapie"/>
      </w:pPr>
      <w:r w:rsidRPr="00B809EF">
        <w:rPr>
          <w:rStyle w:val="Refdenotaalpie"/>
        </w:rPr>
        <w:footnoteRef/>
      </w:r>
      <w:r w:rsidRPr="00B809EF">
        <w:t xml:space="preserve"> La Corte Constitucional ha reconocido a las observaciones de los órganos creados por otros tratados la calidad de “criterios hermenéuticos”. Esto bajo la lógica de que, si bien no pueden considerarse como fuentes básicas del derecho internacional público,</w:t>
      </w:r>
      <w:r w:rsidRPr="00B809EF">
        <w:t xml:space="preserve"> en los términos del artículo 38 del Estatuto de la Corte Internacional de Justicia, en todo caso sí ofrecen pautas interpretativas importantes para la comprensión de las disposiciones contenidas en los tratados. Así por ejemplo, en la sentencia C-055 de 2</w:t>
      </w:r>
      <w:r w:rsidRPr="00B809EF">
        <w:t xml:space="preserve">022, fundamento jurídico 236, </w:t>
      </w:r>
      <w:r w:rsidRPr="00B809EF">
        <w:t>la Corte confirió</w:t>
      </w:r>
      <w:r w:rsidRPr="00B809EF">
        <w:t xml:space="preserve"> ese carácter a varias recomendaciones y observaciones relativas a los derechos reproductivos de las mujeres. </w:t>
      </w:r>
    </w:p>
  </w:footnote>
  <w:footnote w:id="103">
    <w:p w:rsidR="001569E9" w:rsidRPr="00B809EF" w:rsidRDefault="0096658B" w:rsidP="00F67E09">
      <w:pPr>
        <w:pStyle w:val="Textonotapie"/>
      </w:pPr>
      <w:r w:rsidRPr="00B809EF">
        <w:rPr>
          <w:rStyle w:val="Refdenotaalpie"/>
        </w:rPr>
        <w:footnoteRef/>
      </w:r>
      <w:r w:rsidRPr="00B809EF">
        <w:t xml:space="preserve"> Recomendación general No. 23. Comité para la Eliminación de la Discriminación contra la Mujer. 1</w:t>
      </w:r>
      <w:r w:rsidRPr="00B809EF">
        <w:t>6º periodo de sesiones (1997). Documento A/52/38.</w:t>
      </w:r>
    </w:p>
  </w:footnote>
  <w:footnote w:id="104">
    <w:p w:rsidR="001569E9" w:rsidRPr="00B809EF" w:rsidRDefault="0096658B" w:rsidP="00F67E09">
      <w:pPr>
        <w:pStyle w:val="Textonotapie"/>
      </w:pPr>
      <w:r w:rsidRPr="00B809EF">
        <w:rPr>
          <w:rStyle w:val="Refdenotaalpie"/>
        </w:rPr>
        <w:footnoteRef/>
      </w:r>
      <w:r w:rsidRPr="00B809EF">
        <w:t xml:space="preserve"> Id., pár. 5. </w:t>
      </w:r>
    </w:p>
  </w:footnote>
  <w:footnote w:id="105">
    <w:p w:rsidR="001569E9" w:rsidRPr="00B809EF" w:rsidRDefault="0096658B" w:rsidP="00F67E09">
      <w:pPr>
        <w:pStyle w:val="Textonotapie"/>
      </w:pPr>
      <w:r w:rsidRPr="00B809EF">
        <w:rPr>
          <w:rStyle w:val="Refdenotaalpie"/>
        </w:rPr>
        <w:footnoteRef/>
      </w:r>
      <w:r w:rsidRPr="00B809EF">
        <w:t xml:space="preserve"> Id., pár. 9 a 10. </w:t>
      </w:r>
    </w:p>
  </w:footnote>
  <w:footnote w:id="106">
    <w:p w:rsidR="001569E9" w:rsidRPr="00B809EF" w:rsidRDefault="0096658B" w:rsidP="00F67E09">
      <w:pPr>
        <w:pStyle w:val="Textonotapie"/>
        <w:rPr>
          <w:lang w:val="en-US"/>
        </w:rPr>
      </w:pPr>
      <w:r w:rsidRPr="00B809EF">
        <w:rPr>
          <w:rStyle w:val="Refdenotaalpie"/>
        </w:rPr>
        <w:footnoteRef/>
      </w:r>
      <w:r w:rsidRPr="00B809EF">
        <w:rPr>
          <w:lang w:val="en-US"/>
        </w:rPr>
        <w:t xml:space="preserve"> Id., pár. 11.</w:t>
      </w:r>
    </w:p>
  </w:footnote>
  <w:footnote w:id="107">
    <w:p w:rsidR="001569E9" w:rsidRPr="00B809EF" w:rsidRDefault="0096658B" w:rsidP="00F67E09">
      <w:pPr>
        <w:pStyle w:val="Textonotapie"/>
        <w:rPr>
          <w:lang w:val="en-US"/>
        </w:rPr>
      </w:pPr>
      <w:r w:rsidRPr="00B809EF">
        <w:rPr>
          <w:rStyle w:val="Refdenotaalpie"/>
        </w:rPr>
        <w:footnoteRef/>
      </w:r>
      <w:r w:rsidRPr="00B809EF">
        <w:rPr>
          <w:lang w:val="en-US"/>
        </w:rPr>
        <w:t xml:space="preserve"> Id., pár. 15.</w:t>
      </w:r>
    </w:p>
  </w:footnote>
  <w:footnote w:id="108">
    <w:p w:rsidR="001569E9" w:rsidRPr="00B809EF" w:rsidRDefault="0096658B" w:rsidP="00F67E09">
      <w:pPr>
        <w:pStyle w:val="Textonotapie"/>
        <w:rPr>
          <w:lang w:val="en-US"/>
        </w:rPr>
      </w:pPr>
      <w:r w:rsidRPr="00B809EF">
        <w:rPr>
          <w:rStyle w:val="Refdenotaalpie"/>
        </w:rPr>
        <w:footnoteRef/>
      </w:r>
      <w:r w:rsidRPr="00B809EF">
        <w:rPr>
          <w:lang w:val="en-US"/>
        </w:rPr>
        <w:t xml:space="preserve"> Id. </w:t>
      </w:r>
    </w:p>
  </w:footnote>
  <w:footnote w:id="109">
    <w:p w:rsidR="001569E9" w:rsidRPr="00B809EF" w:rsidRDefault="0096658B" w:rsidP="00F67E09">
      <w:pPr>
        <w:pStyle w:val="Textonotapie"/>
        <w:rPr>
          <w:lang w:val="en-US"/>
        </w:rPr>
      </w:pPr>
      <w:r w:rsidRPr="00B809EF">
        <w:rPr>
          <w:rStyle w:val="Refdenotaalpie"/>
        </w:rPr>
        <w:footnoteRef/>
      </w:r>
      <w:r w:rsidRPr="00B809EF">
        <w:rPr>
          <w:lang w:val="en-US"/>
        </w:rPr>
        <w:t xml:space="preserve"> Id. </w:t>
      </w:r>
    </w:p>
  </w:footnote>
  <w:footnote w:id="110">
    <w:p w:rsidR="001569E9" w:rsidRPr="00B809EF" w:rsidRDefault="0096658B" w:rsidP="00F67E09">
      <w:pPr>
        <w:pStyle w:val="Textonotapie"/>
        <w:rPr>
          <w:lang w:val="en-US"/>
        </w:rPr>
      </w:pPr>
      <w:r w:rsidRPr="00B809EF">
        <w:rPr>
          <w:rStyle w:val="Refdenotaalpie"/>
        </w:rPr>
        <w:footnoteRef/>
      </w:r>
      <w:r w:rsidRPr="00B809EF">
        <w:rPr>
          <w:lang w:val="en-US"/>
        </w:rPr>
        <w:t xml:space="preserve"> Id., pár. 26.</w:t>
      </w:r>
    </w:p>
  </w:footnote>
  <w:footnote w:id="111">
    <w:p w:rsidR="001569E9" w:rsidRPr="00B809EF" w:rsidRDefault="0096658B" w:rsidP="00F67E09">
      <w:pPr>
        <w:pStyle w:val="Textonotapie"/>
        <w:rPr>
          <w:lang w:val="en-US"/>
        </w:rPr>
      </w:pPr>
      <w:r w:rsidRPr="00B809EF">
        <w:rPr>
          <w:rStyle w:val="Refdenotaalpie"/>
        </w:rPr>
        <w:footnoteRef/>
      </w:r>
      <w:r w:rsidRPr="00B809EF">
        <w:rPr>
          <w:lang w:val="en-US"/>
        </w:rPr>
        <w:t xml:space="preserve"> Id., pár. 28. </w:t>
      </w:r>
    </w:p>
  </w:footnote>
  <w:footnote w:id="112">
    <w:p w:rsidR="001569E9" w:rsidRPr="00B809EF" w:rsidRDefault="0096658B" w:rsidP="00F67E09">
      <w:pPr>
        <w:pStyle w:val="Textonotapie"/>
      </w:pPr>
      <w:r w:rsidRPr="00B809EF">
        <w:rPr>
          <w:rStyle w:val="Refdenotaalpie"/>
        </w:rPr>
        <w:footnoteRef/>
      </w:r>
      <w:r w:rsidRPr="00B809EF">
        <w:t xml:space="preserve"> Id., pár. 35. </w:t>
      </w:r>
    </w:p>
  </w:footnote>
  <w:footnote w:id="113">
    <w:p w:rsidR="001569E9" w:rsidRPr="00B809EF" w:rsidRDefault="0096658B" w:rsidP="00F67E09">
      <w:pPr>
        <w:pStyle w:val="Textonotapie"/>
      </w:pPr>
      <w:r w:rsidRPr="00B809EF">
        <w:rPr>
          <w:rStyle w:val="Refdenotaalpie"/>
        </w:rPr>
        <w:footnoteRef/>
      </w:r>
      <w:r w:rsidRPr="00B809EF">
        <w:t xml:space="preserve"> Id.. pár. 39. </w:t>
      </w:r>
    </w:p>
  </w:footnote>
  <w:footnote w:id="114">
    <w:p w:rsidR="001569E9" w:rsidRPr="00B809EF" w:rsidRDefault="0096658B" w:rsidP="00F67E09">
      <w:pPr>
        <w:pStyle w:val="Textonotapie"/>
      </w:pPr>
      <w:r w:rsidRPr="00B809EF">
        <w:rPr>
          <w:rStyle w:val="Refdenotaalpie"/>
          <w:lang w:val="es-ES_tradnl"/>
        </w:rPr>
        <w:footnoteRef/>
      </w:r>
      <w:r w:rsidRPr="00B809EF">
        <w:t xml:space="preserve"> Sentencias C-551 de 2015, C-601 de 2015 y C-266 de 2019.</w:t>
      </w:r>
    </w:p>
  </w:footnote>
  <w:footnote w:id="115">
    <w:p w:rsidR="001569E9" w:rsidRPr="00B809EF" w:rsidRDefault="0096658B" w:rsidP="00F67E09">
      <w:pPr>
        <w:pStyle w:val="Textonotapie"/>
      </w:pPr>
      <w:r w:rsidRPr="00B809EF">
        <w:rPr>
          <w:rStyle w:val="Refdenotaalpie"/>
          <w:lang w:val="es-ES_tradnl"/>
        </w:rPr>
        <w:footnoteRef/>
      </w:r>
      <w:r w:rsidRPr="00B809EF">
        <w:t xml:space="preserve"> Sentencias C-006 de 2017 y C-006 de 2018. </w:t>
      </w:r>
    </w:p>
  </w:footnote>
  <w:footnote w:id="116">
    <w:p w:rsidR="001569E9" w:rsidRPr="00B809EF" w:rsidRDefault="0096658B" w:rsidP="00F67E09">
      <w:pPr>
        <w:pStyle w:val="Textonotapie"/>
      </w:pPr>
      <w:r w:rsidRPr="00B809EF">
        <w:rPr>
          <w:rStyle w:val="Refdenotaalpie"/>
          <w:lang w:val="es-ES_tradnl"/>
        </w:rPr>
        <w:footnoteRef/>
      </w:r>
      <w:r w:rsidRPr="00B809EF">
        <w:t xml:space="preserve"> Sentencias C-818 de 2010, C-250 de 2012 y C-743 de 2015.</w:t>
      </w:r>
    </w:p>
  </w:footnote>
  <w:footnote w:id="117">
    <w:p w:rsidR="001569E9" w:rsidRPr="00B809EF" w:rsidRDefault="0096658B" w:rsidP="00F67E09">
      <w:pPr>
        <w:pStyle w:val="Textonotapie"/>
      </w:pPr>
      <w:r w:rsidRPr="00B809EF">
        <w:rPr>
          <w:rStyle w:val="Refdenotaalpie"/>
          <w:lang w:val="es-ES_tradnl"/>
        </w:rPr>
        <w:footnoteRef/>
      </w:r>
      <w:r w:rsidRPr="00B809EF">
        <w:t xml:space="preserve"> Sentencia C-1146 de 2004. </w:t>
      </w:r>
    </w:p>
  </w:footnote>
  <w:footnote w:id="118">
    <w:p w:rsidR="001569E9" w:rsidRPr="00B809EF" w:rsidRDefault="0096658B" w:rsidP="00F67E09">
      <w:pPr>
        <w:pStyle w:val="Textonotapie"/>
      </w:pPr>
      <w:r w:rsidRPr="00B809EF">
        <w:rPr>
          <w:rStyle w:val="Refdenotaalpie"/>
        </w:rPr>
        <w:footnoteRef/>
      </w:r>
      <w:r w:rsidRPr="00B809EF">
        <w:t xml:space="preserve"> Sentencias C-1125 de 2008, C-601 de 2015 y C-179 de 2016.</w:t>
      </w:r>
    </w:p>
  </w:footnote>
  <w:footnote w:id="119">
    <w:p w:rsidR="001569E9" w:rsidRPr="00B809EF" w:rsidRDefault="0096658B" w:rsidP="00F67E09">
      <w:pPr>
        <w:pStyle w:val="Textonotapie"/>
      </w:pPr>
      <w:r w:rsidRPr="00B809EF">
        <w:rPr>
          <w:rStyle w:val="Refdenotaalpie"/>
        </w:rPr>
        <w:footnoteRef/>
      </w:r>
      <w:r w:rsidRPr="00B809EF">
        <w:t xml:space="preserve"> Id.</w:t>
      </w:r>
      <w:r w:rsidRPr="00B809EF">
        <w:t xml:space="preserve"> </w:t>
      </w:r>
    </w:p>
  </w:footnote>
  <w:footnote w:id="120">
    <w:p w:rsidR="001569E9" w:rsidRPr="00B809EF" w:rsidRDefault="0096658B" w:rsidP="00F67E09">
      <w:pPr>
        <w:pStyle w:val="Textonotapie"/>
      </w:pPr>
      <w:r w:rsidRPr="00B809EF">
        <w:rPr>
          <w:rStyle w:val="Refdenotaalpie"/>
        </w:rPr>
        <w:footnoteRef/>
      </w:r>
      <w:r w:rsidRPr="00B809EF">
        <w:t xml:space="preserve"> Id. </w:t>
      </w:r>
    </w:p>
  </w:footnote>
  <w:footnote w:id="121">
    <w:p w:rsidR="001569E9" w:rsidRPr="00B809EF" w:rsidRDefault="0096658B" w:rsidP="00F67E09">
      <w:pPr>
        <w:pStyle w:val="Textonotapie"/>
      </w:pPr>
      <w:r w:rsidRPr="00B809EF">
        <w:rPr>
          <w:rStyle w:val="Refdenotaalpie"/>
        </w:rPr>
        <w:footnoteRef/>
      </w:r>
      <w:r w:rsidRPr="00B809EF">
        <w:t xml:space="preserve"> Id.</w:t>
      </w:r>
    </w:p>
  </w:footnote>
  <w:footnote w:id="122">
    <w:p w:rsidR="001569E9" w:rsidRPr="00B809EF" w:rsidRDefault="0096658B" w:rsidP="00F67E09">
      <w:pPr>
        <w:pStyle w:val="Textonotapie"/>
      </w:pPr>
      <w:r w:rsidRPr="00B809EF">
        <w:rPr>
          <w:rStyle w:val="Refdenotaalpie"/>
        </w:rPr>
        <w:footnoteRef/>
      </w:r>
      <w:r w:rsidRPr="00B809EF">
        <w:t xml:space="preserve"> Sentencia SU-109 de 2022. </w:t>
      </w:r>
      <w:r w:rsidRPr="00B809EF">
        <w:rPr>
          <w:i/>
          <w:iCs/>
        </w:rPr>
        <w:t>Cfr</w:t>
      </w:r>
      <w:r w:rsidRPr="00B809EF">
        <w:t>. Sentencia C-221 de 2011.</w:t>
      </w:r>
    </w:p>
  </w:footnote>
  <w:footnote w:id="123">
    <w:p w:rsidR="001569E9" w:rsidRPr="00B809EF" w:rsidRDefault="0096658B" w:rsidP="00F67E09">
      <w:pPr>
        <w:pStyle w:val="Textonotapie"/>
      </w:pPr>
      <w:r w:rsidRPr="00B809EF">
        <w:rPr>
          <w:rStyle w:val="Refdenotaalpie"/>
        </w:rPr>
        <w:footnoteRef/>
      </w:r>
      <w:r w:rsidRPr="00B809EF">
        <w:t xml:space="preserve"> Sentencias C-371 de 2000, C-490 de </w:t>
      </w:r>
      <w:r w:rsidRPr="00B809EF">
        <w:t>2011, C</w:t>
      </w:r>
      <w:r w:rsidRPr="00B809EF">
        <w:t>-389 de 2017, C-535 de 2017, C-345 de 2019, C-038 de 2021, C-295 de 2021, C-059 de 2023 y C-054 de 2024, entre otras.</w:t>
      </w:r>
    </w:p>
  </w:footnote>
  <w:footnote w:id="124">
    <w:p w:rsidR="001569E9" w:rsidRPr="00B809EF" w:rsidRDefault="0096658B" w:rsidP="00F67E09">
      <w:pPr>
        <w:pStyle w:val="Textonotapie"/>
      </w:pPr>
      <w:r w:rsidRPr="00B809EF">
        <w:rPr>
          <w:rStyle w:val="Refdenotaalpie"/>
        </w:rPr>
        <w:footnoteRef/>
      </w:r>
      <w:r w:rsidRPr="00B809EF">
        <w:t xml:space="preserve"> Sentencia C-057 de </w:t>
      </w:r>
      <w:r w:rsidRPr="00B809EF">
        <w:t xml:space="preserve">2021. </w:t>
      </w:r>
    </w:p>
  </w:footnote>
  <w:footnote w:id="125">
    <w:p w:rsidR="001569E9" w:rsidRPr="00B809EF" w:rsidRDefault="0096658B" w:rsidP="00F67E09">
      <w:pPr>
        <w:pStyle w:val="Textonotapie"/>
      </w:pPr>
      <w:r w:rsidRPr="00B809EF">
        <w:rPr>
          <w:rStyle w:val="Refdenotaalpie"/>
        </w:rPr>
        <w:footnoteRef/>
      </w:r>
      <w:r w:rsidRPr="00B809EF">
        <w:t xml:space="preserve"> Sentencia C-125 de 2018.</w:t>
      </w:r>
    </w:p>
  </w:footnote>
  <w:footnote w:id="126">
    <w:p w:rsidR="001569E9" w:rsidRPr="00B809EF" w:rsidRDefault="0096658B" w:rsidP="00F67E09">
      <w:pPr>
        <w:pStyle w:val="Textonotapie"/>
      </w:pPr>
      <w:r w:rsidRPr="00B809EF">
        <w:rPr>
          <w:rStyle w:val="Refdenotaalpie"/>
        </w:rPr>
        <w:footnoteRef/>
      </w:r>
      <w:r w:rsidRPr="00B809EF">
        <w:t xml:space="preserve"> Sentencias C-1125 de 2001 y C-179 de 2016.</w:t>
      </w:r>
    </w:p>
  </w:footnote>
  <w:footnote w:id="127">
    <w:p w:rsidR="001569E9" w:rsidRPr="00B809EF" w:rsidRDefault="0096658B" w:rsidP="00F67E09">
      <w:pPr>
        <w:pStyle w:val="Textonotapie"/>
      </w:pPr>
      <w:r w:rsidRPr="00B809EF">
        <w:rPr>
          <w:rStyle w:val="Refdenotaalpie"/>
        </w:rPr>
        <w:footnoteRef/>
      </w:r>
      <w:r w:rsidRPr="00B809EF">
        <w:t xml:space="preserve"> Sentencia C-057 de 2021. </w:t>
      </w:r>
      <w:r w:rsidRPr="00B809EF">
        <w:rPr>
          <w:i/>
          <w:iCs/>
        </w:rPr>
        <w:t>Cfr</w:t>
      </w:r>
      <w:r w:rsidRPr="00B809EF">
        <w:t>. Sentencia C-624 de 2008. La Corte ha señalado que las acciones afirmativas son “políticas o medidas dirigidas a favorecer a determinadas personas o grupos, ya sea con el fin de eliminar o reducir las desigualdades de tipo social, cultural o económico que</w:t>
      </w:r>
      <w:r w:rsidRPr="00B809EF">
        <w:t xml:space="preserve"> los afectan, bien de lograr que los miembros de un grupo subrepresentado, usualmente un grupo que ha sido discriminado, tengan una mayor representación”. </w:t>
      </w:r>
      <w:r w:rsidRPr="00B809EF">
        <w:rPr>
          <w:i/>
          <w:iCs/>
        </w:rPr>
        <w:t>Cfr</w:t>
      </w:r>
      <w:r w:rsidRPr="00B809EF">
        <w:t>. Sentencia C-371 de 2000, citada en la sentencia SU-109 de 2022.</w:t>
      </w:r>
    </w:p>
  </w:footnote>
  <w:footnote w:id="128">
    <w:p w:rsidR="001569E9" w:rsidRPr="00B809EF" w:rsidRDefault="0096658B" w:rsidP="00F67E09">
      <w:pPr>
        <w:pStyle w:val="Textonotapie"/>
      </w:pPr>
      <w:r w:rsidRPr="00B809EF">
        <w:rPr>
          <w:rStyle w:val="Refdenotaalpie"/>
        </w:rPr>
        <w:footnoteRef/>
      </w:r>
      <w:r w:rsidRPr="00B809EF">
        <w:t xml:space="preserve"> Sentencia C-410 de 1994. En es</w:t>
      </w:r>
      <w:r w:rsidRPr="00B809EF">
        <w:t>a medida, para la Corte, “la igualdad sustancial revela […] un carácter remedial, compensador, emancipatorio, corrector y defensivo de personas y de grupos ubicados en condiciones de inferioridad, mediante el impulso de acciones positivas de los poderes pú</w:t>
      </w:r>
      <w:r w:rsidRPr="00B809EF">
        <w:t xml:space="preserve">blicos”. </w:t>
      </w:r>
    </w:p>
  </w:footnote>
  <w:footnote w:id="129">
    <w:p w:rsidR="001569E9" w:rsidRPr="00B809EF" w:rsidRDefault="0096658B" w:rsidP="00F67E09">
      <w:pPr>
        <w:pStyle w:val="Textonotapie"/>
      </w:pPr>
      <w:r w:rsidRPr="00B809EF">
        <w:rPr>
          <w:rStyle w:val="Refdenotaalpie"/>
        </w:rPr>
        <w:footnoteRef/>
      </w:r>
      <w:r w:rsidRPr="00B809EF">
        <w:t xml:space="preserve"> Sentencias C-371 de 2000, C-490 de 2011 y C-059 de 2023.</w:t>
      </w:r>
    </w:p>
  </w:footnote>
  <w:footnote w:id="130">
    <w:p w:rsidR="001569E9" w:rsidRPr="00B809EF" w:rsidRDefault="0096658B" w:rsidP="00F67E09">
      <w:pPr>
        <w:pStyle w:val="Textonotapie"/>
      </w:pPr>
      <w:r w:rsidRPr="00B809EF">
        <w:rPr>
          <w:rStyle w:val="Refdenotaalpie"/>
        </w:rPr>
        <w:footnoteRef/>
      </w:r>
      <w:r w:rsidRPr="00B809EF">
        <w:t xml:space="preserve"> Sentencias C-371 de 2000 y C-059 de 2023. </w:t>
      </w:r>
    </w:p>
  </w:footnote>
  <w:footnote w:id="131">
    <w:p w:rsidR="001569E9" w:rsidRPr="00B809EF" w:rsidRDefault="0096658B" w:rsidP="00F67E09">
      <w:pPr>
        <w:pStyle w:val="Textonotapie"/>
      </w:pPr>
      <w:r w:rsidRPr="00B809EF">
        <w:rPr>
          <w:rStyle w:val="Refdenotaalpie"/>
        </w:rPr>
        <w:footnoteRef/>
      </w:r>
      <w:r w:rsidRPr="00B809EF">
        <w:t xml:space="preserve"> Sentencia C-371 de 2000.</w:t>
      </w:r>
    </w:p>
  </w:footnote>
  <w:footnote w:id="132">
    <w:p w:rsidR="001569E9" w:rsidRPr="00B809EF" w:rsidRDefault="0096658B" w:rsidP="00F67E09">
      <w:pPr>
        <w:pStyle w:val="Textonotapie"/>
      </w:pPr>
      <w:r w:rsidRPr="00B809EF">
        <w:rPr>
          <w:rStyle w:val="Refdenotaalpie"/>
        </w:rPr>
        <w:footnoteRef/>
      </w:r>
      <w:r w:rsidRPr="00B809EF">
        <w:t xml:space="preserve"> Sentencia C-410 de 1994. </w:t>
      </w:r>
    </w:p>
  </w:footnote>
  <w:footnote w:id="133">
    <w:p w:rsidR="001569E9" w:rsidRPr="00B809EF" w:rsidRDefault="0096658B" w:rsidP="00F67E09">
      <w:pPr>
        <w:pStyle w:val="Textonotapie"/>
      </w:pPr>
      <w:r w:rsidRPr="00B809EF">
        <w:rPr>
          <w:rStyle w:val="Refdenotaalpie"/>
        </w:rPr>
        <w:footnoteRef/>
      </w:r>
      <w:r w:rsidRPr="00B809EF">
        <w:t xml:space="preserve"> Ib.</w:t>
      </w:r>
    </w:p>
  </w:footnote>
  <w:footnote w:id="134">
    <w:p w:rsidR="001569E9" w:rsidRPr="00B809EF" w:rsidRDefault="0096658B" w:rsidP="00F67E09">
      <w:pPr>
        <w:pStyle w:val="Textonotapie"/>
      </w:pPr>
      <w:r w:rsidRPr="00B809EF">
        <w:rPr>
          <w:rStyle w:val="Refdenotaalpie"/>
        </w:rPr>
        <w:footnoteRef/>
      </w:r>
      <w:r w:rsidRPr="00B809EF">
        <w:t xml:space="preserve"> Sentencias C-410 de 1994, C-371 de 2000 y C-059 de 2023.</w:t>
      </w:r>
    </w:p>
  </w:footnote>
  <w:footnote w:id="135">
    <w:p w:rsidR="001569E9" w:rsidRPr="00B809EF" w:rsidRDefault="0096658B" w:rsidP="00F67E09">
      <w:pPr>
        <w:pStyle w:val="Textonotapie"/>
      </w:pPr>
      <w:r w:rsidRPr="00B809EF">
        <w:rPr>
          <w:rStyle w:val="Refdenotaalpie"/>
        </w:rPr>
        <w:footnoteRef/>
      </w:r>
      <w:r w:rsidRPr="00B809EF">
        <w:t xml:space="preserve"> Sentencias C-371 de </w:t>
      </w:r>
      <w:r w:rsidRPr="00B809EF">
        <w:t>2000 y C-059 de 2023.</w:t>
      </w:r>
    </w:p>
  </w:footnote>
  <w:footnote w:id="136">
    <w:p w:rsidR="001569E9" w:rsidRPr="00B809EF" w:rsidRDefault="0096658B" w:rsidP="00F67E09">
      <w:pPr>
        <w:pStyle w:val="Textonotapie"/>
        <w:rPr>
          <w:lang w:val="es-ES_tradnl"/>
        </w:rPr>
      </w:pPr>
      <w:r w:rsidRPr="00B809EF">
        <w:rPr>
          <w:rStyle w:val="Refdenotaalpie"/>
        </w:rPr>
        <w:footnoteRef/>
      </w:r>
      <w:r w:rsidRPr="00B809EF">
        <w:t xml:space="preserve"> En la Recomendación N° 25, el Comité de la CEDAW explicó que “[n]o todas las medidas que puedan ser o que serán favorables a las mujeres son medidas especiales de carácter especial. El establecimiento de condiciones generales que ga</w:t>
      </w:r>
      <w:r w:rsidRPr="00B809EF">
        <w:t>ranticen los derechos civiles, políticos, económicos, sociales y culturales de la mujer y la niña y que tengan por objeto asegurar para ellas una vida digna y sin discriminación no pueden ser llamadas medidas especiales de carácter temporal”. Por tanto, re</w:t>
      </w:r>
      <w:r w:rsidRPr="00B809EF">
        <w:t>comendó a los Estados “distinguir claramente entre las medidas especiales de carácter temporal destinadas a acelerar el logro de un objetivo concreto de igualdad sustantiva o de facto de la mujer y otras políticas sociales generales adoptadas y aplicadas p</w:t>
      </w:r>
      <w:r w:rsidRPr="00B809EF">
        <w:t xml:space="preserve">ara mejorar la situación de las mujeres y las niñas”. </w:t>
      </w:r>
    </w:p>
  </w:footnote>
  <w:footnote w:id="137">
    <w:p w:rsidR="001569E9" w:rsidRPr="00B809EF" w:rsidRDefault="0096658B" w:rsidP="00F67E09">
      <w:pPr>
        <w:pStyle w:val="Textonotapie"/>
        <w:rPr>
          <w:lang w:val="es-ES_tradnl"/>
        </w:rPr>
      </w:pPr>
      <w:r w:rsidRPr="00B809EF">
        <w:rPr>
          <w:rStyle w:val="Refdenotaalpie"/>
        </w:rPr>
        <w:footnoteRef/>
      </w:r>
      <w:r w:rsidRPr="00B809EF">
        <w:t xml:space="preserve"> </w:t>
      </w:r>
      <w:r w:rsidRPr="00B809EF">
        <w:rPr>
          <w:lang w:val="es-ES_tradnl"/>
        </w:rPr>
        <w:t xml:space="preserve">C-054 de 2024. </w:t>
      </w:r>
      <w:r w:rsidRPr="00B809EF">
        <w:rPr>
          <w:i/>
          <w:iCs/>
          <w:lang w:val="es-ES_tradnl"/>
        </w:rPr>
        <w:t>Cfr</w:t>
      </w:r>
      <w:r w:rsidRPr="00B809EF">
        <w:rPr>
          <w:lang w:val="es-ES_tradnl"/>
        </w:rPr>
        <w:t xml:space="preserve">. Sentencias </w:t>
      </w:r>
      <w:r w:rsidRPr="00B809EF">
        <w:t>C-138 de 2019, C-178 de 2014 y SU 336 de 2017.</w:t>
      </w:r>
    </w:p>
  </w:footnote>
  <w:footnote w:id="138">
    <w:p w:rsidR="001569E9" w:rsidRPr="00B809EF" w:rsidRDefault="0096658B" w:rsidP="00F67E09">
      <w:pPr>
        <w:pStyle w:val="Textonotapie"/>
      </w:pPr>
      <w:r w:rsidRPr="00B809EF">
        <w:rPr>
          <w:rStyle w:val="Refdenotaalpie"/>
        </w:rPr>
        <w:footnoteRef/>
      </w:r>
      <w:r w:rsidRPr="00B809EF">
        <w:t xml:space="preserve"> Sentencia T-293 de 2017.</w:t>
      </w:r>
      <w:r w:rsidRPr="00B809EF">
        <w:rPr>
          <w:i/>
          <w:iCs/>
        </w:rPr>
        <w:t xml:space="preserve"> Cfr</w:t>
      </w:r>
      <w:r w:rsidRPr="00B809EF">
        <w:t xml:space="preserve">. Sentencia T-099 de 2015. </w:t>
      </w:r>
    </w:p>
  </w:footnote>
  <w:footnote w:id="139">
    <w:p w:rsidR="001569E9" w:rsidRPr="00B809EF" w:rsidRDefault="0096658B" w:rsidP="00F67E09">
      <w:pPr>
        <w:pStyle w:val="Textonotapie"/>
      </w:pPr>
      <w:r w:rsidRPr="00B809EF">
        <w:rPr>
          <w:rStyle w:val="Refdenotaalpie"/>
        </w:rPr>
        <w:footnoteRef/>
      </w:r>
      <w:r w:rsidRPr="00B809EF">
        <w:t xml:space="preserve"> Sentencias T-365 de 2022 y T-033 de 2024.</w:t>
      </w:r>
    </w:p>
  </w:footnote>
  <w:footnote w:id="140">
    <w:p w:rsidR="001569E9" w:rsidRPr="00B809EF" w:rsidRDefault="0096658B" w:rsidP="00F67E09">
      <w:pPr>
        <w:pStyle w:val="Textonotapie"/>
      </w:pPr>
      <w:r w:rsidRPr="00B809EF">
        <w:rPr>
          <w:rStyle w:val="Refdenotaalpie"/>
        </w:rPr>
        <w:footnoteRef/>
      </w:r>
      <w:r w:rsidRPr="00B809EF">
        <w:t xml:space="preserve"> Sentencia C-410 d</w:t>
      </w:r>
      <w:r w:rsidRPr="00B809EF">
        <w:t>e 1994. Por esto, la Corte ha afirmado que “existe la decisión constitucional de remediar situaciones de inferioridad fincadas en estereotipos o prejuicios sociales de reconocida persistencia y que a la prohibición de discriminar se suma la voluntad de err</w:t>
      </w:r>
      <w:r w:rsidRPr="00B809EF">
        <w:t>adicar esas conductas o prácticas arraigadas, que han ubicado a personas o a sectores de la población en posiciones desfavorables. Se impone, entonces, el compromiso de impedir el mantenimiento y la perpetuación de tales situaciones, por la vía de neutrali</w:t>
      </w:r>
      <w:r w:rsidRPr="00B809EF">
        <w:t xml:space="preserve">zar las consecuencias de hecho que de ellas se derivan”. </w:t>
      </w:r>
    </w:p>
  </w:footnote>
  <w:footnote w:id="141">
    <w:p w:rsidR="001569E9" w:rsidRPr="00B809EF" w:rsidRDefault="0096658B" w:rsidP="00F67E09">
      <w:pPr>
        <w:pStyle w:val="Textonotapie"/>
      </w:pPr>
      <w:r w:rsidRPr="00B809EF">
        <w:rPr>
          <w:rStyle w:val="Refdenotaalpie"/>
        </w:rPr>
        <w:footnoteRef/>
      </w:r>
      <w:r w:rsidRPr="00B809EF">
        <w:t xml:space="preserve"> Sentencias T-033 de 2024 y SU-109 de 2022.</w:t>
      </w:r>
    </w:p>
  </w:footnote>
  <w:footnote w:id="142">
    <w:p w:rsidR="001569E9" w:rsidRPr="00B809EF" w:rsidRDefault="0096658B" w:rsidP="00F67E09">
      <w:pPr>
        <w:pStyle w:val="Textonotapie"/>
      </w:pPr>
      <w:r w:rsidRPr="00B809EF">
        <w:rPr>
          <w:rStyle w:val="Refdenotaalpie"/>
        </w:rPr>
        <w:footnoteRef/>
      </w:r>
      <w:r w:rsidRPr="00B809EF">
        <w:t xml:space="preserve"> Id. </w:t>
      </w:r>
    </w:p>
  </w:footnote>
  <w:footnote w:id="143">
    <w:p w:rsidR="001569E9" w:rsidRPr="00B809EF" w:rsidRDefault="0096658B" w:rsidP="00F67E09">
      <w:pPr>
        <w:pStyle w:val="Textonotapie"/>
      </w:pPr>
      <w:r w:rsidRPr="00B809EF">
        <w:rPr>
          <w:rStyle w:val="Refdenotaalpie"/>
        </w:rPr>
        <w:footnoteRef/>
      </w:r>
      <w:r w:rsidRPr="00B809EF">
        <w:t xml:space="preserve"> </w:t>
      </w:r>
      <w:r w:rsidRPr="00B809EF">
        <w:rPr>
          <w:lang w:val="es-ES_tradnl"/>
        </w:rPr>
        <w:t xml:space="preserve">Sentencia C-054 de 2024. </w:t>
      </w:r>
      <w:r w:rsidRPr="00B809EF">
        <w:rPr>
          <w:i/>
          <w:iCs/>
          <w:lang w:val="es-ES_tradnl"/>
        </w:rPr>
        <w:t>Cfr.</w:t>
      </w:r>
      <w:r w:rsidRPr="00B809EF">
        <w:rPr>
          <w:lang w:val="es-ES_tradnl"/>
        </w:rPr>
        <w:t xml:space="preserve"> Sentencias </w:t>
      </w:r>
      <w:r w:rsidRPr="00B809EF">
        <w:t>C-586 de 2016, C-754 de 2015, T-130 de 2017, T-416 de 2013, T-297 de 2013, T-285 de 2012, T-909 de 2011</w:t>
      </w:r>
      <w:r w:rsidRPr="00B809EF">
        <w:t xml:space="preserve"> y T-810 de 2011, entre otras. Asimismo, ver:</w:t>
      </w:r>
      <w:r w:rsidRPr="00B809EF">
        <w:rPr>
          <w:lang w:val="es-ES_tradnl"/>
        </w:rPr>
        <w:t xml:space="preserve"> Observación General Núm. 18 relativa a la “No Discriminación”. Comité de Derechos Humanos. Sistema Universal de Protección de Derechos. “Toda distinción, exclusión, restricción o preferencia que se basen en det</w:t>
      </w:r>
      <w:r w:rsidRPr="00B809EF">
        <w:rPr>
          <w:lang w:val="es-ES_tradnl"/>
        </w:rPr>
        <w:t>erminados motivos, como la raza, el color, el sexo, el idioma, la religión, la opinión política o de otra índole, el origen nacional o social, la posición económica, el nacimiento o cualquier otra condición social, y que tengan por objeto o por resultado a</w:t>
      </w:r>
      <w:r w:rsidRPr="00B809EF">
        <w:rPr>
          <w:lang w:val="es-ES_tradnl"/>
        </w:rPr>
        <w:t xml:space="preserve">nular o menoscabar el reconocimiento, goce o ejercicio, en condiciones de igualdad, de los derechos humanos y libertades fundamentales de todas las personas”.   </w:t>
      </w:r>
    </w:p>
  </w:footnote>
  <w:footnote w:id="144">
    <w:p w:rsidR="001569E9" w:rsidRPr="00B809EF" w:rsidRDefault="0096658B" w:rsidP="00F67E09">
      <w:pPr>
        <w:pStyle w:val="Textonotapie"/>
      </w:pPr>
      <w:r w:rsidRPr="00B809EF">
        <w:rPr>
          <w:rStyle w:val="Refdenotaalpie"/>
        </w:rPr>
        <w:footnoteRef/>
      </w:r>
      <w:r w:rsidRPr="00B809EF">
        <w:t xml:space="preserve"> Artículo 1.1 de la CEDAW, citado por la sentencia C-519 de 2019. </w:t>
      </w:r>
    </w:p>
  </w:footnote>
  <w:footnote w:id="145">
    <w:p w:rsidR="001569E9" w:rsidRPr="00B809EF" w:rsidRDefault="0096658B" w:rsidP="00F67E09">
      <w:pPr>
        <w:pStyle w:val="Textonotapie"/>
      </w:pPr>
      <w:r w:rsidRPr="00B809EF">
        <w:rPr>
          <w:rStyle w:val="Refdenotaalpie"/>
        </w:rPr>
        <w:footnoteRef/>
      </w:r>
      <w:r w:rsidRPr="00B809EF">
        <w:t xml:space="preserve"> Sentencias C-410 de 1994</w:t>
      </w:r>
      <w:r w:rsidRPr="00B809EF">
        <w:t>, C-371 de 2000, C-519 de 2019, C-059 de 2023, C-197 de 2023 y C-054 de 2024, entre otras.</w:t>
      </w:r>
    </w:p>
  </w:footnote>
  <w:footnote w:id="146">
    <w:p w:rsidR="001569E9" w:rsidRPr="00B809EF" w:rsidRDefault="0096658B" w:rsidP="00F67E09">
      <w:pPr>
        <w:pStyle w:val="Textonotapie"/>
      </w:pPr>
      <w:r w:rsidRPr="00B809EF">
        <w:rPr>
          <w:rStyle w:val="Refdenotaalpie"/>
        </w:rPr>
        <w:footnoteRef/>
      </w:r>
      <w:r w:rsidRPr="00B809EF">
        <w:t xml:space="preserve"> Sentencia C-134 de 2023. En efecto, la Corte ha “reconocido que la matriz en la que se cimentan las discriminaciones por razón del sexo está atravesada por una con</w:t>
      </w:r>
      <w:r w:rsidRPr="00B809EF">
        <w:t xml:space="preserve">cepción social, política y económica en la que los valores femeninos son puestos en menor escala de valor e incluso son fuente de calificativos peyorativos”. </w:t>
      </w:r>
      <w:r w:rsidRPr="00B809EF">
        <w:rPr>
          <w:i/>
          <w:iCs/>
        </w:rPr>
        <w:t>Cfr</w:t>
      </w:r>
      <w:r w:rsidRPr="00B809EF">
        <w:t xml:space="preserve">. Sentencia C-519 de 2019. </w:t>
      </w:r>
    </w:p>
  </w:footnote>
  <w:footnote w:id="147">
    <w:p w:rsidR="001569E9" w:rsidRPr="00B809EF" w:rsidRDefault="0096658B" w:rsidP="00F67E09">
      <w:pPr>
        <w:pStyle w:val="Textonotapie"/>
      </w:pPr>
      <w:r w:rsidRPr="00B809EF">
        <w:rPr>
          <w:rStyle w:val="Refdenotaalpie"/>
        </w:rPr>
        <w:footnoteRef/>
      </w:r>
      <w:r w:rsidRPr="00B809EF">
        <w:t xml:space="preserve"> Sentencia C-519 de 2019. </w:t>
      </w:r>
      <w:r w:rsidRPr="00B809EF">
        <w:rPr>
          <w:i/>
          <w:iCs/>
        </w:rPr>
        <w:t>Cfr</w:t>
      </w:r>
      <w:r w:rsidRPr="00B809EF">
        <w:t xml:space="preserve">. Sentencia C-038 de 2021. </w:t>
      </w:r>
    </w:p>
  </w:footnote>
  <w:footnote w:id="148">
    <w:p w:rsidR="001569E9" w:rsidRPr="00B809EF" w:rsidRDefault="0096658B" w:rsidP="00F67E09">
      <w:pPr>
        <w:pStyle w:val="Textonotapie"/>
      </w:pPr>
      <w:r w:rsidRPr="00B809EF">
        <w:rPr>
          <w:rStyle w:val="Refdenotaalpie"/>
        </w:rPr>
        <w:footnoteRef/>
      </w:r>
      <w:r w:rsidRPr="00B809EF">
        <w:t xml:space="preserve"> Sentenc</w:t>
      </w:r>
      <w:r w:rsidRPr="00B809EF">
        <w:t xml:space="preserve">ia C-038 de 2021. </w:t>
      </w:r>
    </w:p>
  </w:footnote>
  <w:footnote w:id="149">
    <w:p w:rsidR="001569E9" w:rsidRPr="00B809EF" w:rsidRDefault="0096658B" w:rsidP="00F67E09">
      <w:pPr>
        <w:pStyle w:val="Textonotapie"/>
      </w:pPr>
      <w:r w:rsidRPr="00B809EF">
        <w:rPr>
          <w:rStyle w:val="Refdenotaalpie"/>
        </w:rPr>
        <w:footnoteRef/>
      </w:r>
      <w:r w:rsidRPr="00B809EF">
        <w:t xml:space="preserve"> Id. </w:t>
      </w:r>
    </w:p>
  </w:footnote>
  <w:footnote w:id="150">
    <w:p w:rsidR="001569E9" w:rsidRPr="00B809EF" w:rsidRDefault="0096658B" w:rsidP="00F67E09">
      <w:pPr>
        <w:pStyle w:val="Textonotapie"/>
      </w:pPr>
      <w:r w:rsidRPr="00B809EF">
        <w:rPr>
          <w:rStyle w:val="Refdenotaalpie"/>
        </w:rPr>
        <w:footnoteRef/>
      </w:r>
      <w:r w:rsidRPr="00B809EF">
        <w:t xml:space="preserve"> Sentencia C-117 de 2018.</w:t>
      </w:r>
    </w:p>
  </w:footnote>
  <w:footnote w:id="151">
    <w:p w:rsidR="001569E9" w:rsidRPr="00B809EF" w:rsidRDefault="0096658B" w:rsidP="00F67E09">
      <w:pPr>
        <w:pStyle w:val="Textonotapie"/>
        <w:rPr>
          <w:lang w:val="es-ES_tradnl"/>
        </w:rPr>
      </w:pPr>
      <w:r w:rsidRPr="00B809EF">
        <w:rPr>
          <w:rStyle w:val="Refdenotaalpie"/>
        </w:rPr>
        <w:footnoteRef/>
      </w:r>
      <w:r w:rsidRPr="00B809EF">
        <w:t xml:space="preserve"> </w:t>
      </w:r>
      <w:r w:rsidRPr="00B809EF">
        <w:rPr>
          <w:lang w:val="es-ES_tradnl"/>
        </w:rPr>
        <w:t xml:space="preserve">Id. </w:t>
      </w:r>
      <w:r w:rsidRPr="00B809EF">
        <w:rPr>
          <w:i/>
          <w:iCs/>
          <w:lang w:val="es-ES_tradnl"/>
        </w:rPr>
        <w:t>Cfr.</w:t>
      </w:r>
      <w:r w:rsidRPr="00B809EF">
        <w:rPr>
          <w:lang w:val="es-ES_tradnl"/>
        </w:rPr>
        <w:t xml:space="preserve"> Sentencias C-519 de 2019 y C-734 de 2015. En esta última providencia, la Corte señaló que “ha </w:t>
      </w:r>
      <w:r w:rsidRPr="00B809EF">
        <w:rPr>
          <w:shd w:val="clear" w:color="auto" w:fill="FFFFFF"/>
        </w:rPr>
        <w:t>identificado de manera reiterada los estereotipos de género son preconcepciones que generalmente l</w:t>
      </w:r>
      <w:r w:rsidRPr="00B809EF">
        <w:rPr>
          <w:shd w:val="clear" w:color="auto" w:fill="FFFFFF"/>
        </w:rPr>
        <w:t>e asignan a la mujer un rol tradicional asociado al trabajo del hogar, a la reproducción y a la subordinación frente al hombre sobre quien, por el contrario, han recaído todas las obligaciones de liderazgo, debido a su fuerza física y supuesta racionalidad</w:t>
      </w:r>
      <w:r w:rsidRPr="00B809EF">
        <w:rPr>
          <w:shd w:val="clear" w:color="auto" w:fill="FFFFFF"/>
        </w:rPr>
        <w:t xml:space="preserve"> mental”.</w:t>
      </w:r>
    </w:p>
  </w:footnote>
  <w:footnote w:id="152">
    <w:p w:rsidR="001569E9" w:rsidRPr="00B809EF" w:rsidRDefault="0096658B" w:rsidP="00F67E09">
      <w:pPr>
        <w:pStyle w:val="Textonotapie"/>
        <w:rPr>
          <w:lang w:val="es-ES_tradnl"/>
        </w:rPr>
      </w:pPr>
      <w:r w:rsidRPr="00B809EF">
        <w:rPr>
          <w:rStyle w:val="Refdenotaalpie"/>
        </w:rPr>
        <w:footnoteRef/>
      </w:r>
      <w:r w:rsidRPr="00B809EF">
        <w:t xml:space="preserve"> Departamento Administrativo Nacional de Estadística (DANE), Consejería Presidencial para la Equidad de la Mujer (CPEM) y Entidad de las Naciones Unidas para la Igualdad de Género y el Empoderamiento de las Mujeres (ONU Mujeres). Mujeres y Hombres: Brechas</w:t>
      </w:r>
      <w:r w:rsidRPr="00B809EF">
        <w:t xml:space="preserve"> de género en Colombia. Septiembre de 2020. Disponible en línea: </w:t>
      </w:r>
      <w:hyperlink r:id="rId1" w:history="1">
        <w:r w:rsidRPr="00B809EF">
          <w:rPr>
            <w:rStyle w:val="Hipervnculo"/>
          </w:rPr>
          <w:t>https://www.dane.gov.co/files/investigaciones/genero</w:t>
        </w:r>
        <w:r w:rsidRPr="00B809EF">
          <w:rPr>
            <w:rStyle w:val="Hipervnculo"/>
          </w:rPr>
          <w:t>/publicaciones/mujeres-y-hombre-brechas-de-genero-colombia-informe.pdf</w:t>
        </w:r>
      </w:hyperlink>
      <w:r w:rsidRPr="00B809EF">
        <w:t>., pp. 48 y 67. Consultado el 7 de marzo de 2024.</w:t>
      </w:r>
    </w:p>
  </w:footnote>
  <w:footnote w:id="153">
    <w:p w:rsidR="001569E9" w:rsidRPr="00B809EF" w:rsidRDefault="0096658B" w:rsidP="00F67E09">
      <w:pPr>
        <w:pStyle w:val="Textonotapie"/>
      </w:pPr>
      <w:r w:rsidRPr="00B809EF">
        <w:rPr>
          <w:rStyle w:val="Refdenotaalpie"/>
        </w:rPr>
        <w:footnoteRef/>
      </w:r>
      <w:r w:rsidRPr="00B809EF">
        <w:t xml:space="preserve"> Encuesta Nacional de Uso del Tiempo 2020-2021. DANE. Noviembre de 2022. </w:t>
      </w:r>
      <w:r w:rsidRPr="00B809EF">
        <w:rPr>
          <w:lang w:val="es-ES_tradnl"/>
        </w:rPr>
        <w:t xml:space="preserve">En línea: </w:t>
      </w:r>
      <w:hyperlink r:id="rId2" w:history="1">
        <w:r w:rsidRPr="00B809EF">
          <w:rPr>
            <w:rStyle w:val="Hipervnculo"/>
            <w:lang w:val="es-ES_tradnl"/>
          </w:rPr>
          <w:t>https://www.dane.gov.co/index.php/estadisticas-por-tema/pobreza-y-condiciones-de-vida/encuesta-nacional-del-uso-del-tiempo-enut</w:t>
        </w:r>
      </w:hyperlink>
      <w:r w:rsidRPr="00B809EF">
        <w:rPr>
          <w:lang w:val="es-ES_tradnl"/>
        </w:rPr>
        <w:t xml:space="preserve">. Consultada el 7 de marzo de 2024. </w:t>
      </w:r>
      <w:r w:rsidRPr="00B809EF">
        <w:rPr>
          <w:i/>
          <w:iCs/>
          <w:lang w:val="es-ES_tradnl"/>
        </w:rPr>
        <w:t>C</w:t>
      </w:r>
      <w:r w:rsidRPr="00B809EF">
        <w:rPr>
          <w:i/>
          <w:iCs/>
          <w:lang w:val="es-ES_tradnl"/>
        </w:rPr>
        <w:t>fr.</w:t>
      </w:r>
      <w:r w:rsidRPr="00B809EF">
        <w:rPr>
          <w:lang w:val="es-ES_tradnl"/>
        </w:rPr>
        <w:t>, DANE, CPEM y ONU Mujeres</w:t>
      </w:r>
      <w:r w:rsidRPr="00B809EF">
        <w:t xml:space="preserve">. Mujeres y Hombres: Brechas de género en Colombia. Segunda Edición, 2022. En línea: </w:t>
      </w:r>
      <w:hyperlink r:id="rId3" w:history="1">
        <w:r w:rsidRPr="00B809EF">
          <w:rPr>
            <w:rStyle w:val="Hipervnculo"/>
          </w:rPr>
          <w:t>https://colombia.unwom</w:t>
        </w:r>
        <w:r w:rsidRPr="00B809EF">
          <w:rPr>
            <w:rStyle w:val="Hipervnculo"/>
          </w:rPr>
          <w:t>en.org/sites/default/files/2022-11/MyH%20BrechasColombia-NOV5-17Nov%20%284%29.pdf</w:t>
        </w:r>
      </w:hyperlink>
      <w:r w:rsidRPr="00B809EF">
        <w:t>, pp. 68 y 69. Consultado el 7 de marzo de 2024.</w:t>
      </w:r>
    </w:p>
  </w:footnote>
  <w:footnote w:id="154">
    <w:p w:rsidR="001569E9" w:rsidRPr="00B809EF" w:rsidRDefault="0096658B" w:rsidP="00F67E09">
      <w:pPr>
        <w:pStyle w:val="Textonotapie"/>
      </w:pPr>
      <w:r w:rsidRPr="00B809EF">
        <w:rPr>
          <w:rStyle w:val="Refdenotaalpie"/>
        </w:rPr>
        <w:footnoteRef/>
      </w:r>
      <w:r w:rsidRPr="00B809EF">
        <w:t xml:space="preserve"> Sentencia C-117 de 2018.</w:t>
      </w:r>
    </w:p>
  </w:footnote>
  <w:footnote w:id="155">
    <w:p w:rsidR="001569E9" w:rsidRPr="00B809EF" w:rsidRDefault="0096658B" w:rsidP="00F67E09">
      <w:pPr>
        <w:pStyle w:val="Textonotapie"/>
      </w:pPr>
      <w:r w:rsidRPr="00B809EF">
        <w:rPr>
          <w:rStyle w:val="Refdenotaalpie"/>
        </w:rPr>
        <w:footnoteRef/>
      </w:r>
      <w:r w:rsidRPr="00B809EF">
        <w:t xml:space="preserve"> Id. De conformidad con las definiciones previstas por el artículo 2º de la Ley 1413 de 2010, el t</w:t>
      </w:r>
      <w:r w:rsidRPr="00B809EF">
        <w:t xml:space="preserve">rabajo de hogar no remunerado se refiere a los “[s]ervicios domésticos, personales y de cuidado generados y consumidos dentro del propio hogar por las que no se percibe retribución económica directa”. </w:t>
      </w:r>
    </w:p>
  </w:footnote>
  <w:footnote w:id="156">
    <w:p w:rsidR="001569E9" w:rsidRPr="00B809EF" w:rsidRDefault="0096658B" w:rsidP="00F67E09">
      <w:pPr>
        <w:pStyle w:val="Textonotapie"/>
      </w:pPr>
      <w:r w:rsidRPr="00B809EF">
        <w:rPr>
          <w:rStyle w:val="Refdenotaalpie"/>
        </w:rPr>
        <w:footnoteRef/>
      </w:r>
      <w:r w:rsidRPr="00B809EF">
        <w:t xml:space="preserve"> Boletín Técnico de la Encuesta Nacional de Uso del T</w:t>
      </w:r>
      <w:r w:rsidRPr="00B809EF">
        <w:t xml:space="preserve">iempo 2020-2021. DANE. 4 de noviembre de 2022, p. 5. </w:t>
      </w:r>
      <w:r w:rsidRPr="00B809EF">
        <w:rPr>
          <w:lang w:val="es-ES_tradnl"/>
        </w:rPr>
        <w:t xml:space="preserve">En línea: </w:t>
      </w:r>
      <w:hyperlink r:id="rId4" w:history="1">
        <w:r w:rsidRPr="00B809EF">
          <w:rPr>
            <w:rStyle w:val="Hipervnculo"/>
            <w:lang w:val="es-ES_tradnl"/>
          </w:rPr>
          <w:t>https://www.dane.gov.co/index.php/estadisticas-po</w:t>
        </w:r>
        <w:r w:rsidRPr="00B809EF">
          <w:rPr>
            <w:rStyle w:val="Hipervnculo"/>
            <w:lang w:val="es-ES_tradnl"/>
          </w:rPr>
          <w:t>r-tema/pobreza-y-condiciones-de-vida/encuesta-nacional-del-uso-del-tiempo-enut</w:t>
        </w:r>
      </w:hyperlink>
      <w:r w:rsidRPr="00B809EF">
        <w:rPr>
          <w:lang w:val="es-ES_tradnl"/>
        </w:rPr>
        <w:t>. Consultada el 7 de marzo de 2024.</w:t>
      </w:r>
    </w:p>
  </w:footnote>
  <w:footnote w:id="157">
    <w:p w:rsidR="001569E9" w:rsidRPr="00B809EF" w:rsidRDefault="0096658B" w:rsidP="00F67E09">
      <w:pPr>
        <w:pStyle w:val="Textonotapie"/>
      </w:pPr>
      <w:r w:rsidRPr="00B809EF">
        <w:rPr>
          <w:rStyle w:val="Refdenotaalpie"/>
        </w:rPr>
        <w:footnoteRef/>
      </w:r>
      <w:r w:rsidRPr="00B809EF">
        <w:t xml:space="preserve"> Id. </w:t>
      </w:r>
    </w:p>
  </w:footnote>
  <w:footnote w:id="158">
    <w:p w:rsidR="001569E9" w:rsidRPr="00B809EF" w:rsidRDefault="0096658B" w:rsidP="00F67E09">
      <w:pPr>
        <w:pStyle w:val="Textonotapie"/>
      </w:pPr>
      <w:r w:rsidRPr="00B809EF">
        <w:rPr>
          <w:rStyle w:val="Refdenotaalpie"/>
        </w:rPr>
        <w:footnoteRef/>
      </w:r>
      <w:r w:rsidRPr="00B809EF">
        <w:t xml:space="preserve"> Id., p. 11. En el mismo sentido, el DANE, la CPEM y ONU Mujeres concluyeron que el 77% del trabajo doméstico y de cuidado lo aportan </w:t>
      </w:r>
      <w:r w:rsidRPr="00B809EF">
        <w:t xml:space="preserve">las mujeres. Mujeres y Hombres: Brechas de género en Colombia. Septiembre de 2020. Disponible en línea: </w:t>
      </w:r>
      <w:hyperlink r:id="rId5" w:history="1">
        <w:r w:rsidRPr="00B809EF">
          <w:rPr>
            <w:rStyle w:val="Hipervnculo"/>
          </w:rPr>
          <w:t>https://www.d</w:t>
        </w:r>
        <w:r w:rsidRPr="00B809EF">
          <w:rPr>
            <w:rStyle w:val="Hipervnculo"/>
          </w:rPr>
          <w:t>ane.gov.co/files/investigaciones/genero/publicaciones/mujeres-y-hombre-brechas-de-genero-colombia-informe.pdf</w:t>
        </w:r>
      </w:hyperlink>
      <w:r w:rsidRPr="00B809EF">
        <w:t>., p. 48. Consultado el 7 de marzo de 2024.</w:t>
      </w:r>
    </w:p>
  </w:footnote>
  <w:footnote w:id="159">
    <w:p w:rsidR="001569E9" w:rsidRPr="00B809EF" w:rsidRDefault="0096658B" w:rsidP="00F67E09">
      <w:pPr>
        <w:pStyle w:val="Textonotapie"/>
      </w:pPr>
      <w:r w:rsidRPr="00B809EF">
        <w:rPr>
          <w:rStyle w:val="Refdenotaalpie"/>
        </w:rPr>
        <w:footnoteRef/>
      </w:r>
      <w:r w:rsidRPr="00B809EF">
        <w:t xml:space="preserve"> Boletín Técnico de la Encuesta Nacional de Uso del Tiempo 2020-2021. Departamento Administrativo Naci</w:t>
      </w:r>
      <w:r w:rsidRPr="00B809EF">
        <w:t xml:space="preserve">onal de Estadística. 4 de noviembre de 2022, p. 1. </w:t>
      </w:r>
      <w:r w:rsidRPr="00B809EF">
        <w:rPr>
          <w:lang w:val="es-ES_tradnl"/>
        </w:rPr>
        <w:t xml:space="preserve">En línea: </w:t>
      </w:r>
      <w:hyperlink r:id="rId6" w:history="1">
        <w:r w:rsidRPr="00B809EF">
          <w:rPr>
            <w:rStyle w:val="Hipervnculo"/>
            <w:lang w:val="es-ES_tradnl"/>
          </w:rPr>
          <w:t>https://www.dane.gov.co/index.php/estadisticas-por-</w:t>
        </w:r>
        <w:r w:rsidRPr="00B809EF">
          <w:rPr>
            <w:rStyle w:val="Hipervnculo"/>
            <w:lang w:val="es-ES_tradnl"/>
          </w:rPr>
          <w:t>tema/pobreza-y-condiciones-de-vida/encuesta-nacional-del-uso-del-tiempo-enut</w:t>
        </w:r>
      </w:hyperlink>
      <w:r w:rsidRPr="00B809EF">
        <w:rPr>
          <w:lang w:val="es-ES_tradnl"/>
        </w:rPr>
        <w:t>. Consultada el 7 de marzo de 2024.</w:t>
      </w:r>
    </w:p>
  </w:footnote>
  <w:footnote w:id="160">
    <w:p w:rsidR="001569E9" w:rsidRPr="00B809EF" w:rsidRDefault="0096658B" w:rsidP="00F67E09">
      <w:pPr>
        <w:pStyle w:val="Textonotapie"/>
      </w:pPr>
      <w:r w:rsidRPr="00B809EF">
        <w:rPr>
          <w:rStyle w:val="Refdenotaalpie"/>
        </w:rPr>
        <w:footnoteRef/>
      </w:r>
      <w:r w:rsidRPr="00B809EF">
        <w:t xml:space="preserve"> Boletín Técnico de la Encuesta Nacional de Uso del Tiempo 2020-2021. DANE. 4 de noviembre de 2022, p. 1. </w:t>
      </w:r>
      <w:r w:rsidRPr="00B809EF">
        <w:rPr>
          <w:lang w:val="es-ES_tradnl"/>
        </w:rPr>
        <w:t xml:space="preserve">En línea: </w:t>
      </w:r>
      <w:hyperlink r:id="rId7" w:history="1">
        <w:r w:rsidRPr="00B809EF">
          <w:rPr>
            <w:rStyle w:val="Hipervnculo"/>
            <w:lang w:val="es-ES_tradnl"/>
          </w:rPr>
          <w:t>https://www.dane.gov.co/index.php/estadisticas-por-tema/pobreza-y-condiciones-de-vida/encuesta-nacional-del-uso-del-tiempo-enut</w:t>
        </w:r>
      </w:hyperlink>
      <w:r w:rsidRPr="00B809EF">
        <w:rPr>
          <w:lang w:val="es-ES_tradnl"/>
        </w:rPr>
        <w:t>. Consultada</w:t>
      </w:r>
      <w:r w:rsidRPr="00B809EF">
        <w:rPr>
          <w:lang w:val="es-ES_tradnl"/>
        </w:rPr>
        <w:t xml:space="preserve"> el 7 de marzo de 2024.</w:t>
      </w:r>
    </w:p>
  </w:footnote>
  <w:footnote w:id="161">
    <w:p w:rsidR="001569E9" w:rsidRPr="00B809EF" w:rsidRDefault="0096658B" w:rsidP="00F67E09">
      <w:pPr>
        <w:pStyle w:val="Textonotapie"/>
      </w:pPr>
      <w:r w:rsidRPr="00B809EF">
        <w:rPr>
          <w:rStyle w:val="Refdenotaalpie"/>
        </w:rPr>
        <w:footnoteRef/>
      </w:r>
      <w:r w:rsidRPr="00B809EF">
        <w:t xml:space="preserve"> Id., p. 6. El DANE explicó que el tiempo de trabajo no remunerado diario de las mujeres aumentó en “52 minutos”. Por el contrario, el de los hombres disminuyó, “pasando de 3 horas y 19 minutos a 3 horas y 6 minutos”. </w:t>
      </w:r>
    </w:p>
  </w:footnote>
  <w:footnote w:id="162">
    <w:p w:rsidR="001569E9" w:rsidRPr="00B809EF" w:rsidRDefault="0096658B" w:rsidP="00F67E09">
      <w:pPr>
        <w:pStyle w:val="Textonotapie"/>
      </w:pPr>
      <w:r w:rsidRPr="00B809EF">
        <w:rPr>
          <w:rStyle w:val="Refdenotaalpie"/>
        </w:rPr>
        <w:footnoteRef/>
      </w:r>
      <w:r w:rsidRPr="00B809EF">
        <w:t xml:space="preserve"> DANE, CPEM y ONU Mujeres. Mujeres y Hombres: Brechas de género en Colombia. Segunda Edición, 2022. En línea: </w:t>
      </w:r>
      <w:hyperlink r:id="rId8" w:history="1">
        <w:r w:rsidRPr="00B809EF">
          <w:rPr>
            <w:rStyle w:val="Hipervnculo"/>
          </w:rPr>
          <w:t>https://colombia.unwomen.o</w:t>
        </w:r>
        <w:r w:rsidRPr="00B809EF">
          <w:rPr>
            <w:rStyle w:val="Hipervnculo"/>
          </w:rPr>
          <w:t>rg/sites/default/files/2022-11/MyH%20BrechasColombia-NOV5-17Nov%20%284%29.pdf</w:t>
        </w:r>
      </w:hyperlink>
      <w:r w:rsidRPr="00B809EF">
        <w:t xml:space="preserve">, p. 62. Consultado el 7 de marzo de 2024. En términos similares, ver: El camino hacia la igualdad de género en Colombia: todavía hay mucho por hacer. </w:t>
      </w:r>
      <w:r w:rsidRPr="00B809EF">
        <w:rPr>
          <w:lang w:val="es-ES_tradnl"/>
        </w:rPr>
        <w:t>Iregui Bohórquez, Ana María,</w:t>
      </w:r>
      <w:r w:rsidRPr="00B809EF">
        <w:rPr>
          <w:lang w:val="es-ES_tradnl"/>
        </w:rPr>
        <w:t xml:space="preserve"> </w:t>
      </w:r>
      <w:r w:rsidRPr="00B809EF">
        <w:rPr>
          <w:i/>
          <w:iCs/>
          <w:lang w:val="es-ES_tradnl"/>
        </w:rPr>
        <w:t>et al</w:t>
      </w:r>
      <w:r w:rsidRPr="00B809EF">
        <w:rPr>
          <w:lang w:val="es-ES_tradnl"/>
        </w:rPr>
        <w:t xml:space="preserve">. Bogotá: Banco de la República. 2021. En línea: </w:t>
      </w:r>
      <w:hyperlink r:id="rId9" w:history="1">
        <w:r w:rsidRPr="00B809EF">
          <w:rPr>
            <w:rStyle w:val="Hipervnculo"/>
            <w:lang w:val="es-ES_tradnl"/>
          </w:rPr>
          <w:t>https://repositorio.banrep.gov.co/bitstream/handle/20.500.12134/10049/LBR_20</w:t>
        </w:r>
        <w:r w:rsidRPr="00B809EF">
          <w:rPr>
            <w:rStyle w:val="Hipervnculo"/>
            <w:lang w:val="es-ES_tradnl"/>
          </w:rPr>
          <w:t>21-05.pdf?sequence=1&amp;isAllowed=y</w:t>
        </w:r>
      </w:hyperlink>
      <w:r w:rsidRPr="00B809EF">
        <w:rPr>
          <w:lang w:val="es-ES_tradnl"/>
        </w:rPr>
        <w:t>, p. 79. Consultado el 7 de marzo de 2024.</w:t>
      </w:r>
    </w:p>
  </w:footnote>
  <w:footnote w:id="163">
    <w:p w:rsidR="001569E9" w:rsidRPr="00B809EF" w:rsidRDefault="0096658B" w:rsidP="00F67E09">
      <w:pPr>
        <w:pStyle w:val="Textonotapie"/>
      </w:pPr>
      <w:r w:rsidRPr="00B809EF">
        <w:rPr>
          <w:rStyle w:val="Refdenotaalpie"/>
        </w:rPr>
        <w:footnoteRef/>
      </w:r>
      <w:r w:rsidRPr="00B809EF">
        <w:t xml:space="preserve"> Id. </w:t>
      </w:r>
    </w:p>
  </w:footnote>
  <w:footnote w:id="164">
    <w:p w:rsidR="001569E9" w:rsidRPr="00B809EF" w:rsidRDefault="0096658B" w:rsidP="00F67E09">
      <w:pPr>
        <w:pStyle w:val="Textonotapie"/>
      </w:pPr>
      <w:r w:rsidRPr="00B809EF">
        <w:rPr>
          <w:rStyle w:val="Refdenotaalpie"/>
        </w:rPr>
        <w:footnoteRef/>
      </w:r>
      <w:r w:rsidRPr="00B809EF">
        <w:t xml:space="preserve"> Sentencia C-054 de 2024. </w:t>
      </w:r>
      <w:r w:rsidRPr="00B809EF">
        <w:rPr>
          <w:i/>
          <w:iCs/>
        </w:rPr>
        <w:t>Cfr</w:t>
      </w:r>
      <w:r w:rsidRPr="00B809EF">
        <w:t>. Sentencias T-967 de 2014 y T-338 de 2018.</w:t>
      </w:r>
    </w:p>
  </w:footnote>
  <w:footnote w:id="165">
    <w:p w:rsidR="001569E9" w:rsidRPr="00B809EF" w:rsidRDefault="0096658B" w:rsidP="00F67E09">
      <w:pPr>
        <w:pStyle w:val="Textonotapie"/>
      </w:pPr>
      <w:r w:rsidRPr="00B809EF">
        <w:rPr>
          <w:rStyle w:val="Refdenotaalpie"/>
        </w:rPr>
        <w:footnoteRef/>
      </w:r>
      <w:r w:rsidRPr="00B809EF">
        <w:t xml:space="preserve"> Sentencias C-197 de 2023 y C-054 de 2024. </w:t>
      </w:r>
    </w:p>
  </w:footnote>
  <w:footnote w:id="166">
    <w:p w:rsidR="00CB5877" w:rsidRPr="00B809EF" w:rsidRDefault="0096658B" w:rsidP="00CB5877">
      <w:pPr>
        <w:pStyle w:val="Textonotapie"/>
        <w:rPr>
          <w:lang w:val="es-ES_tradnl"/>
        </w:rPr>
      </w:pPr>
      <w:r w:rsidRPr="00B809EF">
        <w:rPr>
          <w:rStyle w:val="Refdenotaalpie"/>
        </w:rPr>
        <w:footnoteRef/>
      </w:r>
      <w:r w:rsidRPr="00B809EF">
        <w:t xml:space="preserve"> El camino hacia la igualdad de género en Colombia: to</w:t>
      </w:r>
      <w:r w:rsidRPr="00B809EF">
        <w:t xml:space="preserve">davía hay mucho por hacer. </w:t>
      </w:r>
      <w:r w:rsidRPr="00B809EF">
        <w:rPr>
          <w:lang w:val="es-ES_tradnl"/>
        </w:rPr>
        <w:t xml:space="preserve">Iregui Bohórquez, Ana María, </w:t>
      </w:r>
      <w:r w:rsidRPr="00B809EF">
        <w:rPr>
          <w:i/>
          <w:iCs/>
          <w:lang w:val="es-ES_tradnl"/>
        </w:rPr>
        <w:t>et al</w:t>
      </w:r>
      <w:r w:rsidRPr="00B809EF">
        <w:rPr>
          <w:lang w:val="es-ES_tradnl"/>
        </w:rPr>
        <w:t xml:space="preserve">. Bogotá: Banco de la República. 2021. En línea: </w:t>
      </w:r>
      <w:hyperlink r:id="rId10" w:history="1">
        <w:r w:rsidRPr="00B809EF">
          <w:rPr>
            <w:rStyle w:val="Hipervnculo"/>
            <w:lang w:val="es-ES_tradnl"/>
          </w:rPr>
          <w:t>https://repositorio.b</w:t>
        </w:r>
        <w:r w:rsidRPr="00B809EF">
          <w:rPr>
            <w:rStyle w:val="Hipervnculo"/>
            <w:lang w:val="es-ES_tradnl"/>
          </w:rPr>
          <w:t>anrep.gov.co/bitstream/handle/20.500.12134/10049/LBR_2021-05.pdf?sequence=1&amp;isAllowed=y</w:t>
        </w:r>
      </w:hyperlink>
      <w:r w:rsidRPr="00B809EF">
        <w:rPr>
          <w:lang w:val="es-ES_tradnl"/>
        </w:rPr>
        <w:t xml:space="preserve">, pp. 71 y 72. Consultado el 7 de marzo de 2024. </w:t>
      </w:r>
    </w:p>
  </w:footnote>
  <w:footnote w:id="167">
    <w:p w:rsidR="00CB5877" w:rsidRPr="00B809EF" w:rsidRDefault="0096658B" w:rsidP="00CB5877">
      <w:pPr>
        <w:pStyle w:val="Textonotapie"/>
      </w:pPr>
      <w:r w:rsidRPr="00B809EF">
        <w:rPr>
          <w:rStyle w:val="Refdenotaalpie"/>
        </w:rPr>
        <w:footnoteRef/>
      </w:r>
      <w:r w:rsidRPr="00B809EF">
        <w:t xml:space="preserve"> Sentencia C-134 de 2023 (PE-051).</w:t>
      </w:r>
    </w:p>
  </w:footnote>
  <w:footnote w:id="168">
    <w:p w:rsidR="00CB5877" w:rsidRPr="00B809EF" w:rsidRDefault="0096658B" w:rsidP="00CB5877">
      <w:pPr>
        <w:pStyle w:val="Textonotapie"/>
      </w:pPr>
      <w:r w:rsidRPr="00B809EF">
        <w:rPr>
          <w:rStyle w:val="Refdenotaalpie"/>
        </w:rPr>
        <w:footnoteRef/>
      </w:r>
      <w:r w:rsidRPr="00B809EF">
        <w:t xml:space="preserve"> Ib.</w:t>
      </w:r>
    </w:p>
  </w:footnote>
  <w:footnote w:id="169">
    <w:p w:rsidR="00CB5877" w:rsidRPr="00B809EF" w:rsidRDefault="0096658B" w:rsidP="00CB5877">
      <w:pPr>
        <w:pStyle w:val="Textonotapie"/>
      </w:pPr>
      <w:r w:rsidRPr="00B809EF">
        <w:rPr>
          <w:rStyle w:val="Refdenotaalpie"/>
        </w:rPr>
        <w:footnoteRef/>
      </w:r>
      <w:r w:rsidRPr="00B809EF">
        <w:t xml:space="preserve"> Id. Esto, con fundamento en estadísticas proporcionados por el Consejo Superior de la Judicatura.</w:t>
      </w:r>
    </w:p>
  </w:footnote>
  <w:footnote w:id="170">
    <w:p w:rsidR="00CB5877" w:rsidRPr="00B809EF" w:rsidRDefault="0096658B" w:rsidP="00CB5877">
      <w:pPr>
        <w:pStyle w:val="Textonotapie"/>
      </w:pPr>
      <w:r w:rsidRPr="00B809EF">
        <w:rPr>
          <w:rStyle w:val="Refdenotaalpie"/>
        </w:rPr>
        <w:footnoteRef/>
      </w:r>
      <w:r w:rsidRPr="00B809EF">
        <w:t xml:space="preserve"> Id.</w:t>
      </w:r>
    </w:p>
  </w:footnote>
  <w:footnote w:id="171">
    <w:p w:rsidR="00CB5877" w:rsidRPr="00B809EF" w:rsidRDefault="0096658B" w:rsidP="00CB5877">
      <w:pPr>
        <w:pStyle w:val="Textonotapie"/>
        <w:rPr>
          <w:lang w:val="es-ES_tradnl"/>
        </w:rPr>
      </w:pPr>
      <w:r w:rsidRPr="00B809EF">
        <w:rPr>
          <w:rStyle w:val="Refdenotaalpie"/>
        </w:rPr>
        <w:footnoteRef/>
      </w:r>
      <w:r w:rsidRPr="00B809EF">
        <w:t xml:space="preserve"> Información del Consejo Superior de la Judicatura. En línea: </w:t>
      </w:r>
      <w:hyperlink r:id="rId11" w:history="1">
        <w:r w:rsidRPr="00B809EF">
          <w:rPr>
            <w:rStyle w:val="Hipervnculo"/>
          </w:rPr>
          <w:t>https://app.powerbi.com/view?r=eyJrIjoiNDA5YmViODItYmJkZS00MTUxLThmNDAtYWEzNWIwNDc3MDV</w:t>
        </w:r>
        <w:r w:rsidRPr="00B809EF">
          <w:rPr>
            <w:rStyle w:val="Hipervnculo"/>
          </w:rPr>
          <w:t>kIiwidCI6IjYyMmNiYTk4LTgwZjgtNDFmMy04ZGY1LThlYjk5OTAxNTk4YiIsImMiOjR9</w:t>
        </w:r>
      </w:hyperlink>
      <w:r w:rsidRPr="00B809EF">
        <w:t>. Consultado el 6 de marzo de 2024.</w:t>
      </w:r>
    </w:p>
  </w:footnote>
  <w:footnote w:id="172">
    <w:p w:rsidR="00CB5877" w:rsidRPr="00B809EF" w:rsidRDefault="0096658B" w:rsidP="00CB5877">
      <w:pPr>
        <w:pStyle w:val="Textonotapie"/>
        <w:rPr>
          <w:lang w:val="es-ES_tradnl"/>
        </w:rPr>
      </w:pPr>
      <w:r w:rsidRPr="00B809EF">
        <w:rPr>
          <w:rStyle w:val="Refdenotaalpie"/>
        </w:rPr>
        <w:footnoteRef/>
      </w:r>
      <w:r w:rsidRPr="00B809EF">
        <w:t xml:space="preserve"> </w:t>
      </w:r>
      <w:r w:rsidRPr="00B809EF">
        <w:rPr>
          <w:lang w:val="es-ES_tradnl"/>
        </w:rPr>
        <w:t xml:space="preserve">Sentencia C-134 de 2023. Esto, de conformidad con la información de </w:t>
      </w:r>
      <w:r w:rsidRPr="00B809EF">
        <w:rPr>
          <w:rFonts w:asciiTheme="majorBidi" w:hAnsiTheme="majorBidi" w:cstheme="majorBidi"/>
        </w:rPr>
        <w:t>Corporación Excelencia a la Justicia.</w:t>
      </w:r>
    </w:p>
  </w:footnote>
  <w:footnote w:id="173">
    <w:p w:rsidR="00CB5877" w:rsidRPr="00B809EF" w:rsidRDefault="0096658B" w:rsidP="00CB5877">
      <w:pPr>
        <w:pStyle w:val="Textonotapie"/>
        <w:rPr>
          <w:lang w:val="en-US"/>
        </w:rPr>
      </w:pPr>
      <w:r w:rsidRPr="00B809EF">
        <w:rPr>
          <w:rStyle w:val="Refdenotaalpie"/>
        </w:rPr>
        <w:footnoteRef/>
      </w:r>
      <w:r w:rsidRPr="00B809EF">
        <w:rPr>
          <w:lang w:val="en-US"/>
        </w:rPr>
        <w:t xml:space="preserve"> Id.</w:t>
      </w:r>
    </w:p>
  </w:footnote>
  <w:footnote w:id="174">
    <w:p w:rsidR="00CB5877" w:rsidRPr="00B809EF" w:rsidRDefault="0096658B" w:rsidP="00CB5877">
      <w:pPr>
        <w:pStyle w:val="Textonotapie"/>
        <w:rPr>
          <w:lang w:val="en-US"/>
        </w:rPr>
      </w:pPr>
      <w:r w:rsidRPr="00B809EF">
        <w:rPr>
          <w:rStyle w:val="Refdenotaalpie"/>
        </w:rPr>
        <w:footnoteRef/>
      </w:r>
      <w:r w:rsidRPr="00B809EF">
        <w:rPr>
          <w:lang w:val="en-US"/>
        </w:rPr>
        <w:t xml:space="preserve"> Id.</w:t>
      </w:r>
    </w:p>
  </w:footnote>
  <w:footnote w:id="175">
    <w:p w:rsidR="00CB5877" w:rsidRPr="00B809EF" w:rsidRDefault="0096658B" w:rsidP="00CB5877">
      <w:pPr>
        <w:pStyle w:val="Textonotapie"/>
        <w:rPr>
          <w:lang w:val="en-US"/>
        </w:rPr>
      </w:pPr>
      <w:r w:rsidRPr="00B809EF">
        <w:rPr>
          <w:rStyle w:val="Refdenotaalpie"/>
        </w:rPr>
        <w:footnoteRef/>
      </w:r>
      <w:r w:rsidRPr="00B809EF">
        <w:rPr>
          <w:lang w:val="en-US"/>
        </w:rPr>
        <w:t xml:space="preserve"> Id.</w:t>
      </w:r>
    </w:p>
  </w:footnote>
  <w:footnote w:id="176">
    <w:p w:rsidR="00CB5877" w:rsidRPr="00B809EF" w:rsidRDefault="0096658B" w:rsidP="00CB5877">
      <w:pPr>
        <w:pStyle w:val="Textonotapie"/>
        <w:rPr>
          <w:lang w:val="en-US"/>
        </w:rPr>
      </w:pPr>
      <w:r w:rsidRPr="00B809EF">
        <w:rPr>
          <w:rStyle w:val="Refdenotaalpie"/>
        </w:rPr>
        <w:footnoteRef/>
      </w:r>
      <w:r w:rsidRPr="00B809EF">
        <w:rPr>
          <w:lang w:val="en-US"/>
        </w:rPr>
        <w:t xml:space="preserve"> Id. </w:t>
      </w:r>
    </w:p>
  </w:footnote>
  <w:footnote w:id="177">
    <w:p w:rsidR="00CB5877" w:rsidRPr="00B809EF" w:rsidRDefault="0096658B" w:rsidP="00CB5877">
      <w:pPr>
        <w:pStyle w:val="Textonotapie"/>
        <w:rPr>
          <w:lang w:val="en-US"/>
        </w:rPr>
      </w:pPr>
      <w:r w:rsidRPr="00B809EF">
        <w:rPr>
          <w:rStyle w:val="Refdenotaalpie"/>
        </w:rPr>
        <w:footnoteRef/>
      </w:r>
      <w:r w:rsidRPr="00B809EF">
        <w:rPr>
          <w:lang w:val="en-US"/>
        </w:rPr>
        <w:t xml:space="preserve"> Id.</w:t>
      </w:r>
    </w:p>
  </w:footnote>
  <w:footnote w:id="178">
    <w:p w:rsidR="00CB5877" w:rsidRPr="00B809EF" w:rsidRDefault="0096658B" w:rsidP="00CB5877">
      <w:pPr>
        <w:pStyle w:val="Textonotapie"/>
        <w:rPr>
          <w:lang w:val="es-ES_tradnl"/>
        </w:rPr>
      </w:pPr>
      <w:r w:rsidRPr="00B809EF">
        <w:rPr>
          <w:rStyle w:val="Refdenotaalpie"/>
        </w:rPr>
        <w:footnoteRef/>
      </w:r>
      <w:r w:rsidRPr="00B809EF">
        <w:t xml:space="preserve"> </w:t>
      </w:r>
      <w:r w:rsidRPr="00B809EF">
        <w:rPr>
          <w:lang w:val="es-ES_tradnl"/>
        </w:rPr>
        <w:t>La Corte d</w:t>
      </w:r>
      <w:r w:rsidRPr="00B809EF">
        <w:rPr>
          <w:lang w:val="es-ES_tradnl"/>
        </w:rPr>
        <w:t>eclaró la constitucionalidad del artículo 20, “siempre y cuando se apliquen los criterios de equilibrio entre quienes provienen del ejercicio profesional, de la Rama Judicial y de la academia, del que trata el artículo 231 Superior, y se garantice la equid</w:t>
      </w:r>
      <w:r w:rsidRPr="00B809EF">
        <w:rPr>
          <w:lang w:val="es-ES_tradnl"/>
        </w:rPr>
        <w:t xml:space="preserve">ad de género hasta alcanzar la paridad entre hombres y mujeres en su conformación”. Esto último, respecto a la selección de los magistrados del Consejo de Estado, de la Corte Suprema de Justicia y de la Comisión Nacional de Disciplina Judicial. </w:t>
      </w:r>
    </w:p>
  </w:footnote>
  <w:footnote w:id="179">
    <w:p w:rsidR="00CB5877" w:rsidRPr="00B809EF" w:rsidRDefault="0096658B" w:rsidP="00CB5877">
      <w:pPr>
        <w:pStyle w:val="Textonotapie"/>
      </w:pPr>
      <w:r w:rsidRPr="00B809EF">
        <w:rPr>
          <w:rStyle w:val="Refdenotaalpie"/>
        </w:rPr>
        <w:footnoteRef/>
      </w:r>
      <w:r w:rsidRPr="00B809EF">
        <w:t xml:space="preserve"> Sentenci</w:t>
      </w:r>
      <w:r w:rsidRPr="00B809EF">
        <w:t>a C-134 de 2023.</w:t>
      </w:r>
    </w:p>
  </w:footnote>
  <w:footnote w:id="180">
    <w:p w:rsidR="00CB5877" w:rsidRPr="00B809EF" w:rsidRDefault="0096658B" w:rsidP="00CB5877">
      <w:pPr>
        <w:pStyle w:val="Textonotapie"/>
      </w:pPr>
      <w:r w:rsidRPr="00B809EF">
        <w:rPr>
          <w:rStyle w:val="Refdenotaalpie"/>
        </w:rPr>
        <w:footnoteRef/>
      </w:r>
      <w:r w:rsidRPr="00B809EF">
        <w:t xml:space="preserve"> Id.</w:t>
      </w:r>
    </w:p>
  </w:footnote>
  <w:footnote w:id="181">
    <w:p w:rsidR="001569E9" w:rsidRPr="00B809EF" w:rsidRDefault="0096658B" w:rsidP="00F67E09">
      <w:pPr>
        <w:pStyle w:val="Textonotapie"/>
      </w:pPr>
      <w:r w:rsidRPr="00B809EF">
        <w:rPr>
          <w:rStyle w:val="Refdenotaalpie"/>
        </w:rPr>
        <w:footnoteRef/>
      </w:r>
      <w:r w:rsidRPr="00B809EF">
        <w:t xml:space="preserve"> Sentencia C-038 de 2021. </w:t>
      </w:r>
      <w:r w:rsidRPr="00B809EF">
        <w:rPr>
          <w:i/>
          <w:iCs/>
        </w:rPr>
        <w:t>Cfr</w:t>
      </w:r>
      <w:r w:rsidRPr="00B809EF">
        <w:t xml:space="preserve">. Sentencia C-410 de 1994. </w:t>
      </w:r>
    </w:p>
  </w:footnote>
  <w:footnote w:id="182">
    <w:p w:rsidR="001569E9" w:rsidRPr="00B809EF" w:rsidRDefault="0096658B" w:rsidP="00F67E09">
      <w:pPr>
        <w:pStyle w:val="Textonotapie"/>
      </w:pPr>
      <w:r w:rsidRPr="00B809EF">
        <w:rPr>
          <w:rStyle w:val="Refdenotaalpie"/>
        </w:rPr>
        <w:footnoteRef/>
      </w:r>
      <w:r w:rsidRPr="00B809EF">
        <w:t xml:space="preserve"> Sentencia C-410 de 1994. </w:t>
      </w:r>
    </w:p>
  </w:footnote>
  <w:footnote w:id="183">
    <w:p w:rsidR="001569E9" w:rsidRPr="00B809EF" w:rsidRDefault="0096658B" w:rsidP="00F67E09">
      <w:pPr>
        <w:pStyle w:val="Textonotapie"/>
      </w:pPr>
      <w:r w:rsidRPr="00B809EF">
        <w:rPr>
          <w:rStyle w:val="Refdenotaalpie"/>
        </w:rPr>
        <w:footnoteRef/>
      </w:r>
      <w:r w:rsidRPr="00B809EF">
        <w:t xml:space="preserve"> La Corte ha precisado que el artículo 40 de la Constitución “constituye el reconocimiento explícito de que en Colombia las mujeres conforman un g</w:t>
      </w:r>
      <w:r w:rsidRPr="00B809EF">
        <w:t xml:space="preserve">rupo -de hecho- discriminado y subrepresentado políticamente”. </w:t>
      </w:r>
      <w:r w:rsidRPr="00B809EF">
        <w:rPr>
          <w:i/>
          <w:iCs/>
        </w:rPr>
        <w:t>Cfr</w:t>
      </w:r>
      <w:r w:rsidRPr="00B809EF">
        <w:t>. Sentencia C-371 de 2000.</w:t>
      </w:r>
    </w:p>
  </w:footnote>
  <w:footnote w:id="184">
    <w:p w:rsidR="001569E9" w:rsidRPr="00B809EF" w:rsidRDefault="0096658B" w:rsidP="00F67E09">
      <w:pPr>
        <w:pStyle w:val="Textonotapie"/>
      </w:pPr>
      <w:r w:rsidRPr="00B809EF">
        <w:rPr>
          <w:rStyle w:val="Refdenotaalpie"/>
        </w:rPr>
        <w:footnoteRef/>
      </w:r>
      <w:r w:rsidRPr="00B809EF">
        <w:t xml:space="preserve"> Sentencia C-054 de 2024.</w:t>
      </w:r>
    </w:p>
  </w:footnote>
  <w:footnote w:id="185">
    <w:p w:rsidR="001569E9" w:rsidRPr="00B809EF" w:rsidRDefault="0096658B" w:rsidP="00F67E09">
      <w:pPr>
        <w:pStyle w:val="Textonotapie"/>
      </w:pPr>
      <w:r w:rsidRPr="00B809EF">
        <w:rPr>
          <w:rStyle w:val="Refdenotaalpie"/>
        </w:rPr>
        <w:footnoteRef/>
      </w:r>
      <w:r w:rsidRPr="00B809EF">
        <w:t xml:space="preserve"> Id.</w:t>
      </w:r>
    </w:p>
  </w:footnote>
  <w:footnote w:id="186">
    <w:p w:rsidR="001569E9" w:rsidRPr="00B809EF" w:rsidRDefault="0096658B" w:rsidP="00F67E09">
      <w:pPr>
        <w:pStyle w:val="Textonotapie"/>
      </w:pPr>
      <w:r w:rsidRPr="00B809EF">
        <w:rPr>
          <w:rStyle w:val="Refdenotaalpie"/>
        </w:rPr>
        <w:footnoteRef/>
      </w:r>
      <w:r w:rsidRPr="00B809EF">
        <w:t xml:space="preserve"> Sentencias C-371 de 2000, C-519 de 2019 y C-054 de 2024. </w:t>
      </w:r>
      <w:r w:rsidRPr="00B809EF">
        <w:rPr>
          <w:i/>
          <w:iCs/>
        </w:rPr>
        <w:t>Cfr</w:t>
      </w:r>
      <w:r w:rsidRPr="00B809EF">
        <w:t>. Comité de la CEDAW, Recomendación general Nº 25, párr. 8. En la se</w:t>
      </w:r>
      <w:r w:rsidRPr="00B809EF">
        <w:t xml:space="preserve">ntencia C-371 de 2000, la Corte rebatió el argumento según el cual “si el [L]egislador aspira a que la mujer ocupe cargos en los más altos niveles decisorios, lo importante y, en principio lo único permitido, es trazar e instrumentar políticas encaminadas </w:t>
      </w:r>
      <w:r w:rsidRPr="00B809EF">
        <w:t>a estimular el acceso de las mujeres a la educación superior y remover los obstáculos que pugnan con ese propósito”, porque “una vez alcanzada esa igualdad sustancial en el punto de partida, serán los méritos específicos de cada quien los que determinen la</w:t>
      </w:r>
      <w:r w:rsidRPr="00B809EF">
        <w:t xml:space="preserve"> composición cuantitativa en el punto de llegada”. Para la Sala Plena, “a pesar de existir hoy igualdad en el punto de partida la situación en el punto de llegada sigue siendo inequitativa”, lo que da cuenta de que “no son los méritos o no son sólo ellos l</w:t>
      </w:r>
      <w:r w:rsidRPr="00B809EF">
        <w:t xml:space="preserve">os que determinan que las más altas responsabilidades del Estado estén mayoritariamente en manos de hombres”. </w:t>
      </w:r>
    </w:p>
  </w:footnote>
  <w:footnote w:id="187">
    <w:p w:rsidR="001569E9" w:rsidRPr="00B809EF" w:rsidRDefault="0096658B" w:rsidP="00F67E09">
      <w:pPr>
        <w:pStyle w:val="Textonotapie"/>
        <w:rPr>
          <w:lang w:val="es-ES_tradnl"/>
        </w:rPr>
      </w:pPr>
      <w:r w:rsidRPr="00B809EF">
        <w:rPr>
          <w:rStyle w:val="Refdenotaalpie"/>
        </w:rPr>
        <w:footnoteRef/>
      </w:r>
      <w:r w:rsidRPr="00B809EF">
        <w:t xml:space="preserve"> </w:t>
      </w:r>
      <w:r w:rsidRPr="00B809EF">
        <w:rPr>
          <w:lang w:val="es-ES_tradnl"/>
        </w:rPr>
        <w:t xml:space="preserve">Sentencia C-054 de 2024. </w:t>
      </w:r>
      <w:r w:rsidRPr="00B809EF">
        <w:rPr>
          <w:i/>
          <w:iCs/>
          <w:lang w:val="es-ES_tradnl"/>
        </w:rPr>
        <w:t>Cfr</w:t>
      </w:r>
      <w:r w:rsidRPr="00B809EF">
        <w:rPr>
          <w:lang w:val="es-ES_tradnl"/>
        </w:rPr>
        <w:t xml:space="preserve">. </w:t>
      </w:r>
      <w:r w:rsidRPr="00B809EF">
        <w:t>Comité de la CEDAW, Recomendación general Nº 25, párr. 8.</w:t>
      </w:r>
    </w:p>
  </w:footnote>
  <w:footnote w:id="188">
    <w:p w:rsidR="001569E9" w:rsidRPr="00B809EF" w:rsidRDefault="0096658B" w:rsidP="00F67E09">
      <w:pPr>
        <w:pStyle w:val="Textonotapie"/>
      </w:pPr>
      <w:r w:rsidRPr="00B809EF">
        <w:rPr>
          <w:rStyle w:val="Refdenotaalpie"/>
        </w:rPr>
        <w:footnoteRef/>
      </w:r>
      <w:r w:rsidRPr="00B809EF">
        <w:t xml:space="preserve"> Sentencia C-038 de 2021. </w:t>
      </w:r>
    </w:p>
  </w:footnote>
  <w:footnote w:id="189">
    <w:p w:rsidR="001569E9" w:rsidRPr="00B809EF" w:rsidRDefault="0096658B" w:rsidP="00F67E09">
      <w:pPr>
        <w:pStyle w:val="Textonotapie"/>
      </w:pPr>
      <w:r w:rsidRPr="00B809EF">
        <w:rPr>
          <w:rStyle w:val="Refdenotaalpie"/>
        </w:rPr>
        <w:footnoteRef/>
      </w:r>
      <w:r w:rsidRPr="00B809EF">
        <w:t xml:space="preserve"> Comité de la CEDAW, Recomendación General No. 25, párr. 8. </w:t>
      </w:r>
    </w:p>
  </w:footnote>
  <w:footnote w:id="190">
    <w:p w:rsidR="001569E9" w:rsidRPr="00B809EF" w:rsidRDefault="0096658B" w:rsidP="00F67E09">
      <w:pPr>
        <w:pStyle w:val="Textonotapie"/>
      </w:pPr>
      <w:r w:rsidRPr="00B809EF">
        <w:rPr>
          <w:rStyle w:val="Refdenotaalpie"/>
        </w:rPr>
        <w:footnoteRef/>
      </w:r>
      <w:r w:rsidRPr="00B809EF">
        <w:t xml:space="preserve"> Id. </w:t>
      </w:r>
    </w:p>
  </w:footnote>
  <w:footnote w:id="191">
    <w:p w:rsidR="001569E9" w:rsidRPr="00B809EF" w:rsidRDefault="0096658B" w:rsidP="00F67E09">
      <w:pPr>
        <w:pStyle w:val="Textonotapie"/>
      </w:pPr>
      <w:r w:rsidRPr="00B809EF">
        <w:rPr>
          <w:rStyle w:val="Refdenotaalpie"/>
        </w:rPr>
        <w:footnoteRef/>
      </w:r>
      <w:r w:rsidRPr="00B809EF">
        <w:t xml:space="preserve"> Id. </w:t>
      </w:r>
    </w:p>
  </w:footnote>
  <w:footnote w:id="192">
    <w:p w:rsidR="001569E9" w:rsidRPr="00B809EF" w:rsidRDefault="0096658B" w:rsidP="00F67E09">
      <w:pPr>
        <w:pStyle w:val="Textonotapie"/>
      </w:pPr>
      <w:r w:rsidRPr="00B809EF">
        <w:rPr>
          <w:rStyle w:val="Refdenotaalpie"/>
        </w:rPr>
        <w:footnoteRef/>
      </w:r>
      <w:r w:rsidRPr="00B809EF">
        <w:t xml:space="preserve"> En respuesta a una de las intervenciones, la Corte explicó que no bastaba con “mejorar la educación, la capacitación o formación técnica de la mujer, de manera que pueda desempeña</w:t>
      </w:r>
      <w:r w:rsidRPr="00B809EF">
        <w:t>rse en igualdad de condiciones con los hombres”. Esto, porque “es un hecho que la mujer, incluso si tiene una formación académica superior a la del hombre, ha de enfrentar mayores obstáculos para acceder, máxime si se trata de los empleos más altos en la j</w:t>
      </w:r>
      <w:r w:rsidRPr="00B809EF">
        <w:t xml:space="preserve">erarquía política”. </w:t>
      </w:r>
    </w:p>
  </w:footnote>
  <w:footnote w:id="193">
    <w:p w:rsidR="001569E9" w:rsidRPr="00B809EF" w:rsidRDefault="0096658B" w:rsidP="00F67E09">
      <w:pPr>
        <w:pStyle w:val="Textonotapie"/>
      </w:pPr>
      <w:r w:rsidRPr="00B809EF">
        <w:rPr>
          <w:rStyle w:val="Refdenotaalpie"/>
        </w:rPr>
        <w:footnoteRef/>
      </w:r>
      <w:r w:rsidRPr="00B809EF">
        <w:t xml:space="preserve"> La Corte condicionó el artículo 7 del proyecto de ley estatutaria, en el sentido de que “la participación de hombres y mujeres en igual proporción, [sic] se exige sólo para las entrevistas, las pruebas sicológicas y aquellos mecanism</w:t>
      </w:r>
      <w:r w:rsidRPr="00B809EF">
        <w:t xml:space="preserve">os de evaluación que se fundan en criterios meramente subjetivos”. </w:t>
      </w:r>
    </w:p>
  </w:footnote>
  <w:footnote w:id="194">
    <w:p w:rsidR="001569E9" w:rsidRPr="00B809EF" w:rsidRDefault="0096658B" w:rsidP="00F67E09">
      <w:pPr>
        <w:pStyle w:val="Textonotapie"/>
      </w:pPr>
      <w:r w:rsidRPr="00B809EF">
        <w:rPr>
          <w:rStyle w:val="Refdenotaalpie"/>
        </w:rPr>
        <w:footnoteRef/>
      </w:r>
      <w:r w:rsidRPr="00B809EF">
        <w:t xml:space="preserve"> La Corte precisó que debía entenderse que se trataba de cargos de elección popular, “porque de lo contrario se restringiría excesivamente el ámbito dentro del cual la ley está llamada a </w:t>
      </w:r>
      <w:r w:rsidRPr="00B809EF">
        <w:t xml:space="preserve">operar”. Luego, explicó que esto era una consecuencia lógica del Estado social de derecho, en tanto que imponer restricciones al pueblo para elección de sus representantes “alteraría el principio de soberanía popular”. </w:t>
      </w:r>
    </w:p>
  </w:footnote>
  <w:footnote w:id="195">
    <w:p w:rsidR="001569E9" w:rsidRPr="00B809EF" w:rsidRDefault="0096658B" w:rsidP="00F67E09">
      <w:pPr>
        <w:pStyle w:val="Textonotapie"/>
      </w:pPr>
      <w:r w:rsidRPr="00B809EF">
        <w:rPr>
          <w:rStyle w:val="Refdenotaalpie"/>
        </w:rPr>
        <w:footnoteRef/>
      </w:r>
      <w:r w:rsidRPr="00B809EF">
        <w:t xml:space="preserve"> La Corte explicó que el artículo 6</w:t>
      </w:r>
      <w:r w:rsidRPr="00B809EF">
        <w:t xml:space="preserve"> del proyecto de ley estatutaria anticipaba “que determinados hombres, es decir, los que están incluidos en la lista, no obstante tener iguales calificaciones para acceder a los cargos en cuestión, quedan </w:t>
      </w:r>
      <w:r w:rsidRPr="00B809EF">
        <w:rPr>
          <w:i/>
          <w:iCs/>
        </w:rPr>
        <w:t xml:space="preserve">automáticamente </w:t>
      </w:r>
      <w:r w:rsidRPr="00B809EF">
        <w:t>excluidos, hasta tanto sean elegida</w:t>
      </w:r>
      <w:r w:rsidRPr="00B809EF">
        <w:t>s mujeres en una proporción mínima del 30%”.</w:t>
      </w:r>
    </w:p>
  </w:footnote>
  <w:footnote w:id="196">
    <w:p w:rsidR="001569E9" w:rsidRPr="00B809EF" w:rsidRDefault="0096658B" w:rsidP="00230298">
      <w:pPr>
        <w:jc w:val="both"/>
        <w:rPr>
          <w:rFonts w:eastAsia="SimSun"/>
          <w:color w:val="000000"/>
          <w:sz w:val="20"/>
          <w:szCs w:val="20"/>
          <w:lang w:val="es-ES" w:eastAsia="es-ES"/>
        </w:rPr>
      </w:pPr>
      <w:r w:rsidRPr="00B809EF">
        <w:rPr>
          <w:rStyle w:val="Refdenotaalpie"/>
        </w:rPr>
        <w:footnoteRef/>
      </w:r>
      <w:r w:rsidRPr="00B809EF">
        <w:t xml:space="preserve"> </w:t>
      </w:r>
      <w:r w:rsidRPr="00B809EF">
        <w:rPr>
          <w:rFonts w:eastAsia="SimSun"/>
          <w:color w:val="000000"/>
          <w:sz w:val="20"/>
          <w:szCs w:val="20"/>
          <w:lang w:val="es-ES" w:eastAsia="es-ES"/>
        </w:rPr>
        <w:t xml:space="preserve">Bravo, O. A., &amp; Universidad Icesi. (2023). Políticas públicas en debate: perspectivas multidisciplinarias para problemáticas actuales (J. J. Fernández Dusso &amp; Universidad Icesi, Eds.). Universidad Icesi; </w:t>
      </w:r>
      <w:r w:rsidRPr="00B809EF">
        <w:rPr>
          <w:rFonts w:eastAsia="SimSun"/>
          <w:color w:val="000000"/>
          <w:sz w:val="20"/>
          <w:szCs w:val="20"/>
          <w:lang w:val="es-ES" w:eastAsia="es-ES"/>
        </w:rPr>
        <w:t>Universidad EAFIT; Universidad del Norte; CESA. https://doi.org/10.18046/eui/4u.2023</w:t>
      </w:r>
    </w:p>
  </w:footnote>
  <w:footnote w:id="197">
    <w:p w:rsidR="001569E9" w:rsidRPr="00B809EF" w:rsidRDefault="0096658B" w:rsidP="00230298">
      <w:pPr>
        <w:jc w:val="both"/>
        <w:rPr>
          <w:rFonts w:eastAsia="SimSun"/>
          <w:color w:val="000000"/>
          <w:sz w:val="20"/>
          <w:szCs w:val="20"/>
          <w:lang w:val="es-ES" w:eastAsia="es-ES"/>
        </w:rPr>
      </w:pPr>
      <w:r w:rsidRPr="00B809EF">
        <w:rPr>
          <w:rStyle w:val="Refdenotaalpie"/>
        </w:rPr>
        <w:footnoteRef/>
      </w:r>
      <w:r w:rsidRPr="00B809EF">
        <w:t xml:space="preserve"> </w:t>
      </w:r>
      <w:r w:rsidRPr="00B809EF">
        <w:rPr>
          <w:rFonts w:eastAsia="SimSun"/>
          <w:color w:val="000000"/>
          <w:sz w:val="20"/>
          <w:szCs w:val="20"/>
          <w:lang w:val="es-ES" w:eastAsia="es-ES"/>
        </w:rPr>
        <w:t>Badillo, E. R., Delgado, L. A., &amp; García, G. A. (2021). ¿informal, más desigualdad de género? diferencias salariales por género entre empleos formales e informales en Co</w:t>
      </w:r>
      <w:r w:rsidRPr="00B809EF">
        <w:rPr>
          <w:rFonts w:eastAsia="SimSun"/>
          <w:color w:val="000000"/>
          <w:sz w:val="20"/>
          <w:szCs w:val="20"/>
          <w:lang w:val="es-ES" w:eastAsia="es-ES"/>
        </w:rPr>
        <w:t>lombia. En Facultad de Derecho, Universidad de los Andes (Ed.), Mucho camello, poco empleo. Por qué el trabajo de las mujeres en Colombia es escaso, desvalorado y mal remunerado (pp. 199–230). Ediciones Uniandes.</w:t>
      </w:r>
    </w:p>
  </w:footnote>
  <w:footnote w:id="198">
    <w:p w:rsidR="001569E9" w:rsidRPr="00B809EF" w:rsidRDefault="0096658B" w:rsidP="00230298">
      <w:pPr>
        <w:jc w:val="both"/>
        <w:rPr>
          <w:rFonts w:eastAsia="SimSun"/>
          <w:color w:val="000000"/>
          <w:sz w:val="20"/>
          <w:szCs w:val="20"/>
          <w:lang w:val="es-ES" w:eastAsia="es-ES"/>
        </w:rPr>
      </w:pPr>
      <w:r w:rsidRPr="00B809EF">
        <w:rPr>
          <w:rStyle w:val="Refdenotaalpie"/>
        </w:rPr>
        <w:footnoteRef/>
      </w:r>
      <w:r w:rsidRPr="00B809EF">
        <w:t xml:space="preserve"> </w:t>
      </w:r>
      <w:r w:rsidRPr="00B809EF">
        <w:rPr>
          <w:rFonts w:eastAsia="SimSun"/>
          <w:color w:val="000000"/>
          <w:sz w:val="20"/>
          <w:szCs w:val="20"/>
          <w:lang w:val="es-ES" w:eastAsia="es-ES"/>
        </w:rPr>
        <w:t>Id.</w:t>
      </w:r>
    </w:p>
  </w:footnote>
  <w:footnote w:id="199">
    <w:p w:rsidR="001569E9" w:rsidRPr="00B809EF" w:rsidRDefault="0096658B" w:rsidP="00F67E09">
      <w:pPr>
        <w:pStyle w:val="Textonotapie"/>
      </w:pPr>
      <w:r w:rsidRPr="00B809EF">
        <w:rPr>
          <w:rStyle w:val="Refdenotaalpie"/>
        </w:rPr>
        <w:footnoteRef/>
      </w:r>
      <w:r w:rsidRPr="00B809EF">
        <w:t xml:space="preserve"> DANE. Gran Encuesta Integrada de Ho</w:t>
      </w:r>
      <w:r w:rsidRPr="00B809EF">
        <w:t>gares -GEIH- 2018.</w:t>
      </w:r>
    </w:p>
  </w:footnote>
  <w:footnote w:id="200">
    <w:p w:rsidR="001569E9" w:rsidRPr="00B809EF" w:rsidRDefault="0096658B" w:rsidP="00F67E09">
      <w:pPr>
        <w:pStyle w:val="Textonotapie"/>
      </w:pPr>
      <w:r w:rsidRPr="00B809EF">
        <w:rPr>
          <w:rStyle w:val="Refdenotaalpie"/>
        </w:rPr>
        <w:footnoteRef/>
      </w:r>
      <w:r w:rsidRPr="00B809EF">
        <w:t xml:space="preserve"> Sistema de indicadores del Observatorio Laboral para la Educación.</w:t>
      </w:r>
    </w:p>
  </w:footnote>
  <w:footnote w:id="201">
    <w:p w:rsidR="001569E9" w:rsidRPr="00B809EF" w:rsidRDefault="0096658B" w:rsidP="00230298">
      <w:pPr>
        <w:jc w:val="both"/>
        <w:rPr>
          <w:rFonts w:eastAsia="SimSun"/>
          <w:color w:val="000000"/>
          <w:sz w:val="20"/>
          <w:szCs w:val="20"/>
          <w:lang w:val="es-ES" w:eastAsia="es-ES"/>
        </w:rPr>
      </w:pPr>
      <w:r w:rsidRPr="00B809EF">
        <w:rPr>
          <w:rStyle w:val="Refdenotaalpie"/>
        </w:rPr>
        <w:footnoteRef/>
      </w:r>
      <w:r w:rsidRPr="00B809EF">
        <w:t xml:space="preserve"> </w:t>
      </w:r>
      <w:r w:rsidRPr="00B809EF">
        <w:rPr>
          <w:rFonts w:eastAsia="SimSun"/>
          <w:color w:val="000000"/>
          <w:sz w:val="20"/>
          <w:szCs w:val="20"/>
          <w:lang w:val="es-ES" w:eastAsia="es-ES"/>
        </w:rPr>
        <w:t>Badillo, E. R., Delgado, L. A., &amp; García, G. A. (2021). ¿</w:t>
      </w:r>
      <w:r w:rsidRPr="00B809EF">
        <w:rPr>
          <w:rFonts w:eastAsia="SimSun"/>
          <w:color w:val="000000"/>
          <w:sz w:val="20"/>
          <w:szCs w:val="20"/>
          <w:lang w:val="es-ES" w:eastAsia="es-ES"/>
        </w:rPr>
        <w:t>I</w:t>
      </w:r>
      <w:r w:rsidRPr="00B809EF">
        <w:rPr>
          <w:rFonts w:eastAsia="SimSun"/>
          <w:color w:val="000000"/>
          <w:sz w:val="20"/>
          <w:szCs w:val="20"/>
          <w:lang w:val="es-ES" w:eastAsia="es-ES"/>
        </w:rPr>
        <w:t xml:space="preserve">nformal, más desigualdad de género? </w:t>
      </w:r>
      <w:r w:rsidRPr="00B809EF">
        <w:rPr>
          <w:rFonts w:eastAsia="SimSun"/>
          <w:color w:val="000000"/>
          <w:sz w:val="20"/>
          <w:szCs w:val="20"/>
          <w:lang w:val="es-ES" w:eastAsia="es-ES"/>
        </w:rPr>
        <w:t xml:space="preserve">Diferencias </w:t>
      </w:r>
      <w:r w:rsidRPr="00B809EF">
        <w:rPr>
          <w:rFonts w:eastAsia="SimSun"/>
          <w:color w:val="000000"/>
          <w:sz w:val="20"/>
          <w:szCs w:val="20"/>
          <w:lang w:val="es-ES" w:eastAsia="es-ES"/>
        </w:rPr>
        <w:t>salariales por género entre empleos formales e informales en</w:t>
      </w:r>
      <w:r w:rsidRPr="00B809EF">
        <w:rPr>
          <w:rFonts w:eastAsia="SimSun"/>
          <w:color w:val="000000"/>
          <w:sz w:val="20"/>
          <w:szCs w:val="20"/>
          <w:lang w:val="es-ES" w:eastAsia="es-ES"/>
        </w:rPr>
        <w:t xml:space="preserve"> Colombia. En Facultad de Derecho, Universidad de los Andes (Ed.), Mucho camello, poco empleo. Por qué el trabajo de las mujeres en Colombia es escaso, desvalorado y mal remunerado (pp. 199–230). Ediciones Uniandes.</w:t>
      </w:r>
    </w:p>
  </w:footnote>
  <w:footnote w:id="202">
    <w:p w:rsidR="001569E9" w:rsidRPr="00B809EF" w:rsidRDefault="0096658B" w:rsidP="00F67E09">
      <w:pPr>
        <w:pStyle w:val="Textonotapie"/>
      </w:pPr>
      <w:r w:rsidRPr="00B809EF">
        <w:rPr>
          <w:rStyle w:val="Refdenotaalpie"/>
        </w:rPr>
        <w:footnoteRef/>
      </w:r>
      <w:r w:rsidRPr="00B809EF">
        <w:t xml:space="preserve"> Id.</w:t>
      </w:r>
    </w:p>
  </w:footnote>
  <w:footnote w:id="203">
    <w:p w:rsidR="001569E9" w:rsidRPr="00B809EF" w:rsidRDefault="0096658B" w:rsidP="00F67E09">
      <w:pPr>
        <w:pStyle w:val="Textonotapie"/>
        <w:rPr>
          <w:lang w:val="es-ES_tradnl"/>
        </w:rPr>
      </w:pPr>
      <w:r w:rsidRPr="00B809EF">
        <w:rPr>
          <w:rStyle w:val="Refdenotaalpie"/>
        </w:rPr>
        <w:footnoteRef/>
      </w:r>
      <w:r w:rsidRPr="00B809EF">
        <w:t xml:space="preserve"> Encuesta Nacional de Uso del Tiempo (</w:t>
      </w:r>
      <w:r w:rsidRPr="00B809EF">
        <w:rPr>
          <w:lang w:val="es-ES_tradnl"/>
        </w:rPr>
        <w:t>ENUT). 2020-2021.</w:t>
      </w:r>
    </w:p>
  </w:footnote>
  <w:footnote w:id="204">
    <w:p w:rsidR="001569E9" w:rsidRPr="00B809EF" w:rsidRDefault="0096658B" w:rsidP="00F67E09">
      <w:pPr>
        <w:pStyle w:val="Textonotapie"/>
      </w:pPr>
      <w:r w:rsidRPr="00B809EF">
        <w:rPr>
          <w:rStyle w:val="Refdenotaalpie"/>
          <w:lang w:val="es-ES_tradnl"/>
        </w:rPr>
        <w:footnoteRef/>
      </w:r>
      <w:r w:rsidRPr="00B809EF">
        <w:t xml:space="preserve"> Misión de Observación Electoral. Resultados electorales con datos del escrutinio al 14 de noviembre de 2023 (99,9% de los escrutinios municipales y el 87.8% de los escrutinios generales). 2023.11.28</w:t>
      </w:r>
      <w:r w:rsidRPr="00B809EF">
        <w:t>-Balance-Elecciones-Mujeres-Autoridades-Locales-2023-1.</w:t>
      </w:r>
    </w:p>
  </w:footnote>
  <w:footnote w:id="205">
    <w:p w:rsidR="001569E9" w:rsidRPr="00B809EF" w:rsidRDefault="0096658B" w:rsidP="00F67E09">
      <w:pPr>
        <w:pStyle w:val="Textonotapie"/>
      </w:pPr>
      <w:r w:rsidRPr="00B809EF">
        <w:rPr>
          <w:rStyle w:val="Refdenotaalpie"/>
          <w:lang w:val="es-ES_tradnl"/>
        </w:rPr>
        <w:footnoteRef/>
      </w:r>
      <w:r w:rsidRPr="00B809EF">
        <w:t xml:space="preserve"> Id.</w:t>
      </w:r>
    </w:p>
  </w:footnote>
  <w:footnote w:id="206">
    <w:p w:rsidR="001569E9" w:rsidRPr="00B809EF" w:rsidRDefault="0096658B" w:rsidP="00F67E09">
      <w:pPr>
        <w:pStyle w:val="Textonotapie"/>
      </w:pPr>
      <w:r w:rsidRPr="00B809EF">
        <w:rPr>
          <w:rStyle w:val="Refdenotaalpie"/>
        </w:rPr>
        <w:footnoteRef/>
      </w:r>
      <w:r w:rsidRPr="00B809EF">
        <w:t xml:space="preserve"> Departamento Administrativo de la Función Pública (2023) Informe sobre la participación efectiva de la mujer en los cargos de niveles decisorios en el Estado colombiano. Dirección de empleo pú</w:t>
      </w:r>
      <w:r w:rsidRPr="00B809EF">
        <w:t xml:space="preserve">blico. Disponible en: </w:t>
      </w:r>
      <w:hyperlink r:id="rId12" w:history="1">
        <w:r w:rsidRPr="00B809EF">
          <w:rPr>
            <w:rStyle w:val="Hipervnculo"/>
          </w:rPr>
          <w:t>https://www.funcionpublica.gov.co/informes-de-ley-de-cuotas</w:t>
        </w:r>
      </w:hyperlink>
      <w:r w:rsidRPr="00B809EF">
        <w:t xml:space="preserve"> </w:t>
      </w:r>
    </w:p>
  </w:footnote>
  <w:footnote w:id="207">
    <w:p w:rsidR="001569E9" w:rsidRPr="00B809EF" w:rsidRDefault="0096658B" w:rsidP="00F67E09">
      <w:pPr>
        <w:pStyle w:val="Textonotapie"/>
      </w:pPr>
      <w:r w:rsidRPr="00B809EF">
        <w:rPr>
          <w:rStyle w:val="Refdenotaalpie"/>
        </w:rPr>
        <w:footnoteRef/>
      </w:r>
      <w:r w:rsidRPr="00B809EF">
        <w:t xml:space="preserve"> Id., p. 15. </w:t>
      </w:r>
    </w:p>
  </w:footnote>
  <w:footnote w:id="208">
    <w:p w:rsidR="001569E9" w:rsidRPr="00B809EF" w:rsidRDefault="0096658B" w:rsidP="00F67E09">
      <w:pPr>
        <w:pStyle w:val="Textonotapie"/>
      </w:pPr>
      <w:r w:rsidRPr="00B809EF">
        <w:rPr>
          <w:rStyle w:val="Refdenotaalpie"/>
        </w:rPr>
        <w:footnoteRef/>
      </w:r>
      <w:r w:rsidRPr="00B809EF">
        <w:t xml:space="preserve"> Sobre esta diferencia entre el ámbito nacional y territorial, </w:t>
      </w:r>
      <w:r w:rsidRPr="00B809EF">
        <w:rPr>
          <w:i/>
          <w:iCs/>
        </w:rPr>
        <w:t xml:space="preserve">Vid. </w:t>
      </w:r>
      <w:r w:rsidRPr="00B809EF">
        <w:t>León, M. y Ho</w:t>
      </w:r>
      <w:r w:rsidRPr="00B809EF">
        <w:t>lguín, J. “La cuota sola no basta: El caso de Colombia”</w:t>
      </w:r>
      <w:r w:rsidRPr="00B809EF">
        <w:t>.</w:t>
      </w:r>
      <w:r w:rsidRPr="00B809EF">
        <w:t xml:space="preserve"> </w:t>
      </w:r>
      <w:r w:rsidRPr="00B809EF">
        <w:rPr>
          <w:i/>
          <w:iCs/>
        </w:rPr>
        <w:t xml:space="preserve">Nadando contra la corriente: mujeres y cuotas políticas en los países andinos. </w:t>
      </w:r>
      <w:r w:rsidRPr="00B809EF">
        <w:t xml:space="preserve">Bogotá: UNIFEM, UNFPA, Universidad Nacional de Colombia, Instituto de Estudios Peruanos, CIDEM y FLACSO Ecuador. </w:t>
      </w:r>
    </w:p>
  </w:footnote>
  <w:footnote w:id="209">
    <w:p w:rsidR="001569E9" w:rsidRPr="00B809EF" w:rsidRDefault="0096658B" w:rsidP="00F67E09">
      <w:pPr>
        <w:pStyle w:val="Textonotapie"/>
      </w:pPr>
      <w:r w:rsidRPr="00B809EF">
        <w:rPr>
          <w:rStyle w:val="Refdenotaalpie"/>
        </w:rPr>
        <w:footnoteRef/>
      </w:r>
      <w:r w:rsidRPr="00B809EF">
        <w:t xml:space="preserve"> DANE</w:t>
      </w:r>
      <w:r w:rsidRPr="00B809EF">
        <w:t xml:space="preserve"> (2022). Informe sobre la participación efectiva de la mujer en los cargos decisorios en el Estado colombiano. Dirección de empleo público, pp. 71-75.</w:t>
      </w:r>
    </w:p>
  </w:footnote>
  <w:footnote w:id="210">
    <w:p w:rsidR="001569E9" w:rsidRPr="00B809EF" w:rsidRDefault="0096658B" w:rsidP="00F67E09">
      <w:pPr>
        <w:pStyle w:val="Textonotapie"/>
      </w:pPr>
      <w:r w:rsidRPr="00B809EF">
        <w:rPr>
          <w:rStyle w:val="Refdenotaalpie"/>
        </w:rPr>
        <w:footnoteRef/>
      </w:r>
      <w:r w:rsidRPr="00B809EF">
        <w:t xml:space="preserve"> Sentencia C-371 de 2000, fundamento jurídico 47.</w:t>
      </w:r>
    </w:p>
  </w:footnote>
  <w:footnote w:id="211">
    <w:p w:rsidR="001569E9" w:rsidRPr="00B809EF" w:rsidRDefault="0096658B" w:rsidP="00F67E09">
      <w:pPr>
        <w:pStyle w:val="Textonotapie"/>
      </w:pPr>
      <w:r w:rsidRPr="00B809EF">
        <w:rPr>
          <w:rStyle w:val="Refdenotaalpie"/>
        </w:rPr>
        <w:footnoteRef/>
      </w:r>
      <w:r w:rsidRPr="00B809EF">
        <w:t xml:space="preserve"> Id.</w:t>
      </w:r>
    </w:p>
  </w:footnote>
  <w:footnote w:id="212">
    <w:p w:rsidR="001569E9" w:rsidRPr="00B809EF" w:rsidRDefault="0096658B" w:rsidP="00F67E09">
      <w:pPr>
        <w:pStyle w:val="Textonotapie"/>
      </w:pPr>
      <w:r w:rsidRPr="00B809EF">
        <w:rPr>
          <w:rStyle w:val="Refdenotaalpie"/>
        </w:rPr>
        <w:footnoteRef/>
      </w:r>
      <w:r w:rsidRPr="00B809EF">
        <w:t xml:space="preserve"> Sentencia C-128 de 2019, fundamento jurídico 2</w:t>
      </w:r>
      <w:r w:rsidRPr="00B809EF">
        <w:t>4.</w:t>
      </w:r>
    </w:p>
  </w:footnote>
  <w:footnote w:id="213">
    <w:p w:rsidR="001569E9" w:rsidRPr="00B809EF" w:rsidRDefault="0096658B" w:rsidP="00F67E09">
      <w:pPr>
        <w:pStyle w:val="Textonotapie"/>
      </w:pPr>
      <w:r w:rsidRPr="00B809EF">
        <w:rPr>
          <w:rStyle w:val="Refdenotaalpie"/>
        </w:rPr>
        <w:footnoteRef/>
      </w:r>
      <w:r w:rsidRPr="00B809EF">
        <w:t xml:space="preserve"> Sentencia C-371 de 2000. “Algunos de los intervinientes señalan que para aumentar la participación de la mujer existen otros medios, como, por ejemplo, ‘mejorar la educación, la capacitación o formación técnica de la mujer, de manera que pueda desempe</w:t>
      </w:r>
      <w:r w:rsidRPr="00B809EF">
        <w:t xml:space="preserve">ñarse en igualdad de condiciones con los hombres’. </w:t>
      </w:r>
    </w:p>
    <w:p w:rsidR="001569E9" w:rsidRPr="00B809EF" w:rsidRDefault="0096658B" w:rsidP="00F67E09">
      <w:pPr>
        <w:pStyle w:val="Textonotapie"/>
      </w:pPr>
      <w:r w:rsidRPr="00B809EF">
        <w:t>Este argumento necesariamente tiene que ser mirado a la luz de lo expuesto en el fundamento N° 20. Allí se dijo que las acciones afirmativas buscan que de manera ‘real y efectiva’ se promueva una igualdad</w:t>
      </w:r>
      <w:r w:rsidRPr="00B809EF">
        <w:t xml:space="preserve"> de oportunidades para todas las personas. Sin embargo, también se advirtió que tal propósito no sólo apunta a garantizar condiciones de igualdad ‘en los puntos de partida’, sino también, ‘en las condiciones de llegada’. Que un hombre y una mujer tengan la</w:t>
      </w:r>
      <w:r w:rsidRPr="00B809EF">
        <w:t>s mismas calificaciones, porque accedieron a una educación o formación académica similar, significa que se encuentran en condiciones iguales en la línea de salida, pero no necesariamente es sinónimo de que tienen las mismas oportunidades para acceder a det</w:t>
      </w:r>
      <w:r w:rsidRPr="00B809EF">
        <w:t>erminados cargos. Para la Corte es un hecho que la mujer, incluso si tiene una formación académica superior a la del hombre, ha de enfrentar mayores obstáculos para acceder, máxime si se trata de los empleos más altos en la jerarquía política.</w:t>
      </w:r>
    </w:p>
    <w:p w:rsidR="001569E9" w:rsidRPr="00B809EF" w:rsidRDefault="0096658B" w:rsidP="00F67E09">
      <w:pPr>
        <w:pStyle w:val="Textonotapie"/>
      </w:pPr>
      <w:r w:rsidRPr="00B809EF">
        <w:t>En síntesis,</w:t>
      </w:r>
      <w:r w:rsidRPr="00B809EF">
        <w:t xml:space="preserve"> esta Corporación entiende que el estímulo a la educación de las mujeres, que se impone, además, para toda la población en general, es sin duda esencial, pero con ello no se garantiza de manera eficaz el punto de llegada, o en otras palabras que la mujer, </w:t>
      </w:r>
      <w:r w:rsidRPr="00B809EF">
        <w:t>en un lapso corto, realmente acceda a los cargos de mayor jerarquía y de dirección en el poder público, que es en últimas el objetivo perseguido por el legislador”.</w:t>
      </w:r>
    </w:p>
  </w:footnote>
  <w:footnote w:id="214">
    <w:p w:rsidR="001569E9" w:rsidRPr="00B809EF" w:rsidRDefault="0096658B" w:rsidP="00F67E09">
      <w:pPr>
        <w:pStyle w:val="Textonotapie"/>
      </w:pPr>
      <w:r w:rsidRPr="00B809EF">
        <w:rPr>
          <w:rStyle w:val="Refdenotaalpie"/>
        </w:rPr>
        <w:footnoteRef/>
      </w:r>
      <w:r w:rsidRPr="00B809EF">
        <w:t xml:space="preserve"> Sentencia SU-080 de 2020. “Sobre la definición de la violencia de género contra la mujer,</w:t>
      </w:r>
      <w:r w:rsidRPr="00B809EF">
        <w:t xml:space="preserve"> se puede precisar que esta implica la existencia de las siguientes tres características básicas: ‘a) El sexo de quien sufre la violencia y de quien la ejerce: la ejercen los hombres sobre las mujeres. b) La causa de esta violencia: se basa en la desiguald</w:t>
      </w:r>
      <w:r w:rsidRPr="00B809EF">
        <w:t>ad histórica y universal, que ha situado en una posición de subordinación a las mujeres respecto a los hombres. c) La generalidad de los ámbitos en que se ejerce: todos los ámbitos de la vida, ya que la desigualdad se cristaliza en la pareja, familia, trab</w:t>
      </w:r>
      <w:r w:rsidRPr="00B809EF">
        <w:t>ajo, economía, cultura política, religión, etc.’ Adicionalmente, esta clase de violencia se puede presentar en múltiples escenarios. Específicamente en las relaciones de pareja se puede manifestar a través de actos de violencia física, bajo los cuales se p</w:t>
      </w:r>
      <w:r w:rsidRPr="00B809EF">
        <w:t>retende la sumisión de la mujer a través de la imposición de la mayor fuerza o capacidad corporal como elemento coercitivo. De igual forma, se puede expresar con actos de violencia psicológica que implican “control, aislamiento, celos patológicos, acoso, d</w:t>
      </w:r>
      <w:r w:rsidRPr="00B809EF">
        <w:t>enigración, humillaciones, intimidación, indiferencia ante las demandas afectivas y amenazas”</w:t>
      </w:r>
      <w:r w:rsidRPr="00B809EF">
        <w:t>.</w:t>
      </w:r>
    </w:p>
  </w:footnote>
  <w:footnote w:id="215">
    <w:p w:rsidR="001569E9" w:rsidRPr="00B809EF" w:rsidRDefault="0096658B" w:rsidP="00F67E09">
      <w:pPr>
        <w:pStyle w:val="Textonotapie"/>
      </w:pPr>
      <w:r w:rsidRPr="00B809EF">
        <w:rPr>
          <w:rStyle w:val="Refdenotaalpie"/>
        </w:rPr>
        <w:footnoteRef/>
      </w:r>
      <w:r w:rsidRPr="00B809EF">
        <w:t xml:space="preserve"> Sentencia C-335 de 2013. “La violencia contra la mujer se entiende como todo acto de violencia basado en la pertenencia al sexo femenino que tenga o pueda tene</w:t>
      </w:r>
      <w:r w:rsidRPr="00B809EF">
        <w:t>r como resultado un daño o sufrimiento físico, sexual o sicológico para la mujer, así como las amenazas de tales actos, la coacción o la privación arbitraria de la libertad, tanto si se producen en la vida pública como en la vida privada. La violencia cont</w:t>
      </w:r>
      <w:r w:rsidRPr="00B809EF">
        <w:t>ra la mujer tiene diversas modalidades que han sido definidas por la Declaración sobre la eliminación de la violencia contra la mujer de la Asamblea General de las Naciones Unidas: La violencia física, sexual y sicológica que se produzca en la familia, inc</w:t>
      </w:r>
      <w:r w:rsidRPr="00B809EF">
        <w:t>luidos los malos tratos, el abuso sexual de las niñas en el hogar, la violencia relacionada con la dote, la violación por el marido, la mutilación genital femenina y otras prácticas tradicionales nocivas para la mujer, los actos de violencia perpetrados po</w:t>
      </w:r>
      <w:r w:rsidRPr="00B809EF">
        <w:t>r otros miembros de la familia y la violencia relacionada con la explotación; b) La violencia física, sexual y sicológica perpetrada dentro de la comunidad en general, inclusive la violación, el abuso sexual, el acoso y la intimidación sexuales en el traba</w:t>
      </w:r>
      <w:r w:rsidRPr="00B809EF">
        <w:t>jo, en instituciones educacionales y en otros lugares, la trata de mujeres y la prostitución forzada; c) La violencia física, sexual y sicológica perpetrada o tolerada por el Estado, dondequiera que ocurra”.</w:t>
      </w:r>
    </w:p>
  </w:footnote>
  <w:footnote w:id="216">
    <w:p w:rsidR="001569E9" w:rsidRPr="00B809EF" w:rsidRDefault="0096658B" w:rsidP="00F67E09">
      <w:pPr>
        <w:pStyle w:val="Textonotapie"/>
      </w:pPr>
      <w:r w:rsidRPr="00B809EF">
        <w:rPr>
          <w:rStyle w:val="Refdenotaalpie"/>
        </w:rPr>
        <w:footnoteRef/>
      </w:r>
      <w:r w:rsidRPr="00B809EF">
        <w:t xml:space="preserve"> Sentencia T-012 de 2016, citada por la sentenc</w:t>
      </w:r>
      <w:r w:rsidRPr="00B809EF">
        <w:t>ia SU-201 de 2021. “[…] la violencia contra la mujer también es económica. Esta clase de agresiones son muy difíciles de percibir, pues se enmarcan dentro de escenarios sociales en donde, tradicionalmente, los hombres han tenido un mayor control sobre la m</w:t>
      </w:r>
      <w:r w:rsidRPr="00B809EF">
        <w:t>ujer. A grandes rasgos, en la violencia patrimonial el hombre utiliza su poder económico para controlar las decisiones y proyecto de vida de su pareja. Es una forma de violencia donde el abusador controla todo lo que ingresa al patrimonio común, sin import</w:t>
      </w:r>
      <w:r w:rsidRPr="00B809EF">
        <w:t>arle quién lo haya ganado. Manipula el dinero, dirige y normalmente en él radica la titularidad de todos los bienes. Aunque esta violencia también se presenta en espacios públicos, es en el ámbito privado donde se hacen más evidentes sus efectos”.</w:t>
      </w:r>
    </w:p>
  </w:footnote>
  <w:footnote w:id="217">
    <w:p w:rsidR="001569E9" w:rsidRPr="00B809EF" w:rsidRDefault="0096658B" w:rsidP="00F67E09">
      <w:pPr>
        <w:pStyle w:val="Textonotapie"/>
      </w:pPr>
      <w:r w:rsidRPr="00B809EF">
        <w:rPr>
          <w:rStyle w:val="Refdenotaalpie"/>
        </w:rPr>
        <w:footnoteRef/>
      </w:r>
      <w:r w:rsidRPr="00B809EF">
        <w:t xml:space="preserve"> Es imp</w:t>
      </w:r>
      <w:r w:rsidRPr="00B809EF">
        <w:t>ortante anotar que en la actualidad la Corte analiza la constitucionalidad del Proyecto de Ley Estatutaria 006 de 2022 Senado -acumulado con los proyectos de ley 095 y 109 de 2022 Senado, 320 de 2022</w:t>
      </w:r>
    </w:p>
    <w:p w:rsidR="001569E9" w:rsidRPr="00B809EF" w:rsidRDefault="0096658B" w:rsidP="00F67E09">
      <w:pPr>
        <w:pStyle w:val="Textonotapie"/>
      </w:pPr>
      <w:r w:rsidRPr="00B809EF">
        <w:t xml:space="preserve">Cámara-, “Por medio del cual se establecen medidas para </w:t>
      </w:r>
      <w:r w:rsidRPr="00B809EF">
        <w:t>prevenir, atender, rechazar y sancionar la violencia contra las mujeres en política y hacer efectivo su derecho a la participación en todos los niveles”, correspondiente al radicado PE-055.</w:t>
      </w:r>
    </w:p>
  </w:footnote>
  <w:footnote w:id="218">
    <w:p w:rsidR="001569E9" w:rsidRPr="00B809EF" w:rsidRDefault="0096658B" w:rsidP="00F67E09">
      <w:pPr>
        <w:pStyle w:val="Textonotapie"/>
      </w:pPr>
      <w:r w:rsidRPr="00B809EF">
        <w:rPr>
          <w:rStyle w:val="Refdenotaalpie"/>
        </w:rPr>
        <w:footnoteRef/>
      </w:r>
      <w:r w:rsidRPr="00B809EF">
        <w:t xml:space="preserve"> “La conclusión de este debate es que en Colombia se ha desarroll</w:t>
      </w:r>
      <w:r w:rsidRPr="00B809EF">
        <w:t xml:space="preserve">ado un mecanismo incluyente, como lo son las cuotas políticas, y se requiere de estrategias adicionales para el desarrollo de la dimensión representativa del colectivo de mujeres, de la conformación de una masa crítica que actúe a favor de ese colectivo”. </w:t>
      </w:r>
      <w:r w:rsidRPr="00B809EF">
        <w:t xml:space="preserve">León, M., Holguín, J. Ob. Cit., p. 82. </w:t>
      </w:r>
    </w:p>
  </w:footnote>
  <w:footnote w:id="219">
    <w:p w:rsidR="00246B00" w:rsidRPr="00B809EF" w:rsidRDefault="0096658B" w:rsidP="00246B00">
      <w:pPr>
        <w:pStyle w:val="Textonotapie"/>
        <w:rPr>
          <w:lang w:val="es-ES_tradnl"/>
        </w:rPr>
      </w:pPr>
      <w:r w:rsidRPr="00B809EF">
        <w:rPr>
          <w:rStyle w:val="Refdenotaalpie"/>
        </w:rPr>
        <w:footnoteRef/>
      </w:r>
      <w:r w:rsidRPr="00B809EF">
        <w:t xml:space="preserve"> </w:t>
      </w:r>
      <w:r w:rsidRPr="00B809EF">
        <w:rPr>
          <w:lang w:val="es-ES_tradnl"/>
        </w:rPr>
        <w:t xml:space="preserve">Sentencia </w:t>
      </w:r>
      <w:r w:rsidRPr="00B809EF">
        <w:t>T-376 de 2019.</w:t>
      </w:r>
    </w:p>
  </w:footnote>
  <w:footnote w:id="220">
    <w:p w:rsidR="00246B00" w:rsidRPr="00B809EF" w:rsidRDefault="0096658B" w:rsidP="00246B00">
      <w:pPr>
        <w:pStyle w:val="Textonotapie"/>
      </w:pPr>
      <w:r w:rsidRPr="00B809EF">
        <w:rPr>
          <w:rStyle w:val="Refdenotaalpie"/>
        </w:rPr>
        <w:footnoteRef/>
      </w:r>
      <w:r w:rsidRPr="00B809EF">
        <w:t xml:space="preserve"> Que podrían expresarse con un elevado grado de vulnerabilidad, afectación de las garantías constitucionales y legales o cuando se está frente a múltiples factores de discriminación simultáneamente. Sentencia T-448 del 2018.</w:t>
      </w:r>
    </w:p>
  </w:footnote>
  <w:footnote w:id="221">
    <w:p w:rsidR="00246B00" w:rsidRPr="00B809EF" w:rsidRDefault="0096658B" w:rsidP="00246B00">
      <w:pPr>
        <w:pStyle w:val="Textonotapie"/>
        <w:rPr>
          <w:lang w:val="es-ES_tradnl"/>
        </w:rPr>
      </w:pPr>
      <w:r w:rsidRPr="00B809EF">
        <w:rPr>
          <w:rStyle w:val="Refdenotaalpie"/>
        </w:rPr>
        <w:footnoteRef/>
      </w:r>
      <w:r w:rsidRPr="00B809EF">
        <w:t xml:space="preserve"> </w:t>
      </w:r>
      <w:r w:rsidRPr="00B809EF">
        <w:rPr>
          <w:lang w:val="es-ES_tradnl"/>
        </w:rPr>
        <w:t>Ib.</w:t>
      </w:r>
    </w:p>
  </w:footnote>
  <w:footnote w:id="222">
    <w:p w:rsidR="00246B00" w:rsidRPr="00B809EF" w:rsidRDefault="0096658B" w:rsidP="00246B00">
      <w:pPr>
        <w:pStyle w:val="Textonotapie"/>
        <w:rPr>
          <w:lang w:val="es-ES_tradnl"/>
        </w:rPr>
      </w:pPr>
      <w:r w:rsidRPr="00B809EF">
        <w:rPr>
          <w:rStyle w:val="Refdenotaalpie"/>
        </w:rPr>
        <w:footnoteRef/>
      </w:r>
      <w:r w:rsidRPr="00B809EF">
        <w:t xml:space="preserve"> Asociación para los Der</w:t>
      </w:r>
      <w:r w:rsidRPr="00B809EF">
        <w:t>echos de la Mujer y el Desarrollo. Interseccionalidad: una herramienta para la justicia de género y la justicia económica, p. 5.</w:t>
      </w:r>
    </w:p>
  </w:footnote>
  <w:footnote w:id="223">
    <w:p w:rsidR="00246B00" w:rsidRPr="00B809EF" w:rsidRDefault="0096658B" w:rsidP="00246B00">
      <w:pPr>
        <w:pStyle w:val="Textonotapie"/>
        <w:rPr>
          <w:lang w:val="es-ES_tradnl"/>
        </w:rPr>
      </w:pPr>
      <w:r w:rsidRPr="00B809EF">
        <w:rPr>
          <w:rStyle w:val="Refdenotaalpie"/>
        </w:rPr>
        <w:footnoteRef/>
      </w:r>
      <w:r w:rsidRPr="00B809EF">
        <w:t xml:space="preserve"> </w:t>
      </w:r>
      <w:r w:rsidRPr="00B809EF">
        <w:rPr>
          <w:lang w:val="es-ES_tradnl"/>
        </w:rPr>
        <w:t>Sentencia T-236 de 2021.</w:t>
      </w:r>
    </w:p>
  </w:footnote>
  <w:footnote w:id="224">
    <w:p w:rsidR="00246B00" w:rsidRPr="00B809EF" w:rsidRDefault="0096658B" w:rsidP="00246B00">
      <w:pPr>
        <w:pStyle w:val="Textonotapie"/>
      </w:pPr>
      <w:r w:rsidRPr="00B809EF">
        <w:rPr>
          <w:rStyle w:val="Refdenotaalpie"/>
        </w:rPr>
        <w:footnoteRef/>
      </w:r>
      <w:r w:rsidRPr="00B809EF">
        <w:t xml:space="preserve"> Sobre el particular, la Corte ha dicho que en las “situaciones en la que los afectados pertenecen </w:t>
      </w:r>
      <w:r w:rsidRPr="00B809EF">
        <w:t>a más de un grupo históricamente discriminado y marginalizado, debe ser abordado a partir de un enfoque interseccional” Sentencia T-141 del 2015.</w:t>
      </w:r>
    </w:p>
  </w:footnote>
  <w:footnote w:id="225">
    <w:p w:rsidR="00F36847" w:rsidRPr="00B809EF" w:rsidRDefault="0096658B" w:rsidP="00F36847">
      <w:pPr>
        <w:pStyle w:val="Textonotapie"/>
      </w:pPr>
      <w:r w:rsidRPr="00B809EF">
        <w:rPr>
          <w:rStyle w:val="Refdenotaalpie"/>
        </w:rPr>
        <w:footnoteRef/>
      </w:r>
      <w:r w:rsidRPr="00B809EF">
        <w:t xml:space="preserve"> </w:t>
      </w:r>
      <w:r w:rsidRPr="00B809EF">
        <w:t xml:space="preserve">Segundo debate en la Cámara de Representantes, </w:t>
      </w:r>
      <w:r w:rsidRPr="00B809EF">
        <w:t>Gaceta del Congreso 1504 de 2023, pp. 23-24.</w:t>
      </w:r>
    </w:p>
  </w:footnote>
  <w:footnote w:id="226">
    <w:p w:rsidR="001569E9" w:rsidRPr="00B809EF" w:rsidRDefault="0096658B" w:rsidP="00F67E09">
      <w:pPr>
        <w:pStyle w:val="Textonotapie"/>
      </w:pPr>
      <w:r w:rsidRPr="00B809EF">
        <w:rPr>
          <w:rStyle w:val="Refdenotaalpie"/>
        </w:rPr>
        <w:footnoteRef/>
      </w:r>
      <w:r w:rsidRPr="00B809EF">
        <w:t xml:space="preserve"> El acceso a lo</w:t>
      </w:r>
      <w:r w:rsidRPr="00B809EF">
        <w:t xml:space="preserve">s cargos públicos mediante el sistema de mérito es considerado por la jurisprudencia constitucional como uno de los ejes definitorios de la Carta Política. </w:t>
      </w:r>
      <w:r w:rsidRPr="00B809EF">
        <w:rPr>
          <w:i/>
          <w:iCs/>
        </w:rPr>
        <w:t xml:space="preserve">Vid. </w:t>
      </w:r>
      <w:r w:rsidRPr="00B809EF">
        <w:t xml:space="preserve">Sentencia C-588 de 2009. </w:t>
      </w:r>
    </w:p>
  </w:footnote>
  <w:footnote w:id="227">
    <w:p w:rsidR="00BF30D3" w:rsidRPr="00B809EF" w:rsidRDefault="0096658B" w:rsidP="00BF30D3">
      <w:pPr>
        <w:pStyle w:val="Textonotapie"/>
      </w:pPr>
      <w:r w:rsidRPr="00B809EF">
        <w:rPr>
          <w:rStyle w:val="Refdenotaalpie"/>
        </w:rPr>
        <w:footnoteRef/>
      </w:r>
      <w:r w:rsidRPr="00B809EF">
        <w:t xml:space="preserve"> Corte Constitucional, sentencias C-774 de 2001, T-249 de 2016 y SU-</w:t>
      </w:r>
      <w:r w:rsidRPr="00B809EF">
        <w:t xml:space="preserve">027 de 2021. </w:t>
      </w:r>
    </w:p>
  </w:footnote>
  <w:footnote w:id="228">
    <w:p w:rsidR="00BF30D3" w:rsidRPr="00B809EF" w:rsidRDefault="0096658B" w:rsidP="00BF30D3">
      <w:pPr>
        <w:pStyle w:val="Textonotapie"/>
      </w:pPr>
      <w:r w:rsidRPr="00B809EF">
        <w:rPr>
          <w:rStyle w:val="Refdenotaalpie"/>
        </w:rPr>
        <w:footnoteRef/>
      </w:r>
      <w:r w:rsidRPr="00B809EF">
        <w:t xml:space="preserve"> Corte Constitucional, sentencias C-021 de 2023 y C-164 de 2023.</w:t>
      </w:r>
    </w:p>
  </w:footnote>
  <w:footnote w:id="229">
    <w:p w:rsidR="00BF30D3" w:rsidRPr="00B809EF" w:rsidRDefault="0096658B" w:rsidP="00BF30D3">
      <w:pPr>
        <w:pStyle w:val="Textonotapie"/>
      </w:pPr>
      <w:r w:rsidRPr="00B809EF">
        <w:rPr>
          <w:color w:val="auto"/>
          <w:vertAlign w:val="superscript"/>
        </w:rPr>
        <w:footnoteRef/>
      </w:r>
      <w:r w:rsidRPr="00B809EF">
        <w:rPr>
          <w:color w:val="auto"/>
        </w:rPr>
        <w:t xml:space="preserve"> Corte Constitucional, sentencias</w:t>
      </w:r>
      <w:r w:rsidRPr="00B809EF">
        <w:rPr>
          <w:color w:val="auto"/>
          <w:shd w:val="clear" w:color="auto" w:fill="FFFFFF"/>
        </w:rPr>
        <w:t xml:space="preserve"> C-063 de 2018, C-187 de 2019 y C-106 de 2021.</w:t>
      </w:r>
    </w:p>
  </w:footnote>
  <w:footnote w:id="230">
    <w:p w:rsidR="00BF30D3" w:rsidRPr="00B809EF" w:rsidRDefault="0096658B" w:rsidP="00BF30D3">
      <w:pPr>
        <w:pStyle w:val="Textonotapie"/>
      </w:pPr>
      <w:r w:rsidRPr="00B809EF">
        <w:rPr>
          <w:vertAlign w:val="superscript"/>
        </w:rPr>
        <w:footnoteRef/>
      </w:r>
      <w:r w:rsidRPr="00B809EF">
        <w:t xml:space="preserve"> Ib.</w:t>
      </w:r>
    </w:p>
  </w:footnote>
  <w:footnote w:id="231">
    <w:p w:rsidR="00BF30D3" w:rsidRPr="00B809EF" w:rsidRDefault="0096658B" w:rsidP="00BF30D3">
      <w:pPr>
        <w:pStyle w:val="Textonotapie"/>
      </w:pPr>
      <w:r w:rsidRPr="00B809EF">
        <w:rPr>
          <w:vertAlign w:val="superscript"/>
        </w:rPr>
        <w:footnoteRef/>
      </w:r>
      <w:r w:rsidRPr="00B809EF">
        <w:t xml:space="preserve"> Corte Constitucional, sentencias C-191 de 2017 y C-071 de 2020.</w:t>
      </w:r>
    </w:p>
  </w:footnote>
  <w:footnote w:id="232">
    <w:p w:rsidR="00BF30D3" w:rsidRPr="00B809EF" w:rsidRDefault="0096658B" w:rsidP="00BF30D3">
      <w:pPr>
        <w:pStyle w:val="Textonotapie"/>
      </w:pPr>
      <w:r w:rsidRPr="00B809EF">
        <w:rPr>
          <w:rStyle w:val="Refdenotaalpie"/>
        </w:rPr>
        <w:footnoteRef/>
      </w:r>
      <w:r w:rsidRPr="00B809EF">
        <w:t xml:space="preserve"> </w:t>
      </w:r>
      <w:r w:rsidRPr="00B809EF">
        <w:rPr>
          <w:lang w:val="es-CO"/>
        </w:rPr>
        <w:t xml:space="preserve">Estas son: </w:t>
      </w:r>
      <w:r w:rsidRPr="00B809EF">
        <w:rPr>
          <w:i/>
          <w:iCs/>
          <w:lang w:val="es-CO"/>
        </w:rPr>
        <w:t>(i)</w:t>
      </w:r>
      <w:r w:rsidRPr="00B809EF">
        <w:rPr>
          <w:lang w:val="es-CO"/>
        </w:rPr>
        <w:t xml:space="preserve"> la modificación del parámetro de control, lo cual sucede cuando se aprueban reformas constitucionales, </w:t>
      </w:r>
      <w:r w:rsidRPr="00B809EF">
        <w:rPr>
          <w:i/>
          <w:iCs/>
          <w:lang w:val="es-CO"/>
        </w:rPr>
        <w:t>(ii)</w:t>
      </w:r>
      <w:r w:rsidRPr="00B809EF">
        <w:rPr>
          <w:lang w:val="es-CO"/>
        </w:rPr>
        <w:t xml:space="preserve"> el cambio en el significado material de la Constitución, que se relaciona con modificaciones en “el carácter dinámico de la Carta” y </w:t>
      </w:r>
      <w:r w:rsidRPr="00B809EF">
        <w:rPr>
          <w:i/>
          <w:iCs/>
          <w:lang w:val="es-CO"/>
        </w:rPr>
        <w:t>(iii)</w:t>
      </w:r>
      <w:r w:rsidRPr="00B809EF">
        <w:rPr>
          <w:lang w:val="es-CO"/>
        </w:rPr>
        <w:t xml:space="preserve"> la varia</w:t>
      </w:r>
      <w:r w:rsidRPr="00B809EF">
        <w:rPr>
          <w:lang w:val="es-CO"/>
        </w:rPr>
        <w:t xml:space="preserve">ción del contexto normativo de la disposición o norma objeto de control. </w:t>
      </w:r>
    </w:p>
  </w:footnote>
  <w:footnote w:id="233">
    <w:p w:rsidR="00BF30D3" w:rsidRPr="00B809EF" w:rsidRDefault="0096658B" w:rsidP="00BF30D3">
      <w:pPr>
        <w:pStyle w:val="Textonotapie"/>
      </w:pPr>
      <w:r w:rsidRPr="00B809EF">
        <w:rPr>
          <w:vertAlign w:val="superscript"/>
        </w:rPr>
        <w:footnoteRef/>
      </w:r>
      <w:r w:rsidRPr="00B809EF">
        <w:t xml:space="preserve"> Corte Constitucional, sentencia C-063 de 1998.</w:t>
      </w:r>
    </w:p>
  </w:footnote>
  <w:footnote w:id="234">
    <w:p w:rsidR="001569E9" w:rsidRPr="00B809EF" w:rsidRDefault="0096658B" w:rsidP="00F67E09">
      <w:pPr>
        <w:pStyle w:val="Textonotapie"/>
      </w:pPr>
      <w:r w:rsidRPr="00B809EF">
        <w:rPr>
          <w:rStyle w:val="Refdenotaalpie"/>
        </w:rPr>
        <w:footnoteRef/>
      </w:r>
      <w:r w:rsidRPr="00B809EF">
        <w:t xml:space="preserve"> Sentencia C-370 de 2000, fundamento jurídico 38.</w:t>
      </w:r>
    </w:p>
  </w:footnote>
  <w:footnote w:id="235">
    <w:p w:rsidR="001569E9" w:rsidRPr="00B809EF" w:rsidRDefault="0096658B" w:rsidP="00F67E09">
      <w:pPr>
        <w:pStyle w:val="Textonotapie"/>
      </w:pPr>
      <w:r w:rsidRPr="00B809EF">
        <w:rPr>
          <w:rStyle w:val="Refdenotaalpie"/>
        </w:rPr>
        <w:footnoteRef/>
      </w:r>
      <w:r w:rsidRPr="00B809EF">
        <w:t xml:space="preserve"> Id. </w:t>
      </w:r>
    </w:p>
  </w:footnote>
  <w:footnote w:id="236">
    <w:p w:rsidR="001569E9" w:rsidRPr="00B809EF" w:rsidRDefault="0096658B" w:rsidP="00F67E09">
      <w:pPr>
        <w:pStyle w:val="Textonotapie"/>
      </w:pPr>
      <w:r w:rsidRPr="00B809EF">
        <w:rPr>
          <w:rStyle w:val="Refdenotaalpie"/>
        </w:rPr>
        <w:footnoteRef/>
      </w:r>
      <w:r w:rsidRPr="00B809EF">
        <w:t xml:space="preserve"> Id</w:t>
      </w:r>
      <w:r w:rsidRPr="00B809EF">
        <w:t>.</w:t>
      </w:r>
      <w:r w:rsidRPr="00B809EF">
        <w:t xml:space="preserve">, fundamento jurídico 39. </w:t>
      </w:r>
    </w:p>
  </w:footnote>
  <w:footnote w:id="237">
    <w:p w:rsidR="001569E9" w:rsidRPr="00B809EF" w:rsidRDefault="0096658B" w:rsidP="00F67E09">
      <w:pPr>
        <w:pStyle w:val="Textonotapie"/>
      </w:pPr>
      <w:r w:rsidRPr="00B809EF">
        <w:rPr>
          <w:rStyle w:val="Refdenotaalpie"/>
        </w:rPr>
        <w:footnoteRef/>
      </w:r>
      <w:r w:rsidRPr="00B809EF">
        <w:t xml:space="preserve"> Id. </w:t>
      </w:r>
    </w:p>
  </w:footnote>
  <w:footnote w:id="238">
    <w:p w:rsidR="001569E9" w:rsidRPr="00B809EF" w:rsidRDefault="0096658B" w:rsidP="00F67E09">
      <w:pPr>
        <w:pStyle w:val="Textonotapie"/>
      </w:pPr>
      <w:r w:rsidRPr="00B809EF">
        <w:rPr>
          <w:rStyle w:val="Refdenotaalpie"/>
        </w:rPr>
        <w:footnoteRef/>
      </w:r>
      <w:r w:rsidRPr="00B809EF">
        <w:t xml:space="preserve"> Id., fundamento jurídico 42.</w:t>
      </w:r>
    </w:p>
  </w:footnote>
  <w:footnote w:id="239">
    <w:p w:rsidR="001569E9" w:rsidRPr="00B809EF" w:rsidRDefault="0096658B" w:rsidP="00F67E09">
      <w:pPr>
        <w:pStyle w:val="Textonotapie"/>
      </w:pPr>
      <w:r w:rsidRPr="00B809EF">
        <w:rPr>
          <w:rStyle w:val="Refdenotaalpie"/>
        </w:rPr>
        <w:footnoteRef/>
      </w:r>
      <w:r w:rsidRPr="00B809EF">
        <w:t xml:space="preserve"> Id.</w:t>
      </w:r>
      <w:r w:rsidRPr="00B809EF">
        <w:t xml:space="preserve">, fundamento jurídico 43. </w:t>
      </w:r>
    </w:p>
  </w:footnote>
  <w:footnote w:id="240">
    <w:p w:rsidR="001569E9" w:rsidRPr="00B809EF" w:rsidRDefault="0096658B" w:rsidP="00F67E09">
      <w:pPr>
        <w:pStyle w:val="Textonotapie"/>
      </w:pPr>
      <w:r w:rsidRPr="00B809EF">
        <w:rPr>
          <w:rStyle w:val="Refdenotaalpie"/>
        </w:rPr>
        <w:footnoteRef/>
      </w:r>
      <w:r w:rsidRPr="00B809EF">
        <w:t xml:space="preserve"> Id., fundamento jurídico 45. </w:t>
      </w:r>
    </w:p>
  </w:footnote>
  <w:footnote w:id="241">
    <w:p w:rsidR="001569E9" w:rsidRPr="00B809EF" w:rsidRDefault="0096658B" w:rsidP="00F67E09">
      <w:pPr>
        <w:pStyle w:val="Textonotapie"/>
      </w:pPr>
      <w:r w:rsidRPr="00B809EF">
        <w:rPr>
          <w:rStyle w:val="Refdenotaalpie"/>
        </w:rPr>
        <w:footnoteRef/>
      </w:r>
      <w:r w:rsidRPr="00B809EF">
        <w:t xml:space="preserve"> Id., fundamento jurídico 44. </w:t>
      </w:r>
    </w:p>
  </w:footnote>
  <w:footnote w:id="242">
    <w:p w:rsidR="001569E9" w:rsidRPr="00B809EF" w:rsidRDefault="0096658B" w:rsidP="00F67E09">
      <w:pPr>
        <w:pStyle w:val="Textonotapie"/>
      </w:pPr>
      <w:r w:rsidRPr="00B809EF">
        <w:rPr>
          <w:rStyle w:val="Refdenotaalpie"/>
        </w:rPr>
        <w:footnoteRef/>
      </w:r>
      <w:r w:rsidRPr="00B809EF">
        <w:t xml:space="preserve"> Id., fundamento jurídico 50. </w:t>
      </w:r>
    </w:p>
  </w:footnote>
  <w:footnote w:id="243">
    <w:p w:rsidR="001569E9" w:rsidRPr="00B809EF" w:rsidRDefault="0096658B" w:rsidP="00F67E09">
      <w:pPr>
        <w:pStyle w:val="Textonotapie"/>
      </w:pPr>
      <w:r w:rsidRPr="00B809EF">
        <w:rPr>
          <w:rStyle w:val="Refdenotaalpie"/>
        </w:rPr>
        <w:footnoteRef/>
      </w:r>
      <w:r w:rsidRPr="00B809EF">
        <w:t xml:space="preserve"> La Sala utiliza en esta oportunidad el concepto de “óptimo” como lo comprende la teoría económica tradicional. Así, la eficiencia d</w:t>
      </w:r>
      <w:r w:rsidRPr="00B809EF">
        <w:t>e Pareto, o simplemente eficiencia, “se da cuando no existe reorganización posible de la producción que pueda mejorar el bienestar de una persona sin empeorar el de alguna otra. En condiciones de eficiencia en la asignación, sólo es posible aumentar la sat</w:t>
      </w:r>
      <w:r w:rsidRPr="00B809EF">
        <w:t>isfacción o la utilidad de una persona reduciendo la de alguna otra”</w:t>
      </w:r>
      <w:r w:rsidRPr="00B809EF">
        <w:rPr>
          <w:i/>
        </w:rPr>
        <w:t xml:space="preserve">. </w:t>
      </w:r>
      <w:r w:rsidRPr="00B809EF">
        <w:t xml:space="preserve">Samuelson, P., Nordhaus, W. (2010) </w:t>
      </w:r>
      <w:r w:rsidRPr="00B809EF">
        <w:rPr>
          <w:i/>
        </w:rPr>
        <w:t xml:space="preserve">Economía con aplicaciones para Latinoamérica. </w:t>
      </w:r>
      <w:r w:rsidRPr="00B809EF">
        <w:t>McGraw Hill: México, p. 164.</w:t>
      </w:r>
    </w:p>
  </w:footnote>
  <w:footnote w:id="244">
    <w:p w:rsidR="001569E9" w:rsidRPr="00B809EF" w:rsidRDefault="0096658B" w:rsidP="00F67E09">
      <w:pPr>
        <w:pStyle w:val="Textonotapie"/>
      </w:pPr>
      <w:r w:rsidRPr="00B809EF">
        <w:rPr>
          <w:rStyle w:val="Refdenotaalpie"/>
        </w:rPr>
        <w:footnoteRef/>
      </w:r>
      <w:r w:rsidRPr="00B809EF">
        <w:t xml:space="preserve"> Sentencia C-408 de 2023. </w:t>
      </w:r>
      <w:r w:rsidRPr="00B809EF">
        <w:rPr>
          <w:i/>
          <w:iCs/>
        </w:rPr>
        <w:t>Cfr.</w:t>
      </w:r>
      <w:r w:rsidRPr="00B809EF">
        <w:t xml:space="preserve"> Sentencias SU-440 de 2021, T-804 de 2014 y T</w:t>
      </w:r>
      <w:r w:rsidRPr="00B809EF">
        <w:t>-033 de 2022, entre otras.</w:t>
      </w:r>
    </w:p>
  </w:footnote>
  <w:footnote w:id="245">
    <w:p w:rsidR="001569E9" w:rsidRPr="00B809EF" w:rsidRDefault="0096658B" w:rsidP="00F67E09">
      <w:pPr>
        <w:pStyle w:val="Textonotapie"/>
      </w:pPr>
      <w:r w:rsidRPr="00B809EF">
        <w:rPr>
          <w:rStyle w:val="Refdenotaalpie"/>
        </w:rPr>
        <w:footnoteRef/>
      </w:r>
      <w:r w:rsidRPr="00B809EF">
        <w:t xml:space="preserve"> Id.</w:t>
      </w:r>
    </w:p>
  </w:footnote>
  <w:footnote w:id="246">
    <w:p w:rsidR="001569E9" w:rsidRPr="00B809EF" w:rsidRDefault="0096658B" w:rsidP="00F67E09">
      <w:pPr>
        <w:pStyle w:val="Textonotapie"/>
      </w:pPr>
      <w:r w:rsidRPr="00B809EF">
        <w:rPr>
          <w:rStyle w:val="Refdenotaalpie"/>
        </w:rPr>
        <w:footnoteRef/>
      </w:r>
      <w:r w:rsidRPr="00B809EF">
        <w:t xml:space="preserve"> Id.</w:t>
      </w:r>
    </w:p>
  </w:footnote>
  <w:footnote w:id="247">
    <w:p w:rsidR="00852120" w:rsidRPr="00B809EF" w:rsidRDefault="0096658B">
      <w:pPr>
        <w:pStyle w:val="Textonotapie"/>
      </w:pPr>
      <w:r w:rsidRPr="00B809EF">
        <w:rPr>
          <w:rStyle w:val="Refdenotaalpie"/>
        </w:rPr>
        <w:footnoteRef/>
      </w:r>
      <w:r w:rsidRPr="00B809EF">
        <w:t xml:space="preserve"> Preámbulo a los Principios de Yogyakarta, preparados por el Panel Internacional de Especialistas en Legislación Internacional de Derechos Humanos y en Orientación Sexual e Identidad de Género. Disponible en: </w:t>
      </w:r>
      <w:hyperlink r:id="rId13" w:history="1">
        <w:r w:rsidRPr="00B809EF">
          <w:rPr>
            <w:rStyle w:val="Hipervnculo"/>
          </w:rPr>
          <w:t>https://yogyakartaprinciples.org/preambule-sp/</w:t>
        </w:r>
      </w:hyperlink>
      <w:r w:rsidRPr="00B809EF">
        <w:t xml:space="preserve"> </w:t>
      </w:r>
    </w:p>
  </w:footnote>
  <w:footnote w:id="248">
    <w:p w:rsidR="00852120" w:rsidRPr="00B809EF" w:rsidRDefault="0096658B">
      <w:pPr>
        <w:pStyle w:val="Textonotapie"/>
      </w:pPr>
      <w:r w:rsidRPr="00B809EF">
        <w:rPr>
          <w:rStyle w:val="Refdenotaalpie"/>
        </w:rPr>
        <w:footnoteRef/>
      </w:r>
      <w:r w:rsidRPr="00B809EF">
        <w:t xml:space="preserve"> Sentencia C-408 de 2023. </w:t>
      </w:r>
    </w:p>
  </w:footnote>
  <w:footnote w:id="249">
    <w:p w:rsidR="001569E9" w:rsidRPr="00B809EF" w:rsidRDefault="0096658B" w:rsidP="00F67E09">
      <w:pPr>
        <w:pStyle w:val="Textonotapie"/>
        <w:rPr>
          <w:lang w:val="es-ES_tradnl"/>
        </w:rPr>
      </w:pPr>
      <w:r w:rsidRPr="00B809EF">
        <w:rPr>
          <w:rStyle w:val="Refdenotaalpie"/>
        </w:rPr>
        <w:footnoteRef/>
      </w:r>
      <w:r w:rsidRPr="00B809EF">
        <w:t xml:space="preserve"> Sentencia SU-440 de 2021. </w:t>
      </w:r>
      <w:r w:rsidRPr="00B809EF">
        <w:rPr>
          <w:i/>
          <w:iCs/>
        </w:rPr>
        <w:t>Cfr</w:t>
      </w:r>
      <w:r w:rsidRPr="00B809EF">
        <w:t>. Sentencias T-033 de 2022 y C-324 de 2023.</w:t>
      </w:r>
    </w:p>
  </w:footnote>
  <w:footnote w:id="250">
    <w:p w:rsidR="001569E9" w:rsidRPr="00B809EF" w:rsidRDefault="0096658B" w:rsidP="00F67E09">
      <w:pPr>
        <w:pStyle w:val="Textonotapie"/>
      </w:pPr>
      <w:r w:rsidRPr="00B809EF">
        <w:rPr>
          <w:rStyle w:val="Refdenotaalpie"/>
        </w:rPr>
        <w:footnoteRef/>
      </w:r>
      <w:r w:rsidRPr="00B809EF">
        <w:t xml:space="preserve"> Sentencia C-408 de 2023. </w:t>
      </w:r>
      <w:r w:rsidRPr="00B809EF">
        <w:rPr>
          <w:i/>
          <w:iCs/>
        </w:rPr>
        <w:t>Cfr.</w:t>
      </w:r>
      <w:r w:rsidRPr="00B809EF">
        <w:t xml:space="preserve"> Sentencia T-033 de 2022.</w:t>
      </w:r>
    </w:p>
  </w:footnote>
  <w:footnote w:id="251">
    <w:p w:rsidR="001569E9" w:rsidRPr="00B809EF" w:rsidRDefault="0096658B" w:rsidP="00F67E09">
      <w:pPr>
        <w:pStyle w:val="Textonotapie"/>
      </w:pPr>
      <w:r w:rsidRPr="00B809EF">
        <w:rPr>
          <w:rStyle w:val="Refdenotaalpie"/>
        </w:rPr>
        <w:footnoteRef/>
      </w:r>
      <w:r w:rsidRPr="00B809EF">
        <w:t xml:space="preserve"> Sentencia C-324 de 2023.</w:t>
      </w:r>
    </w:p>
  </w:footnote>
  <w:footnote w:id="252">
    <w:p w:rsidR="001569E9" w:rsidRPr="00B809EF" w:rsidRDefault="0096658B" w:rsidP="00F67E09">
      <w:pPr>
        <w:pStyle w:val="Textonotapie"/>
      </w:pPr>
      <w:r w:rsidRPr="00B809EF">
        <w:rPr>
          <w:rStyle w:val="Refdenotaalpie"/>
        </w:rPr>
        <w:footnoteRef/>
      </w:r>
      <w:r w:rsidRPr="00B809EF">
        <w:t xml:space="preserve"> Comisión Interamericana de Derechos Humanos. Comunicado de prensa N°. 079/21 de 31 de marzo de 2021.</w:t>
      </w:r>
    </w:p>
  </w:footnote>
  <w:footnote w:id="253">
    <w:p w:rsidR="001569E9" w:rsidRPr="00B809EF" w:rsidRDefault="0096658B" w:rsidP="00F67E09">
      <w:pPr>
        <w:pStyle w:val="Textonotapie"/>
      </w:pPr>
      <w:r w:rsidRPr="00B809EF">
        <w:rPr>
          <w:rStyle w:val="Refdenotaalpie"/>
          <w:color w:val="auto"/>
          <w:lang w:val="es-CO"/>
        </w:rPr>
        <w:footnoteRef/>
      </w:r>
      <w:r w:rsidRPr="00B809EF">
        <w:t xml:space="preserve"> Sentencia T-675 de 2017. </w:t>
      </w:r>
      <w:r w:rsidRPr="00B809EF">
        <w:rPr>
          <w:i/>
          <w:iCs/>
        </w:rPr>
        <w:t>Cfr</w:t>
      </w:r>
      <w:r w:rsidRPr="00B809EF">
        <w:t>. Sentencias T-447 de 1995, SU-337 de 1999, T-476 de 2014, T-063 de 20</w:t>
      </w:r>
      <w:r w:rsidRPr="00B809EF">
        <w:t>15, T-099 de 2015, T-192 de 2020 y T-236 de 2020.</w:t>
      </w:r>
    </w:p>
  </w:footnote>
  <w:footnote w:id="254">
    <w:p w:rsidR="001569E9" w:rsidRPr="00B809EF" w:rsidRDefault="0096658B" w:rsidP="00F67E09">
      <w:pPr>
        <w:pStyle w:val="Textonotapie"/>
      </w:pPr>
      <w:r w:rsidRPr="00B809EF">
        <w:rPr>
          <w:rStyle w:val="Refdenotaalpie"/>
          <w:color w:val="auto"/>
          <w:lang w:val="es-CO"/>
        </w:rPr>
        <w:footnoteRef/>
      </w:r>
      <w:r w:rsidRPr="00B809EF">
        <w:t xml:space="preserve"> Sentencia T-594 de 1993. </w:t>
      </w:r>
      <w:r w:rsidRPr="00B809EF">
        <w:rPr>
          <w:i/>
          <w:iCs/>
        </w:rPr>
        <w:t>Cfr.</w:t>
      </w:r>
      <w:r w:rsidRPr="00B809EF">
        <w:t xml:space="preserve"> Sentencias T-062 de 2011, T-565 de 2013 y T-335 de 2019.</w:t>
      </w:r>
    </w:p>
  </w:footnote>
  <w:footnote w:id="255">
    <w:p w:rsidR="001569E9" w:rsidRPr="00B809EF" w:rsidRDefault="0096658B" w:rsidP="00F67E09">
      <w:pPr>
        <w:pStyle w:val="Textonotapie"/>
      </w:pPr>
      <w:r w:rsidRPr="00B809EF">
        <w:rPr>
          <w:rStyle w:val="Refdenotaalpie"/>
          <w:color w:val="auto"/>
          <w:lang w:val="es-CO"/>
        </w:rPr>
        <w:footnoteRef/>
      </w:r>
      <w:r w:rsidRPr="00B809EF">
        <w:t xml:space="preserve"> La Corte Constitucional ha precisado que “es difícil encontrar un aspecto más estrechamente relacionado con la defi</w:t>
      </w:r>
      <w:r w:rsidRPr="00B809EF">
        <w:t xml:space="preserve">nición ontológica de la persona que el género y la inclinación sexual. Por ende, toda interferencia o direccionamiento en ese sentido es un grave atentado a su integridad y dignidad, pues se le estaría privando de la competencia para definir asuntos que a </w:t>
      </w:r>
      <w:r w:rsidRPr="00B809EF">
        <w:t xml:space="preserve">él solo conciernen”. Sentencia T-062 de 2011. </w:t>
      </w:r>
      <w:r w:rsidRPr="00B809EF">
        <w:rPr>
          <w:i/>
          <w:iCs/>
        </w:rPr>
        <w:t>Cfr</w:t>
      </w:r>
      <w:r w:rsidRPr="00B809EF">
        <w:t>. Sentencias T-063 de 2015, T-099 de 2015, T-077 de 2016, T-675 de 2017 y T-236 de 2020.</w:t>
      </w:r>
    </w:p>
  </w:footnote>
  <w:footnote w:id="256">
    <w:p w:rsidR="001569E9" w:rsidRPr="00B809EF" w:rsidRDefault="0096658B" w:rsidP="00F67E09">
      <w:pPr>
        <w:pStyle w:val="Textonotapie"/>
      </w:pPr>
      <w:r w:rsidRPr="00B809EF">
        <w:rPr>
          <w:rStyle w:val="Refdenotaalpie"/>
        </w:rPr>
        <w:footnoteRef/>
      </w:r>
      <w:r w:rsidRPr="00B809EF">
        <w:t xml:space="preserve"> Sentencia SU-440 de 2021. </w:t>
      </w:r>
      <w:r w:rsidRPr="00B809EF">
        <w:rPr>
          <w:i/>
          <w:iCs/>
        </w:rPr>
        <w:t>Cfr.</w:t>
      </w:r>
      <w:r w:rsidRPr="00B809EF">
        <w:t xml:space="preserve"> Sentencia T-562 de 2013; Comisión Interamericana de Derechos Humanos (CIDH), Informe </w:t>
      </w:r>
      <w:r w:rsidRPr="00B809EF">
        <w:t>sobre Personas Trans y de Género Diverso y sus derechos económicos, sociales, culturales y ambientales, 7 de agosto de 2020, párr. 67.</w:t>
      </w:r>
    </w:p>
  </w:footnote>
  <w:footnote w:id="257">
    <w:p w:rsidR="001569E9" w:rsidRPr="00B809EF" w:rsidRDefault="0096658B" w:rsidP="00F67E09">
      <w:pPr>
        <w:pStyle w:val="Textonotapie"/>
      </w:pPr>
      <w:r w:rsidRPr="00B809EF">
        <w:rPr>
          <w:rStyle w:val="Refdenotaalpie"/>
          <w:color w:val="auto"/>
          <w:lang w:val="es-CO"/>
        </w:rPr>
        <w:footnoteRef/>
      </w:r>
      <w:r w:rsidRPr="00B809EF">
        <w:t xml:space="preserve"> Id. </w:t>
      </w:r>
    </w:p>
  </w:footnote>
  <w:footnote w:id="258">
    <w:p w:rsidR="000D3DA4" w:rsidRPr="00B809EF" w:rsidRDefault="0096658B" w:rsidP="000D3DA4">
      <w:pPr>
        <w:pStyle w:val="Textonotapie"/>
      </w:pPr>
      <w:r w:rsidRPr="00B809EF">
        <w:rPr>
          <w:rStyle w:val="Refdenotaalpie"/>
        </w:rPr>
        <w:footnoteRef/>
      </w:r>
      <w:r w:rsidRPr="00B809EF">
        <w:t xml:space="preserve"> Sobre la incompetencia de la Corte para analizar omis</w:t>
      </w:r>
      <w:r w:rsidRPr="00B809EF">
        <w:t>iones</w:t>
      </w:r>
      <w:r w:rsidRPr="00B809EF">
        <w:t xml:space="preserve"> legislativas absolutas existen varias sentencias, enc</w:t>
      </w:r>
      <w:r w:rsidRPr="00B809EF">
        <w:t>ontrándose uno de los referentes jurisprudenciales más recientes en la decisión C-404 de 2022, fundamento jurídico 83 a 84.</w:t>
      </w:r>
    </w:p>
  </w:footnote>
  <w:footnote w:id="259">
    <w:p w:rsidR="005A68BB" w:rsidRPr="00B809EF" w:rsidRDefault="0096658B">
      <w:pPr>
        <w:pStyle w:val="Textonotapie"/>
      </w:pPr>
      <w:r w:rsidRPr="00B809EF">
        <w:rPr>
          <w:rStyle w:val="Refdenotaalpie"/>
        </w:rPr>
        <w:footnoteRef/>
      </w:r>
      <w:r w:rsidRPr="00B809EF">
        <w:t xml:space="preserve"> Un sentido similar de decisión se encuentra en las sentencias C-022 de 1994 y C-1005 de 2008.</w:t>
      </w:r>
    </w:p>
  </w:footnote>
  <w:footnote w:id="260">
    <w:p w:rsidR="00BE62A7" w:rsidRPr="00B809EF" w:rsidRDefault="0096658B">
      <w:pPr>
        <w:pStyle w:val="Textonotapie"/>
      </w:pPr>
      <w:r w:rsidRPr="00B809EF">
        <w:rPr>
          <w:rStyle w:val="Refdenotaalpie"/>
        </w:rPr>
        <w:footnoteRef/>
      </w:r>
      <w:r w:rsidRPr="00B809EF">
        <w:t xml:space="preserve"> Similar fórmula de decisión fue adoptada en las sentencias C</w:t>
      </w:r>
      <w:r w:rsidRPr="00B809EF">
        <w:t xml:space="preserve">-805 de 2001, C-508 de 2002, C-823 de 2011 y C-345 de 2019. </w:t>
      </w:r>
    </w:p>
  </w:footnote>
  <w:footnote w:id="261">
    <w:p w:rsidR="001569E9" w:rsidRPr="00B809EF" w:rsidRDefault="0096658B" w:rsidP="00F67E09">
      <w:pPr>
        <w:pStyle w:val="Textonotapie"/>
      </w:pPr>
      <w:r w:rsidRPr="00B809EF">
        <w:rPr>
          <w:rStyle w:val="Refdenotaalpie"/>
        </w:rPr>
        <w:footnoteRef/>
      </w:r>
      <w:r w:rsidRPr="00B809EF">
        <w:t xml:space="preserve"> Sentencias C-240 de 2012 y C-965 de 2012. </w:t>
      </w:r>
    </w:p>
  </w:footnote>
  <w:footnote w:id="262">
    <w:p w:rsidR="001569E9" w:rsidRPr="00B809EF" w:rsidRDefault="0096658B" w:rsidP="00F67E09">
      <w:pPr>
        <w:pStyle w:val="Textonotapie"/>
      </w:pPr>
      <w:r w:rsidRPr="00B809EF">
        <w:rPr>
          <w:rStyle w:val="Refdenotaalpie"/>
        </w:rPr>
        <w:footnoteRef/>
      </w:r>
      <w:r w:rsidRPr="00B809EF">
        <w:t xml:space="preserve"> Sentencia C-240 de 2012, fundamento jurídico 8.2.</w:t>
      </w:r>
    </w:p>
  </w:footnote>
  <w:footnote w:id="263">
    <w:p w:rsidR="001569E9" w:rsidRPr="00B809EF" w:rsidRDefault="0096658B" w:rsidP="00F67E09">
      <w:pPr>
        <w:pStyle w:val="Textonotapie"/>
      </w:pPr>
      <w:r w:rsidRPr="00B809EF">
        <w:rPr>
          <w:rStyle w:val="Refdenotaalpie"/>
        </w:rPr>
        <w:footnoteRef/>
      </w:r>
      <w:r w:rsidRPr="00B809EF">
        <w:t xml:space="preserve"> Sentencia C-371 de 2000, fundamento</w:t>
      </w:r>
      <w:r w:rsidRPr="00B809EF">
        <w:t xml:space="preserve"> jurídico 49. </w:t>
      </w:r>
    </w:p>
  </w:footnote>
  <w:footnote w:id="264">
    <w:p w:rsidR="001569E9" w:rsidRPr="00B809EF" w:rsidRDefault="0096658B" w:rsidP="00F67E09">
      <w:pPr>
        <w:pStyle w:val="Textonotapie"/>
      </w:pPr>
      <w:r w:rsidRPr="00B809EF">
        <w:rPr>
          <w:rStyle w:val="Refdenotaalpie"/>
        </w:rPr>
        <w:footnoteRef/>
      </w:r>
      <w:r w:rsidRPr="00B809EF">
        <w:t xml:space="preserve"> Id.</w:t>
      </w:r>
    </w:p>
  </w:footnote>
  <w:footnote w:id="265">
    <w:p w:rsidR="001569E9" w:rsidRPr="00B809EF" w:rsidRDefault="0096658B" w:rsidP="00F67E09">
      <w:pPr>
        <w:pStyle w:val="Textonotapie"/>
      </w:pPr>
      <w:r w:rsidRPr="00B809EF">
        <w:rPr>
          <w:rStyle w:val="Refdenotaalpie"/>
        </w:rPr>
        <w:footnoteRef/>
      </w:r>
      <w:r w:rsidRPr="00B809EF">
        <w:t xml:space="preserve"> Id., fundamento jurídico 50. </w:t>
      </w:r>
    </w:p>
  </w:footnote>
  <w:footnote w:id="266">
    <w:p w:rsidR="001569E9" w:rsidRPr="00B809EF" w:rsidRDefault="0096658B" w:rsidP="00F67E09">
      <w:pPr>
        <w:pStyle w:val="Textonotapie"/>
      </w:pPr>
      <w:r w:rsidRPr="00B809EF">
        <w:rPr>
          <w:rStyle w:val="Refdenotaalpie"/>
        </w:rPr>
        <w:footnoteRef/>
      </w:r>
      <w:r w:rsidRPr="00B809EF">
        <w:t xml:space="preserve"> Sentencia C-371 de 2000, fundamento jurídico 65. </w:t>
      </w:r>
    </w:p>
  </w:footnote>
  <w:footnote w:id="267">
    <w:p w:rsidR="001569E9" w:rsidRPr="00B809EF" w:rsidRDefault="0096658B" w:rsidP="00F67E09">
      <w:pPr>
        <w:pStyle w:val="Textonotapie"/>
      </w:pPr>
      <w:r w:rsidRPr="00B809EF">
        <w:rPr>
          <w:rStyle w:val="Refdenotaalpie"/>
        </w:rPr>
        <w:footnoteRef/>
      </w:r>
      <w:r w:rsidRPr="00B809EF">
        <w:t xml:space="preserve"> Id. </w:t>
      </w:r>
    </w:p>
  </w:footnote>
  <w:footnote w:id="268">
    <w:p w:rsidR="001569E9" w:rsidRPr="00B809EF" w:rsidRDefault="0096658B" w:rsidP="00F67E09">
      <w:pPr>
        <w:pStyle w:val="Textonotapie"/>
      </w:pPr>
      <w:r w:rsidRPr="00B809EF">
        <w:rPr>
          <w:rStyle w:val="Refdenotaalpie"/>
        </w:rPr>
        <w:footnoteRef/>
      </w:r>
      <w:r w:rsidRPr="00B809EF">
        <w:t xml:space="preserve"> Gaceta del Congreso 1504 de 2023, pp. 22-44.</w:t>
      </w:r>
    </w:p>
  </w:footnote>
  <w:footnote w:id="269">
    <w:p w:rsidR="001569E9" w:rsidRPr="00B809EF" w:rsidRDefault="0096658B" w:rsidP="00F67E09">
      <w:pPr>
        <w:pStyle w:val="Textonotapie"/>
      </w:pPr>
      <w:r w:rsidRPr="00B809EF">
        <w:rPr>
          <w:rStyle w:val="Refdenotaalpie"/>
        </w:rPr>
        <w:footnoteRef/>
      </w:r>
      <w:r w:rsidRPr="00B809EF">
        <w:t xml:space="preserve"> La sentencia C-371 de 2000 declaró inexequible el artículo 14 del proyecto de ley analizado, el</w:t>
      </w:r>
      <w:r w:rsidRPr="00B809EF">
        <w:t xml:space="preserve"> cual establecía lo siguiente: “Artículo 14. Participación de la mujer en los partidos y movimientos políticos. El Gobierno deberá establecer y promover mecanismos que motiven a los partidos y movimientos políticos a incrementar la participación de la muje</w:t>
      </w:r>
      <w:r w:rsidRPr="00B809EF">
        <w:t xml:space="preserve">r en la conformación y desarrollo de sus actividades; entre otras, se ocupará de los dirigidos a estimular una mayor afiliación de las mujeres, la inclusión de éstas en no menos del 30% en los comités y órganos directivos de los partidos y movimientos. </w:t>
      </w:r>
    </w:p>
    <w:p w:rsidR="001569E9" w:rsidRPr="00B809EF" w:rsidRDefault="0096658B" w:rsidP="00F67E09">
      <w:pPr>
        <w:pStyle w:val="Textonotapie"/>
      </w:pPr>
      <w:r w:rsidRPr="00B809EF">
        <w:t>La</w:t>
      </w:r>
      <w:r w:rsidRPr="00B809EF">
        <w:t xml:space="preserve"> presencia femenina de no menos del treinta por ciento (30%) en lugares en los que puedan salir electas en las listas de candidatos a las diferentes corporaciones y dignidades de elección popular”.</w:t>
      </w:r>
    </w:p>
  </w:footnote>
  <w:footnote w:id="270">
    <w:p w:rsidR="001569E9" w:rsidRPr="00B809EF" w:rsidRDefault="0096658B" w:rsidP="00F67E09">
      <w:pPr>
        <w:pStyle w:val="Textonotapie"/>
      </w:pPr>
      <w:r w:rsidRPr="00B809EF">
        <w:rPr>
          <w:rStyle w:val="Refdenotaalpie"/>
        </w:rPr>
        <w:footnoteRef/>
      </w:r>
      <w:r w:rsidRPr="00B809EF">
        <w:t xml:space="preserve"> Sentencia C-490 de 2011, fundamento jurídico 103.</w:t>
      </w:r>
    </w:p>
  </w:footnote>
  <w:footnote w:id="271">
    <w:p w:rsidR="001569E9" w:rsidRPr="00B809EF" w:rsidRDefault="0096658B" w:rsidP="00F67E09">
      <w:pPr>
        <w:pStyle w:val="Textonotapie"/>
      </w:pPr>
      <w:r w:rsidRPr="00B809EF">
        <w:rPr>
          <w:rStyle w:val="Refdenotaalpie"/>
        </w:rPr>
        <w:footnoteRef/>
      </w:r>
      <w:r w:rsidRPr="00B809EF">
        <w:t xml:space="preserve"> Id.,</w:t>
      </w:r>
      <w:r w:rsidRPr="00B809EF">
        <w:t xml:space="preserve"> fundamento jurídico 106.</w:t>
      </w:r>
    </w:p>
  </w:footnote>
  <w:footnote w:id="272">
    <w:p w:rsidR="001569E9" w:rsidRPr="00B809EF" w:rsidRDefault="0096658B" w:rsidP="00F67E09">
      <w:pPr>
        <w:pStyle w:val="Textonotapie"/>
      </w:pPr>
      <w:r w:rsidRPr="00B809EF">
        <w:rPr>
          <w:rStyle w:val="Refdenotaalpie"/>
        </w:rPr>
        <w:footnoteRef/>
      </w:r>
      <w:r w:rsidRPr="00B809EF">
        <w:t xml:space="preserve"> Id. </w:t>
      </w:r>
    </w:p>
  </w:footnote>
  <w:footnote w:id="273">
    <w:p w:rsidR="001569E9" w:rsidRPr="009C3030" w:rsidRDefault="0096658B" w:rsidP="00F67E09">
      <w:pPr>
        <w:pStyle w:val="Textonotapie"/>
      </w:pPr>
      <w:r w:rsidRPr="00B809EF">
        <w:rPr>
          <w:rStyle w:val="Refdenotaalpie"/>
        </w:rPr>
        <w:footnoteRef/>
      </w:r>
      <w:r w:rsidRPr="00B809EF">
        <w:t xml:space="preserve"> Sentencia C-490 de 2011, fundamento jurídico 95. “La cláusula que establece que los candidatos a cargos y corporaciones de elección popular sean escogidos, por los partidos y movimientos políticos con personería jurídica,</w:t>
      </w:r>
      <w:r w:rsidRPr="00B809EF">
        <w:t xml:space="preserve"> mediante procedimientos democráticos previstos en sus estatutos, no ofrece reparos de constitucionalidad, toda vez que los estatutos constituyen un presupuesto para la obtención de la personería jurídica y representan un elemento de identificación e insti</w:t>
      </w:r>
      <w:r w:rsidRPr="00B809EF">
        <w:t>tucionalización del partido o movimiento político. La norma reitera dos principios constitucionales que la jurisprudencia de esta Corte ha destacado como de singular importancia en el ejercicio del derecho de participación política. De una parte, el estímu</w:t>
      </w:r>
      <w:r w:rsidRPr="00B809EF">
        <w:t>lo a las prácticas democráticas al interior de las colectividades, mediante la implementación de espacios deliberativos, y la correlativa “prohibición de establecer reglamentaciones dirigidas a negar o reducir dichos espacios de participación” que conduzca</w:t>
      </w:r>
      <w:r w:rsidRPr="00B809EF">
        <w:t xml:space="preserve">n indebidamente a “modelos de decisión política o social reservados o autárquicos”. Y de otra parte, al remitir a los estatutos para el proceso de selección de candidatos, se reafirma el principio de autonomía de las agrupaciones políticas a las que alude </w:t>
      </w:r>
      <w:r w:rsidRPr="00B809EF">
        <w:t>el precepto en su concepción actual, mediante el reconocimiento de espacios específicos de regulación en tanto herramienta jurídica para asegurar sus finalidades dentro de la democracia participativa.”</w:t>
      </w:r>
    </w:p>
  </w:footnote>
  <w:footnote w:id="274">
    <w:p w:rsidR="0004772D" w:rsidRDefault="0096658B" w:rsidP="00900F4A">
      <w:pPr>
        <w:spacing w:after="0" w:line="240" w:lineRule="auto"/>
        <w:jc w:val="both"/>
      </w:pPr>
      <w:r w:rsidRPr="00A0360E">
        <w:rPr>
          <w:rStyle w:val="Refdenotaalpie"/>
          <w:rFonts w:ascii="Times New Roman" w:hAnsi="Times New Roman"/>
          <w:sz w:val="20"/>
          <w:szCs w:val="20"/>
        </w:rPr>
        <w:footnoteRef/>
      </w:r>
      <w:r w:rsidRPr="00A0360E">
        <w:rPr>
          <w:rFonts w:ascii="Times New Roman" w:hAnsi="Times New Roman"/>
          <w:sz w:val="20"/>
          <w:szCs w:val="20"/>
        </w:rPr>
        <w:t xml:space="preserve"> </w:t>
      </w:r>
      <w:r w:rsidRPr="00A0360E">
        <w:rPr>
          <w:rFonts w:ascii="Times New Roman" w:hAnsi="Times New Roman"/>
          <w:iCs/>
          <w:sz w:val="20"/>
          <w:szCs w:val="20"/>
          <w:lang w:val="es-ES"/>
        </w:rPr>
        <w:t xml:space="preserve">Sobre este aspecto, en la Sentencia T-232 de 2014 esta Corte se pronunció sobre la progresividad del principio democrático en el siguiente sentido: </w:t>
      </w:r>
      <w:r w:rsidRPr="00A0360E">
        <w:rPr>
          <w:rFonts w:ascii="Times New Roman" w:hAnsi="Times New Roman"/>
          <w:sz w:val="20"/>
          <w:szCs w:val="20"/>
          <w:shd w:val="clear" w:color="auto" w:fill="FFFFFF"/>
        </w:rPr>
        <w:t>“su dinámica lejos de ignorar el conflicto social, lo encauza a partir del respeto y constante reivindicació</w:t>
      </w:r>
      <w:r w:rsidRPr="00A0360E">
        <w:rPr>
          <w:rFonts w:ascii="Times New Roman" w:hAnsi="Times New Roman"/>
          <w:sz w:val="20"/>
          <w:szCs w:val="20"/>
          <w:shd w:val="clear" w:color="auto" w:fill="FFFFFF"/>
        </w:rPr>
        <w:t>n de un mínimo de democracia política y social que, de conformidad con su ideario, ha de ampliarse progresivamente conquistando nuevos ámbitos y profundizando permanentemente su vigencia, lo que demanda de los principales actores públicos y privados un den</w:t>
      </w:r>
      <w:r w:rsidRPr="00A0360E">
        <w:rPr>
          <w:rFonts w:ascii="Times New Roman" w:hAnsi="Times New Roman"/>
          <w:sz w:val="20"/>
          <w:szCs w:val="20"/>
          <w:shd w:val="clear" w:color="auto" w:fill="FFFFFF"/>
        </w:rPr>
        <w:t>odado esfuerzo para su efectiva construcción”.</w:t>
      </w:r>
    </w:p>
  </w:footnote>
  <w:footnote w:id="275">
    <w:p w:rsidR="0004772D" w:rsidRDefault="0096658B" w:rsidP="00900F4A">
      <w:pPr>
        <w:pStyle w:val="Textonotapie"/>
      </w:pPr>
      <w:r w:rsidRPr="00A0360E">
        <w:rPr>
          <w:rStyle w:val="Refdenotaalpie"/>
          <w:rFonts w:ascii="Times New Roman" w:hAnsi="Times New Roman"/>
        </w:rPr>
        <w:footnoteRef/>
      </w:r>
      <w:r w:rsidRPr="00A0360E">
        <w:rPr>
          <w:rFonts w:ascii="Times New Roman" w:hAnsi="Times New Roman"/>
        </w:rPr>
        <w:t xml:space="preserve"> </w:t>
      </w:r>
      <w:r w:rsidRPr="00A0360E">
        <w:rPr>
          <w:rFonts w:ascii="Times New Roman" w:hAnsi="Times New Roman"/>
          <w:lang w:val="es-MX"/>
        </w:rPr>
        <w:t>Párrafo 205 de la providencia.</w:t>
      </w:r>
    </w:p>
  </w:footnote>
  <w:footnote w:id="276">
    <w:p w:rsidR="0004772D" w:rsidRDefault="0096658B" w:rsidP="00900F4A">
      <w:pPr>
        <w:pStyle w:val="Textonotapie"/>
      </w:pPr>
      <w:r w:rsidRPr="00A0360E">
        <w:rPr>
          <w:rStyle w:val="Refdenotaalpie"/>
          <w:rFonts w:ascii="Times New Roman" w:hAnsi="Times New Roman"/>
        </w:rPr>
        <w:footnoteRef/>
      </w:r>
      <w:r w:rsidRPr="00A0360E">
        <w:rPr>
          <w:rFonts w:ascii="Times New Roman" w:hAnsi="Times New Roman"/>
        </w:rPr>
        <w:t xml:space="preserve"> </w:t>
      </w:r>
      <w:r w:rsidRPr="00A0360E">
        <w:rPr>
          <w:rFonts w:ascii="Times New Roman" w:hAnsi="Times New Roman"/>
          <w:lang w:val="es-MX"/>
        </w:rPr>
        <w:t>Ibid.</w:t>
      </w:r>
    </w:p>
  </w:footnote>
  <w:footnote w:id="277">
    <w:p w:rsidR="0004772D" w:rsidRDefault="0096658B" w:rsidP="00900F4A">
      <w:pPr>
        <w:pStyle w:val="Textonotapie"/>
      </w:pPr>
      <w:r w:rsidRPr="00A0360E">
        <w:rPr>
          <w:rStyle w:val="Refdenotaalpie"/>
          <w:rFonts w:ascii="Times New Roman" w:hAnsi="Times New Roman"/>
        </w:rPr>
        <w:footnoteRef/>
      </w:r>
      <w:r w:rsidRPr="00A0360E">
        <w:rPr>
          <w:rFonts w:ascii="Times New Roman" w:hAnsi="Times New Roman"/>
        </w:rPr>
        <w:t xml:space="preserve"> </w:t>
      </w:r>
      <w:r w:rsidRPr="00A0360E">
        <w:rPr>
          <w:rFonts w:ascii="Times New Roman" w:hAnsi="Times New Roman"/>
          <w:lang w:val="es-MX"/>
        </w:rPr>
        <w:t>Párrafo 240</w:t>
      </w:r>
      <w:r>
        <w:rPr>
          <w:rFonts w:ascii="Times New Roman" w:hAnsi="Times New Roman"/>
          <w:lang w:val="es-MX"/>
        </w:rPr>
        <w:t xml:space="preserve"> de la providencia.</w:t>
      </w:r>
    </w:p>
  </w:footnote>
  <w:footnote w:id="278">
    <w:p w:rsidR="009F68B8" w:rsidRPr="008833E9" w:rsidRDefault="0096658B" w:rsidP="009F68B8">
      <w:pPr>
        <w:rPr>
          <w:sz w:val="20"/>
        </w:rPr>
      </w:pPr>
      <w:r w:rsidRPr="008833E9">
        <w:rPr>
          <w:sz w:val="20"/>
          <w:vertAlign w:val="superscript"/>
        </w:rPr>
        <w:footnoteRef/>
      </w:r>
      <w:r w:rsidRPr="008833E9">
        <w:rPr>
          <w:sz w:val="20"/>
        </w:rPr>
        <w:t xml:space="preserve"> </w:t>
      </w:r>
      <w:r w:rsidRPr="008833E9">
        <w:rPr>
          <w:i/>
          <w:iCs/>
          <w:sz w:val="20"/>
        </w:rPr>
        <w:t>Cfr.,</w:t>
      </w:r>
      <w:r w:rsidRPr="008833E9">
        <w:rPr>
          <w:sz w:val="20"/>
        </w:rPr>
        <w:t xml:space="preserve"> Corte Constitucional, Sentencia C-053 de 2019.</w:t>
      </w:r>
    </w:p>
  </w:footnote>
  <w:footnote w:id="279">
    <w:p w:rsidR="00FE2CA5" w:rsidRPr="00FE2CA5" w:rsidRDefault="0096658B">
      <w:pPr>
        <w:pStyle w:val="Textonotapie"/>
      </w:pPr>
      <w:r>
        <w:rPr>
          <w:rStyle w:val="Refdenotaalpie"/>
        </w:rPr>
        <w:footnoteRef/>
      </w:r>
      <w:r>
        <w:t xml:space="preserve"> </w:t>
      </w:r>
      <w:r w:rsidRPr="008833E9">
        <w:rPr>
          <w:i/>
          <w:iCs/>
        </w:rPr>
        <w:t>Cfr.,</w:t>
      </w:r>
      <w:r w:rsidRPr="008833E9">
        <w:t xml:space="preserve"> Corte Constitucional, Sentencia C-053 de 2019.</w:t>
      </w:r>
    </w:p>
  </w:footnote>
  <w:footnote w:id="280">
    <w:p w:rsidR="00E05F17" w:rsidRPr="00E05F17" w:rsidRDefault="0096658B">
      <w:pPr>
        <w:pStyle w:val="Textonotapie"/>
      </w:pPr>
      <w:r>
        <w:rPr>
          <w:rStyle w:val="Refdenotaalpie"/>
        </w:rPr>
        <w:footnoteRef/>
      </w:r>
      <w:r>
        <w:t xml:space="preserve"> </w:t>
      </w:r>
      <w:r>
        <w:rPr>
          <w:i/>
          <w:iCs/>
        </w:rPr>
        <w:t xml:space="preserve">Cfr. </w:t>
      </w:r>
      <w:r>
        <w:t xml:space="preserve">Corte Constitucional, </w:t>
      </w:r>
      <w:r w:rsidRPr="004241F4">
        <w:rPr>
          <w:rStyle w:val="normaltextrun"/>
          <w:color w:val="000000" w:themeColor="text1"/>
        </w:rPr>
        <w:t>Sentencia C-013 de 1993</w:t>
      </w:r>
      <w:r>
        <w:rPr>
          <w:rStyle w:val="normaltextrun"/>
          <w:b/>
          <w:color w:val="000000" w:themeColor="text1"/>
        </w:rPr>
        <w:t>.</w:t>
      </w:r>
    </w:p>
  </w:footnote>
  <w:footnote w:id="281">
    <w:p w:rsidR="00C921A5" w:rsidRPr="00C93425" w:rsidRDefault="0096658B">
      <w:pPr>
        <w:pStyle w:val="Textonotapie"/>
      </w:pPr>
      <w:r>
        <w:rPr>
          <w:rStyle w:val="Refdenotaalpie"/>
        </w:rPr>
        <w:footnoteRef/>
      </w:r>
      <w:r>
        <w:t xml:space="preserve"> </w:t>
      </w:r>
      <w:r>
        <w:rPr>
          <w:i/>
          <w:iCs/>
        </w:rPr>
        <w:t xml:space="preserve">Cfr. </w:t>
      </w:r>
      <w:r>
        <w:t xml:space="preserve">Corte Constitucional, </w:t>
      </w:r>
      <w:r w:rsidRPr="004241F4">
        <w:rPr>
          <w:rStyle w:val="normaltextrun"/>
          <w:color w:val="000000" w:themeColor="text1"/>
        </w:rPr>
        <w:t>Sentencia</w:t>
      </w:r>
      <w:r>
        <w:rPr>
          <w:rStyle w:val="normaltextrun"/>
          <w:color w:val="000000" w:themeColor="text1"/>
        </w:rPr>
        <w:t xml:space="preserve"> C-282 de 2021.</w:t>
      </w:r>
    </w:p>
  </w:footnote>
  <w:footnote w:id="282">
    <w:p w:rsidR="005E4044" w:rsidRPr="005E4044" w:rsidRDefault="0096658B" w:rsidP="005E4044">
      <w:pPr>
        <w:pStyle w:val="Textonotapie"/>
      </w:pPr>
      <w:r>
        <w:rPr>
          <w:rStyle w:val="Refdenotaalpie"/>
        </w:rPr>
        <w:footnoteRef/>
      </w:r>
      <w:r>
        <w:t xml:space="preserve"> </w:t>
      </w:r>
      <w:r>
        <w:rPr>
          <w:rStyle w:val="normaltextrun"/>
          <w:i/>
          <w:iCs/>
          <w:shd w:val="clear" w:color="auto" w:fill="FFFFFF"/>
        </w:rPr>
        <w:t>Cfr. </w:t>
      </w:r>
      <w:r>
        <w:rPr>
          <w:rStyle w:val="normaltextrun"/>
          <w:shd w:val="clear" w:color="auto" w:fill="FFFFFF"/>
        </w:rPr>
        <w:t>Corte Constitucional, Sentencia 145 de 1994.</w:t>
      </w:r>
    </w:p>
  </w:footnote>
  <w:footnote w:id="283">
    <w:p w:rsidR="004241F4" w:rsidRPr="00FD0C72" w:rsidRDefault="0096658B" w:rsidP="004241F4">
      <w:pPr>
        <w:pStyle w:val="Textonotapie"/>
      </w:pPr>
      <w:r>
        <w:rPr>
          <w:rStyle w:val="Refdenotaalpie"/>
        </w:rPr>
        <w:footnoteRef/>
      </w:r>
      <w:r>
        <w:t xml:space="preserve"> </w:t>
      </w:r>
      <w:r>
        <w:rPr>
          <w:rStyle w:val="normaltextrun"/>
          <w:i/>
          <w:iCs/>
          <w:shd w:val="clear" w:color="auto" w:fill="FFFFFF"/>
        </w:rPr>
        <w:t xml:space="preserve">Cfr. </w:t>
      </w:r>
      <w:r>
        <w:rPr>
          <w:rStyle w:val="normaltextrun"/>
          <w:shd w:val="clear" w:color="auto" w:fill="FFFFFF"/>
        </w:rPr>
        <w:t>Corte Constitucional, Sentencia C-114 de 1999.</w:t>
      </w:r>
      <w:r>
        <w:rPr>
          <w:rStyle w:val="eop"/>
          <w:shd w:val="clear" w:color="auto" w:fill="FFFFFF"/>
        </w:rPr>
        <w:t> </w:t>
      </w:r>
    </w:p>
  </w:footnote>
  <w:footnote w:id="284">
    <w:p w:rsidR="004241F4" w:rsidRPr="00FD0C72" w:rsidRDefault="0096658B" w:rsidP="004241F4">
      <w:pPr>
        <w:pStyle w:val="Textonotapie"/>
        <w:rPr>
          <w:i/>
          <w:iCs/>
        </w:rPr>
      </w:pPr>
      <w:r>
        <w:rPr>
          <w:rStyle w:val="Refdenotaalpie"/>
        </w:rPr>
        <w:footnoteRef/>
      </w:r>
      <w:r>
        <w:t xml:space="preserve"> </w:t>
      </w:r>
      <w:r>
        <w:rPr>
          <w:i/>
          <w:iCs/>
        </w:rPr>
        <w:t>Ídem.</w:t>
      </w:r>
    </w:p>
  </w:footnote>
  <w:footnote w:id="285">
    <w:p w:rsidR="009D7057" w:rsidRPr="008833E9" w:rsidRDefault="0096658B" w:rsidP="009D7057">
      <w:pPr>
        <w:pStyle w:val="Textonotapie"/>
      </w:pPr>
      <w:r w:rsidRPr="008833E9">
        <w:rPr>
          <w:rStyle w:val="Refdenotaalpie"/>
        </w:rPr>
        <w:footnoteRef/>
      </w:r>
      <w:r w:rsidRPr="008833E9">
        <w:t xml:space="preserve"> </w:t>
      </w:r>
      <w:r w:rsidRPr="008833E9">
        <w:rPr>
          <w:i/>
          <w:iCs/>
        </w:rPr>
        <w:t>Cfr.</w:t>
      </w:r>
      <w:r>
        <w:rPr>
          <w:i/>
          <w:iCs/>
        </w:rPr>
        <w:t>,</w:t>
      </w:r>
      <w:r w:rsidRPr="008833E9">
        <w:rPr>
          <w:i/>
          <w:iCs/>
        </w:rPr>
        <w:t xml:space="preserve"> </w:t>
      </w:r>
      <w:r w:rsidRPr="008833E9">
        <w:t xml:space="preserve">Corte Constitucional, Sentencia </w:t>
      </w:r>
      <w:r w:rsidRPr="008833E9">
        <w:t>C-1005 de 2008.</w:t>
      </w:r>
    </w:p>
  </w:footnote>
  <w:footnote w:id="286">
    <w:p w:rsidR="00197C1F" w:rsidRPr="00197C1F" w:rsidRDefault="0096658B">
      <w:pPr>
        <w:pStyle w:val="Textonotapie"/>
      </w:pPr>
      <w:r>
        <w:rPr>
          <w:rStyle w:val="Refdenotaalpie"/>
        </w:rPr>
        <w:footnoteRef/>
      </w:r>
      <w:r>
        <w:t xml:space="preserve"> </w:t>
      </w:r>
      <w:r>
        <w:rPr>
          <w:i/>
          <w:iCs/>
        </w:rPr>
        <w:t xml:space="preserve">Cfr. </w:t>
      </w:r>
      <w:r>
        <w:t xml:space="preserve">Corte Constitucional, </w:t>
      </w:r>
      <w:r>
        <w:rPr>
          <w:color w:val="2D2D2D"/>
          <w:shd w:val="clear" w:color="auto" w:fill="FFFFFF"/>
        </w:rPr>
        <w:t>Sentencia C-028 de 1997.</w:t>
      </w:r>
    </w:p>
  </w:footnote>
  <w:footnote w:id="287">
    <w:p w:rsidR="00197C1F" w:rsidRPr="00197C1F" w:rsidRDefault="0096658B">
      <w:pPr>
        <w:pStyle w:val="Textonotapie"/>
      </w:pPr>
      <w:r>
        <w:rPr>
          <w:rStyle w:val="Refdenotaalpie"/>
        </w:rPr>
        <w:footnoteRef/>
      </w:r>
      <w:r>
        <w:t xml:space="preserve"> </w:t>
      </w:r>
      <w:r>
        <w:rPr>
          <w:i/>
          <w:iCs/>
        </w:rPr>
        <w:t xml:space="preserve">Cfr. </w:t>
      </w:r>
      <w:r>
        <w:t>Corte Constitucional, Sentencia C-302 de 1999</w:t>
      </w:r>
      <w:r>
        <w:t xml:space="preserve"> y </w:t>
      </w:r>
      <w:r w:rsidRPr="00FD0C72">
        <w:t>C-028 de 1997</w:t>
      </w:r>
      <w:r>
        <w:t>.</w:t>
      </w:r>
    </w:p>
  </w:footnote>
  <w:footnote w:id="288">
    <w:p w:rsidR="00D02510" w:rsidRPr="008833E9" w:rsidRDefault="0096658B" w:rsidP="00D02510">
      <w:pPr>
        <w:pStyle w:val="Textonotapie"/>
        <w:rPr>
          <w:i/>
          <w:iCs/>
        </w:rPr>
      </w:pPr>
      <w:r w:rsidRPr="008833E9">
        <w:rPr>
          <w:rStyle w:val="Refdenotaalpie"/>
        </w:rPr>
        <w:footnoteRef/>
      </w:r>
      <w:r w:rsidRPr="008833E9">
        <w:t xml:space="preserve"> </w:t>
      </w:r>
      <w:r w:rsidRPr="008833E9">
        <w:rPr>
          <w:i/>
          <w:iCs/>
        </w:rPr>
        <w:t>Ídem.</w:t>
      </w:r>
    </w:p>
  </w:footnote>
  <w:footnote w:id="289">
    <w:p w:rsidR="00D02510" w:rsidRDefault="0096658B" w:rsidP="00D02510">
      <w:r w:rsidRPr="005E4044">
        <w:rPr>
          <w:sz w:val="20"/>
          <w:vertAlign w:val="superscript"/>
        </w:rPr>
        <w:footnoteRef/>
      </w:r>
      <w:r w:rsidRPr="005E4044">
        <w:rPr>
          <w:sz w:val="20"/>
        </w:rPr>
        <w:t xml:space="preserve"> </w:t>
      </w:r>
      <w:r w:rsidRPr="005E4044">
        <w:rPr>
          <w:i/>
          <w:iCs/>
          <w:sz w:val="20"/>
        </w:rPr>
        <w:t>Cfr.</w:t>
      </w:r>
      <w:r w:rsidRPr="005E4044">
        <w:rPr>
          <w:sz w:val="20"/>
        </w:rPr>
        <w:t xml:space="preserve"> Corte Constitucional, Sentencia C-1005 de 2008.</w:t>
      </w:r>
    </w:p>
  </w:footnote>
  <w:footnote w:id="290">
    <w:p w:rsidR="00BF1714" w:rsidRPr="008833E9" w:rsidRDefault="0096658B" w:rsidP="00BF1714">
      <w:pPr>
        <w:pStyle w:val="Textonotapie"/>
      </w:pPr>
      <w:r w:rsidRPr="008833E9">
        <w:rPr>
          <w:rStyle w:val="Refdenotaalpie"/>
        </w:rPr>
        <w:footnoteRef/>
      </w:r>
      <w:r w:rsidRPr="008833E9">
        <w:t xml:space="preserve"> </w:t>
      </w:r>
      <w:r w:rsidRPr="008833E9">
        <w:rPr>
          <w:i/>
          <w:iCs/>
        </w:rPr>
        <w:t>Ídem.</w:t>
      </w:r>
    </w:p>
  </w:footnote>
  <w:footnote w:id="291">
    <w:p w:rsidR="00A711B9" w:rsidRPr="00AD0573" w:rsidRDefault="0096658B" w:rsidP="00A711B9">
      <w:pPr>
        <w:pStyle w:val="Textonotapie"/>
      </w:pPr>
      <w:r>
        <w:rPr>
          <w:rStyle w:val="Refdenotaalpie"/>
        </w:rPr>
        <w:footnoteRef/>
      </w:r>
      <w:r>
        <w:t xml:space="preserve"> Consejo de Estado, Sala de lo Contencioso Administrativo, Sección Segunda, sentencia del 03 de septiembre de 2018, radicación número: 11001-03-25-000-2013-00543-00(1060-13).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53279"/>
    <w:multiLevelType w:val="hybridMultilevel"/>
    <w:tmpl w:val="C6543F72"/>
    <w:lvl w:ilvl="0" w:tplc="A3581A8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FA617FF"/>
    <w:multiLevelType w:val="multilevel"/>
    <w:tmpl w:val="4B264244"/>
    <w:lvl w:ilvl="0">
      <w:start w:val="1"/>
      <w:numFmt w:val="decimal"/>
      <w:lvlText w:val="%1."/>
      <w:lvlJc w:val="left"/>
      <w:pPr>
        <w:ind w:left="720" w:hanging="360"/>
      </w:pPr>
      <w:rPr>
        <w:rFonts w:ascii="Times New Roman" w:hAnsi="Times New Roman" w:cs="Times New Roman" w:hint="default"/>
        <w:color w:val="auto"/>
        <w:sz w:val="28"/>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A8B763D"/>
    <w:multiLevelType w:val="multilevel"/>
    <w:tmpl w:val="AA560E9E"/>
    <w:styleLink w:val="Listaactual1"/>
    <w:lvl w:ilvl="0">
      <w:start w:val="1"/>
      <w:numFmt w:val="none"/>
      <w:lvlText w:val="2.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D15615"/>
    <w:multiLevelType w:val="hybridMultilevel"/>
    <w:tmpl w:val="2736BE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1A02B7E"/>
    <w:multiLevelType w:val="hybridMultilevel"/>
    <w:tmpl w:val="557496FE"/>
    <w:lvl w:ilvl="0" w:tplc="258E1218">
      <w:start w:val="1"/>
      <w:numFmt w:val="lowerRoman"/>
      <w:lvlText w:val="(%1)"/>
      <w:lvlJc w:val="left"/>
      <w:pPr>
        <w:ind w:left="1080" w:hanging="720"/>
      </w:pPr>
      <w:rPr>
        <w:rFonts w:hint="default"/>
        <w:i/>
        <w:i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4A761AE"/>
    <w:multiLevelType w:val="hybridMultilevel"/>
    <w:tmpl w:val="2736BEE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31635ABA"/>
    <w:multiLevelType w:val="multilevel"/>
    <w:tmpl w:val="240A001F"/>
    <w:styleLink w:val="111111"/>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15:restartNumberingAfterBreak="0">
    <w:nsid w:val="4BEA0934"/>
    <w:multiLevelType w:val="multilevel"/>
    <w:tmpl w:val="2A521898"/>
    <w:styleLink w:val="Listaactual2"/>
    <w:lvl w:ilvl="0">
      <w:start w:val="1"/>
      <w:numFmt w:val="ordinalText"/>
      <w:lvlText w:val="%1."/>
      <w:lvlJc w:val="left"/>
      <w:pPr>
        <w:ind w:left="360" w:hanging="360"/>
      </w:pPr>
      <w:rPr>
        <w:rFonts w:hint="default"/>
      </w:rPr>
    </w:lvl>
    <w:lvl w:ilvl="1">
      <w:start w:val="1"/>
      <w:numFmt w:val="decimal"/>
      <w:lvlText w:val="%2.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7BCE56EC"/>
    <w:multiLevelType w:val="hybridMultilevel"/>
    <w:tmpl w:val="00A40392"/>
    <w:lvl w:ilvl="0" w:tplc="538CAFE0">
      <w:start w:val="1"/>
      <w:numFmt w:val="decimal"/>
      <w:lvlText w:val="%1."/>
      <w:lvlJc w:val="left"/>
      <w:pPr>
        <w:ind w:left="720" w:hanging="360"/>
      </w:pPr>
      <w:rPr>
        <w:rFonts w:ascii="Times New Roman" w:hAnsi="Times New Roman" w:cs="Times New Roman" w:hint="default"/>
        <w:b/>
        <w:bCs/>
        <w:sz w:val="28"/>
        <w:szCs w:val="2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2"/>
  </w:num>
  <w:num w:numId="2">
    <w:abstractNumId w:val="7"/>
  </w:num>
  <w:num w:numId="3">
    <w:abstractNumId w:val="0"/>
  </w:num>
  <w:num w:numId="4">
    <w:abstractNumId w:val="4"/>
  </w:num>
  <w:num w:numId="5">
    <w:abstractNumId w:val="1"/>
  </w:num>
  <w:num w:numId="6">
    <w:abstractNumId w:val="5"/>
  </w:num>
  <w:num w:numId="7">
    <w:abstractNumId w:val="3"/>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1788"/>
    <w:rsid w:val="0004772D"/>
    <w:rsid w:val="000E1788"/>
    <w:rsid w:val="009665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EC170A44-8EF9-4A31-B07E-5E3FA5ADB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FD3717"/>
    <w:pPr>
      <w:keepNext/>
      <w:keepLines/>
      <w:spacing w:before="360" w:after="80" w:line="278" w:lineRule="auto"/>
      <w:outlineLvl w:val="0"/>
    </w:pPr>
    <w:rPr>
      <w:rFonts w:asciiTheme="majorHAnsi" w:eastAsiaTheme="majorEastAsia" w:hAnsiTheme="majorHAnsi" w:cstheme="majorBidi"/>
      <w:color w:val="2E74B5" w:themeColor="accent1" w:themeShade="BF"/>
      <w:kern w:val="2"/>
      <w:sz w:val="40"/>
      <w:szCs w:val="40"/>
    </w:rPr>
  </w:style>
  <w:style w:type="paragraph" w:styleId="Ttulo2">
    <w:name w:val="heading 2"/>
    <w:basedOn w:val="Normal"/>
    <w:next w:val="Normal"/>
    <w:link w:val="Ttulo2Car"/>
    <w:uiPriority w:val="9"/>
    <w:semiHidden/>
    <w:unhideWhenUsed/>
    <w:qFormat/>
    <w:rsid w:val="00FD3717"/>
    <w:pPr>
      <w:keepNext/>
      <w:keepLines/>
      <w:spacing w:before="160" w:after="80" w:line="278" w:lineRule="auto"/>
      <w:outlineLvl w:val="1"/>
    </w:pPr>
    <w:rPr>
      <w:rFonts w:asciiTheme="majorHAnsi" w:eastAsiaTheme="majorEastAsia" w:hAnsiTheme="majorHAnsi" w:cstheme="majorBidi"/>
      <w:color w:val="2E74B5" w:themeColor="accent1" w:themeShade="BF"/>
      <w:kern w:val="2"/>
      <w:sz w:val="32"/>
      <w:szCs w:val="32"/>
    </w:rPr>
  </w:style>
  <w:style w:type="paragraph" w:styleId="Ttulo3">
    <w:name w:val="heading 3"/>
    <w:basedOn w:val="Normal"/>
    <w:next w:val="Normal"/>
    <w:link w:val="Ttulo3Car"/>
    <w:uiPriority w:val="9"/>
    <w:semiHidden/>
    <w:unhideWhenUsed/>
    <w:qFormat/>
    <w:rsid w:val="00FD3717"/>
    <w:pPr>
      <w:keepNext/>
      <w:keepLines/>
      <w:spacing w:before="160" w:after="80" w:line="278" w:lineRule="auto"/>
      <w:outlineLvl w:val="2"/>
    </w:pPr>
    <w:rPr>
      <w:rFonts w:eastAsiaTheme="majorEastAsia" w:cstheme="majorBidi"/>
      <w:color w:val="2E74B5" w:themeColor="accent1" w:themeShade="BF"/>
      <w:kern w:val="2"/>
      <w:sz w:val="28"/>
      <w:szCs w:val="28"/>
    </w:rPr>
  </w:style>
  <w:style w:type="paragraph" w:styleId="Ttulo4">
    <w:name w:val="heading 4"/>
    <w:basedOn w:val="Normal"/>
    <w:next w:val="Normal"/>
    <w:link w:val="Ttulo4Car"/>
    <w:uiPriority w:val="9"/>
    <w:semiHidden/>
    <w:unhideWhenUsed/>
    <w:qFormat/>
    <w:rsid w:val="00FD3717"/>
    <w:pPr>
      <w:keepNext/>
      <w:keepLines/>
      <w:spacing w:before="80" w:after="40" w:line="278" w:lineRule="auto"/>
      <w:outlineLvl w:val="3"/>
    </w:pPr>
    <w:rPr>
      <w:rFonts w:eastAsiaTheme="majorEastAsia" w:cstheme="majorBidi"/>
      <w:i/>
      <w:iCs/>
      <w:color w:val="2E74B5" w:themeColor="accent1" w:themeShade="BF"/>
      <w:kern w:val="2"/>
    </w:rPr>
  </w:style>
  <w:style w:type="paragraph" w:styleId="Ttulo5">
    <w:name w:val="heading 5"/>
    <w:basedOn w:val="Normal"/>
    <w:next w:val="Normal"/>
    <w:link w:val="Ttulo5Car"/>
    <w:uiPriority w:val="9"/>
    <w:semiHidden/>
    <w:unhideWhenUsed/>
    <w:qFormat/>
    <w:rsid w:val="00FD3717"/>
    <w:pPr>
      <w:keepNext/>
      <w:keepLines/>
      <w:spacing w:before="80" w:after="40" w:line="278" w:lineRule="auto"/>
      <w:outlineLvl w:val="4"/>
    </w:pPr>
    <w:rPr>
      <w:rFonts w:eastAsiaTheme="majorEastAsia" w:cstheme="majorBidi"/>
      <w:color w:val="2E74B5" w:themeColor="accent1" w:themeShade="BF"/>
      <w:kern w:val="2"/>
    </w:rPr>
  </w:style>
  <w:style w:type="paragraph" w:styleId="Ttulo6">
    <w:name w:val="heading 6"/>
    <w:basedOn w:val="Normal"/>
    <w:next w:val="Normal"/>
    <w:link w:val="Ttulo6Car"/>
    <w:uiPriority w:val="9"/>
    <w:semiHidden/>
    <w:unhideWhenUsed/>
    <w:qFormat/>
    <w:rsid w:val="00FD3717"/>
    <w:pPr>
      <w:keepNext/>
      <w:keepLines/>
      <w:spacing w:before="40" w:line="278" w:lineRule="auto"/>
      <w:outlineLvl w:val="5"/>
    </w:pPr>
    <w:rPr>
      <w:rFonts w:eastAsiaTheme="majorEastAsia" w:cstheme="majorBidi"/>
      <w:i/>
      <w:iCs/>
      <w:color w:val="595959" w:themeColor="text1" w:themeTint="A6"/>
      <w:kern w:val="2"/>
    </w:rPr>
  </w:style>
  <w:style w:type="paragraph" w:styleId="Ttulo7">
    <w:name w:val="heading 7"/>
    <w:basedOn w:val="Normal"/>
    <w:next w:val="Normal"/>
    <w:link w:val="Ttulo7Car"/>
    <w:uiPriority w:val="9"/>
    <w:semiHidden/>
    <w:unhideWhenUsed/>
    <w:qFormat/>
    <w:rsid w:val="00FD3717"/>
    <w:pPr>
      <w:keepNext/>
      <w:keepLines/>
      <w:spacing w:before="40" w:line="278" w:lineRule="auto"/>
      <w:outlineLvl w:val="6"/>
    </w:pPr>
    <w:rPr>
      <w:rFonts w:eastAsiaTheme="majorEastAsia" w:cstheme="majorBidi"/>
      <w:color w:val="595959" w:themeColor="text1" w:themeTint="A6"/>
      <w:kern w:val="2"/>
    </w:rPr>
  </w:style>
  <w:style w:type="paragraph" w:styleId="Ttulo8">
    <w:name w:val="heading 8"/>
    <w:basedOn w:val="Normal"/>
    <w:next w:val="Normal"/>
    <w:link w:val="Ttulo8Car"/>
    <w:uiPriority w:val="9"/>
    <w:semiHidden/>
    <w:unhideWhenUsed/>
    <w:qFormat/>
    <w:rsid w:val="00FD3717"/>
    <w:pPr>
      <w:keepNext/>
      <w:keepLines/>
      <w:spacing w:line="278" w:lineRule="auto"/>
      <w:outlineLvl w:val="7"/>
    </w:pPr>
    <w:rPr>
      <w:rFonts w:eastAsiaTheme="majorEastAsia" w:cstheme="majorBidi"/>
      <w:i/>
      <w:iCs/>
      <w:color w:val="272727" w:themeColor="text1" w:themeTint="D8"/>
      <w:kern w:val="2"/>
    </w:rPr>
  </w:style>
  <w:style w:type="paragraph" w:styleId="Ttulo9">
    <w:name w:val="heading 9"/>
    <w:basedOn w:val="Normal"/>
    <w:next w:val="Normal"/>
    <w:link w:val="Ttulo9Car"/>
    <w:uiPriority w:val="9"/>
    <w:semiHidden/>
    <w:unhideWhenUsed/>
    <w:qFormat/>
    <w:rsid w:val="00FA49E5"/>
    <w:pPr>
      <w:keepNext/>
      <w:keepLines/>
      <w:jc w:val="both"/>
      <w:outlineLvl w:val="8"/>
    </w:pPr>
    <w:rPr>
      <w:rFonts w:eastAsiaTheme="majorEastAsia" w:cstheme="majorBidi"/>
      <w:color w:val="272727" w:themeColor="text1" w:themeTint="D8"/>
      <w:sz w:val="28"/>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454692"/>
    <w:pPr>
      <w:widowControl w:val="0"/>
      <w:autoSpaceDE w:val="0"/>
      <w:autoSpaceDN w:val="0"/>
      <w:spacing w:line="240" w:lineRule="atLeast"/>
      <w:ind w:right="-91"/>
      <w:jc w:val="both"/>
    </w:pPr>
    <w:rPr>
      <w:rFonts w:eastAsia="SimSun"/>
      <w:sz w:val="28"/>
      <w:szCs w:val="28"/>
      <w:lang w:val="es-ES" w:eastAsia="es-ES"/>
    </w:rPr>
  </w:style>
  <w:style w:type="character" w:customStyle="1" w:styleId="Textoindependiente2Car">
    <w:name w:val="Texto independiente 2 Car"/>
    <w:basedOn w:val="Fuentedeprrafopredeter"/>
    <w:link w:val="Textoindependiente2"/>
    <w:rsid w:val="00454692"/>
    <w:rPr>
      <w:rFonts w:ascii="Times New Roman" w:eastAsia="SimSun" w:hAnsi="Times New Roman" w:cs="Times New Roman"/>
      <w:sz w:val="28"/>
      <w:szCs w:val="28"/>
      <w:lang w:val="es-ES" w:eastAsia="es-ES"/>
    </w:rPr>
  </w:style>
  <w:style w:type="paragraph" w:styleId="Encabezado">
    <w:name w:val="header"/>
    <w:basedOn w:val="Normal"/>
    <w:link w:val="EncabezadoCar"/>
    <w:uiPriority w:val="99"/>
    <w:rsid w:val="00454692"/>
    <w:pPr>
      <w:widowControl w:val="0"/>
      <w:tabs>
        <w:tab w:val="center" w:pos="4252"/>
        <w:tab w:val="right" w:pos="8504"/>
      </w:tabs>
      <w:autoSpaceDE w:val="0"/>
      <w:autoSpaceDN w:val="0"/>
      <w:jc w:val="both"/>
    </w:pPr>
    <w:rPr>
      <w:rFonts w:eastAsia="SimSun"/>
      <w:sz w:val="28"/>
      <w:szCs w:val="28"/>
      <w:lang w:val="es-ES_tradnl" w:eastAsia="es-ES"/>
    </w:rPr>
  </w:style>
  <w:style w:type="character" w:customStyle="1" w:styleId="EncabezadoCar">
    <w:name w:val="Encabezado Car"/>
    <w:basedOn w:val="Fuentedeprrafopredeter"/>
    <w:link w:val="Encabezado"/>
    <w:uiPriority w:val="99"/>
    <w:rsid w:val="00454692"/>
    <w:rPr>
      <w:rFonts w:ascii="Times New Roman" w:eastAsia="SimSun" w:hAnsi="Times New Roman" w:cs="Times New Roman"/>
      <w:sz w:val="28"/>
      <w:szCs w:val="28"/>
      <w:lang w:val="es-ES_tradnl" w:eastAsia="es-ES"/>
    </w:rPr>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texto de nota al pi,Footnote Text Cha"/>
    <w:basedOn w:val="Normal"/>
    <w:link w:val="TextonotapieCar1"/>
    <w:autoRedefine/>
    <w:uiPriority w:val="99"/>
    <w:qFormat/>
    <w:rsid w:val="00F67E09"/>
    <w:pPr>
      <w:widowControl w:val="0"/>
      <w:autoSpaceDE w:val="0"/>
      <w:autoSpaceDN w:val="0"/>
      <w:ind w:right="51"/>
      <w:jc w:val="both"/>
    </w:pPr>
    <w:rPr>
      <w:rFonts w:eastAsia="SimSun"/>
      <w:color w:val="000000"/>
      <w:sz w:val="20"/>
      <w:szCs w:val="20"/>
      <w:lang w:val="es-ES" w:eastAsia="es-ES"/>
    </w:rPr>
  </w:style>
  <w:style w:type="character" w:customStyle="1" w:styleId="TextonotapieCar">
    <w:name w:val="Texto nota pie Car"/>
    <w:aliases w:val="Footnote Text Char Char Char Char Char Char1 Car,Footnote Text Char Char Char Char Char Char Char1 Car,texto de nota al pi Car"/>
    <w:basedOn w:val="Fuentedeprrafopredeter"/>
    <w:uiPriority w:val="99"/>
    <w:qFormat/>
    <w:rsid w:val="00454692"/>
    <w:rPr>
      <w:rFonts w:ascii="Times New Roman" w:eastAsia="Times New Roman" w:hAnsi="Times New Roman" w:cs="Times New Roman"/>
      <w:sz w:val="20"/>
      <w:szCs w:val="20"/>
      <w:lang w:val="pt-BR" w:eastAsia="pt-BR"/>
    </w:rPr>
  </w:style>
  <w:style w:type="character" w:customStyle="1" w:styleId="TextonotapieCar1">
    <w:name w:val="Texto nota pie Car1"/>
    <w:aliases w:val="Footnote Text Char Char Char Char Char Car,Footnote Text Char Char Char Char Car,Footnote reference Car,FA Fu Car,Footnote Text Char Char Char Car,Footnote Text Char Car,Footnote Text Char Char Char Char Char Char Char Char Car"/>
    <w:link w:val="Textonotapie"/>
    <w:uiPriority w:val="99"/>
    <w:locked/>
    <w:rsid w:val="00F67E09"/>
    <w:rPr>
      <w:rFonts w:ascii="Times New Roman" w:eastAsia="SimSun" w:hAnsi="Times New Roman" w:cs="Times New Roman"/>
      <w:color w:val="000000"/>
      <w:sz w:val="20"/>
      <w:szCs w:val="20"/>
      <w:lang w:val="es-ES" w:eastAsia="es-ES"/>
    </w:rPr>
  </w:style>
  <w:style w:type="character" w:styleId="Refdenotaalpie">
    <w:name w:val="footnote reference"/>
    <w:aliases w:val="Fago Fußnotenzeichen,Texto de nota al pie,Appel note de bas de page,referencia nota al pie,Footnotes refss,Ref. de nota al pie 2,Footnote number,BVI fnr,f,4_G,16 Point,Superscript 6 Point,Footnote symbol,Footnote,Ref,de nota al pie,R"/>
    <w:link w:val="4GChar"/>
    <w:uiPriority w:val="99"/>
    <w:qFormat/>
    <w:rsid w:val="00454692"/>
    <w:rPr>
      <w:rFonts w:cs="Times New Roman"/>
      <w:vertAlign w:val="superscript"/>
    </w:rPr>
  </w:style>
  <w:style w:type="paragraph" w:styleId="Prrafodelista">
    <w:name w:val="List Paragraph"/>
    <w:aliases w:val="Colorful List - Accent 11,Ha,List Paragraph1,lp1,List Paragraph2,Párrafo,Numbered Paragraph,Bullets,titulo 3,BOLADEF,BOLA,Párrafo de lista21,Guión,Titulo 8,HOJA,Chulito,Párrafo de lista3,MIBEX B,TITULO1REQ,Párrafo de lista31"/>
    <w:basedOn w:val="Normal"/>
    <w:link w:val="PrrafodelistaCar"/>
    <w:uiPriority w:val="34"/>
    <w:qFormat/>
    <w:rsid w:val="00454692"/>
    <w:pPr>
      <w:ind w:left="720"/>
      <w:contextualSpacing/>
    </w:pPr>
    <w:rPr>
      <w:sz w:val="28"/>
      <w:szCs w:val="28"/>
      <w:lang w:val="es-ES" w:eastAsia="es-ES"/>
    </w:rPr>
  </w:style>
  <w:style w:type="character" w:customStyle="1" w:styleId="apple-converted-space">
    <w:name w:val="apple-converted-space"/>
    <w:basedOn w:val="Fuentedeprrafopredeter"/>
    <w:rsid w:val="00454692"/>
  </w:style>
  <w:style w:type="paragraph" w:styleId="Piedepgina">
    <w:name w:val="footer"/>
    <w:basedOn w:val="Normal"/>
    <w:link w:val="PiedepginaCar"/>
    <w:uiPriority w:val="99"/>
    <w:unhideWhenUsed/>
    <w:rsid w:val="00454692"/>
    <w:pPr>
      <w:widowControl w:val="0"/>
      <w:tabs>
        <w:tab w:val="center" w:pos="4252"/>
        <w:tab w:val="right" w:pos="8504"/>
      </w:tabs>
      <w:autoSpaceDE w:val="0"/>
      <w:autoSpaceDN w:val="0"/>
      <w:jc w:val="both"/>
    </w:pPr>
    <w:rPr>
      <w:rFonts w:eastAsia="SimSun"/>
      <w:sz w:val="28"/>
      <w:szCs w:val="28"/>
      <w:lang w:val="es-ES" w:eastAsia="es-ES"/>
    </w:rPr>
  </w:style>
  <w:style w:type="character" w:customStyle="1" w:styleId="PiedepginaCar">
    <w:name w:val="Pie de página Car"/>
    <w:basedOn w:val="Fuentedeprrafopredeter"/>
    <w:link w:val="Piedepgina"/>
    <w:uiPriority w:val="99"/>
    <w:rsid w:val="00454692"/>
    <w:rPr>
      <w:rFonts w:ascii="Times New Roman" w:eastAsia="SimSun" w:hAnsi="Times New Roman" w:cs="Times New Roman"/>
      <w:sz w:val="28"/>
      <w:szCs w:val="28"/>
      <w:lang w:val="es-ES" w:eastAsia="es-ES"/>
    </w:rPr>
  </w:style>
  <w:style w:type="character" w:styleId="Hipervnculo">
    <w:name w:val="Hyperlink"/>
    <w:basedOn w:val="Fuentedeprrafopredeter"/>
    <w:uiPriority w:val="99"/>
    <w:unhideWhenUsed/>
    <w:rsid w:val="00454692"/>
    <w:rPr>
      <w:color w:val="0563C1" w:themeColor="hyperlink"/>
      <w:u w:val="single"/>
    </w:rPr>
  </w:style>
  <w:style w:type="paragraph" w:styleId="NormalWeb">
    <w:name w:val="Normal (Web)"/>
    <w:basedOn w:val="Normal"/>
    <w:uiPriority w:val="99"/>
    <w:semiHidden/>
    <w:unhideWhenUsed/>
    <w:rsid w:val="00CE49C3"/>
  </w:style>
  <w:style w:type="character" w:customStyle="1" w:styleId="Mencinsinresolver1">
    <w:name w:val="Mención sin resolver1"/>
    <w:basedOn w:val="Fuentedeprrafopredeter"/>
    <w:uiPriority w:val="99"/>
    <w:semiHidden/>
    <w:unhideWhenUsed/>
    <w:rsid w:val="00CE49C3"/>
    <w:rPr>
      <w:color w:val="605E5C"/>
      <w:shd w:val="clear" w:color="auto" w:fill="E1DFDD"/>
    </w:rPr>
  </w:style>
  <w:style w:type="character" w:customStyle="1" w:styleId="Mencinsinresolver2">
    <w:name w:val="Mención sin resolver2"/>
    <w:basedOn w:val="Fuentedeprrafopredeter"/>
    <w:uiPriority w:val="99"/>
    <w:semiHidden/>
    <w:unhideWhenUsed/>
    <w:rsid w:val="00D52F8D"/>
    <w:rPr>
      <w:color w:val="605E5C"/>
      <w:shd w:val="clear" w:color="auto" w:fill="E1DFDD"/>
    </w:rPr>
  </w:style>
  <w:style w:type="paragraph" w:styleId="Textodeglobo">
    <w:name w:val="Balloon Text"/>
    <w:basedOn w:val="Normal"/>
    <w:link w:val="TextodegloboCar"/>
    <w:uiPriority w:val="99"/>
    <w:semiHidden/>
    <w:unhideWhenUsed/>
    <w:rsid w:val="00F46656"/>
    <w:rPr>
      <w:sz w:val="18"/>
      <w:szCs w:val="18"/>
    </w:rPr>
  </w:style>
  <w:style w:type="character" w:customStyle="1" w:styleId="TextodegloboCar">
    <w:name w:val="Texto de globo Car"/>
    <w:basedOn w:val="Fuentedeprrafopredeter"/>
    <w:link w:val="Textodeglobo"/>
    <w:uiPriority w:val="99"/>
    <w:semiHidden/>
    <w:rsid w:val="00F46656"/>
    <w:rPr>
      <w:rFonts w:ascii="Times New Roman" w:eastAsia="Times New Roman" w:hAnsi="Times New Roman" w:cs="Times New Roman"/>
      <w:sz w:val="18"/>
      <w:szCs w:val="18"/>
      <w:lang w:val="pt-BR" w:eastAsia="pt-BR"/>
    </w:rPr>
  </w:style>
  <w:style w:type="character" w:styleId="Refdecomentario">
    <w:name w:val="annotation reference"/>
    <w:basedOn w:val="Fuentedeprrafopredeter"/>
    <w:uiPriority w:val="99"/>
    <w:semiHidden/>
    <w:unhideWhenUsed/>
    <w:rsid w:val="00F46656"/>
    <w:rPr>
      <w:sz w:val="16"/>
      <w:szCs w:val="16"/>
    </w:rPr>
  </w:style>
  <w:style w:type="paragraph" w:styleId="Textocomentario">
    <w:name w:val="annotation text"/>
    <w:basedOn w:val="Normal"/>
    <w:link w:val="TextocomentarioCar"/>
    <w:uiPriority w:val="99"/>
    <w:unhideWhenUsed/>
    <w:rsid w:val="00F46656"/>
    <w:rPr>
      <w:sz w:val="20"/>
      <w:szCs w:val="20"/>
    </w:rPr>
  </w:style>
  <w:style w:type="character" w:customStyle="1" w:styleId="TextocomentarioCar">
    <w:name w:val="Texto comentario Car"/>
    <w:basedOn w:val="Fuentedeprrafopredeter"/>
    <w:link w:val="Textocomentario"/>
    <w:uiPriority w:val="99"/>
    <w:rsid w:val="00F46656"/>
    <w:rPr>
      <w:rFonts w:ascii="Times New Roman" w:eastAsia="Times New Roman" w:hAnsi="Times New Roman" w:cs="Times New Roman"/>
      <w:sz w:val="20"/>
      <w:szCs w:val="20"/>
      <w:lang w:val="pt-BR" w:eastAsia="pt-BR"/>
    </w:rPr>
  </w:style>
  <w:style w:type="paragraph" w:styleId="Asuntodelcomentario">
    <w:name w:val="annotation subject"/>
    <w:basedOn w:val="Textocomentario"/>
    <w:next w:val="Textocomentario"/>
    <w:link w:val="AsuntodelcomentarioCar"/>
    <w:uiPriority w:val="99"/>
    <w:semiHidden/>
    <w:unhideWhenUsed/>
    <w:rsid w:val="00F46656"/>
    <w:rPr>
      <w:b/>
      <w:bCs/>
    </w:rPr>
  </w:style>
  <w:style w:type="character" w:customStyle="1" w:styleId="AsuntodelcomentarioCar">
    <w:name w:val="Asunto del comentario Car"/>
    <w:basedOn w:val="TextocomentarioCar"/>
    <w:link w:val="Asuntodelcomentario"/>
    <w:uiPriority w:val="99"/>
    <w:semiHidden/>
    <w:rsid w:val="00F46656"/>
    <w:rPr>
      <w:rFonts w:ascii="Times New Roman" w:eastAsia="Times New Roman" w:hAnsi="Times New Roman" w:cs="Times New Roman"/>
      <w:b/>
      <w:bCs/>
      <w:sz w:val="20"/>
      <w:szCs w:val="20"/>
      <w:lang w:val="pt-BR" w:eastAsia="pt-BR"/>
    </w:rPr>
  </w:style>
  <w:style w:type="numbering" w:customStyle="1" w:styleId="Listaactual1">
    <w:name w:val="Lista actual1"/>
    <w:uiPriority w:val="99"/>
    <w:rsid w:val="00C36AEC"/>
    <w:pPr>
      <w:numPr>
        <w:numId w:val="1"/>
      </w:numPr>
    </w:pPr>
  </w:style>
  <w:style w:type="numbering" w:customStyle="1" w:styleId="Listaactual2">
    <w:name w:val="Lista actual2"/>
    <w:uiPriority w:val="99"/>
    <w:rsid w:val="00AC0196"/>
    <w:pPr>
      <w:numPr>
        <w:numId w:val="2"/>
      </w:numPr>
    </w:pPr>
  </w:style>
  <w:style w:type="paragraph" w:styleId="Sinespaciado">
    <w:name w:val="No Spacing"/>
    <w:uiPriority w:val="1"/>
    <w:qFormat/>
    <w:rsid w:val="002D025F"/>
    <w:rPr>
      <w:rFonts w:ascii="Times New Roman" w:eastAsia="Times New Roman" w:hAnsi="Times New Roman" w:cs="Times New Roman"/>
      <w:lang w:val="pt-BR" w:eastAsia="pt-BR"/>
    </w:rPr>
  </w:style>
  <w:style w:type="paragraph" w:styleId="Revisin">
    <w:name w:val="Revision"/>
    <w:hidden/>
    <w:uiPriority w:val="99"/>
    <w:semiHidden/>
    <w:rsid w:val="00095C98"/>
    <w:rPr>
      <w:rFonts w:ascii="Times New Roman" w:eastAsia="Times New Roman" w:hAnsi="Times New Roman" w:cs="Times New Roman"/>
      <w:lang w:val="pt-BR" w:eastAsia="pt-BR"/>
    </w:rPr>
  </w:style>
  <w:style w:type="paragraph" w:styleId="Sangradetextonormal">
    <w:name w:val="Body Text Indent"/>
    <w:basedOn w:val="Normal"/>
    <w:link w:val="SangradetextonormalCar"/>
    <w:uiPriority w:val="99"/>
    <w:semiHidden/>
    <w:unhideWhenUsed/>
    <w:rsid w:val="007B4F26"/>
    <w:pPr>
      <w:spacing w:after="120"/>
      <w:ind w:left="283"/>
    </w:pPr>
  </w:style>
  <w:style w:type="character" w:customStyle="1" w:styleId="SangradetextonormalCar">
    <w:name w:val="Sangría de texto normal Car"/>
    <w:basedOn w:val="Fuentedeprrafopredeter"/>
    <w:link w:val="Sangradetextonormal"/>
    <w:uiPriority w:val="99"/>
    <w:semiHidden/>
    <w:rsid w:val="007B4F26"/>
    <w:rPr>
      <w:rFonts w:ascii="Times New Roman" w:eastAsia="Times New Roman" w:hAnsi="Times New Roman" w:cs="Times New Roman"/>
      <w:lang w:val="pt-BR" w:eastAsia="pt-BR"/>
    </w:rPr>
  </w:style>
  <w:style w:type="paragraph" w:customStyle="1" w:styleId="Style1">
    <w:name w:val="Style1"/>
    <w:basedOn w:val="Normal"/>
    <w:uiPriority w:val="99"/>
    <w:rsid w:val="00811F4A"/>
    <w:pPr>
      <w:widowControl w:val="0"/>
      <w:autoSpaceDE w:val="0"/>
      <w:autoSpaceDN w:val="0"/>
      <w:adjustRightInd w:val="0"/>
      <w:jc w:val="center"/>
    </w:pPr>
    <w:rPr>
      <w:lang w:val="es-ES" w:eastAsia="es-ES"/>
    </w:rPr>
  </w:style>
  <w:style w:type="paragraph" w:customStyle="1" w:styleId="Style2">
    <w:name w:val="Style2"/>
    <w:basedOn w:val="Normal"/>
    <w:uiPriority w:val="99"/>
    <w:rsid w:val="00811F4A"/>
    <w:pPr>
      <w:widowControl w:val="0"/>
      <w:autoSpaceDE w:val="0"/>
      <w:autoSpaceDN w:val="0"/>
      <w:adjustRightInd w:val="0"/>
      <w:spacing w:line="590" w:lineRule="exact"/>
      <w:ind w:hanging="1373"/>
    </w:pPr>
    <w:rPr>
      <w:lang w:val="es-ES" w:eastAsia="es-ES"/>
    </w:rPr>
  </w:style>
  <w:style w:type="paragraph" w:customStyle="1" w:styleId="Style3">
    <w:name w:val="Style3"/>
    <w:basedOn w:val="Normal"/>
    <w:uiPriority w:val="99"/>
    <w:rsid w:val="00811F4A"/>
    <w:pPr>
      <w:widowControl w:val="0"/>
      <w:autoSpaceDE w:val="0"/>
      <w:autoSpaceDN w:val="0"/>
      <w:adjustRightInd w:val="0"/>
      <w:spacing w:line="300" w:lineRule="exact"/>
      <w:jc w:val="both"/>
    </w:pPr>
    <w:rPr>
      <w:lang w:val="es-ES" w:eastAsia="es-ES"/>
    </w:rPr>
  </w:style>
  <w:style w:type="paragraph" w:customStyle="1" w:styleId="Style4">
    <w:name w:val="Style4"/>
    <w:basedOn w:val="Normal"/>
    <w:uiPriority w:val="99"/>
    <w:rsid w:val="00811F4A"/>
    <w:pPr>
      <w:widowControl w:val="0"/>
      <w:autoSpaceDE w:val="0"/>
      <w:autoSpaceDN w:val="0"/>
      <w:adjustRightInd w:val="0"/>
      <w:spacing w:line="298" w:lineRule="exact"/>
      <w:jc w:val="both"/>
    </w:pPr>
    <w:rPr>
      <w:lang w:val="es-ES" w:eastAsia="es-ES"/>
    </w:rPr>
  </w:style>
  <w:style w:type="paragraph" w:customStyle="1" w:styleId="Style5">
    <w:name w:val="Style5"/>
    <w:basedOn w:val="Normal"/>
    <w:uiPriority w:val="99"/>
    <w:rsid w:val="00811F4A"/>
    <w:pPr>
      <w:widowControl w:val="0"/>
      <w:autoSpaceDE w:val="0"/>
      <w:autoSpaceDN w:val="0"/>
      <w:adjustRightInd w:val="0"/>
    </w:pPr>
    <w:rPr>
      <w:lang w:val="es-ES" w:eastAsia="es-ES"/>
    </w:rPr>
  </w:style>
  <w:style w:type="character" w:customStyle="1" w:styleId="FontStyle11">
    <w:name w:val="Font Style11"/>
    <w:uiPriority w:val="99"/>
    <w:rsid w:val="00811F4A"/>
    <w:rPr>
      <w:rFonts w:ascii="Times New Roman" w:hAnsi="Times New Roman" w:cs="Times New Roman"/>
      <w:b/>
      <w:bCs/>
      <w:i/>
      <w:iCs/>
      <w:sz w:val="22"/>
      <w:szCs w:val="22"/>
    </w:rPr>
  </w:style>
  <w:style w:type="character" w:customStyle="1" w:styleId="FontStyle12">
    <w:name w:val="Font Style12"/>
    <w:uiPriority w:val="99"/>
    <w:rsid w:val="00811F4A"/>
    <w:rPr>
      <w:rFonts w:ascii="Times New Roman" w:hAnsi="Times New Roman" w:cs="Times New Roman"/>
      <w:b/>
      <w:bCs/>
      <w:sz w:val="22"/>
      <w:szCs w:val="22"/>
    </w:rPr>
  </w:style>
  <w:style w:type="character" w:customStyle="1" w:styleId="FontStyle13">
    <w:name w:val="Font Style13"/>
    <w:uiPriority w:val="99"/>
    <w:rsid w:val="00811F4A"/>
    <w:rPr>
      <w:rFonts w:ascii="Times New Roman" w:hAnsi="Times New Roman" w:cs="Times New Roman"/>
      <w:i/>
      <w:iCs/>
      <w:sz w:val="22"/>
      <w:szCs w:val="22"/>
    </w:rPr>
  </w:style>
  <w:style w:type="character" w:customStyle="1" w:styleId="FontStyle14">
    <w:name w:val="Font Style14"/>
    <w:uiPriority w:val="99"/>
    <w:rsid w:val="00811F4A"/>
    <w:rPr>
      <w:rFonts w:ascii="Times New Roman" w:hAnsi="Times New Roman" w:cs="Times New Roman"/>
      <w:b/>
      <w:bCs/>
      <w:sz w:val="16"/>
      <w:szCs w:val="16"/>
    </w:rPr>
  </w:style>
  <w:style w:type="character" w:customStyle="1" w:styleId="FontStyle15">
    <w:name w:val="Font Style15"/>
    <w:uiPriority w:val="99"/>
    <w:rsid w:val="00811F4A"/>
    <w:rPr>
      <w:rFonts w:ascii="Times New Roman" w:hAnsi="Times New Roman" w:cs="Times New Roman"/>
      <w:sz w:val="22"/>
      <w:szCs w:val="22"/>
    </w:rPr>
  </w:style>
  <w:style w:type="character" w:customStyle="1" w:styleId="UnresolvedMention1">
    <w:name w:val="Unresolved Mention1"/>
    <w:uiPriority w:val="99"/>
    <w:semiHidden/>
    <w:unhideWhenUsed/>
    <w:rsid w:val="00811F4A"/>
    <w:rPr>
      <w:color w:val="605E5C"/>
      <w:shd w:val="clear" w:color="auto" w:fill="E1DFDD"/>
    </w:rPr>
  </w:style>
  <w:style w:type="character" w:styleId="Hipervnculovisitado">
    <w:name w:val="FollowedHyperlink"/>
    <w:uiPriority w:val="99"/>
    <w:semiHidden/>
    <w:unhideWhenUsed/>
    <w:rsid w:val="00811F4A"/>
    <w:rPr>
      <w:color w:val="954F72"/>
      <w:u w:val="single"/>
    </w:rPr>
  </w:style>
  <w:style w:type="table" w:styleId="Tablaconcuadrcula">
    <w:name w:val="Table Grid"/>
    <w:basedOn w:val="Tablanormal"/>
    <w:uiPriority w:val="39"/>
    <w:rsid w:val="008549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B53BBE"/>
    <w:pPr>
      <w:jc w:val="both"/>
    </w:pPr>
    <w:rPr>
      <w:rFonts w:eastAsiaTheme="minorHAnsi"/>
      <w:vertAlign w:val="superscript"/>
      <w:lang w:eastAsia="en-US"/>
    </w:rPr>
  </w:style>
  <w:style w:type="character" w:customStyle="1" w:styleId="PrrafodelistaCar">
    <w:name w:val="Párrafo de lista Car"/>
    <w:aliases w:val="Colorful List - Accent 11 Car,Ha Car,List Paragraph1 Car,lp1 Car,List Paragraph2 Car,Párrafo Car,Numbered Paragraph Car,Bullets Car,titulo 3 Car,BOLADEF Car,BOLA Car,Párrafo de lista21 Car,Guión Car,Titulo 8 Car,HOJA Car,Chulito Car"/>
    <w:link w:val="Prrafodelista"/>
    <w:uiPriority w:val="34"/>
    <w:qFormat/>
    <w:locked/>
    <w:rsid w:val="00B53BBE"/>
    <w:rPr>
      <w:rFonts w:ascii="Times New Roman" w:eastAsia="Times New Roman" w:hAnsi="Times New Roman" w:cs="Times New Roman"/>
      <w:sz w:val="28"/>
      <w:szCs w:val="28"/>
      <w:lang w:val="es-ES" w:eastAsia="es-ES"/>
    </w:rPr>
  </w:style>
  <w:style w:type="character" w:customStyle="1" w:styleId="normaltextrun">
    <w:name w:val="normaltextrun"/>
    <w:basedOn w:val="Fuentedeprrafopredeter"/>
    <w:rsid w:val="00246B00"/>
  </w:style>
  <w:style w:type="character" w:customStyle="1" w:styleId="Ttulo9Car">
    <w:name w:val="Título 9 Car"/>
    <w:basedOn w:val="Fuentedeprrafopredeter"/>
    <w:link w:val="Ttulo9"/>
    <w:uiPriority w:val="9"/>
    <w:semiHidden/>
    <w:rsid w:val="00FA49E5"/>
    <w:rPr>
      <w:rFonts w:eastAsiaTheme="majorEastAsia" w:cstheme="majorBidi"/>
      <w:color w:val="272727" w:themeColor="text1" w:themeTint="D8"/>
      <w:sz w:val="28"/>
      <w:lang w:val="es-ES"/>
    </w:rPr>
  </w:style>
  <w:style w:type="character" w:customStyle="1" w:styleId="Ttulo1Car">
    <w:name w:val="Título 1 Car"/>
    <w:basedOn w:val="Fuentedeprrafopredeter"/>
    <w:link w:val="Ttulo1"/>
    <w:uiPriority w:val="9"/>
    <w:rsid w:val="00FD3717"/>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FD3717"/>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FD3717"/>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FD3717"/>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FD3717"/>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FD371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D371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D3717"/>
    <w:rPr>
      <w:rFonts w:eastAsiaTheme="majorEastAsia" w:cstheme="majorBidi"/>
      <w:i/>
      <w:iCs/>
      <w:color w:val="272727" w:themeColor="text1" w:themeTint="D8"/>
    </w:rPr>
  </w:style>
  <w:style w:type="paragraph" w:styleId="Ttulo">
    <w:name w:val="Title"/>
    <w:basedOn w:val="Normal"/>
    <w:next w:val="Normal"/>
    <w:link w:val="TtuloCar"/>
    <w:uiPriority w:val="10"/>
    <w:qFormat/>
    <w:rsid w:val="00FD371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D371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D3717"/>
    <w:pPr>
      <w:numPr>
        <w:ilvl w:val="1"/>
      </w:numPr>
      <w:spacing w:line="278" w:lineRule="auto"/>
    </w:pPr>
    <w:rPr>
      <w:rFonts w:eastAsiaTheme="majorEastAsia" w:cstheme="majorBidi"/>
      <w:color w:val="595959" w:themeColor="text1" w:themeTint="A6"/>
      <w:spacing w:val="15"/>
      <w:kern w:val="2"/>
      <w:sz w:val="28"/>
      <w:szCs w:val="28"/>
    </w:rPr>
  </w:style>
  <w:style w:type="character" w:customStyle="1" w:styleId="SubttuloCar">
    <w:name w:val="Subtítulo Car"/>
    <w:basedOn w:val="Fuentedeprrafopredeter"/>
    <w:link w:val="Subttulo"/>
    <w:uiPriority w:val="11"/>
    <w:rsid w:val="00FD371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D3717"/>
    <w:pPr>
      <w:spacing w:before="160" w:line="278" w:lineRule="auto"/>
      <w:jc w:val="center"/>
    </w:pPr>
    <w:rPr>
      <w:i/>
      <w:iCs/>
      <w:color w:val="404040" w:themeColor="text1" w:themeTint="BF"/>
      <w:kern w:val="2"/>
    </w:rPr>
  </w:style>
  <w:style w:type="character" w:customStyle="1" w:styleId="CitaCar">
    <w:name w:val="Cita Car"/>
    <w:basedOn w:val="Fuentedeprrafopredeter"/>
    <w:link w:val="Cita"/>
    <w:uiPriority w:val="29"/>
    <w:rsid w:val="00FD3717"/>
    <w:rPr>
      <w:i/>
      <w:iCs/>
      <w:color w:val="404040" w:themeColor="text1" w:themeTint="BF"/>
    </w:rPr>
  </w:style>
  <w:style w:type="character" w:styleId="nfasisintenso">
    <w:name w:val="Intense Emphasis"/>
    <w:basedOn w:val="Fuentedeprrafopredeter"/>
    <w:uiPriority w:val="21"/>
    <w:qFormat/>
    <w:rsid w:val="00FD3717"/>
    <w:rPr>
      <w:i/>
      <w:iCs/>
      <w:color w:val="2E74B5" w:themeColor="accent1" w:themeShade="BF"/>
    </w:rPr>
  </w:style>
  <w:style w:type="paragraph" w:styleId="Citadestacada">
    <w:name w:val="Intense Quote"/>
    <w:basedOn w:val="Normal"/>
    <w:next w:val="Normal"/>
    <w:link w:val="CitadestacadaCar"/>
    <w:uiPriority w:val="30"/>
    <w:qFormat/>
    <w:rsid w:val="00FD3717"/>
    <w:pPr>
      <w:pBdr>
        <w:top w:val="single" w:sz="4" w:space="10" w:color="2E74B5" w:themeColor="accent1" w:themeShade="BF"/>
        <w:bottom w:val="single" w:sz="4" w:space="10" w:color="2E74B5" w:themeColor="accent1" w:themeShade="BF"/>
      </w:pBdr>
      <w:spacing w:before="360" w:after="360" w:line="278" w:lineRule="auto"/>
      <w:ind w:left="864" w:right="864"/>
      <w:jc w:val="center"/>
    </w:pPr>
    <w:rPr>
      <w:i/>
      <w:iCs/>
      <w:color w:val="2E74B5" w:themeColor="accent1" w:themeShade="BF"/>
      <w:kern w:val="2"/>
    </w:rPr>
  </w:style>
  <w:style w:type="character" w:customStyle="1" w:styleId="CitadestacadaCar">
    <w:name w:val="Cita destacada Car"/>
    <w:basedOn w:val="Fuentedeprrafopredeter"/>
    <w:link w:val="Citadestacada"/>
    <w:uiPriority w:val="30"/>
    <w:rsid w:val="00FD3717"/>
    <w:rPr>
      <w:i/>
      <w:iCs/>
      <w:color w:val="2E74B5" w:themeColor="accent1" w:themeShade="BF"/>
    </w:rPr>
  </w:style>
  <w:style w:type="character" w:styleId="Referenciaintensa">
    <w:name w:val="Intense Reference"/>
    <w:basedOn w:val="Fuentedeprrafopredeter"/>
    <w:uiPriority w:val="32"/>
    <w:qFormat/>
    <w:rsid w:val="00FD3717"/>
    <w:rPr>
      <w:b/>
      <w:bCs/>
      <w:smallCaps/>
      <w:color w:val="2E74B5" w:themeColor="accent1" w:themeShade="BF"/>
      <w:spacing w:val="5"/>
    </w:rPr>
  </w:style>
  <w:style w:type="character" w:styleId="Nmerodepgina">
    <w:name w:val="page number"/>
    <w:basedOn w:val="Fuentedeprrafopredeter"/>
    <w:uiPriority w:val="99"/>
    <w:semiHidden/>
    <w:unhideWhenUsed/>
    <w:rsid w:val="009C5828"/>
    <w:rPr>
      <w:rFonts w:cs="Times New Roman"/>
    </w:rPr>
  </w:style>
  <w:style w:type="character" w:styleId="Textodelmarcadordeposicin">
    <w:name w:val="Placeholder Text"/>
    <w:basedOn w:val="Fuentedeprrafopredeter"/>
    <w:uiPriority w:val="99"/>
    <w:semiHidden/>
    <w:rsid w:val="00911B15"/>
    <w:rPr>
      <w:rFonts w:cs="Times New Roman"/>
      <w:color w:val="808080"/>
    </w:rPr>
  </w:style>
  <w:style w:type="paragraph" w:customStyle="1" w:styleId="Refdenotaalpie2">
    <w:name w:val="Ref. de nota al pie2"/>
    <w:aliases w:val="Pie de pagina"/>
    <w:basedOn w:val="Normal"/>
    <w:uiPriority w:val="99"/>
    <w:rsid w:val="00E25678"/>
    <w:pPr>
      <w:spacing w:line="240" w:lineRule="exact"/>
    </w:pPr>
    <w:rPr>
      <w:sz w:val="24"/>
      <w:szCs w:val="24"/>
      <w:vertAlign w:val="superscript"/>
    </w:rPr>
  </w:style>
  <w:style w:type="character" w:customStyle="1" w:styleId="baj">
    <w:name w:val="b_aj"/>
    <w:basedOn w:val="Fuentedeprrafopredeter"/>
    <w:rsid w:val="00092BB8"/>
    <w:rPr>
      <w:rFonts w:cs="Times New Roman"/>
    </w:rPr>
  </w:style>
  <w:style w:type="character" w:styleId="nfasis">
    <w:name w:val="Emphasis"/>
    <w:basedOn w:val="Fuentedeprrafopredeter"/>
    <w:uiPriority w:val="20"/>
    <w:qFormat/>
    <w:rsid w:val="000A7E86"/>
    <w:rPr>
      <w:rFonts w:cs="Times New Roman"/>
      <w:i/>
      <w:iCs/>
    </w:rPr>
  </w:style>
  <w:style w:type="numbering" w:styleId="111111">
    <w:name w:val="Outline List 2"/>
    <w:basedOn w:val="Sinlista"/>
    <w:uiPriority w:val="99"/>
    <w:semiHidden/>
    <w:unhideWhenUsed/>
    <w:pPr>
      <w:numPr>
        <w:numId w:val="8"/>
      </w:numPr>
    </w:pPr>
  </w:style>
  <w:style w:type="character" w:customStyle="1" w:styleId="superscript">
    <w:name w:val="superscript"/>
    <w:basedOn w:val="Fuentedeprrafopredeter"/>
    <w:rsid w:val="00077D0F"/>
  </w:style>
  <w:style w:type="character" w:customStyle="1" w:styleId="eop">
    <w:name w:val="eop"/>
    <w:basedOn w:val="Fuentedeprrafopredeter"/>
    <w:rsid w:val="00077D0F"/>
  </w:style>
  <w:style w:type="paragraph" w:customStyle="1" w:styleId="paragraph">
    <w:name w:val="paragraph"/>
    <w:basedOn w:val="Normal"/>
    <w:rsid w:val="00415F9F"/>
    <w:pPr>
      <w:spacing w:before="100" w:beforeAutospacing="1" w:after="100" w:afterAutospacing="1"/>
    </w:pPr>
    <w:rPr>
      <w:rFonts w:eastAsia="Times New Roman"/>
      <w:szCs w:val="24"/>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bin"/><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bin"/></Relationships>
</file>

<file path=word/_rels/footnotes.xml.rels><?xml version="1.0" encoding="UTF-8" standalone="yes"?>
<Relationships xmlns="http://schemas.openxmlformats.org/package/2006/relationships"><Relationship Id="rId8" Type="http://schemas.openxmlformats.org/officeDocument/2006/relationships/hyperlink" Target="https://colombia.unwomen.org/sites/default/files/2022-11/MyH%20BrechasColombia-NOV5-17Nov%20%284%29.pdf" TargetMode="External"/><Relationship Id="rId13" Type="http://schemas.openxmlformats.org/officeDocument/2006/relationships/hyperlink" Target="https://yogyakartaprinciples.org/preambule-sp/" TargetMode="External"/><Relationship Id="rId3" Type="http://schemas.openxmlformats.org/officeDocument/2006/relationships/hyperlink" Target="https://colombia.unwomen.org/sites/default/files/2022-11/MyH%20BrechasColombia-NOV5-17Nov%20%284%29.pdf" TargetMode="External"/><Relationship Id="rId7" Type="http://schemas.openxmlformats.org/officeDocument/2006/relationships/hyperlink" Target="https://www.dane.gov.co/index.php/estadisticas-por-tema/pobreza-y-condiciones-de-vida/encuesta-nacional-del-uso-del-tiempo-enut" TargetMode="External"/><Relationship Id="rId12" Type="http://schemas.openxmlformats.org/officeDocument/2006/relationships/hyperlink" Target="https://www.funcionpublica.gov.co/informes-de-ley-de-cuotas" TargetMode="External"/><Relationship Id="rId2" Type="http://schemas.openxmlformats.org/officeDocument/2006/relationships/hyperlink" Target="https://www.dane.gov.co/index.php/estadisticas-por-tema/pobreza-y-condiciones-de-vida/encuesta-nacional-del-uso-del-tiempo-enut" TargetMode="External"/><Relationship Id="rId1" Type="http://schemas.openxmlformats.org/officeDocument/2006/relationships/hyperlink" Target="https://www.dane.gov.co/files/investigaciones/genero/publicaciones/mujeres-y-hombre-brechas-de-genero-colombia-informe.pdf" TargetMode="External"/><Relationship Id="rId6" Type="http://schemas.openxmlformats.org/officeDocument/2006/relationships/hyperlink" Target="https://www.dane.gov.co/index.php/estadisticas-por-tema/pobreza-y-condiciones-de-vida/encuesta-nacional-del-uso-del-tiempo-enut" TargetMode="External"/><Relationship Id="rId11" Type="http://schemas.openxmlformats.org/officeDocument/2006/relationships/hyperlink" Target="https://app.powerbi.com/view?r=eyJrIjoiNDA5YmViODItYmJkZS00MTUxLThmNDAtYWEzNWIwNDc3MDVkIiwidCI6IjYyMmNiYTk4LTgwZjgtNDFmMy04ZGY1LThlYjk5OTAxNTk4YiIsImMiOjR9" TargetMode="External"/><Relationship Id="rId5" Type="http://schemas.openxmlformats.org/officeDocument/2006/relationships/hyperlink" Target="https://www.dane.gov.co/files/investigaciones/genero/publicaciones/mujeres-y-hombre-brechas-de-genero-colombia-informe.pdf" TargetMode="External"/><Relationship Id="rId10" Type="http://schemas.openxmlformats.org/officeDocument/2006/relationships/hyperlink" Target="https://repositorio.banrep.gov.co/bitstream/handle/20.500.12134/10049/LBR_2021-05.pdf?sequence=1&amp;isAllowed=y" TargetMode="External"/><Relationship Id="rId4" Type="http://schemas.openxmlformats.org/officeDocument/2006/relationships/hyperlink" Target="https://www.dane.gov.co/index.php/estadisticas-por-tema/pobreza-y-condiciones-de-vida/encuesta-nacional-del-uso-del-tiempo-enut" TargetMode="External"/><Relationship Id="rId9" Type="http://schemas.openxmlformats.org/officeDocument/2006/relationships/hyperlink" Target="https://repositorio.banrep.gov.co/bitstream/handle/20.500.12134/10049/LBR_2021-05.pdf?sequence=1&amp;isAllowed=y"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50512</Words>
  <Characters>277818</Characters>
  <Application>Microsoft Office Word</Application>
  <DocSecurity>0</DocSecurity>
  <Lines>2315</Lines>
  <Paragraphs>655</Paragraphs>
  <ScaleCrop>false</ScaleCrop>
  <Company/>
  <LinksUpToDate>false</LinksUpToDate>
  <CharactersWithSpaces>327675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2025-01-13T20:13:00Z</dcterms:created>
  <dcterms:modified xsi:type="dcterms:W3CDTF">2025-01-13T20:13:00Z</dcterms:modified>
</cp:coreProperties>
</file>