
<file path=[Content_Types].xml><?xml version="1.0" encoding="utf-8"?>
<Types xmlns="http://schemas.openxmlformats.org/package/2006/content-types">
  <Default Extension="bin"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1C9D" w:rsidRPr="003F6DBE" w:rsidRDefault="00017D2C">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3F6DBE">
        <w:rPr>
          <w:rFonts w:ascii="Times New Roman" w:hAnsi="Times New Roman" w:cs="Times New Roman"/>
          <w:sz w:val="28"/>
          <w:szCs w:val="24"/>
        </w:rPr>
        <w:t xml:space="preserve"> </w:t>
      </w:r>
    </w:p>
    <w:p w:rsidR="001D1C9D" w:rsidRPr="003F6DBE" w:rsidRDefault="001D1C9D">
      <w:pPr>
        <w:widowControl w:val="0"/>
        <w:autoSpaceDE w:val="0"/>
        <w:autoSpaceDN w:val="0"/>
        <w:adjustRightInd w:val="0"/>
        <w:spacing w:after="0" w:line="240" w:lineRule="auto"/>
        <w:rPr>
          <w:rFonts w:ascii="Times New Roman" w:hAnsi="Times New Roman" w:cs="Times New Roman"/>
          <w:sz w:val="28"/>
          <w:szCs w:val="28"/>
        </w:rPr>
      </w:pPr>
    </w:p>
    <w:p w:rsidR="001D1C9D" w:rsidRPr="003F6DBE" w:rsidRDefault="00017D2C">
      <w:pPr>
        <w:widowControl w:val="0"/>
        <w:autoSpaceDE w:val="0"/>
        <w:autoSpaceDN w:val="0"/>
        <w:adjustRightInd w:val="0"/>
        <w:spacing w:after="0" w:line="240" w:lineRule="auto"/>
        <w:jc w:val="center"/>
        <w:rPr>
          <w:rFonts w:ascii="Times New Roman" w:hAnsi="Times New Roman" w:cs="Times New Roman"/>
          <w:b/>
          <w:bCs/>
          <w:sz w:val="28"/>
          <w:szCs w:val="28"/>
        </w:rPr>
      </w:pPr>
      <w:r w:rsidRPr="003F6DBE">
        <w:rPr>
          <w:rFonts w:ascii="Times New Roman" w:hAnsi="Times New Roman" w:cs="Times New Roman"/>
          <w:b/>
          <w:bCs/>
          <w:sz w:val="28"/>
          <w:szCs w:val="28"/>
        </w:rPr>
        <w:t xml:space="preserve">TEMAS-SUBTEMAS </w:t>
      </w:r>
    </w:p>
    <w:p w:rsidR="001D1C9D" w:rsidRPr="003F6DBE" w:rsidRDefault="001D1C9D">
      <w:pPr>
        <w:widowControl w:val="0"/>
        <w:autoSpaceDE w:val="0"/>
        <w:autoSpaceDN w:val="0"/>
        <w:adjustRightInd w:val="0"/>
        <w:spacing w:after="0" w:line="240" w:lineRule="auto"/>
        <w:jc w:val="center"/>
        <w:rPr>
          <w:rFonts w:ascii="Times New Roman" w:hAnsi="Times New Roman" w:cs="Times New Roman"/>
          <w:b/>
          <w:bCs/>
          <w:sz w:val="28"/>
          <w:szCs w:val="28"/>
        </w:rPr>
      </w:pPr>
    </w:p>
    <w:p w:rsidR="001D1C9D" w:rsidRPr="003F6DBE" w:rsidRDefault="00017D2C">
      <w:pPr>
        <w:widowControl w:val="0"/>
        <w:autoSpaceDE w:val="0"/>
        <w:autoSpaceDN w:val="0"/>
        <w:adjustRightInd w:val="0"/>
        <w:spacing w:after="0" w:line="240" w:lineRule="auto"/>
        <w:jc w:val="center"/>
        <w:rPr>
          <w:rFonts w:ascii="Times New Roman" w:hAnsi="Times New Roman" w:cs="Times New Roman"/>
          <w:sz w:val="28"/>
          <w:szCs w:val="28"/>
        </w:rPr>
      </w:pPr>
      <w:r w:rsidRPr="003F6DBE">
        <w:rPr>
          <w:rFonts w:ascii="Times New Roman" w:hAnsi="Times New Roman" w:cs="Times New Roman"/>
          <w:b/>
          <w:bCs/>
          <w:sz w:val="28"/>
          <w:szCs w:val="28"/>
        </w:rPr>
        <w:t xml:space="preserve">Sentencia C-137/24 </w:t>
      </w:r>
    </w:p>
    <w:p w:rsidR="001D1C9D" w:rsidRPr="003F6DBE" w:rsidRDefault="001D1C9D">
      <w:pPr>
        <w:widowControl w:val="0"/>
        <w:autoSpaceDE w:val="0"/>
        <w:autoSpaceDN w:val="0"/>
        <w:adjustRightInd w:val="0"/>
        <w:spacing w:after="0" w:line="240" w:lineRule="auto"/>
        <w:jc w:val="both"/>
        <w:rPr>
          <w:rFonts w:ascii="Times New Roman" w:hAnsi="Times New Roman" w:cs="Times New Roman"/>
          <w:sz w:val="28"/>
          <w:szCs w:val="28"/>
        </w:rPr>
      </w:pPr>
    </w:p>
    <w:p w:rsidR="001D1C9D" w:rsidRPr="003F6DBE" w:rsidRDefault="00017D2C">
      <w:pPr>
        <w:widowControl w:val="0"/>
        <w:autoSpaceDE w:val="0"/>
        <w:autoSpaceDN w:val="0"/>
        <w:adjustRightInd w:val="0"/>
        <w:spacing w:after="0" w:line="240" w:lineRule="auto"/>
        <w:jc w:val="both"/>
        <w:rPr>
          <w:rFonts w:ascii="Times New Roman" w:hAnsi="Times New Roman" w:cs="Times New Roman"/>
          <w:sz w:val="28"/>
          <w:szCs w:val="28"/>
        </w:rPr>
      </w:pPr>
      <w:r w:rsidRPr="003F6DBE">
        <w:rPr>
          <w:rFonts w:ascii="Times New Roman" w:hAnsi="Times New Roman" w:cs="Times New Roman"/>
          <w:b/>
          <w:bCs/>
          <w:sz w:val="28"/>
          <w:szCs w:val="28"/>
        </w:rPr>
        <w:t>INHIBICION DE LA CORTE CONSTITUCIONAL POR INEPTITUD SUSTANTIVA DE LA DEMANDA</w:t>
      </w:r>
      <w:r w:rsidRPr="003F6DBE">
        <w:rPr>
          <w:rFonts w:ascii="Times New Roman" w:hAnsi="Times New Roman" w:cs="Times New Roman"/>
          <w:sz w:val="28"/>
          <w:szCs w:val="28"/>
        </w:rPr>
        <w:t xml:space="preserve">-Incumplimiento de requisitos de certeza y suficiencia en los cargos </w:t>
      </w:r>
    </w:p>
    <w:p w:rsidR="001D1C9D" w:rsidRPr="003F6DBE" w:rsidRDefault="001D1C9D">
      <w:pPr>
        <w:widowControl w:val="0"/>
        <w:autoSpaceDE w:val="0"/>
        <w:autoSpaceDN w:val="0"/>
        <w:adjustRightInd w:val="0"/>
        <w:spacing w:after="0" w:line="240" w:lineRule="auto"/>
        <w:jc w:val="both"/>
        <w:rPr>
          <w:rFonts w:ascii="Times New Roman" w:hAnsi="Times New Roman" w:cs="Times New Roman"/>
          <w:sz w:val="28"/>
          <w:szCs w:val="28"/>
        </w:rPr>
      </w:pPr>
    </w:p>
    <w:p w:rsidR="001D1C9D" w:rsidRPr="003F6DBE" w:rsidRDefault="00017D2C">
      <w:pPr>
        <w:widowControl w:val="0"/>
        <w:autoSpaceDE w:val="0"/>
        <w:autoSpaceDN w:val="0"/>
        <w:adjustRightInd w:val="0"/>
        <w:spacing w:after="0" w:line="240" w:lineRule="auto"/>
        <w:jc w:val="both"/>
        <w:rPr>
          <w:rFonts w:ascii="Times New Roman" w:hAnsi="Times New Roman" w:cs="Times New Roman"/>
          <w:sz w:val="28"/>
          <w:szCs w:val="28"/>
        </w:rPr>
      </w:pPr>
      <w:r w:rsidRPr="003F6DBE">
        <w:rPr>
          <w:rFonts w:ascii="Times New Roman" w:hAnsi="Times New Roman" w:cs="Times New Roman"/>
          <w:b/>
          <w:bCs/>
          <w:sz w:val="28"/>
          <w:szCs w:val="28"/>
        </w:rPr>
        <w:t>INHIBICION DE LA CORTE CONSTITUCIONAL POR INEPTITUD SUSTANTIVA DE LA DEMANDA</w:t>
      </w:r>
      <w:r w:rsidRPr="003F6DBE">
        <w:rPr>
          <w:rFonts w:ascii="Times New Roman" w:hAnsi="Times New Roman" w:cs="Times New Roman"/>
          <w:sz w:val="28"/>
          <w:szCs w:val="28"/>
        </w:rPr>
        <w:t xml:space="preserve">-Inexistencia de proposición jurídica completa </w:t>
      </w:r>
    </w:p>
    <w:p w:rsidR="001D1C9D" w:rsidRPr="003F6DBE" w:rsidRDefault="001D1C9D">
      <w:pPr>
        <w:widowControl w:val="0"/>
        <w:autoSpaceDE w:val="0"/>
        <w:autoSpaceDN w:val="0"/>
        <w:adjustRightInd w:val="0"/>
        <w:spacing w:after="0" w:line="240" w:lineRule="auto"/>
        <w:jc w:val="both"/>
        <w:rPr>
          <w:rFonts w:ascii="Times New Roman" w:hAnsi="Times New Roman" w:cs="Times New Roman"/>
          <w:sz w:val="28"/>
          <w:szCs w:val="28"/>
        </w:rPr>
      </w:pPr>
    </w:p>
    <w:p w:rsidR="001D1C9D" w:rsidRPr="003F6DBE" w:rsidRDefault="00017D2C">
      <w:pPr>
        <w:widowControl w:val="0"/>
        <w:autoSpaceDE w:val="0"/>
        <w:autoSpaceDN w:val="0"/>
        <w:adjustRightInd w:val="0"/>
        <w:spacing w:after="0" w:line="240" w:lineRule="auto"/>
        <w:jc w:val="both"/>
        <w:rPr>
          <w:rFonts w:ascii="Times New Roman" w:hAnsi="Times New Roman" w:cs="Times New Roman"/>
          <w:sz w:val="28"/>
          <w:szCs w:val="28"/>
        </w:rPr>
      </w:pPr>
      <w:r w:rsidRPr="003F6DBE">
        <w:rPr>
          <w:rFonts w:ascii="Times New Roman" w:hAnsi="Times New Roman" w:cs="Times New Roman"/>
          <w:b/>
          <w:bCs/>
          <w:sz w:val="28"/>
          <w:szCs w:val="28"/>
        </w:rPr>
        <w:t>CONTROL DE CONSTITUCIONALIDAD DE OMISION LEGISLATIVA RELATIVA</w:t>
      </w:r>
      <w:r w:rsidRPr="003F6DBE">
        <w:rPr>
          <w:rFonts w:ascii="Times New Roman" w:hAnsi="Times New Roman" w:cs="Times New Roman"/>
          <w:sz w:val="28"/>
          <w:szCs w:val="28"/>
        </w:rPr>
        <w:t xml:space="preserve">-Presupuestos para su configuración </w:t>
      </w:r>
    </w:p>
    <w:p w:rsidR="001D1C9D" w:rsidRPr="003F6DBE" w:rsidRDefault="001D1C9D">
      <w:pPr>
        <w:widowControl w:val="0"/>
        <w:autoSpaceDE w:val="0"/>
        <w:autoSpaceDN w:val="0"/>
        <w:adjustRightInd w:val="0"/>
        <w:spacing w:after="0" w:line="240" w:lineRule="auto"/>
        <w:jc w:val="both"/>
        <w:rPr>
          <w:rFonts w:ascii="Times New Roman" w:hAnsi="Times New Roman" w:cs="Times New Roman"/>
          <w:sz w:val="28"/>
          <w:szCs w:val="28"/>
        </w:rPr>
      </w:pPr>
    </w:p>
    <w:p w:rsidR="001D1C9D" w:rsidRPr="003F6DBE" w:rsidRDefault="00017D2C">
      <w:pPr>
        <w:widowControl w:val="0"/>
        <w:autoSpaceDE w:val="0"/>
        <w:autoSpaceDN w:val="0"/>
        <w:adjustRightInd w:val="0"/>
        <w:spacing w:after="0" w:line="240" w:lineRule="auto"/>
        <w:jc w:val="both"/>
        <w:rPr>
          <w:rFonts w:ascii="Times New Roman" w:hAnsi="Times New Roman" w:cs="Times New Roman"/>
          <w:sz w:val="28"/>
          <w:szCs w:val="28"/>
        </w:rPr>
      </w:pPr>
      <w:r w:rsidRPr="003F6DBE">
        <w:rPr>
          <w:rFonts w:ascii="Times New Roman" w:hAnsi="Times New Roman" w:cs="Times New Roman"/>
          <w:b/>
          <w:bCs/>
          <w:sz w:val="28"/>
          <w:szCs w:val="28"/>
        </w:rPr>
        <w:t>COMUNIDAD AFRODESCENDIENTE</w:t>
      </w:r>
      <w:r w:rsidRPr="003F6DBE">
        <w:rPr>
          <w:rFonts w:ascii="Times New Roman" w:hAnsi="Times New Roman" w:cs="Times New Roman"/>
          <w:sz w:val="28"/>
          <w:szCs w:val="28"/>
        </w:rPr>
        <w:t xml:space="preserve">-Reconocimiento y protección constitucional y legal de la diversidad étnica y cultural efectuado por la Constitución y la ley </w:t>
      </w:r>
    </w:p>
    <w:p w:rsidR="001D1C9D" w:rsidRPr="003F6DBE" w:rsidRDefault="001D1C9D">
      <w:pPr>
        <w:widowControl w:val="0"/>
        <w:autoSpaceDE w:val="0"/>
        <w:autoSpaceDN w:val="0"/>
        <w:adjustRightInd w:val="0"/>
        <w:spacing w:after="0" w:line="240" w:lineRule="auto"/>
        <w:jc w:val="both"/>
        <w:rPr>
          <w:rFonts w:ascii="Times New Roman" w:hAnsi="Times New Roman" w:cs="Times New Roman"/>
          <w:sz w:val="28"/>
          <w:szCs w:val="28"/>
        </w:rPr>
      </w:pPr>
    </w:p>
    <w:p w:rsidR="001D1C9D" w:rsidRPr="003F6DBE" w:rsidRDefault="003F6DBE">
      <w:pPr>
        <w:widowControl w:val="0"/>
        <w:autoSpaceDE w:val="0"/>
        <w:autoSpaceDN w:val="0"/>
        <w:adjustRightInd w:val="0"/>
        <w:spacing w:after="0" w:line="240" w:lineRule="auto"/>
        <w:jc w:val="both"/>
        <w:rPr>
          <w:rFonts w:ascii="Times New Roman" w:hAnsi="Times New Roman" w:cs="Times New Roman"/>
          <w:sz w:val="28"/>
        </w:rPr>
      </w:pPr>
      <w:r w:rsidRPr="003F6DBE">
        <w:rPr>
          <w:rFonts w:ascii="Times New Roman" w:hAnsi="Times New Roman" w:cs="Times New Roman"/>
          <w:sz w:val="28"/>
          <w:szCs w:val="28"/>
        </w:rPr>
        <w:pict>
          <v:rect id="_x0000_i1025" style="width:0;height:1.5pt" o:hralign="center" o:hrstd="t" o:hr="t" fillcolor="#a0a0a0" stroked="f"/>
        </w:pict>
      </w:r>
    </w:p>
    <w:p w:rsidR="002A2D4E" w:rsidRPr="003F6DBE" w:rsidRDefault="003F6DBE" w:rsidP="002A2D4E">
      <w:pPr>
        <w:pStyle w:val="Ttulo"/>
        <w:ind w:right="-232"/>
        <w:rPr>
          <w:rFonts w:ascii="Times New Roman" w:hAnsi="Times New Roman" w:cs="Times New Roman"/>
          <w:sz w:val="28"/>
          <w:szCs w:val="28"/>
        </w:rPr>
      </w:pPr>
      <w:r w:rsidRPr="003F6DBE">
        <w:rPr>
          <w:rFonts w:ascii="Times New Roman" w:hAnsi="Times New Roman" w:cs="Times New Roman"/>
          <w:sz w:val="28"/>
          <w:szCs w:val="28"/>
        </w:rPr>
        <w:t>REPUBLICA DE COLOMBIA</w:t>
      </w:r>
    </w:p>
    <w:p w:rsidR="002A2D4E" w:rsidRPr="003F6DBE" w:rsidRDefault="003F6DBE" w:rsidP="002A2D4E">
      <w:pPr>
        <w:spacing w:after="0" w:line="240" w:lineRule="auto"/>
        <w:ind w:right="-232"/>
        <w:jc w:val="center"/>
        <w:rPr>
          <w:rFonts w:ascii="Times New Roman" w:hAnsi="Times New Roman" w:cs="Times New Roman"/>
          <w:b/>
          <w:sz w:val="28"/>
          <w:szCs w:val="28"/>
        </w:rPr>
      </w:pPr>
      <w:r w:rsidRPr="003F6DBE">
        <w:rPr>
          <w:rFonts w:ascii="Times New Roman" w:hAnsi="Times New Roman" w:cs="Times New Roman"/>
          <w:b/>
          <w:bCs/>
          <w:noProof/>
          <w:sz w:val="28"/>
          <w:szCs w:val="28"/>
        </w:rPr>
        <w:drawing>
          <wp:inline distT="0" distB="0" distL="0" distR="0" wp14:anchorId="2E0F66F4" wp14:editId="1FED7ABB">
            <wp:extent cx="792000" cy="792000"/>
            <wp:effectExtent l="0" t="0" r="0" b="0"/>
            <wp:docPr id="1"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2000" cy="792000"/>
                    </a:xfrm>
                    <a:prstGeom prst="rect">
                      <a:avLst/>
                    </a:prstGeom>
                  </pic:spPr>
                </pic:pic>
              </a:graphicData>
            </a:graphic>
          </wp:inline>
        </w:drawing>
      </w:r>
    </w:p>
    <w:p w:rsidR="00692E86" w:rsidRPr="003F6DBE" w:rsidRDefault="003F6DBE" w:rsidP="00322827">
      <w:pPr>
        <w:pStyle w:val="Descripcin"/>
        <w:ind w:right="-232"/>
        <w:outlineLvl w:val="0"/>
        <w:rPr>
          <w:rFonts w:ascii="Times New Roman" w:hAnsi="Times New Roman" w:cs="Times New Roman"/>
          <w:sz w:val="28"/>
          <w:szCs w:val="28"/>
          <w:lang w:val="pt-PT"/>
        </w:rPr>
      </w:pPr>
      <w:r w:rsidRPr="003F6DBE">
        <w:rPr>
          <w:rFonts w:ascii="Times New Roman" w:hAnsi="Times New Roman" w:cs="Times New Roman"/>
          <w:sz w:val="28"/>
          <w:szCs w:val="28"/>
          <w:lang w:val="pt-PT"/>
        </w:rPr>
        <w:t>Corte Constitucional</w:t>
      </w:r>
    </w:p>
    <w:p w:rsidR="00322827" w:rsidRPr="003F6DBE" w:rsidRDefault="003F6DBE" w:rsidP="00322827">
      <w:pPr>
        <w:rPr>
          <w:rFonts w:ascii="Times New Roman" w:hAnsi="Times New Roman" w:cs="Times New Roman"/>
          <w:sz w:val="28"/>
          <w:lang w:val="pt-PT" w:eastAsia="es-ES"/>
        </w:rPr>
      </w:pPr>
    </w:p>
    <w:p w:rsidR="00692E86" w:rsidRPr="003F6DBE" w:rsidRDefault="003F6DBE" w:rsidP="00692E86">
      <w:pPr>
        <w:jc w:val="center"/>
        <w:rPr>
          <w:rFonts w:ascii="Times New Roman" w:hAnsi="Times New Roman" w:cs="Times New Roman"/>
          <w:b/>
          <w:bCs/>
          <w:sz w:val="28"/>
          <w:lang w:val="pt-PT" w:eastAsia="es-ES"/>
        </w:rPr>
      </w:pPr>
      <w:r w:rsidRPr="003F6DBE">
        <w:rPr>
          <w:rFonts w:ascii="Times New Roman" w:hAnsi="Times New Roman" w:cs="Times New Roman"/>
          <w:b/>
          <w:bCs/>
          <w:sz w:val="28"/>
          <w:lang w:val="pt-PT" w:eastAsia="es-ES"/>
        </w:rPr>
        <w:t>Sentencia C-137 de 2024</w:t>
      </w:r>
    </w:p>
    <w:p w:rsidR="002A2D4E" w:rsidRPr="003F6DBE" w:rsidRDefault="003F6DBE" w:rsidP="002A2D4E">
      <w:pPr>
        <w:spacing w:after="0" w:line="240" w:lineRule="auto"/>
        <w:ind w:right="-232"/>
        <w:jc w:val="both"/>
        <w:rPr>
          <w:rFonts w:ascii="Times New Roman" w:hAnsi="Times New Roman" w:cs="Times New Roman"/>
          <w:b/>
          <w:sz w:val="28"/>
          <w:szCs w:val="28"/>
          <w:lang w:val="pt-PT"/>
        </w:rPr>
      </w:pPr>
    </w:p>
    <w:p w:rsidR="002A2D4E" w:rsidRPr="003F6DBE" w:rsidRDefault="003F6DBE" w:rsidP="002A2D4E">
      <w:pPr>
        <w:spacing w:after="0" w:line="240" w:lineRule="auto"/>
        <w:ind w:left="3960" w:right="-232"/>
        <w:jc w:val="both"/>
        <w:rPr>
          <w:rFonts w:ascii="Times New Roman" w:eastAsia="Times New Roman" w:hAnsi="Times New Roman" w:cs="Times New Roman"/>
          <w:b/>
          <w:bCs/>
          <w:sz w:val="28"/>
          <w:szCs w:val="28"/>
          <w:lang w:eastAsia="zh-CN"/>
        </w:rPr>
      </w:pPr>
      <w:r w:rsidRPr="003F6DBE">
        <w:rPr>
          <w:rFonts w:ascii="Times New Roman" w:eastAsia="Times New Roman" w:hAnsi="Times New Roman" w:cs="Times New Roman"/>
          <w:b/>
          <w:sz w:val="28"/>
          <w:szCs w:val="28"/>
          <w:lang w:eastAsia="zh-CN"/>
        </w:rPr>
        <w:t>Expediente</w:t>
      </w:r>
      <w:r w:rsidRPr="003F6DBE">
        <w:rPr>
          <w:rFonts w:ascii="Times New Roman" w:eastAsia="Times New Roman" w:hAnsi="Times New Roman" w:cs="Times New Roman"/>
          <w:bCs/>
          <w:sz w:val="28"/>
          <w:szCs w:val="28"/>
          <w:lang w:eastAsia="zh-CN"/>
        </w:rPr>
        <w:t>:</w:t>
      </w:r>
      <w:r w:rsidRPr="003F6DBE">
        <w:rPr>
          <w:rFonts w:ascii="Times New Roman" w:eastAsia="Times New Roman" w:hAnsi="Times New Roman" w:cs="Times New Roman"/>
          <w:b/>
          <w:bCs/>
          <w:sz w:val="28"/>
          <w:szCs w:val="28"/>
          <w:lang w:eastAsia="zh-CN"/>
        </w:rPr>
        <w:t xml:space="preserve"> </w:t>
      </w:r>
      <w:r w:rsidRPr="003F6DBE">
        <w:rPr>
          <w:rFonts w:ascii="Times New Roman" w:eastAsia="Times New Roman" w:hAnsi="Times New Roman" w:cs="Times New Roman"/>
          <w:bCs/>
          <w:sz w:val="28"/>
          <w:szCs w:val="28"/>
          <w:lang w:eastAsia="zh-CN"/>
        </w:rPr>
        <w:t>D-1</w:t>
      </w:r>
      <w:r w:rsidRPr="003F6DBE">
        <w:rPr>
          <w:rFonts w:ascii="Times New Roman" w:eastAsia="Times New Roman" w:hAnsi="Times New Roman" w:cs="Times New Roman"/>
          <w:bCs/>
          <w:sz w:val="28"/>
          <w:szCs w:val="28"/>
          <w:lang w:eastAsia="zh-CN"/>
        </w:rPr>
        <w:t>5260</w:t>
      </w:r>
    </w:p>
    <w:p w:rsidR="002A2D4E" w:rsidRPr="003F6DBE" w:rsidRDefault="003F6DBE" w:rsidP="007C237B">
      <w:pPr>
        <w:spacing w:after="0" w:line="240" w:lineRule="auto"/>
        <w:ind w:left="3960" w:right="49"/>
        <w:jc w:val="both"/>
        <w:rPr>
          <w:rFonts w:ascii="Times New Roman" w:eastAsia="Times New Roman" w:hAnsi="Times New Roman" w:cs="Times New Roman"/>
          <w:b/>
          <w:bCs/>
          <w:sz w:val="28"/>
          <w:szCs w:val="28"/>
          <w:lang w:eastAsia="zh-CN"/>
        </w:rPr>
      </w:pPr>
    </w:p>
    <w:p w:rsidR="002A2D4E" w:rsidRPr="003F6DBE" w:rsidRDefault="003F6DBE" w:rsidP="007C237B">
      <w:pPr>
        <w:spacing w:after="0" w:line="240" w:lineRule="auto"/>
        <w:ind w:left="3960" w:right="49"/>
        <w:jc w:val="both"/>
        <w:rPr>
          <w:rFonts w:ascii="Times New Roman" w:eastAsia="Times New Roman" w:hAnsi="Times New Roman" w:cs="Times New Roman"/>
          <w:bCs/>
          <w:sz w:val="28"/>
          <w:szCs w:val="28"/>
          <w:lang w:eastAsia="zh-CN"/>
        </w:rPr>
      </w:pPr>
      <w:r w:rsidRPr="003F6DBE">
        <w:rPr>
          <w:rFonts w:ascii="Times New Roman" w:eastAsia="Times New Roman" w:hAnsi="Times New Roman" w:cs="Times New Roman"/>
          <w:bCs/>
          <w:sz w:val="28"/>
          <w:szCs w:val="28"/>
          <w:lang w:eastAsia="zh-CN"/>
        </w:rPr>
        <w:t>Demanda de inconstitucionalidad contra el artículo 5 (parcial);</w:t>
      </w:r>
      <w:r w:rsidRPr="003F6DBE">
        <w:rPr>
          <w:rFonts w:ascii="Times New Roman" w:eastAsia="Times New Roman" w:hAnsi="Times New Roman" w:cs="Times New Roman"/>
          <w:bCs/>
          <w:sz w:val="28"/>
          <w:szCs w:val="28"/>
          <w:lang w:eastAsia="zh-CN"/>
        </w:rPr>
        <w:t xml:space="preserve"> el</w:t>
      </w:r>
      <w:r w:rsidRPr="003F6DBE">
        <w:rPr>
          <w:rFonts w:ascii="Times New Roman" w:eastAsia="Times New Roman" w:hAnsi="Times New Roman" w:cs="Times New Roman"/>
          <w:bCs/>
          <w:sz w:val="28"/>
          <w:szCs w:val="28"/>
          <w:lang w:eastAsia="zh-CN"/>
        </w:rPr>
        <w:t xml:space="preserve"> parágrafo 2 del artículo 7 (parcial); </w:t>
      </w:r>
      <w:r w:rsidRPr="003F6DBE">
        <w:rPr>
          <w:rFonts w:ascii="Times New Roman" w:eastAsia="Times New Roman" w:hAnsi="Times New Roman" w:cs="Times New Roman"/>
          <w:bCs/>
          <w:sz w:val="28"/>
          <w:szCs w:val="28"/>
          <w:lang w:eastAsia="zh-CN"/>
        </w:rPr>
        <w:t xml:space="preserve">el </w:t>
      </w:r>
      <w:r w:rsidRPr="003F6DBE">
        <w:rPr>
          <w:rFonts w:ascii="Times New Roman" w:eastAsia="Times New Roman" w:hAnsi="Times New Roman" w:cs="Times New Roman"/>
          <w:bCs/>
          <w:sz w:val="28"/>
          <w:szCs w:val="28"/>
          <w:lang w:eastAsia="zh-CN"/>
        </w:rPr>
        <w:t xml:space="preserve">artículo 8 (parcial) y </w:t>
      </w:r>
      <w:r w:rsidRPr="003F6DBE">
        <w:rPr>
          <w:rFonts w:ascii="Times New Roman" w:eastAsia="Times New Roman" w:hAnsi="Times New Roman" w:cs="Times New Roman"/>
          <w:bCs/>
          <w:sz w:val="28"/>
          <w:szCs w:val="28"/>
          <w:lang w:eastAsia="zh-CN"/>
        </w:rPr>
        <w:t xml:space="preserve">el </w:t>
      </w:r>
      <w:r w:rsidRPr="003F6DBE">
        <w:rPr>
          <w:rFonts w:ascii="Times New Roman" w:eastAsia="Times New Roman" w:hAnsi="Times New Roman" w:cs="Times New Roman"/>
          <w:bCs/>
          <w:sz w:val="28"/>
          <w:szCs w:val="28"/>
          <w:lang w:eastAsia="zh-CN"/>
        </w:rPr>
        <w:t>artículo 10 (parcial) de la Ley 191 de 1995 “</w:t>
      </w:r>
      <w:r w:rsidRPr="003F6DBE">
        <w:rPr>
          <w:rFonts w:ascii="Times New Roman" w:eastAsia="Times New Roman" w:hAnsi="Times New Roman" w:cs="Times New Roman"/>
          <w:bCs/>
          <w:i/>
          <w:iCs/>
          <w:sz w:val="28"/>
          <w:szCs w:val="28"/>
          <w:lang w:eastAsia="zh-CN"/>
        </w:rPr>
        <w:t>Por medio de la cual se dictan disposiciones sobre Zonas de Frontera</w:t>
      </w:r>
      <w:r w:rsidRPr="003F6DBE">
        <w:rPr>
          <w:rFonts w:ascii="Times New Roman" w:eastAsia="Times New Roman" w:hAnsi="Times New Roman" w:cs="Times New Roman"/>
          <w:bCs/>
          <w:sz w:val="28"/>
          <w:szCs w:val="28"/>
          <w:lang w:eastAsia="zh-CN"/>
        </w:rPr>
        <w:t>".</w:t>
      </w:r>
    </w:p>
    <w:p w:rsidR="00855BF1" w:rsidRPr="003F6DBE" w:rsidRDefault="003F6DBE" w:rsidP="007C237B">
      <w:pPr>
        <w:spacing w:after="0" w:line="240" w:lineRule="auto"/>
        <w:ind w:left="3960" w:right="49"/>
        <w:jc w:val="both"/>
        <w:rPr>
          <w:rFonts w:ascii="Times New Roman" w:eastAsia="Times New Roman" w:hAnsi="Times New Roman" w:cs="Times New Roman"/>
          <w:bCs/>
          <w:sz w:val="28"/>
          <w:szCs w:val="28"/>
          <w:lang w:eastAsia="zh-CN"/>
        </w:rPr>
      </w:pPr>
    </w:p>
    <w:p w:rsidR="00855BF1" w:rsidRPr="003F6DBE" w:rsidRDefault="003F6DBE" w:rsidP="007C237B">
      <w:pPr>
        <w:spacing w:after="0" w:line="240" w:lineRule="auto"/>
        <w:ind w:left="3960" w:right="49"/>
        <w:jc w:val="both"/>
        <w:rPr>
          <w:rFonts w:ascii="Times New Roman" w:hAnsi="Times New Roman" w:cs="Times New Roman"/>
          <w:sz w:val="28"/>
        </w:rPr>
      </w:pPr>
      <w:r w:rsidRPr="003F6DBE">
        <w:rPr>
          <w:rFonts w:ascii="Times New Roman" w:hAnsi="Times New Roman" w:cs="Times New Roman"/>
          <w:b/>
          <w:bCs/>
          <w:sz w:val="28"/>
        </w:rPr>
        <w:t>Demandantes:</w:t>
      </w:r>
      <w:r w:rsidRPr="003F6DBE">
        <w:rPr>
          <w:rFonts w:ascii="Times New Roman" w:hAnsi="Times New Roman" w:cs="Times New Roman"/>
          <w:sz w:val="28"/>
        </w:rPr>
        <w:t xml:space="preserve"> Libardo José Ariza Higuera, Ramiro Rodríguez Padilla y Jeison Eduardo Palacios.</w:t>
      </w:r>
    </w:p>
    <w:p w:rsidR="00855BF1" w:rsidRPr="003F6DBE" w:rsidRDefault="003F6DBE" w:rsidP="007C237B">
      <w:pPr>
        <w:spacing w:after="0" w:line="240" w:lineRule="auto"/>
        <w:ind w:left="3960" w:right="49"/>
        <w:jc w:val="both"/>
        <w:rPr>
          <w:rFonts w:ascii="Times New Roman" w:eastAsia="Times New Roman" w:hAnsi="Times New Roman" w:cs="Times New Roman"/>
          <w:bCs/>
          <w:sz w:val="28"/>
          <w:szCs w:val="28"/>
          <w:lang w:eastAsia="zh-CN"/>
        </w:rPr>
      </w:pPr>
    </w:p>
    <w:p w:rsidR="002A2D4E" w:rsidRPr="003F6DBE" w:rsidRDefault="003F6DBE" w:rsidP="007C237B">
      <w:pPr>
        <w:spacing w:after="0" w:line="240" w:lineRule="auto"/>
        <w:ind w:left="3960" w:right="49"/>
        <w:jc w:val="both"/>
        <w:rPr>
          <w:rFonts w:ascii="Times New Roman" w:eastAsia="Times New Roman" w:hAnsi="Times New Roman" w:cs="Times New Roman"/>
          <w:b/>
          <w:sz w:val="28"/>
          <w:szCs w:val="28"/>
          <w:lang w:eastAsia="zh-CN"/>
        </w:rPr>
      </w:pPr>
      <w:r w:rsidRPr="003F6DBE">
        <w:rPr>
          <w:rFonts w:ascii="Times New Roman" w:eastAsia="Times New Roman" w:hAnsi="Times New Roman" w:cs="Times New Roman"/>
          <w:b/>
          <w:sz w:val="28"/>
          <w:szCs w:val="28"/>
          <w:lang w:eastAsia="zh-CN"/>
        </w:rPr>
        <w:t xml:space="preserve">Magistrado </w:t>
      </w:r>
      <w:r w:rsidRPr="003F6DBE">
        <w:rPr>
          <w:rFonts w:ascii="Times New Roman" w:eastAsia="Times New Roman" w:hAnsi="Times New Roman" w:cs="Times New Roman"/>
          <w:b/>
          <w:sz w:val="28"/>
          <w:szCs w:val="28"/>
          <w:lang w:eastAsia="zh-CN"/>
        </w:rPr>
        <w:t>p</w:t>
      </w:r>
      <w:r w:rsidRPr="003F6DBE">
        <w:rPr>
          <w:rFonts w:ascii="Times New Roman" w:eastAsia="Times New Roman" w:hAnsi="Times New Roman" w:cs="Times New Roman"/>
          <w:b/>
          <w:sz w:val="28"/>
          <w:szCs w:val="28"/>
          <w:lang w:eastAsia="zh-CN"/>
        </w:rPr>
        <w:t>onente</w:t>
      </w:r>
      <w:r w:rsidRPr="003F6DBE">
        <w:rPr>
          <w:rFonts w:ascii="Times New Roman" w:eastAsia="Times New Roman" w:hAnsi="Times New Roman" w:cs="Times New Roman"/>
          <w:b/>
          <w:sz w:val="28"/>
          <w:szCs w:val="28"/>
          <w:lang w:eastAsia="zh-CN"/>
        </w:rPr>
        <w:t>:</w:t>
      </w:r>
    </w:p>
    <w:p w:rsidR="002A2D4E" w:rsidRPr="003F6DBE" w:rsidRDefault="003F6DBE" w:rsidP="007C237B">
      <w:pPr>
        <w:spacing w:after="0" w:line="240" w:lineRule="auto"/>
        <w:ind w:left="3960" w:right="49"/>
        <w:jc w:val="both"/>
        <w:rPr>
          <w:rFonts w:ascii="Times New Roman" w:eastAsia="Times New Roman" w:hAnsi="Times New Roman" w:cs="Times New Roman"/>
          <w:sz w:val="28"/>
          <w:szCs w:val="28"/>
          <w:lang w:eastAsia="zh-CN"/>
        </w:rPr>
      </w:pPr>
      <w:r w:rsidRPr="003F6DBE">
        <w:rPr>
          <w:rFonts w:ascii="Times New Roman" w:eastAsia="Times New Roman" w:hAnsi="Times New Roman" w:cs="Times New Roman"/>
          <w:sz w:val="28"/>
          <w:szCs w:val="28"/>
          <w:lang w:eastAsia="zh-CN"/>
        </w:rPr>
        <w:t>VLADIMIR FERNÁNDEZ ANDRADE</w:t>
      </w:r>
    </w:p>
    <w:p w:rsidR="00B449C8" w:rsidRPr="003F6DBE" w:rsidRDefault="003F6DBE" w:rsidP="007C237B">
      <w:pPr>
        <w:spacing w:after="0" w:line="240" w:lineRule="auto"/>
        <w:ind w:left="3960" w:right="49"/>
        <w:jc w:val="both"/>
        <w:rPr>
          <w:rFonts w:ascii="Times New Roman" w:eastAsia="Times New Roman" w:hAnsi="Times New Roman" w:cs="Times New Roman"/>
          <w:sz w:val="28"/>
          <w:szCs w:val="28"/>
          <w:lang w:eastAsia="zh-CN"/>
        </w:rPr>
      </w:pPr>
    </w:p>
    <w:p w:rsidR="00B449C8" w:rsidRPr="003F6DBE" w:rsidRDefault="003F6DBE" w:rsidP="00B449C8">
      <w:pPr>
        <w:spacing w:after="0" w:line="240" w:lineRule="auto"/>
        <w:ind w:right="-232"/>
        <w:jc w:val="both"/>
        <w:rPr>
          <w:rFonts w:ascii="Times New Roman" w:hAnsi="Times New Roman" w:cs="Times New Roman"/>
          <w:sz w:val="28"/>
          <w:szCs w:val="28"/>
        </w:rPr>
      </w:pPr>
      <w:r w:rsidRPr="003F6DBE">
        <w:rPr>
          <w:rFonts w:ascii="Times New Roman" w:hAnsi="Times New Roman" w:cs="Times New Roman"/>
          <w:sz w:val="28"/>
          <w:szCs w:val="28"/>
        </w:rPr>
        <w:t xml:space="preserve">Bogotá, </w:t>
      </w:r>
      <w:r w:rsidRPr="003F6DBE">
        <w:rPr>
          <w:rFonts w:ascii="Times New Roman" w:hAnsi="Times New Roman" w:cs="Times New Roman"/>
          <w:sz w:val="28"/>
          <w:szCs w:val="28"/>
        </w:rPr>
        <w:t xml:space="preserve">veinticuatro </w:t>
      </w:r>
      <w:r w:rsidRPr="003F6DBE">
        <w:rPr>
          <w:rFonts w:ascii="Times New Roman" w:hAnsi="Times New Roman" w:cs="Times New Roman"/>
          <w:sz w:val="28"/>
          <w:szCs w:val="28"/>
        </w:rPr>
        <w:t>(</w:t>
      </w:r>
      <w:r w:rsidRPr="003F6DBE">
        <w:rPr>
          <w:rFonts w:ascii="Times New Roman" w:hAnsi="Times New Roman" w:cs="Times New Roman"/>
          <w:sz w:val="28"/>
          <w:szCs w:val="28"/>
        </w:rPr>
        <w:t>24</w:t>
      </w:r>
      <w:r w:rsidRPr="003F6DBE">
        <w:rPr>
          <w:rFonts w:ascii="Times New Roman" w:hAnsi="Times New Roman" w:cs="Times New Roman"/>
          <w:sz w:val="28"/>
          <w:szCs w:val="28"/>
        </w:rPr>
        <w:t>) de abril de dos mil veinticuatro (2024).</w:t>
      </w:r>
    </w:p>
    <w:p w:rsidR="000906D5" w:rsidRPr="003F6DBE" w:rsidRDefault="003F6DBE" w:rsidP="000906D5">
      <w:pPr>
        <w:spacing w:before="100" w:beforeAutospacing="1" w:after="100" w:afterAutospacing="1" w:line="240" w:lineRule="auto"/>
        <w:jc w:val="both"/>
        <w:rPr>
          <w:rFonts w:ascii="Times New Roman" w:eastAsia="Times New Roman" w:hAnsi="Times New Roman" w:cs="Times New Roman"/>
          <w:sz w:val="28"/>
          <w:szCs w:val="28"/>
        </w:rPr>
      </w:pPr>
      <w:r w:rsidRPr="003F6DBE">
        <w:rPr>
          <w:rFonts w:ascii="Times New Roman" w:eastAsia="Times New Roman" w:hAnsi="Times New Roman" w:cs="Times New Roman"/>
          <w:sz w:val="28"/>
          <w:szCs w:val="28"/>
        </w:rPr>
        <w:t>La Sala Plena de la Corte Constitucional, en ejercicio de sus atribuciones constitucionales, y de conformidad con los requisitos y trámites previstos por</w:t>
      </w:r>
      <w:r w:rsidRPr="003F6DBE">
        <w:rPr>
          <w:rFonts w:ascii="Times New Roman" w:eastAsia="Times New Roman" w:hAnsi="Times New Roman" w:cs="Times New Roman"/>
          <w:sz w:val="28"/>
          <w:szCs w:val="28"/>
        </w:rPr>
        <w:t xml:space="preserve"> el Decreto 2067 de 1991, profiere la siguiente:</w:t>
      </w:r>
    </w:p>
    <w:p w:rsidR="0082636A" w:rsidRPr="003F6DBE" w:rsidRDefault="003F6DBE" w:rsidP="000906D5">
      <w:pPr>
        <w:spacing w:before="100" w:beforeAutospacing="1" w:after="100" w:afterAutospacing="1" w:line="240" w:lineRule="auto"/>
        <w:jc w:val="center"/>
        <w:rPr>
          <w:rFonts w:ascii="Times New Roman" w:eastAsia="Times New Roman" w:hAnsi="Times New Roman" w:cs="Times New Roman"/>
          <w:b/>
          <w:bCs/>
          <w:sz w:val="28"/>
          <w:szCs w:val="28"/>
        </w:rPr>
      </w:pPr>
      <w:r w:rsidRPr="003F6DBE">
        <w:rPr>
          <w:rFonts w:ascii="Times New Roman" w:eastAsia="Times New Roman" w:hAnsi="Times New Roman" w:cs="Times New Roman"/>
          <w:b/>
          <w:bCs/>
          <w:sz w:val="28"/>
          <w:szCs w:val="28"/>
        </w:rPr>
        <w:t>SENTENCIA</w:t>
      </w:r>
    </w:p>
    <w:p w:rsidR="00322827" w:rsidRPr="003F6DBE" w:rsidRDefault="003F6DBE" w:rsidP="00322827">
      <w:pPr>
        <w:spacing w:line="240" w:lineRule="auto"/>
        <w:jc w:val="both"/>
        <w:rPr>
          <w:rFonts w:ascii="Times New Roman" w:hAnsi="Times New Roman" w:cs="Times New Roman"/>
          <w:sz w:val="28"/>
          <w:szCs w:val="28"/>
          <w:highlight w:val="cyan"/>
        </w:rPr>
      </w:pPr>
      <w:r w:rsidRPr="003F6DBE">
        <w:rPr>
          <w:rFonts w:ascii="Times New Roman" w:hAnsi="Times New Roman" w:cs="Times New Roman"/>
          <w:b/>
          <w:bCs/>
          <w:sz w:val="28"/>
          <w:szCs w:val="28"/>
        </w:rPr>
        <w:t xml:space="preserve">Síntesis de la decisión: </w:t>
      </w:r>
      <w:r w:rsidRPr="003F6DBE">
        <w:rPr>
          <w:rFonts w:ascii="Times New Roman" w:hAnsi="Times New Roman" w:cs="Times New Roman"/>
          <w:sz w:val="28"/>
          <w:szCs w:val="28"/>
        </w:rPr>
        <w:t>La Corte Constitucional declar</w:t>
      </w:r>
      <w:r w:rsidRPr="003F6DBE">
        <w:rPr>
          <w:rFonts w:ascii="Times New Roman" w:hAnsi="Times New Roman" w:cs="Times New Roman"/>
          <w:sz w:val="28"/>
          <w:szCs w:val="28"/>
        </w:rPr>
        <w:t>ó</w:t>
      </w:r>
      <w:r w:rsidRPr="003F6DBE">
        <w:rPr>
          <w:rFonts w:ascii="Times New Roman" w:hAnsi="Times New Roman" w:cs="Times New Roman"/>
          <w:sz w:val="28"/>
          <w:szCs w:val="28"/>
        </w:rPr>
        <w:t xml:space="preserve"> la</w:t>
      </w:r>
      <w:r w:rsidRPr="003F6DBE">
        <w:rPr>
          <w:rFonts w:ascii="Times New Roman" w:hAnsi="Times New Roman" w:cs="Times New Roman"/>
          <w:sz w:val="28"/>
          <w:szCs w:val="28"/>
        </w:rPr>
        <w:t xml:space="preserve"> ineptitud sustantiva de la demanda tras advertir que </w:t>
      </w:r>
      <w:r w:rsidRPr="003F6DBE">
        <w:rPr>
          <w:rFonts w:ascii="Times New Roman" w:eastAsiaTheme="minorHAnsi" w:hAnsi="Times New Roman" w:cs="Times New Roman"/>
          <w:sz w:val="28"/>
        </w:rPr>
        <w:t xml:space="preserve">no se había integrado la proposición jurídica completa y de que, en realidad, la </w:t>
      </w:r>
      <w:r w:rsidRPr="003F6DBE">
        <w:rPr>
          <w:rFonts w:ascii="Times New Roman" w:eastAsiaTheme="minorHAnsi" w:hAnsi="Times New Roman" w:cs="Times New Roman"/>
          <w:sz w:val="28"/>
        </w:rPr>
        <w:t>expresión demandada, esto es la palabra “</w:t>
      </w:r>
      <w:r w:rsidRPr="003F6DBE">
        <w:rPr>
          <w:rFonts w:ascii="Times New Roman" w:eastAsiaTheme="minorHAnsi" w:hAnsi="Times New Roman" w:cs="Times New Roman"/>
          <w:i/>
          <w:iCs/>
          <w:sz w:val="28"/>
        </w:rPr>
        <w:t>indígenas</w:t>
      </w:r>
      <w:r w:rsidRPr="003F6DBE">
        <w:rPr>
          <w:rFonts w:ascii="Times New Roman" w:eastAsiaTheme="minorHAnsi" w:hAnsi="Times New Roman" w:cs="Times New Roman"/>
          <w:sz w:val="28"/>
        </w:rPr>
        <w:t>”, no contenía una regla de derecho susceptible de ser controlada mediante la acción pública de inconstitucionalidad. Si bien de manera excepcional la Corte Constitucional ha integrado algunas expresiones p</w:t>
      </w:r>
      <w:r w:rsidRPr="003F6DBE">
        <w:rPr>
          <w:rFonts w:ascii="Times New Roman" w:eastAsiaTheme="minorHAnsi" w:hAnsi="Times New Roman" w:cs="Times New Roman"/>
          <w:sz w:val="28"/>
        </w:rPr>
        <w:t>ara evitar decisiones inhibitorias, como así se explicó en la sentencia C-495 de 2019</w:t>
      </w:r>
      <w:r w:rsidRPr="003F6DBE">
        <w:rPr>
          <w:rStyle w:val="Refdenotaalpie"/>
          <w:rFonts w:ascii="Times New Roman" w:eastAsiaTheme="minorHAnsi" w:hAnsi="Times New Roman"/>
          <w:sz w:val="28"/>
        </w:rPr>
        <w:footnoteReference w:id="1"/>
      </w:r>
      <w:r w:rsidRPr="003F6DBE">
        <w:rPr>
          <w:rFonts w:ascii="Times New Roman" w:eastAsiaTheme="minorHAnsi" w:hAnsi="Times New Roman" w:cs="Times New Roman"/>
          <w:sz w:val="28"/>
        </w:rPr>
        <w:t>, en este caso no se consideró viable proceder a ello tras encontrar que, además, se presentó una discusión particular sobre la aptitud sustantiva de la demanda en relaci</w:t>
      </w:r>
      <w:r w:rsidRPr="003F6DBE">
        <w:rPr>
          <w:rFonts w:ascii="Times New Roman" w:eastAsiaTheme="minorHAnsi" w:hAnsi="Times New Roman" w:cs="Times New Roman"/>
          <w:sz w:val="28"/>
        </w:rPr>
        <w:t xml:space="preserve">ón con la comunidad raizal. </w:t>
      </w:r>
    </w:p>
    <w:p w:rsidR="00322827" w:rsidRPr="003F6DBE" w:rsidRDefault="003F6DBE" w:rsidP="00322827">
      <w:pPr>
        <w:pStyle w:val="Prrafodelista"/>
        <w:spacing w:line="240" w:lineRule="auto"/>
        <w:ind w:left="0"/>
        <w:jc w:val="both"/>
        <w:rPr>
          <w:rFonts w:ascii="Times New Roman" w:eastAsiaTheme="minorHAnsi" w:hAnsi="Times New Roman" w:cs="Times New Roman"/>
          <w:sz w:val="28"/>
        </w:rPr>
      </w:pPr>
      <w:r w:rsidRPr="003F6DBE">
        <w:rPr>
          <w:rFonts w:ascii="Times New Roman" w:eastAsiaTheme="minorHAnsi" w:hAnsi="Times New Roman" w:cs="Times New Roman"/>
          <w:sz w:val="28"/>
        </w:rPr>
        <w:t>En concreto, concluyó la Sala Plena que, pese a que ningún interviniente cuestionó este asunto, los demandantes deb</w:t>
      </w:r>
      <w:r w:rsidRPr="003F6DBE">
        <w:rPr>
          <w:rFonts w:ascii="Times New Roman" w:eastAsiaTheme="minorHAnsi" w:hAnsi="Times New Roman" w:cs="Times New Roman"/>
          <w:sz w:val="28"/>
        </w:rPr>
        <w:t>ieron</w:t>
      </w:r>
      <w:r w:rsidRPr="003F6DBE">
        <w:rPr>
          <w:rFonts w:ascii="Times New Roman" w:eastAsiaTheme="minorHAnsi" w:hAnsi="Times New Roman" w:cs="Times New Roman"/>
          <w:sz w:val="28"/>
        </w:rPr>
        <w:t xml:space="preserve"> sustentar de mejor manera la existencia de una omisión legislativa relativa, por cuenta de que el artículo</w:t>
      </w:r>
      <w:r w:rsidRPr="003F6DBE">
        <w:rPr>
          <w:rFonts w:ascii="Times New Roman" w:eastAsiaTheme="minorHAnsi" w:hAnsi="Times New Roman" w:cs="Times New Roman"/>
          <w:sz w:val="28"/>
        </w:rPr>
        <w:t xml:space="preserve"> 53 de la Ley 191 de 1995, que no se integró al análisis de los cargos, dispone lo siguiente: “[l]</w:t>
      </w:r>
      <w:r w:rsidRPr="003F6DBE">
        <w:rPr>
          <w:rFonts w:ascii="Times New Roman" w:eastAsiaTheme="minorHAnsi" w:hAnsi="Times New Roman" w:cs="Times New Roman"/>
          <w:i/>
          <w:iCs/>
          <w:sz w:val="28"/>
        </w:rPr>
        <w:t xml:space="preserve">La presente Ley no se aplicará en el Departamento Archipiélago de San Andrés, Providencia y Santa Catalina objeto de normas especiales, salvo a lo relativo a </w:t>
      </w:r>
      <w:r w:rsidRPr="003F6DBE">
        <w:rPr>
          <w:rFonts w:ascii="Times New Roman" w:eastAsiaTheme="minorHAnsi" w:hAnsi="Times New Roman" w:cs="Times New Roman"/>
          <w:i/>
          <w:iCs/>
          <w:sz w:val="28"/>
        </w:rPr>
        <w:t>la asesoría y apoyo de las instituciones oficiales de Educación Superior”</w:t>
      </w:r>
      <w:r w:rsidRPr="003F6DBE">
        <w:rPr>
          <w:rFonts w:ascii="Times New Roman" w:eastAsiaTheme="minorHAnsi" w:hAnsi="Times New Roman" w:cs="Times New Roman"/>
          <w:sz w:val="28"/>
        </w:rPr>
        <w:t>. En consecuencia, se consideró que la lectura efectuada por los demandantes de las disposiciones acusadas había sido incompleta, al menos respecto de la comunidad raizal del Archipié</w:t>
      </w:r>
      <w:r w:rsidRPr="003F6DBE">
        <w:rPr>
          <w:rFonts w:ascii="Times New Roman" w:eastAsiaTheme="minorHAnsi" w:hAnsi="Times New Roman" w:cs="Times New Roman"/>
          <w:sz w:val="28"/>
        </w:rPr>
        <w:t xml:space="preserve">lago de San Andrés, Providencia y Santa Catalina. Para la Sala Plena de la Corte, al no haberse integrado esta disposición al análisis, no es del todo claro el contenido de la demanda y la exigencia argumentativa de certeza. </w:t>
      </w:r>
    </w:p>
    <w:p w:rsidR="00322827" w:rsidRPr="003F6DBE" w:rsidRDefault="003F6DBE" w:rsidP="00322827">
      <w:pPr>
        <w:pStyle w:val="Prrafodelista"/>
        <w:spacing w:line="240" w:lineRule="auto"/>
        <w:ind w:left="0"/>
        <w:rPr>
          <w:rFonts w:ascii="Times New Roman" w:eastAsiaTheme="minorHAnsi" w:hAnsi="Times New Roman" w:cs="Times New Roman"/>
          <w:sz w:val="28"/>
        </w:rPr>
      </w:pPr>
    </w:p>
    <w:p w:rsidR="00E56C45" w:rsidRPr="003F6DBE" w:rsidRDefault="003F6DBE" w:rsidP="00322827">
      <w:pPr>
        <w:pStyle w:val="Prrafodelista"/>
        <w:spacing w:line="240" w:lineRule="auto"/>
        <w:ind w:left="0"/>
        <w:jc w:val="both"/>
        <w:rPr>
          <w:rFonts w:ascii="Times New Roman" w:eastAsiaTheme="minorHAnsi" w:hAnsi="Times New Roman" w:cs="Times New Roman"/>
          <w:sz w:val="28"/>
        </w:rPr>
      </w:pPr>
      <w:r w:rsidRPr="003F6DBE">
        <w:rPr>
          <w:rFonts w:ascii="Times New Roman" w:eastAsiaTheme="minorHAnsi" w:hAnsi="Times New Roman" w:cs="Times New Roman"/>
          <w:sz w:val="28"/>
        </w:rPr>
        <w:t>En segundo lugar, para permit</w:t>
      </w:r>
      <w:r w:rsidRPr="003F6DBE">
        <w:rPr>
          <w:rFonts w:ascii="Times New Roman" w:eastAsiaTheme="minorHAnsi" w:hAnsi="Times New Roman" w:cs="Times New Roman"/>
          <w:sz w:val="28"/>
        </w:rPr>
        <w:t>ir despertar una mínima duda sobre este asunto, también era necesario que los demandantes estudiaran la supuesta existencia de un vacío en la regulación, a partir del régimen especial en favor del Departamento de San Andrés, Providencia y Santa Catalina (L</w:t>
      </w:r>
      <w:r w:rsidRPr="003F6DBE">
        <w:rPr>
          <w:rFonts w:ascii="Times New Roman" w:eastAsiaTheme="minorHAnsi" w:hAnsi="Times New Roman" w:cs="Times New Roman"/>
          <w:sz w:val="28"/>
        </w:rPr>
        <w:t xml:space="preserve">ey 47 de 1993, Ley 915 de 2004 y Ley 2135 de 2021). Por ello, este tribunal se abstuvo de emitir un pronunciamiento al respecto y consideró que tampoco debía </w:t>
      </w:r>
      <w:r w:rsidRPr="003F6DBE">
        <w:rPr>
          <w:rFonts w:ascii="Times New Roman" w:eastAsiaTheme="minorHAnsi" w:hAnsi="Times New Roman" w:cs="Times New Roman"/>
          <w:sz w:val="28"/>
        </w:rPr>
        <w:t>proferir</w:t>
      </w:r>
      <w:r w:rsidRPr="003F6DBE">
        <w:rPr>
          <w:rFonts w:ascii="Times New Roman" w:eastAsiaTheme="minorHAnsi" w:hAnsi="Times New Roman" w:cs="Times New Roman"/>
          <w:sz w:val="28"/>
        </w:rPr>
        <w:t xml:space="preserve"> una providencia fundada en las demás comunidades étnicas</w:t>
      </w:r>
      <w:r w:rsidRPr="003F6DBE">
        <w:rPr>
          <w:rFonts w:ascii="Times New Roman" w:eastAsiaTheme="minorHAnsi" w:hAnsi="Times New Roman" w:cs="Times New Roman"/>
          <w:sz w:val="28"/>
        </w:rPr>
        <w:t xml:space="preserve"> afro</w:t>
      </w:r>
      <w:r w:rsidRPr="003F6DBE">
        <w:rPr>
          <w:rFonts w:ascii="Times New Roman" w:eastAsiaTheme="minorHAnsi" w:hAnsi="Times New Roman" w:cs="Times New Roman"/>
          <w:sz w:val="28"/>
        </w:rPr>
        <w:t>, pues esto podría alterar e</w:t>
      </w:r>
      <w:r w:rsidRPr="003F6DBE">
        <w:rPr>
          <w:rFonts w:ascii="Times New Roman" w:eastAsiaTheme="minorHAnsi" w:hAnsi="Times New Roman" w:cs="Times New Roman"/>
          <w:sz w:val="28"/>
        </w:rPr>
        <w:t>l contenido mismo de la demanda y de la corrección, la</w:t>
      </w:r>
      <w:r w:rsidRPr="003F6DBE">
        <w:rPr>
          <w:rFonts w:ascii="Times New Roman" w:eastAsiaTheme="minorHAnsi" w:hAnsi="Times New Roman" w:cs="Times New Roman"/>
          <w:sz w:val="28"/>
        </w:rPr>
        <w:t>s</w:t>
      </w:r>
      <w:r w:rsidRPr="003F6DBE">
        <w:rPr>
          <w:rFonts w:ascii="Times New Roman" w:eastAsiaTheme="minorHAnsi" w:hAnsi="Times New Roman" w:cs="Times New Roman"/>
          <w:sz w:val="28"/>
        </w:rPr>
        <w:t xml:space="preserve"> </w:t>
      </w:r>
      <w:r w:rsidRPr="003F6DBE">
        <w:rPr>
          <w:rFonts w:ascii="Times New Roman" w:eastAsiaTheme="minorHAnsi" w:hAnsi="Times New Roman" w:cs="Times New Roman"/>
          <w:sz w:val="28"/>
        </w:rPr>
        <w:t>que</w:t>
      </w:r>
      <w:r w:rsidRPr="003F6DBE">
        <w:rPr>
          <w:rFonts w:ascii="Times New Roman" w:eastAsiaTheme="minorHAnsi" w:hAnsi="Times New Roman" w:cs="Times New Roman"/>
          <w:sz w:val="28"/>
        </w:rPr>
        <w:t xml:space="preserve"> estaba</w:t>
      </w:r>
      <w:r w:rsidRPr="003F6DBE">
        <w:rPr>
          <w:rFonts w:ascii="Times New Roman" w:eastAsiaTheme="minorHAnsi" w:hAnsi="Times New Roman" w:cs="Times New Roman"/>
          <w:sz w:val="28"/>
        </w:rPr>
        <w:t>n</w:t>
      </w:r>
      <w:r w:rsidRPr="003F6DBE">
        <w:rPr>
          <w:rFonts w:ascii="Times New Roman" w:eastAsiaTheme="minorHAnsi" w:hAnsi="Times New Roman" w:cs="Times New Roman"/>
          <w:sz w:val="28"/>
        </w:rPr>
        <w:t xml:space="preserve"> dirigida</w:t>
      </w:r>
      <w:r w:rsidRPr="003F6DBE">
        <w:rPr>
          <w:rFonts w:ascii="Times New Roman" w:eastAsiaTheme="minorHAnsi" w:hAnsi="Times New Roman" w:cs="Times New Roman"/>
          <w:sz w:val="28"/>
        </w:rPr>
        <w:t>s</w:t>
      </w:r>
      <w:r w:rsidRPr="003F6DBE">
        <w:rPr>
          <w:rFonts w:ascii="Times New Roman" w:eastAsiaTheme="minorHAnsi" w:hAnsi="Times New Roman" w:cs="Times New Roman"/>
          <w:sz w:val="28"/>
        </w:rPr>
        <w:t xml:space="preserve"> a fomentar la participación de </w:t>
      </w:r>
      <w:r w:rsidRPr="003F6DBE">
        <w:rPr>
          <w:rFonts w:ascii="Times New Roman" w:eastAsiaTheme="minorHAnsi" w:hAnsi="Times New Roman" w:cs="Times New Roman"/>
          <w:sz w:val="28"/>
        </w:rPr>
        <w:t xml:space="preserve">los </w:t>
      </w:r>
      <w:r w:rsidRPr="003F6DBE">
        <w:rPr>
          <w:rFonts w:ascii="Times New Roman" w:eastAsiaTheme="minorHAnsi" w:hAnsi="Times New Roman" w:cs="Times New Roman"/>
          <w:sz w:val="28"/>
        </w:rPr>
        <w:t>afrocolombian</w:t>
      </w:r>
      <w:r w:rsidRPr="003F6DBE">
        <w:rPr>
          <w:rFonts w:ascii="Times New Roman" w:eastAsiaTheme="minorHAnsi" w:hAnsi="Times New Roman" w:cs="Times New Roman"/>
          <w:sz w:val="28"/>
        </w:rPr>
        <w:t>os</w:t>
      </w:r>
      <w:r w:rsidRPr="003F6DBE">
        <w:rPr>
          <w:rFonts w:ascii="Times New Roman" w:eastAsiaTheme="minorHAnsi" w:hAnsi="Times New Roman" w:cs="Times New Roman"/>
          <w:sz w:val="28"/>
        </w:rPr>
        <w:t xml:space="preserve"> como un todo</w:t>
      </w:r>
      <w:r w:rsidRPr="003F6DBE">
        <w:rPr>
          <w:rFonts w:ascii="Times New Roman" w:eastAsiaTheme="minorHAnsi" w:hAnsi="Times New Roman" w:cs="Times New Roman"/>
          <w:sz w:val="28"/>
        </w:rPr>
        <w:t>. Esto</w:t>
      </w:r>
      <w:r w:rsidRPr="003F6DBE">
        <w:rPr>
          <w:rFonts w:ascii="Times New Roman" w:eastAsiaTheme="minorHAnsi" w:hAnsi="Times New Roman" w:cs="Times New Roman"/>
          <w:sz w:val="28"/>
        </w:rPr>
        <w:t>, además, se corresponde con la protección a la diversidad étnica y cultural de la nación en su favor, en los</w:t>
      </w:r>
      <w:r w:rsidRPr="003F6DBE">
        <w:rPr>
          <w:rFonts w:ascii="Times New Roman" w:eastAsiaTheme="minorHAnsi" w:hAnsi="Times New Roman" w:cs="Times New Roman"/>
          <w:sz w:val="28"/>
        </w:rPr>
        <w:t xml:space="preserve"> términos de la jurisprudencia constitucional</w:t>
      </w:r>
      <w:r w:rsidRPr="003F6DBE">
        <w:rPr>
          <w:rFonts w:ascii="Times New Roman" w:eastAsiaTheme="minorHAnsi" w:hAnsi="Times New Roman" w:cs="Times New Roman"/>
          <w:sz w:val="28"/>
        </w:rPr>
        <w:t xml:space="preserve">. </w:t>
      </w:r>
    </w:p>
    <w:p w:rsidR="002A2D4E" w:rsidRPr="003F6DBE" w:rsidRDefault="003F6DBE" w:rsidP="00390C3F">
      <w:pPr>
        <w:pStyle w:val="Sinespaciado1"/>
        <w:numPr>
          <w:ilvl w:val="0"/>
          <w:numId w:val="1"/>
        </w:numPr>
        <w:ind w:right="-232"/>
        <w:jc w:val="both"/>
        <w:rPr>
          <w:rFonts w:ascii="Times New Roman" w:hAnsi="Times New Roman" w:cs="Times New Roman"/>
          <w:b/>
          <w:bCs/>
          <w:sz w:val="28"/>
          <w:szCs w:val="28"/>
        </w:rPr>
      </w:pPr>
      <w:r w:rsidRPr="003F6DBE">
        <w:rPr>
          <w:rFonts w:ascii="Times New Roman" w:hAnsi="Times New Roman" w:cs="Times New Roman"/>
          <w:b/>
          <w:bCs/>
          <w:sz w:val="28"/>
          <w:szCs w:val="28"/>
        </w:rPr>
        <w:t>ANTECEDENTES</w:t>
      </w:r>
    </w:p>
    <w:p w:rsidR="00390C3F" w:rsidRPr="003F6DBE" w:rsidRDefault="003F6DBE" w:rsidP="00390C3F">
      <w:pPr>
        <w:pStyle w:val="Sinespaciado1"/>
        <w:ind w:right="-232"/>
        <w:jc w:val="both"/>
        <w:rPr>
          <w:rFonts w:ascii="Times New Roman" w:hAnsi="Times New Roman" w:cs="Times New Roman"/>
          <w:b/>
          <w:bCs/>
          <w:sz w:val="28"/>
          <w:szCs w:val="28"/>
        </w:rPr>
      </w:pPr>
    </w:p>
    <w:p w:rsidR="002A47F2" w:rsidRPr="003F6DBE" w:rsidRDefault="003F6DBE" w:rsidP="00F734AD">
      <w:pPr>
        <w:pStyle w:val="Sinespaciado1"/>
        <w:numPr>
          <w:ilvl w:val="0"/>
          <w:numId w:val="2"/>
        </w:numPr>
        <w:ind w:left="0" w:right="49" w:firstLine="0"/>
        <w:jc w:val="both"/>
        <w:rPr>
          <w:rFonts w:ascii="Times New Roman" w:eastAsiaTheme="minorHAnsi" w:hAnsi="Times New Roman" w:cs="Times New Roman"/>
          <w:sz w:val="28"/>
          <w:szCs w:val="28"/>
        </w:rPr>
      </w:pPr>
      <w:r w:rsidRPr="003F6DBE">
        <w:rPr>
          <w:rFonts w:ascii="Times New Roman" w:eastAsiaTheme="minorHAnsi" w:hAnsi="Times New Roman" w:cs="Times New Roman"/>
          <w:sz w:val="28"/>
          <w:szCs w:val="28"/>
        </w:rPr>
        <w:t>L</w:t>
      </w:r>
      <w:r w:rsidRPr="003F6DBE">
        <w:rPr>
          <w:rFonts w:ascii="Times New Roman" w:eastAsiaTheme="minorHAnsi" w:hAnsi="Times New Roman" w:cs="Times New Roman"/>
          <w:sz w:val="28"/>
          <w:szCs w:val="28"/>
        </w:rPr>
        <w:t>os señores Libardo José Ariza Higuera, Ramiro Rodríguez Padilla y Jeison Eduardo Palacios, en ejercicio de la acción pública de inconstitucionalidad</w:t>
      </w:r>
      <w:r w:rsidRPr="003F6DBE">
        <w:rPr>
          <w:rFonts w:ascii="Times New Roman" w:eastAsiaTheme="minorHAnsi" w:hAnsi="Times New Roman" w:cs="Times New Roman"/>
          <w:sz w:val="28"/>
          <w:szCs w:val="28"/>
        </w:rPr>
        <w:t>,</w:t>
      </w:r>
      <w:r w:rsidRPr="003F6DBE">
        <w:rPr>
          <w:rFonts w:ascii="Times New Roman" w:eastAsiaTheme="minorHAnsi" w:hAnsi="Times New Roman" w:cs="Times New Roman"/>
          <w:sz w:val="28"/>
          <w:szCs w:val="28"/>
        </w:rPr>
        <w:t xml:space="preserve"> prevista en los artículos 40</w:t>
      </w:r>
      <w:r w:rsidRPr="003F6DBE">
        <w:rPr>
          <w:rFonts w:ascii="Times New Roman" w:eastAsiaTheme="minorHAnsi" w:hAnsi="Times New Roman" w:cs="Times New Roman"/>
          <w:sz w:val="28"/>
          <w:szCs w:val="28"/>
        </w:rPr>
        <w:t>.6</w:t>
      </w:r>
      <w:r w:rsidRPr="003F6DBE">
        <w:rPr>
          <w:rFonts w:ascii="Times New Roman" w:eastAsiaTheme="minorHAnsi" w:hAnsi="Times New Roman" w:cs="Times New Roman"/>
          <w:sz w:val="28"/>
          <w:szCs w:val="28"/>
        </w:rPr>
        <w:t>, 241</w:t>
      </w:r>
      <w:r w:rsidRPr="003F6DBE">
        <w:rPr>
          <w:rFonts w:ascii="Times New Roman" w:eastAsiaTheme="minorHAnsi" w:hAnsi="Times New Roman" w:cs="Times New Roman"/>
          <w:sz w:val="28"/>
          <w:szCs w:val="28"/>
        </w:rPr>
        <w:t>.4</w:t>
      </w:r>
      <w:r w:rsidRPr="003F6DBE">
        <w:rPr>
          <w:rFonts w:ascii="Times New Roman" w:eastAsiaTheme="minorHAnsi" w:hAnsi="Times New Roman" w:cs="Times New Roman"/>
          <w:sz w:val="28"/>
          <w:szCs w:val="28"/>
        </w:rPr>
        <w:t xml:space="preserve"> y 242 de la Constitución Política, presentaron demanda de inconstitucionalidad contra el artículo 5 (parcial); </w:t>
      </w:r>
      <w:r w:rsidRPr="003F6DBE">
        <w:rPr>
          <w:rFonts w:ascii="Times New Roman" w:eastAsiaTheme="minorHAnsi" w:hAnsi="Times New Roman" w:cs="Times New Roman"/>
          <w:sz w:val="28"/>
          <w:szCs w:val="28"/>
        </w:rPr>
        <w:t xml:space="preserve">el </w:t>
      </w:r>
      <w:r w:rsidRPr="003F6DBE">
        <w:rPr>
          <w:rFonts w:ascii="Times New Roman" w:eastAsiaTheme="minorHAnsi" w:hAnsi="Times New Roman" w:cs="Times New Roman"/>
          <w:sz w:val="28"/>
          <w:szCs w:val="28"/>
        </w:rPr>
        <w:t xml:space="preserve">parágrafo 2 del artículo 7 (parcial); </w:t>
      </w:r>
      <w:r w:rsidRPr="003F6DBE">
        <w:rPr>
          <w:rFonts w:ascii="Times New Roman" w:eastAsiaTheme="minorHAnsi" w:hAnsi="Times New Roman" w:cs="Times New Roman"/>
          <w:sz w:val="28"/>
          <w:szCs w:val="28"/>
        </w:rPr>
        <w:t xml:space="preserve">el </w:t>
      </w:r>
      <w:r w:rsidRPr="003F6DBE">
        <w:rPr>
          <w:rFonts w:ascii="Times New Roman" w:eastAsiaTheme="minorHAnsi" w:hAnsi="Times New Roman" w:cs="Times New Roman"/>
          <w:sz w:val="28"/>
          <w:szCs w:val="28"/>
        </w:rPr>
        <w:t xml:space="preserve">artículo 8 (parcial) y </w:t>
      </w:r>
      <w:r w:rsidRPr="003F6DBE">
        <w:rPr>
          <w:rFonts w:ascii="Times New Roman" w:eastAsiaTheme="minorHAnsi" w:hAnsi="Times New Roman" w:cs="Times New Roman"/>
          <w:sz w:val="28"/>
          <w:szCs w:val="28"/>
        </w:rPr>
        <w:t xml:space="preserve">el </w:t>
      </w:r>
      <w:r w:rsidRPr="003F6DBE">
        <w:rPr>
          <w:rFonts w:ascii="Times New Roman" w:eastAsiaTheme="minorHAnsi" w:hAnsi="Times New Roman" w:cs="Times New Roman"/>
          <w:sz w:val="28"/>
          <w:szCs w:val="28"/>
        </w:rPr>
        <w:t>artículo 10 (parcial) de la Ley 191 de 1995</w:t>
      </w:r>
      <w:r w:rsidRPr="003F6DBE">
        <w:rPr>
          <w:rFonts w:ascii="Times New Roman" w:eastAsiaTheme="minorHAnsi" w:hAnsi="Times New Roman" w:cs="Times New Roman"/>
          <w:sz w:val="28"/>
          <w:szCs w:val="28"/>
        </w:rPr>
        <w:t xml:space="preserve"> </w:t>
      </w:r>
      <w:r w:rsidRPr="003F6DBE">
        <w:rPr>
          <w:rFonts w:ascii="Times New Roman" w:eastAsiaTheme="minorHAnsi" w:hAnsi="Times New Roman" w:cs="Times New Roman"/>
          <w:sz w:val="28"/>
          <w:szCs w:val="28"/>
        </w:rPr>
        <w:t>“</w:t>
      </w:r>
      <w:r w:rsidRPr="003F6DBE">
        <w:rPr>
          <w:rFonts w:ascii="Times New Roman" w:eastAsiaTheme="minorHAnsi" w:hAnsi="Times New Roman" w:cs="Times New Roman"/>
          <w:i/>
          <w:iCs/>
          <w:sz w:val="28"/>
          <w:szCs w:val="28"/>
        </w:rPr>
        <w:t>P</w:t>
      </w:r>
      <w:r w:rsidRPr="003F6DBE">
        <w:rPr>
          <w:rFonts w:ascii="Times New Roman" w:eastAsiaTheme="minorHAnsi" w:hAnsi="Times New Roman" w:cs="Times New Roman"/>
          <w:i/>
          <w:iCs/>
          <w:sz w:val="28"/>
          <w:szCs w:val="28"/>
        </w:rPr>
        <w:t>or medio de la cual se dicta</w:t>
      </w:r>
      <w:r w:rsidRPr="003F6DBE">
        <w:rPr>
          <w:rFonts w:ascii="Times New Roman" w:eastAsiaTheme="minorHAnsi" w:hAnsi="Times New Roman" w:cs="Times New Roman"/>
          <w:i/>
          <w:iCs/>
          <w:sz w:val="28"/>
          <w:szCs w:val="28"/>
        </w:rPr>
        <w:t>n disposiciones sobre Zonas de Frontera</w:t>
      </w:r>
      <w:r w:rsidRPr="003F6DBE">
        <w:rPr>
          <w:rFonts w:ascii="Times New Roman" w:eastAsiaTheme="minorHAnsi" w:hAnsi="Times New Roman" w:cs="Times New Roman"/>
          <w:sz w:val="28"/>
          <w:szCs w:val="28"/>
        </w:rPr>
        <w:t>”.</w:t>
      </w:r>
      <w:r w:rsidRPr="003F6DBE">
        <w:rPr>
          <w:rFonts w:ascii="Times New Roman" w:eastAsiaTheme="minorHAnsi" w:hAnsi="Times New Roman" w:cs="Times New Roman"/>
          <w:sz w:val="28"/>
          <w:szCs w:val="28"/>
        </w:rPr>
        <w:t xml:space="preserve"> </w:t>
      </w:r>
      <w:r w:rsidRPr="003F6DBE">
        <w:rPr>
          <w:rFonts w:ascii="Times New Roman" w:eastAsiaTheme="minorHAnsi" w:hAnsi="Times New Roman" w:cs="Times New Roman"/>
          <w:sz w:val="28"/>
          <w:szCs w:val="28"/>
        </w:rPr>
        <w:t xml:space="preserve">Si bien la demanda había presentado dos cargos distintos contra estas disposiciones, mediante auto del 13 de junio de 2023, se rechazó el </w:t>
      </w:r>
      <w:r w:rsidRPr="003F6DBE">
        <w:rPr>
          <w:rFonts w:ascii="Times New Roman" w:eastAsiaTheme="minorHAnsi" w:hAnsi="Times New Roman" w:cs="Times New Roman"/>
          <w:sz w:val="28"/>
          <w:szCs w:val="28"/>
        </w:rPr>
        <w:t>fundamentado en la</w:t>
      </w:r>
      <w:r w:rsidRPr="003F6DBE">
        <w:rPr>
          <w:rFonts w:ascii="Times New Roman" w:eastAsiaTheme="minorHAnsi" w:hAnsi="Times New Roman" w:cs="Times New Roman"/>
          <w:sz w:val="28"/>
          <w:szCs w:val="28"/>
        </w:rPr>
        <w:t xml:space="preserve"> violación a</w:t>
      </w:r>
      <w:r w:rsidRPr="003F6DBE">
        <w:rPr>
          <w:rFonts w:ascii="Times New Roman" w:eastAsiaTheme="minorHAnsi" w:hAnsi="Times New Roman" w:cs="Times New Roman"/>
          <w:sz w:val="28"/>
          <w:szCs w:val="28"/>
        </w:rPr>
        <w:t xml:space="preserve">l </w:t>
      </w:r>
      <w:r w:rsidRPr="003F6DBE">
        <w:rPr>
          <w:rFonts w:ascii="Times New Roman" w:eastAsiaTheme="minorHAnsi" w:hAnsi="Times New Roman" w:cs="Times New Roman"/>
          <w:sz w:val="28"/>
          <w:szCs w:val="28"/>
        </w:rPr>
        <w:t xml:space="preserve">derecho </w:t>
      </w:r>
      <w:r w:rsidRPr="003F6DBE">
        <w:rPr>
          <w:rFonts w:ascii="Times New Roman" w:eastAsiaTheme="minorHAnsi" w:hAnsi="Times New Roman" w:cs="Times New Roman"/>
          <w:sz w:val="28"/>
          <w:szCs w:val="28"/>
        </w:rPr>
        <w:t>de</w:t>
      </w:r>
      <w:r w:rsidRPr="003F6DBE">
        <w:rPr>
          <w:rFonts w:ascii="Times New Roman" w:eastAsiaTheme="minorHAnsi" w:hAnsi="Times New Roman" w:cs="Times New Roman"/>
          <w:sz w:val="28"/>
          <w:szCs w:val="28"/>
        </w:rPr>
        <w:t xml:space="preserve"> igualdad</w:t>
      </w:r>
      <w:r w:rsidRPr="003F6DBE">
        <w:rPr>
          <w:rFonts w:ascii="Times New Roman" w:eastAsiaTheme="minorHAnsi" w:hAnsi="Times New Roman" w:cs="Times New Roman"/>
          <w:sz w:val="28"/>
          <w:szCs w:val="28"/>
        </w:rPr>
        <w:t xml:space="preserve"> por </w:t>
      </w:r>
      <w:r w:rsidRPr="003F6DBE">
        <w:rPr>
          <w:rFonts w:ascii="Times New Roman" w:eastAsiaTheme="minorHAnsi" w:hAnsi="Times New Roman" w:cs="Times New Roman"/>
          <w:sz w:val="28"/>
          <w:szCs w:val="28"/>
        </w:rPr>
        <w:t xml:space="preserve">la no corrección en tal sentido, </w:t>
      </w:r>
      <w:r w:rsidRPr="003F6DBE">
        <w:rPr>
          <w:rFonts w:ascii="Times New Roman" w:eastAsiaTheme="minorHAnsi" w:hAnsi="Times New Roman" w:cs="Times New Roman"/>
          <w:sz w:val="28"/>
          <w:szCs w:val="28"/>
        </w:rPr>
        <w:t>pero se admitió el relativo a la presunta configuración de una omisión legislativa relativa. Así, esta sentencia se referirá sólo a este último asunto</w:t>
      </w:r>
      <w:r w:rsidRPr="003F6DBE">
        <w:rPr>
          <w:rFonts w:ascii="Times New Roman" w:eastAsiaTheme="minorHAnsi" w:hAnsi="Times New Roman" w:cs="Times New Roman"/>
          <w:sz w:val="28"/>
          <w:szCs w:val="28"/>
        </w:rPr>
        <w:t xml:space="preserve"> conforme a la demanda y</w:t>
      </w:r>
      <w:r w:rsidRPr="003F6DBE">
        <w:rPr>
          <w:rFonts w:ascii="Times New Roman" w:eastAsiaTheme="minorHAnsi" w:hAnsi="Times New Roman" w:cs="Times New Roman"/>
          <w:sz w:val="28"/>
          <w:szCs w:val="28"/>
        </w:rPr>
        <w:t xml:space="preserve"> a</w:t>
      </w:r>
      <w:r w:rsidRPr="003F6DBE">
        <w:rPr>
          <w:rFonts w:ascii="Times New Roman" w:eastAsiaTheme="minorHAnsi" w:hAnsi="Times New Roman" w:cs="Times New Roman"/>
          <w:sz w:val="28"/>
          <w:szCs w:val="28"/>
        </w:rPr>
        <w:t xml:space="preserve"> los argumentos propuestos en la corrección de </w:t>
      </w:r>
      <w:r w:rsidRPr="003F6DBE">
        <w:rPr>
          <w:rFonts w:ascii="Times New Roman" w:eastAsiaTheme="minorHAnsi" w:hAnsi="Times New Roman" w:cs="Times New Roman"/>
          <w:sz w:val="28"/>
          <w:szCs w:val="28"/>
        </w:rPr>
        <w:t xml:space="preserve">ella. </w:t>
      </w:r>
    </w:p>
    <w:p w:rsidR="001A7225" w:rsidRPr="003F6DBE" w:rsidRDefault="003F6DBE" w:rsidP="001A7225">
      <w:pPr>
        <w:autoSpaceDE w:val="0"/>
        <w:autoSpaceDN w:val="0"/>
        <w:adjustRightInd w:val="0"/>
        <w:spacing w:after="0" w:line="240" w:lineRule="auto"/>
        <w:jc w:val="both"/>
        <w:rPr>
          <w:rFonts w:ascii="Times New Roman" w:hAnsi="Times New Roman" w:cs="Times New Roman"/>
          <w:sz w:val="28"/>
          <w:szCs w:val="28"/>
        </w:rPr>
      </w:pPr>
    </w:p>
    <w:p w:rsidR="002A2D4E" w:rsidRPr="003F6DBE" w:rsidRDefault="003F6DBE" w:rsidP="00992E3E">
      <w:pPr>
        <w:pStyle w:val="Prrafodelista"/>
        <w:numPr>
          <w:ilvl w:val="0"/>
          <w:numId w:val="3"/>
        </w:numPr>
        <w:spacing w:after="0" w:line="240" w:lineRule="auto"/>
        <w:ind w:left="1416" w:right="-232" w:hanging="1056"/>
        <w:jc w:val="both"/>
        <w:rPr>
          <w:rFonts w:ascii="Times New Roman" w:hAnsi="Times New Roman" w:cs="Times New Roman"/>
          <w:b/>
          <w:sz w:val="28"/>
          <w:szCs w:val="28"/>
        </w:rPr>
      </w:pPr>
      <w:r w:rsidRPr="003F6DBE">
        <w:rPr>
          <w:rFonts w:ascii="Times New Roman" w:hAnsi="Times New Roman" w:cs="Times New Roman"/>
          <w:b/>
          <w:sz w:val="28"/>
          <w:szCs w:val="28"/>
        </w:rPr>
        <w:t>NORMAS DEMANDADAS</w:t>
      </w:r>
    </w:p>
    <w:p w:rsidR="002A2D4E" w:rsidRPr="003F6DBE" w:rsidRDefault="003F6DBE" w:rsidP="002A2D4E">
      <w:pPr>
        <w:spacing w:after="0" w:line="240" w:lineRule="auto"/>
        <w:ind w:right="-232"/>
        <w:jc w:val="both"/>
        <w:rPr>
          <w:rFonts w:ascii="Times New Roman" w:hAnsi="Times New Roman" w:cs="Times New Roman"/>
          <w:sz w:val="28"/>
          <w:szCs w:val="28"/>
        </w:rPr>
      </w:pPr>
    </w:p>
    <w:p w:rsidR="002A2D4E" w:rsidRPr="003F6DBE" w:rsidRDefault="003F6DBE" w:rsidP="00D874C4">
      <w:pPr>
        <w:pStyle w:val="Prrafodelista"/>
        <w:numPr>
          <w:ilvl w:val="0"/>
          <w:numId w:val="2"/>
        </w:numPr>
        <w:spacing w:after="0" w:line="240" w:lineRule="auto"/>
        <w:ind w:left="0" w:right="-232" w:firstLine="0"/>
        <w:jc w:val="both"/>
        <w:rPr>
          <w:rFonts w:ascii="Times New Roman" w:eastAsiaTheme="minorHAnsi" w:hAnsi="Times New Roman" w:cs="Times New Roman"/>
          <w:sz w:val="28"/>
          <w:szCs w:val="28"/>
        </w:rPr>
      </w:pPr>
      <w:r w:rsidRPr="003F6DBE">
        <w:rPr>
          <w:rFonts w:ascii="Times New Roman" w:eastAsiaTheme="minorHAnsi" w:hAnsi="Times New Roman" w:cs="Times New Roman"/>
          <w:sz w:val="28"/>
          <w:szCs w:val="28"/>
        </w:rPr>
        <w:t xml:space="preserve">El texto normativo acusado se subraya a continuación: </w:t>
      </w:r>
    </w:p>
    <w:p w:rsidR="002A2D4E" w:rsidRPr="003F6DBE" w:rsidRDefault="003F6DBE" w:rsidP="00890D82">
      <w:pPr>
        <w:spacing w:after="0" w:line="240" w:lineRule="auto"/>
        <w:ind w:left="567" w:right="567"/>
        <w:jc w:val="both"/>
        <w:rPr>
          <w:rFonts w:ascii="Times New Roman" w:hAnsi="Times New Roman" w:cs="Times New Roman"/>
          <w:sz w:val="28"/>
          <w:szCs w:val="28"/>
        </w:rPr>
      </w:pPr>
    </w:p>
    <w:p w:rsidR="008F77D9" w:rsidRPr="003F6DBE" w:rsidRDefault="003F6DBE" w:rsidP="00890D82">
      <w:pPr>
        <w:spacing w:after="0" w:line="240" w:lineRule="auto"/>
        <w:ind w:left="567" w:right="567"/>
        <w:jc w:val="center"/>
        <w:rPr>
          <w:rFonts w:ascii="Times New Roman" w:eastAsia="Times New Roman" w:hAnsi="Times New Roman" w:cs="Times New Roman"/>
          <w:b/>
          <w:caps/>
          <w:sz w:val="28"/>
          <w:szCs w:val="24"/>
          <w:lang w:val="es-ES_tradnl" w:eastAsia="es-ES"/>
        </w:rPr>
      </w:pPr>
      <w:r w:rsidRPr="003F6DBE">
        <w:rPr>
          <w:rFonts w:ascii="Times New Roman" w:eastAsia="Times New Roman" w:hAnsi="Times New Roman" w:cs="Times New Roman"/>
          <w:b/>
          <w:caps/>
          <w:sz w:val="28"/>
          <w:szCs w:val="24"/>
          <w:lang w:val="es-ES_tradnl" w:eastAsia="es-ES"/>
        </w:rPr>
        <w:t>Ley</w:t>
      </w:r>
      <w:r w:rsidRPr="003F6DBE">
        <w:rPr>
          <w:rFonts w:ascii="Times New Roman" w:eastAsia="Times New Roman" w:hAnsi="Times New Roman" w:cs="Times New Roman"/>
          <w:b/>
          <w:caps/>
          <w:sz w:val="28"/>
          <w:szCs w:val="24"/>
          <w:lang w:val="es-ES_tradnl" w:eastAsia="es-ES"/>
        </w:rPr>
        <w:t xml:space="preserve"> 191 </w:t>
      </w:r>
      <w:r w:rsidRPr="003F6DBE">
        <w:rPr>
          <w:rFonts w:ascii="Times New Roman" w:eastAsia="Times New Roman" w:hAnsi="Times New Roman" w:cs="Times New Roman"/>
          <w:b/>
          <w:caps/>
          <w:sz w:val="28"/>
          <w:szCs w:val="24"/>
          <w:lang w:val="es-ES_tradnl" w:eastAsia="es-ES"/>
        </w:rPr>
        <w:t>DE</w:t>
      </w:r>
      <w:r w:rsidRPr="003F6DBE">
        <w:rPr>
          <w:rFonts w:ascii="Times New Roman" w:eastAsia="Times New Roman" w:hAnsi="Times New Roman" w:cs="Times New Roman"/>
          <w:b/>
          <w:caps/>
          <w:sz w:val="28"/>
          <w:szCs w:val="24"/>
          <w:lang w:val="es-ES_tradnl" w:eastAsia="es-ES"/>
        </w:rPr>
        <w:t xml:space="preserve"> 1995</w:t>
      </w:r>
    </w:p>
    <w:p w:rsidR="008F77D9" w:rsidRPr="003F6DBE" w:rsidRDefault="003F6DBE" w:rsidP="00890D82">
      <w:pPr>
        <w:spacing w:after="0" w:line="240" w:lineRule="auto"/>
        <w:ind w:left="567" w:right="567"/>
        <w:jc w:val="center"/>
        <w:rPr>
          <w:rFonts w:ascii="Times New Roman" w:eastAsia="Times New Roman" w:hAnsi="Times New Roman" w:cs="Times New Roman"/>
          <w:b/>
          <w:caps/>
          <w:sz w:val="28"/>
          <w:szCs w:val="24"/>
          <w:lang w:val="es-ES_tradnl" w:eastAsia="es-ES"/>
        </w:rPr>
      </w:pPr>
    </w:p>
    <w:p w:rsidR="008F77D9" w:rsidRPr="003F6DBE" w:rsidRDefault="003F6DBE" w:rsidP="00890D82">
      <w:pPr>
        <w:spacing w:after="0" w:line="240" w:lineRule="auto"/>
        <w:ind w:left="567" w:right="567"/>
        <w:jc w:val="center"/>
        <w:rPr>
          <w:rFonts w:ascii="Times New Roman" w:eastAsia="Times New Roman" w:hAnsi="Times New Roman" w:cs="Times New Roman"/>
          <w:bCs/>
          <w:sz w:val="28"/>
          <w:szCs w:val="24"/>
          <w:lang w:val="es-ES_tradnl" w:eastAsia="es-ES"/>
        </w:rPr>
      </w:pPr>
      <w:r w:rsidRPr="003F6DBE">
        <w:rPr>
          <w:rFonts w:ascii="Times New Roman" w:eastAsia="Times New Roman" w:hAnsi="Times New Roman" w:cs="Times New Roman"/>
          <w:bCs/>
          <w:sz w:val="28"/>
          <w:szCs w:val="24"/>
          <w:lang w:val="es-ES_tradnl" w:eastAsia="es-ES"/>
        </w:rPr>
        <w:t>(</w:t>
      </w:r>
      <w:r w:rsidRPr="003F6DBE">
        <w:rPr>
          <w:rFonts w:ascii="Times New Roman" w:eastAsia="Times New Roman" w:hAnsi="Times New Roman" w:cs="Times New Roman"/>
          <w:bCs/>
          <w:sz w:val="28"/>
          <w:szCs w:val="24"/>
          <w:lang w:val="es-ES_tradnl" w:eastAsia="es-ES"/>
        </w:rPr>
        <w:t>junio</w:t>
      </w:r>
      <w:r w:rsidRPr="003F6DBE">
        <w:rPr>
          <w:rFonts w:ascii="Times New Roman" w:eastAsia="Times New Roman" w:hAnsi="Times New Roman" w:cs="Times New Roman"/>
          <w:bCs/>
          <w:sz w:val="28"/>
          <w:szCs w:val="24"/>
          <w:lang w:val="es-ES_tradnl" w:eastAsia="es-ES"/>
        </w:rPr>
        <w:t xml:space="preserve"> 23)</w:t>
      </w:r>
    </w:p>
    <w:p w:rsidR="00F734AD" w:rsidRPr="003F6DBE" w:rsidRDefault="003F6DBE" w:rsidP="00890D82">
      <w:pPr>
        <w:spacing w:after="0" w:line="240" w:lineRule="auto"/>
        <w:ind w:left="567" w:right="567"/>
        <w:jc w:val="center"/>
        <w:rPr>
          <w:rFonts w:ascii="Times New Roman" w:eastAsia="Times New Roman" w:hAnsi="Times New Roman" w:cs="Times New Roman"/>
          <w:bCs/>
          <w:sz w:val="28"/>
          <w:szCs w:val="24"/>
          <w:lang w:val="es-ES_tradnl" w:eastAsia="es-ES"/>
        </w:rPr>
      </w:pPr>
      <w:r w:rsidRPr="003F6DBE">
        <w:rPr>
          <w:rFonts w:ascii="Times New Roman" w:eastAsia="Times New Roman" w:hAnsi="Times New Roman" w:cs="Times New Roman"/>
          <w:bCs/>
          <w:sz w:val="28"/>
          <w:szCs w:val="24"/>
          <w:lang w:val="es-ES_tradnl" w:eastAsia="es-ES"/>
        </w:rPr>
        <w:t>Diario Oficial 41.903, de 23 de junio de 1995.</w:t>
      </w:r>
    </w:p>
    <w:p w:rsidR="008F77D9" w:rsidRPr="003F6DBE" w:rsidRDefault="003F6DBE" w:rsidP="00890D82">
      <w:pPr>
        <w:spacing w:after="0" w:line="240" w:lineRule="auto"/>
        <w:ind w:left="567" w:right="567"/>
        <w:jc w:val="center"/>
        <w:rPr>
          <w:rFonts w:ascii="Times New Roman" w:eastAsia="Times New Roman" w:hAnsi="Times New Roman" w:cs="Times New Roman"/>
          <w:b/>
          <w:caps/>
          <w:sz w:val="28"/>
          <w:szCs w:val="24"/>
          <w:lang w:val="es-ES_tradnl" w:eastAsia="es-ES"/>
        </w:rPr>
      </w:pPr>
    </w:p>
    <w:p w:rsidR="008F77D9" w:rsidRPr="003F6DBE" w:rsidRDefault="003F6DBE" w:rsidP="00890D82">
      <w:pPr>
        <w:spacing w:after="0" w:line="240" w:lineRule="auto"/>
        <w:ind w:left="567" w:right="567"/>
        <w:jc w:val="center"/>
        <w:rPr>
          <w:rFonts w:ascii="Times New Roman" w:eastAsia="Times New Roman" w:hAnsi="Times New Roman" w:cs="Times New Roman"/>
          <w:b/>
          <w:caps/>
          <w:sz w:val="28"/>
          <w:szCs w:val="24"/>
          <w:lang w:val="es-ES_tradnl" w:eastAsia="es-ES"/>
        </w:rPr>
      </w:pPr>
    </w:p>
    <w:p w:rsidR="002A2D4E" w:rsidRPr="003F6DBE" w:rsidRDefault="003F6DBE" w:rsidP="00890D82">
      <w:pPr>
        <w:spacing w:after="0" w:line="240" w:lineRule="auto"/>
        <w:ind w:left="567" w:right="567"/>
        <w:jc w:val="center"/>
        <w:rPr>
          <w:rFonts w:ascii="Times New Roman" w:eastAsia="Times New Roman" w:hAnsi="Times New Roman" w:cs="Times New Roman"/>
          <w:b/>
          <w:i/>
          <w:spacing w:val="-3"/>
          <w:sz w:val="28"/>
          <w:lang w:eastAsia="es-ES"/>
        </w:rPr>
      </w:pPr>
      <w:r w:rsidRPr="003F6DBE">
        <w:rPr>
          <w:rFonts w:ascii="Times New Roman" w:eastAsia="Times New Roman" w:hAnsi="Times New Roman" w:cs="Times New Roman"/>
          <w:b/>
          <w:caps/>
          <w:sz w:val="28"/>
          <w:szCs w:val="24"/>
          <w:lang w:val="es-ES_tradnl" w:eastAsia="es-ES"/>
        </w:rPr>
        <w:t>“</w:t>
      </w:r>
      <w:r w:rsidRPr="003F6DBE">
        <w:rPr>
          <w:rFonts w:ascii="Times New Roman" w:eastAsia="Times New Roman" w:hAnsi="Times New Roman" w:cs="Times New Roman"/>
          <w:bCs/>
          <w:i/>
          <w:iCs/>
          <w:sz w:val="28"/>
          <w:szCs w:val="24"/>
          <w:lang w:val="es-ES_tradnl" w:eastAsia="es-ES"/>
        </w:rPr>
        <w:t>Por</w:t>
      </w:r>
      <w:r w:rsidRPr="003F6DBE">
        <w:rPr>
          <w:rFonts w:ascii="Times New Roman" w:eastAsia="Times New Roman" w:hAnsi="Times New Roman" w:cs="Times New Roman"/>
          <w:bCs/>
          <w:i/>
          <w:iCs/>
          <w:sz w:val="28"/>
          <w:szCs w:val="24"/>
          <w:lang w:val="es-ES_tradnl" w:eastAsia="es-ES"/>
        </w:rPr>
        <w:t xml:space="preserve"> medio de</w:t>
      </w:r>
      <w:r w:rsidRPr="003F6DBE">
        <w:rPr>
          <w:rFonts w:ascii="Times New Roman" w:eastAsia="Times New Roman" w:hAnsi="Times New Roman" w:cs="Times New Roman"/>
          <w:bCs/>
          <w:i/>
          <w:iCs/>
          <w:sz w:val="28"/>
          <w:szCs w:val="24"/>
          <w:lang w:val="es-ES_tradnl" w:eastAsia="es-ES"/>
        </w:rPr>
        <w:t xml:space="preserve"> la cual se dictan disposiciones sobre zonas de frontera</w:t>
      </w:r>
      <w:r w:rsidRPr="003F6DBE">
        <w:rPr>
          <w:rFonts w:ascii="Times New Roman" w:eastAsia="Times New Roman" w:hAnsi="Times New Roman" w:cs="Times New Roman"/>
          <w:b/>
          <w:caps/>
          <w:sz w:val="28"/>
          <w:szCs w:val="24"/>
          <w:lang w:val="es-ES_tradnl" w:eastAsia="es-ES"/>
        </w:rPr>
        <w:t>”</w:t>
      </w:r>
    </w:p>
    <w:p w:rsidR="0075085A" w:rsidRPr="003F6DBE" w:rsidRDefault="003F6DBE" w:rsidP="00890D82">
      <w:pPr>
        <w:spacing w:after="0" w:line="240" w:lineRule="auto"/>
        <w:ind w:left="567" w:right="567"/>
        <w:jc w:val="both"/>
        <w:rPr>
          <w:rFonts w:ascii="Times New Roman" w:hAnsi="Times New Roman" w:cs="Times New Roman"/>
          <w:sz w:val="28"/>
          <w:szCs w:val="24"/>
        </w:rPr>
      </w:pPr>
    </w:p>
    <w:p w:rsidR="00F734AD" w:rsidRPr="003F6DBE" w:rsidRDefault="003F6DBE" w:rsidP="00890D82">
      <w:pPr>
        <w:spacing w:after="0" w:line="240" w:lineRule="auto"/>
        <w:ind w:left="567" w:right="567"/>
        <w:jc w:val="both"/>
        <w:rPr>
          <w:rFonts w:ascii="Times New Roman" w:hAnsi="Times New Roman" w:cs="Times New Roman"/>
          <w:sz w:val="28"/>
          <w:szCs w:val="24"/>
          <w:lang w:val="es-MX"/>
        </w:rPr>
      </w:pPr>
      <w:r w:rsidRPr="003F6DBE">
        <w:rPr>
          <w:rFonts w:ascii="Times New Roman" w:hAnsi="Times New Roman" w:cs="Times New Roman"/>
          <w:sz w:val="28"/>
          <w:szCs w:val="24"/>
        </w:rPr>
        <w:t>“</w:t>
      </w:r>
      <w:r w:rsidRPr="003F6DBE">
        <w:rPr>
          <w:rFonts w:ascii="Times New Roman" w:hAnsi="Times New Roman" w:cs="Times New Roman"/>
          <w:b/>
          <w:bCs/>
          <w:sz w:val="28"/>
          <w:szCs w:val="24"/>
        </w:rPr>
        <w:t>Artículo 5</w:t>
      </w:r>
      <w:r w:rsidRPr="003F6DBE">
        <w:rPr>
          <w:rFonts w:ascii="Times New Roman" w:hAnsi="Times New Roman" w:cs="Times New Roman"/>
          <w:b/>
          <w:bCs/>
          <w:sz w:val="28"/>
          <w:szCs w:val="24"/>
        </w:rPr>
        <w:t>.</w:t>
      </w:r>
      <w:r w:rsidRPr="003F6DBE">
        <w:rPr>
          <w:rFonts w:ascii="Times New Roman" w:hAnsi="Times New Roman" w:cs="Times New Roman"/>
          <w:sz w:val="28"/>
          <w:szCs w:val="24"/>
        </w:rPr>
        <w:t xml:space="preserve"> </w:t>
      </w:r>
      <w:r w:rsidRPr="003F6DBE">
        <w:rPr>
          <w:rFonts w:ascii="Times New Roman" w:hAnsi="Times New Roman" w:cs="Times New Roman"/>
          <w:sz w:val="28"/>
          <w:szCs w:val="24"/>
          <w:lang w:val="es-MX"/>
        </w:rPr>
        <w:t xml:space="preserve">El Gobierno Nacional determinará las Zonas de Frontera, las Unidades Especiales de Desarrollo Fronterizo y, por convenio con los países vecinos las Zonas de Integración Fronteriza y </w:t>
      </w:r>
      <w:r w:rsidRPr="003F6DBE">
        <w:rPr>
          <w:rFonts w:ascii="Times New Roman" w:hAnsi="Times New Roman" w:cs="Times New Roman"/>
          <w:bCs/>
          <w:sz w:val="28"/>
          <w:szCs w:val="24"/>
          <w:lang w:val="es-MX"/>
        </w:rPr>
        <w:t xml:space="preserve">en el caso de los territorios </w:t>
      </w:r>
      <w:r w:rsidRPr="003F6DBE">
        <w:rPr>
          <w:rFonts w:ascii="Times New Roman" w:hAnsi="Times New Roman" w:cs="Times New Roman"/>
          <w:b/>
          <w:sz w:val="28"/>
          <w:szCs w:val="24"/>
          <w:lang w:val="es-MX"/>
        </w:rPr>
        <w:t xml:space="preserve">indígenas </w:t>
      </w:r>
      <w:r w:rsidRPr="003F6DBE">
        <w:rPr>
          <w:rFonts w:ascii="Times New Roman" w:hAnsi="Times New Roman" w:cs="Times New Roman"/>
          <w:sz w:val="28"/>
          <w:szCs w:val="24"/>
          <w:lang w:val="es-MX"/>
        </w:rPr>
        <w:t xml:space="preserve">la determinación se tomará previa </w:t>
      </w:r>
      <w:r w:rsidRPr="003F6DBE">
        <w:rPr>
          <w:rFonts w:ascii="Times New Roman" w:hAnsi="Times New Roman" w:cs="Times New Roman"/>
          <w:sz w:val="28"/>
          <w:szCs w:val="24"/>
          <w:lang w:val="es-MX"/>
        </w:rPr>
        <w:t xml:space="preserve">concertación con las autoridades propias de las comunidades y en concordancia con lo dispuesto por la Ley 21 de 1991. </w:t>
      </w:r>
    </w:p>
    <w:p w:rsidR="00F734AD" w:rsidRPr="003F6DBE" w:rsidRDefault="003F6DBE" w:rsidP="00890D82">
      <w:pPr>
        <w:spacing w:after="0" w:line="240" w:lineRule="auto"/>
        <w:ind w:left="567" w:right="567"/>
        <w:jc w:val="both"/>
        <w:rPr>
          <w:rFonts w:ascii="Times New Roman" w:hAnsi="Times New Roman" w:cs="Times New Roman"/>
          <w:sz w:val="28"/>
          <w:szCs w:val="24"/>
          <w:lang w:val="es-MX"/>
        </w:rPr>
      </w:pPr>
    </w:p>
    <w:p w:rsidR="00B348EC" w:rsidRPr="003F6DBE" w:rsidRDefault="003F6DBE" w:rsidP="00890D82">
      <w:pPr>
        <w:spacing w:after="0" w:line="240" w:lineRule="auto"/>
        <w:ind w:left="567" w:right="567"/>
        <w:jc w:val="both"/>
        <w:rPr>
          <w:rFonts w:ascii="Times New Roman" w:hAnsi="Times New Roman" w:cs="Times New Roman"/>
          <w:sz w:val="28"/>
          <w:szCs w:val="24"/>
          <w:lang w:val="es-MX"/>
        </w:rPr>
      </w:pPr>
      <w:r w:rsidRPr="003F6DBE">
        <w:rPr>
          <w:rFonts w:ascii="Times New Roman" w:hAnsi="Times New Roman" w:cs="Times New Roman"/>
          <w:sz w:val="28"/>
          <w:szCs w:val="24"/>
          <w:lang w:val="es-MX"/>
        </w:rPr>
        <w:t xml:space="preserve">En cada Departamento Fronterizo habrá por lo menos una Unidad Especial de Desarrollo Fronterizo, la cual podrá estar conformada por uno </w:t>
      </w:r>
      <w:r w:rsidRPr="003F6DBE">
        <w:rPr>
          <w:rFonts w:ascii="Times New Roman" w:hAnsi="Times New Roman" w:cs="Times New Roman"/>
          <w:sz w:val="28"/>
          <w:szCs w:val="24"/>
          <w:lang w:val="es-MX"/>
        </w:rPr>
        <w:t>o varios municipios y/o, corregimientos especiales</w:t>
      </w:r>
      <w:r w:rsidRPr="003F6DBE">
        <w:rPr>
          <w:rFonts w:ascii="Times New Roman" w:hAnsi="Times New Roman" w:cs="Times New Roman"/>
          <w:sz w:val="28"/>
          <w:szCs w:val="24"/>
          <w:lang w:val="es-MX"/>
        </w:rPr>
        <w:t>”</w:t>
      </w:r>
      <w:r w:rsidRPr="003F6DBE">
        <w:rPr>
          <w:rStyle w:val="Refdenotaalpie"/>
          <w:rFonts w:ascii="Times New Roman" w:hAnsi="Times New Roman"/>
          <w:sz w:val="28"/>
          <w:szCs w:val="24"/>
          <w:lang w:val="es-MX"/>
        </w:rPr>
        <w:footnoteReference w:id="2"/>
      </w:r>
      <w:r w:rsidRPr="003F6DBE">
        <w:rPr>
          <w:rFonts w:ascii="Times New Roman" w:hAnsi="Times New Roman" w:cs="Times New Roman"/>
          <w:sz w:val="28"/>
          <w:szCs w:val="24"/>
          <w:lang w:val="es-MX"/>
        </w:rPr>
        <w:t>.</w:t>
      </w:r>
    </w:p>
    <w:p w:rsidR="002A1A21" w:rsidRPr="003F6DBE" w:rsidRDefault="003F6DBE" w:rsidP="00890D82">
      <w:pPr>
        <w:pStyle w:val="Default"/>
        <w:ind w:left="567" w:right="567"/>
        <w:jc w:val="both"/>
        <w:rPr>
          <w:rFonts w:ascii="Times New Roman" w:hAnsi="Times New Roman" w:cs="Times New Roman"/>
          <w:color w:val="auto"/>
          <w:sz w:val="28"/>
          <w:lang w:val="es-MX"/>
        </w:rPr>
      </w:pPr>
    </w:p>
    <w:p w:rsidR="00B348EC" w:rsidRPr="003F6DBE" w:rsidRDefault="003F6DBE" w:rsidP="00890D82">
      <w:pPr>
        <w:pStyle w:val="Default"/>
        <w:ind w:left="567" w:right="567"/>
        <w:jc w:val="both"/>
        <w:rPr>
          <w:rFonts w:ascii="Times New Roman" w:hAnsi="Times New Roman" w:cs="Times New Roman"/>
          <w:color w:val="auto"/>
          <w:sz w:val="28"/>
          <w:lang w:val="es-MX"/>
        </w:rPr>
      </w:pPr>
      <w:r w:rsidRPr="003F6DBE">
        <w:rPr>
          <w:rFonts w:ascii="Times New Roman" w:hAnsi="Times New Roman" w:cs="Times New Roman"/>
          <w:color w:val="auto"/>
          <w:sz w:val="28"/>
          <w:lang w:val="es-MX"/>
        </w:rPr>
        <w:t>“</w:t>
      </w:r>
      <w:r w:rsidRPr="003F6DBE">
        <w:rPr>
          <w:rFonts w:ascii="Times New Roman" w:hAnsi="Times New Roman" w:cs="Times New Roman"/>
          <w:b/>
          <w:bCs/>
          <w:color w:val="auto"/>
          <w:sz w:val="28"/>
          <w:lang w:val="es-MX"/>
        </w:rPr>
        <w:t>Artículo 7</w:t>
      </w:r>
      <w:r w:rsidRPr="003F6DBE">
        <w:rPr>
          <w:rFonts w:ascii="Times New Roman" w:hAnsi="Times New Roman" w:cs="Times New Roman"/>
          <w:color w:val="auto"/>
          <w:sz w:val="28"/>
          <w:lang w:val="es-MX"/>
        </w:rPr>
        <w:t>.</w:t>
      </w:r>
      <w:r w:rsidRPr="003F6DBE">
        <w:rPr>
          <w:rFonts w:ascii="Times New Roman" w:hAnsi="Times New Roman" w:cs="Times New Roman"/>
          <w:color w:val="auto"/>
          <w:sz w:val="28"/>
          <w:lang w:val="es-MX"/>
        </w:rPr>
        <w:t xml:space="preserve"> Los Gobernadores y Alcaldes de los Departamentos y Municipios Fronterizos, previamente autorizados por las Asambleas Departamentales y Concejos Municipales, según el caso, podrán celebrar con las autoridades correspondientes de las entidades territoriales</w:t>
      </w:r>
      <w:r w:rsidRPr="003F6DBE">
        <w:rPr>
          <w:rFonts w:ascii="Times New Roman" w:hAnsi="Times New Roman" w:cs="Times New Roman"/>
          <w:color w:val="auto"/>
          <w:sz w:val="28"/>
          <w:lang w:val="es-MX"/>
        </w:rPr>
        <w:t xml:space="preserve"> limítrofes del país vecino, de igual nivel, convenios de cooperación e integración dirigidos a fomentar, en las Zonas de Frontera, el desarrollo comunitario, la prestación de servicios públicos y la preservación del ambiente, dentro del ámbito de competen</w:t>
      </w:r>
      <w:r w:rsidRPr="003F6DBE">
        <w:rPr>
          <w:rFonts w:ascii="Times New Roman" w:hAnsi="Times New Roman" w:cs="Times New Roman"/>
          <w:color w:val="auto"/>
          <w:sz w:val="28"/>
          <w:lang w:val="es-MX"/>
        </w:rPr>
        <w:t>cias de las respectivas entidades territoriales e inspirados en criterios de reciprocidad y/o conveniencia nacional.</w:t>
      </w:r>
    </w:p>
    <w:p w:rsidR="00D874C4" w:rsidRPr="003F6DBE" w:rsidRDefault="003F6DBE" w:rsidP="00890D82">
      <w:pPr>
        <w:pStyle w:val="Default"/>
        <w:ind w:left="567" w:right="567"/>
        <w:jc w:val="both"/>
        <w:rPr>
          <w:rFonts w:ascii="Times New Roman" w:hAnsi="Times New Roman" w:cs="Times New Roman"/>
          <w:color w:val="auto"/>
          <w:sz w:val="28"/>
          <w:lang w:val="es-MX"/>
        </w:rPr>
      </w:pPr>
    </w:p>
    <w:p w:rsidR="00F734AD" w:rsidRPr="003F6DBE" w:rsidRDefault="003F6DBE" w:rsidP="00890D82">
      <w:pPr>
        <w:pStyle w:val="Default"/>
        <w:ind w:left="567" w:right="567"/>
        <w:jc w:val="both"/>
        <w:rPr>
          <w:rFonts w:ascii="Times New Roman" w:hAnsi="Times New Roman" w:cs="Times New Roman"/>
          <w:color w:val="auto"/>
          <w:sz w:val="28"/>
          <w:lang w:val="es-MX"/>
        </w:rPr>
      </w:pPr>
      <w:r w:rsidRPr="003F6DBE">
        <w:rPr>
          <w:rFonts w:ascii="Times New Roman" w:hAnsi="Times New Roman" w:cs="Times New Roman"/>
          <w:color w:val="auto"/>
          <w:sz w:val="28"/>
          <w:lang w:val="es-MX"/>
        </w:rPr>
        <w:t xml:space="preserve">PARÁGRAFO 1o. La autorización a los alcaldes para celebrar los convenios a que se refiere el presente artículo, deberá ser ratificada por </w:t>
      </w:r>
      <w:r w:rsidRPr="003F6DBE">
        <w:rPr>
          <w:rFonts w:ascii="Times New Roman" w:hAnsi="Times New Roman" w:cs="Times New Roman"/>
          <w:color w:val="auto"/>
          <w:sz w:val="28"/>
          <w:lang w:val="es-MX"/>
        </w:rPr>
        <w:t>la Asamblea Departamental a solicitud del Concejo del respectivo Municipio Fronterizo.</w:t>
      </w:r>
    </w:p>
    <w:p w:rsidR="00D874C4" w:rsidRPr="003F6DBE" w:rsidRDefault="003F6DBE" w:rsidP="00890D82">
      <w:pPr>
        <w:pStyle w:val="Default"/>
        <w:ind w:left="567" w:right="567"/>
        <w:jc w:val="both"/>
        <w:rPr>
          <w:rFonts w:ascii="Times New Roman" w:hAnsi="Times New Roman" w:cs="Times New Roman"/>
          <w:color w:val="auto"/>
          <w:sz w:val="28"/>
          <w:lang w:val="es-MX"/>
        </w:rPr>
      </w:pPr>
    </w:p>
    <w:p w:rsidR="00F734AD" w:rsidRPr="003F6DBE" w:rsidRDefault="003F6DBE" w:rsidP="00890D82">
      <w:pPr>
        <w:pStyle w:val="Default"/>
        <w:ind w:left="567" w:right="567"/>
        <w:jc w:val="both"/>
        <w:rPr>
          <w:rFonts w:ascii="Times New Roman" w:hAnsi="Times New Roman" w:cs="Times New Roman"/>
          <w:color w:val="auto"/>
          <w:sz w:val="28"/>
          <w:lang w:val="es-MX"/>
        </w:rPr>
      </w:pPr>
      <w:r w:rsidRPr="003F6DBE">
        <w:rPr>
          <w:rFonts w:ascii="Times New Roman" w:hAnsi="Times New Roman" w:cs="Times New Roman"/>
          <w:color w:val="auto"/>
          <w:sz w:val="28"/>
          <w:lang w:val="es-MX"/>
        </w:rPr>
        <w:t>PARÁGRAFO 2o. Dentro de los convenios de cooperación e integración a que se refiere el presente artículo, se le dará especial atención a las solicitudes presentadas por</w:t>
      </w:r>
      <w:r w:rsidRPr="003F6DBE">
        <w:rPr>
          <w:rFonts w:ascii="Times New Roman" w:hAnsi="Times New Roman" w:cs="Times New Roman"/>
          <w:color w:val="auto"/>
          <w:sz w:val="28"/>
          <w:lang w:val="es-MX"/>
        </w:rPr>
        <w:t xml:space="preserve"> las autoridades de las comunidades </w:t>
      </w:r>
      <w:r w:rsidRPr="003F6DBE">
        <w:rPr>
          <w:rFonts w:ascii="Times New Roman" w:hAnsi="Times New Roman" w:cs="Times New Roman"/>
          <w:b/>
          <w:bCs/>
          <w:color w:val="auto"/>
          <w:sz w:val="28"/>
          <w:lang w:val="es-MX"/>
        </w:rPr>
        <w:t>indígenas</w:t>
      </w:r>
      <w:r w:rsidRPr="003F6DBE">
        <w:rPr>
          <w:rFonts w:ascii="Times New Roman" w:hAnsi="Times New Roman" w:cs="Times New Roman"/>
          <w:color w:val="auto"/>
          <w:sz w:val="28"/>
          <w:lang w:val="es-MX"/>
        </w:rPr>
        <w:t xml:space="preserve"> y entre ellas podrán celebrar los convenios que consideren del caso dentro del ámbito de sus competencias.</w:t>
      </w:r>
    </w:p>
    <w:p w:rsidR="00D874C4" w:rsidRPr="003F6DBE" w:rsidRDefault="003F6DBE" w:rsidP="00890D82">
      <w:pPr>
        <w:pStyle w:val="Default"/>
        <w:ind w:left="567" w:right="567"/>
        <w:jc w:val="both"/>
        <w:rPr>
          <w:rFonts w:ascii="Times New Roman" w:hAnsi="Times New Roman" w:cs="Times New Roman"/>
          <w:color w:val="auto"/>
          <w:sz w:val="28"/>
          <w:lang w:val="es-MX"/>
        </w:rPr>
      </w:pPr>
    </w:p>
    <w:p w:rsidR="00D874C4" w:rsidRPr="003F6DBE" w:rsidRDefault="003F6DBE" w:rsidP="00890D82">
      <w:pPr>
        <w:pStyle w:val="Default"/>
        <w:ind w:left="567" w:right="567"/>
        <w:jc w:val="both"/>
        <w:rPr>
          <w:rFonts w:ascii="Times New Roman" w:hAnsi="Times New Roman" w:cs="Times New Roman"/>
          <w:color w:val="auto"/>
          <w:sz w:val="28"/>
          <w:lang w:val="es-MX"/>
        </w:rPr>
      </w:pPr>
      <w:r w:rsidRPr="003F6DBE">
        <w:rPr>
          <w:rFonts w:ascii="Times New Roman" w:hAnsi="Times New Roman" w:cs="Times New Roman"/>
          <w:color w:val="auto"/>
          <w:sz w:val="28"/>
          <w:lang w:val="es-MX"/>
        </w:rPr>
        <w:t xml:space="preserve">PARÁGRAFO 3o. El Ministerio de Relaciones Exteriores prestará la asistencia que requieran los </w:t>
      </w:r>
      <w:r w:rsidRPr="003F6DBE">
        <w:rPr>
          <w:rFonts w:ascii="Times New Roman" w:hAnsi="Times New Roman" w:cs="Times New Roman"/>
          <w:color w:val="auto"/>
          <w:sz w:val="28"/>
          <w:lang w:val="es-MX"/>
        </w:rPr>
        <w:t>Departamentos y Municipios Fronterizos para el adecuado ejercicio de esta competencia y, en todos los casos, deberá ser consultado previamente</w:t>
      </w:r>
      <w:r w:rsidRPr="003F6DBE">
        <w:rPr>
          <w:rFonts w:ascii="Times New Roman" w:hAnsi="Times New Roman" w:cs="Times New Roman"/>
          <w:color w:val="auto"/>
          <w:sz w:val="28"/>
          <w:lang w:val="es-MX"/>
        </w:rPr>
        <w:t>”.</w:t>
      </w:r>
    </w:p>
    <w:p w:rsidR="00D874C4" w:rsidRPr="003F6DBE" w:rsidRDefault="003F6DBE" w:rsidP="00890D82">
      <w:pPr>
        <w:pStyle w:val="Default"/>
        <w:ind w:left="567" w:right="567"/>
        <w:jc w:val="both"/>
        <w:rPr>
          <w:rFonts w:ascii="Times New Roman" w:hAnsi="Times New Roman" w:cs="Times New Roman"/>
          <w:color w:val="auto"/>
          <w:sz w:val="28"/>
          <w:lang w:val="es-MX"/>
        </w:rPr>
      </w:pPr>
    </w:p>
    <w:p w:rsidR="007264B3" w:rsidRPr="003F6DBE" w:rsidRDefault="003F6DBE" w:rsidP="00890D82">
      <w:pPr>
        <w:pStyle w:val="Default"/>
        <w:ind w:left="567" w:right="567"/>
        <w:jc w:val="both"/>
        <w:rPr>
          <w:rFonts w:ascii="Times New Roman" w:hAnsi="Times New Roman" w:cs="Times New Roman"/>
          <w:color w:val="auto"/>
          <w:sz w:val="28"/>
          <w:lang w:val="es-MX"/>
        </w:rPr>
      </w:pPr>
      <w:r w:rsidRPr="003F6DBE">
        <w:rPr>
          <w:rFonts w:ascii="Times New Roman" w:hAnsi="Times New Roman" w:cs="Times New Roman"/>
          <w:color w:val="auto"/>
          <w:sz w:val="28"/>
          <w:lang w:val="es-MX"/>
        </w:rPr>
        <w:t>“</w:t>
      </w:r>
      <w:r w:rsidRPr="003F6DBE">
        <w:rPr>
          <w:rFonts w:ascii="Times New Roman" w:hAnsi="Times New Roman" w:cs="Times New Roman"/>
          <w:b/>
          <w:bCs/>
          <w:color w:val="auto"/>
          <w:sz w:val="28"/>
          <w:lang w:val="es-MX"/>
        </w:rPr>
        <w:t>Artículo 8</w:t>
      </w:r>
      <w:r w:rsidRPr="003F6DBE">
        <w:rPr>
          <w:rFonts w:ascii="Times New Roman" w:hAnsi="Times New Roman" w:cs="Times New Roman"/>
          <w:color w:val="auto"/>
          <w:sz w:val="28"/>
          <w:lang w:val="es-MX"/>
        </w:rPr>
        <w:t>.</w:t>
      </w:r>
      <w:r w:rsidRPr="003F6DBE">
        <w:rPr>
          <w:rFonts w:ascii="Times New Roman" w:hAnsi="Times New Roman" w:cs="Times New Roman"/>
          <w:color w:val="auto"/>
          <w:sz w:val="28"/>
          <w:lang w:val="es-MX"/>
        </w:rPr>
        <w:t xml:space="preserve"> El Estado protegerá el conocimiento tradicional asociado a los recursos genéticos que las comunid</w:t>
      </w:r>
      <w:r w:rsidRPr="003F6DBE">
        <w:rPr>
          <w:rFonts w:ascii="Times New Roman" w:hAnsi="Times New Roman" w:cs="Times New Roman"/>
          <w:color w:val="auto"/>
          <w:sz w:val="28"/>
          <w:lang w:val="es-MX"/>
        </w:rPr>
        <w:t xml:space="preserve">ades </w:t>
      </w:r>
      <w:r w:rsidRPr="003F6DBE">
        <w:rPr>
          <w:rFonts w:ascii="Times New Roman" w:hAnsi="Times New Roman" w:cs="Times New Roman"/>
          <w:b/>
          <w:bCs/>
          <w:color w:val="auto"/>
          <w:sz w:val="28"/>
          <w:lang w:val="es-MX"/>
        </w:rPr>
        <w:t xml:space="preserve">indígenas </w:t>
      </w:r>
      <w:r w:rsidRPr="003F6DBE">
        <w:rPr>
          <w:rFonts w:ascii="Times New Roman" w:hAnsi="Times New Roman" w:cs="Times New Roman"/>
          <w:color w:val="auto"/>
          <w:sz w:val="28"/>
          <w:lang w:val="es-MX"/>
        </w:rPr>
        <w:t>y locales hayan desarrollado en las Zonas de Frontera.</w:t>
      </w:r>
      <w:r w:rsidRPr="003F6DBE">
        <w:rPr>
          <w:rFonts w:ascii="Times New Roman" w:hAnsi="Times New Roman" w:cs="Times New Roman"/>
          <w:color w:val="auto"/>
          <w:sz w:val="28"/>
          <w:lang w:val="es-MX"/>
        </w:rPr>
        <w:t xml:space="preserve"> </w:t>
      </w:r>
      <w:r w:rsidRPr="003F6DBE">
        <w:rPr>
          <w:rFonts w:ascii="Times New Roman" w:hAnsi="Times New Roman" w:cs="Times New Roman"/>
          <w:color w:val="auto"/>
          <w:sz w:val="28"/>
          <w:lang w:val="es-MX"/>
        </w:rPr>
        <w:t>Igualmente cualquier utilización que se haga de ellos, se realizará con el consentimiento previo de dichas comunidades y deberá incluir una retribución equitativa de beneficios que redun</w:t>
      </w:r>
      <w:r w:rsidRPr="003F6DBE">
        <w:rPr>
          <w:rFonts w:ascii="Times New Roman" w:hAnsi="Times New Roman" w:cs="Times New Roman"/>
          <w:color w:val="auto"/>
          <w:sz w:val="28"/>
          <w:lang w:val="es-MX"/>
        </w:rPr>
        <w:t xml:space="preserve">den en el fortalecimiento de los pueblos </w:t>
      </w:r>
      <w:r w:rsidRPr="003F6DBE">
        <w:rPr>
          <w:rFonts w:ascii="Times New Roman" w:hAnsi="Times New Roman" w:cs="Times New Roman"/>
          <w:b/>
          <w:bCs/>
          <w:color w:val="auto"/>
          <w:sz w:val="28"/>
          <w:lang w:val="es-MX"/>
        </w:rPr>
        <w:t>indígenas</w:t>
      </w:r>
      <w:r w:rsidRPr="003F6DBE">
        <w:rPr>
          <w:rFonts w:ascii="Times New Roman" w:hAnsi="Times New Roman" w:cs="Times New Roman"/>
          <w:color w:val="auto"/>
          <w:sz w:val="28"/>
          <w:lang w:val="es-MX"/>
        </w:rPr>
        <w:t>”.</w:t>
      </w:r>
    </w:p>
    <w:p w:rsidR="007264B3" w:rsidRPr="003F6DBE" w:rsidRDefault="003F6DBE" w:rsidP="00890D82">
      <w:pPr>
        <w:spacing w:after="0" w:line="240" w:lineRule="auto"/>
        <w:ind w:left="567" w:right="567"/>
        <w:jc w:val="both"/>
        <w:rPr>
          <w:rFonts w:ascii="Times New Roman" w:hAnsi="Times New Roman" w:cs="Times New Roman"/>
          <w:sz w:val="28"/>
          <w:szCs w:val="24"/>
        </w:rPr>
      </w:pPr>
    </w:p>
    <w:p w:rsidR="00D874C4" w:rsidRPr="003F6DBE" w:rsidRDefault="003F6DBE" w:rsidP="00890D82">
      <w:pPr>
        <w:spacing w:after="0" w:line="240" w:lineRule="auto"/>
        <w:ind w:left="567" w:right="567"/>
        <w:jc w:val="both"/>
        <w:rPr>
          <w:rFonts w:ascii="Times New Roman" w:hAnsi="Times New Roman" w:cs="Times New Roman"/>
          <w:sz w:val="28"/>
          <w:szCs w:val="24"/>
          <w:lang w:val="es-MX"/>
        </w:rPr>
      </w:pPr>
      <w:r w:rsidRPr="003F6DBE">
        <w:rPr>
          <w:rFonts w:ascii="Times New Roman" w:hAnsi="Times New Roman" w:cs="Times New Roman"/>
          <w:b/>
          <w:bCs/>
          <w:sz w:val="28"/>
          <w:szCs w:val="24"/>
        </w:rPr>
        <w:t>“</w:t>
      </w:r>
      <w:r w:rsidRPr="003F6DBE">
        <w:rPr>
          <w:rFonts w:ascii="Times New Roman" w:hAnsi="Times New Roman" w:cs="Times New Roman"/>
          <w:b/>
          <w:bCs/>
          <w:sz w:val="28"/>
          <w:szCs w:val="24"/>
        </w:rPr>
        <w:t>Artículo 10</w:t>
      </w:r>
      <w:r w:rsidRPr="003F6DBE">
        <w:rPr>
          <w:rFonts w:ascii="Times New Roman" w:hAnsi="Times New Roman" w:cs="Times New Roman"/>
          <w:sz w:val="28"/>
          <w:szCs w:val="24"/>
        </w:rPr>
        <w:t xml:space="preserve">. </w:t>
      </w:r>
      <w:r w:rsidRPr="003F6DBE">
        <w:rPr>
          <w:rFonts w:ascii="Times New Roman" w:hAnsi="Times New Roman" w:cs="Times New Roman"/>
          <w:sz w:val="28"/>
          <w:szCs w:val="24"/>
          <w:lang w:val="es-MX"/>
        </w:rPr>
        <w:t xml:space="preserve">En las Zonas de Frontera con características ambientales y culturales especiales, el Gobierno Nacional tomará las medidas necesarias para regular los procesos de colonización con el objeto de proteger el desarrollo cultural de las comunidades </w:t>
      </w:r>
      <w:r w:rsidRPr="003F6DBE">
        <w:rPr>
          <w:rFonts w:ascii="Times New Roman" w:hAnsi="Times New Roman" w:cs="Times New Roman"/>
          <w:b/>
          <w:bCs/>
          <w:sz w:val="28"/>
          <w:szCs w:val="24"/>
          <w:lang w:val="es-MX"/>
        </w:rPr>
        <w:t>indígenas</w:t>
      </w:r>
      <w:r w:rsidRPr="003F6DBE">
        <w:rPr>
          <w:rFonts w:ascii="Times New Roman" w:hAnsi="Times New Roman" w:cs="Times New Roman"/>
          <w:sz w:val="28"/>
          <w:szCs w:val="24"/>
          <w:lang w:val="es-MX"/>
        </w:rPr>
        <w:t xml:space="preserve"> y l</w:t>
      </w:r>
      <w:r w:rsidRPr="003F6DBE">
        <w:rPr>
          <w:rFonts w:ascii="Times New Roman" w:hAnsi="Times New Roman" w:cs="Times New Roman"/>
          <w:sz w:val="28"/>
          <w:szCs w:val="24"/>
          <w:lang w:val="es-MX"/>
        </w:rPr>
        <w:t>ocales, así como la preservación del medio ambiente.</w:t>
      </w:r>
      <w:r w:rsidRPr="003F6DBE">
        <w:rPr>
          <w:rFonts w:ascii="Times New Roman" w:hAnsi="Times New Roman" w:cs="Times New Roman"/>
          <w:sz w:val="28"/>
          <w:szCs w:val="24"/>
          <w:lang w:val="es-MX"/>
        </w:rPr>
        <w:t xml:space="preserve"> </w:t>
      </w:r>
    </w:p>
    <w:p w:rsidR="00D874C4" w:rsidRPr="003F6DBE" w:rsidRDefault="003F6DBE" w:rsidP="00890D82">
      <w:pPr>
        <w:spacing w:after="0" w:line="240" w:lineRule="auto"/>
        <w:ind w:left="567" w:right="567"/>
        <w:jc w:val="both"/>
        <w:rPr>
          <w:rFonts w:ascii="Times New Roman" w:hAnsi="Times New Roman" w:cs="Times New Roman"/>
          <w:sz w:val="28"/>
          <w:szCs w:val="24"/>
          <w:lang w:val="es-MX"/>
        </w:rPr>
      </w:pPr>
    </w:p>
    <w:p w:rsidR="002A2D4E" w:rsidRPr="003F6DBE" w:rsidRDefault="003F6DBE" w:rsidP="00890D82">
      <w:pPr>
        <w:spacing w:after="0" w:line="240" w:lineRule="auto"/>
        <w:ind w:left="567" w:right="567"/>
        <w:jc w:val="both"/>
        <w:rPr>
          <w:rFonts w:ascii="Times New Roman" w:hAnsi="Times New Roman" w:cs="Times New Roman"/>
          <w:sz w:val="28"/>
          <w:szCs w:val="24"/>
          <w:lang w:val="es-MX"/>
        </w:rPr>
      </w:pPr>
      <w:r w:rsidRPr="003F6DBE">
        <w:rPr>
          <w:rFonts w:ascii="Times New Roman" w:hAnsi="Times New Roman" w:cs="Times New Roman"/>
          <w:sz w:val="28"/>
          <w:szCs w:val="24"/>
          <w:lang w:val="es-MX"/>
        </w:rPr>
        <w:t>El Ministerio del Medio Ambiente, dará prelación a la solución de los problemas relacionados con el medio ambiente y la preservación y aprovechamiento de los recursos naturales existentes en la Zona, e</w:t>
      </w:r>
      <w:r w:rsidRPr="003F6DBE">
        <w:rPr>
          <w:rFonts w:ascii="Times New Roman" w:hAnsi="Times New Roman" w:cs="Times New Roman"/>
          <w:sz w:val="28"/>
          <w:szCs w:val="24"/>
          <w:lang w:val="es-MX"/>
        </w:rPr>
        <w:t>n concordancia con lo establecido en los convenios binacionales</w:t>
      </w:r>
      <w:r w:rsidRPr="003F6DBE">
        <w:rPr>
          <w:rFonts w:ascii="Times New Roman" w:hAnsi="Times New Roman" w:cs="Times New Roman"/>
          <w:sz w:val="28"/>
          <w:szCs w:val="24"/>
          <w:lang w:val="es-MX"/>
        </w:rPr>
        <w:t>”</w:t>
      </w:r>
      <w:r w:rsidRPr="003F6DBE">
        <w:rPr>
          <w:rFonts w:ascii="Times New Roman" w:hAnsi="Times New Roman" w:cs="Times New Roman"/>
          <w:sz w:val="28"/>
          <w:szCs w:val="24"/>
          <w:lang w:val="es-MX"/>
        </w:rPr>
        <w:t>.</w:t>
      </w:r>
    </w:p>
    <w:p w:rsidR="00944DF0" w:rsidRPr="003F6DBE" w:rsidRDefault="003F6DBE" w:rsidP="00944DF0">
      <w:pPr>
        <w:spacing w:after="0" w:line="240" w:lineRule="auto"/>
        <w:ind w:right="616"/>
        <w:jc w:val="both"/>
        <w:rPr>
          <w:rFonts w:ascii="Times New Roman" w:hAnsi="Times New Roman" w:cs="Times New Roman"/>
          <w:sz w:val="28"/>
          <w:szCs w:val="24"/>
          <w:lang w:val="es-MX"/>
        </w:rPr>
      </w:pPr>
    </w:p>
    <w:p w:rsidR="00537E50" w:rsidRPr="003F6DBE" w:rsidRDefault="003F6DBE" w:rsidP="008D4893">
      <w:pPr>
        <w:pStyle w:val="Prrafodelista"/>
        <w:numPr>
          <w:ilvl w:val="0"/>
          <w:numId w:val="3"/>
        </w:numPr>
        <w:spacing w:after="0" w:line="240" w:lineRule="auto"/>
        <w:ind w:right="-232"/>
        <w:jc w:val="both"/>
        <w:rPr>
          <w:rFonts w:ascii="Times New Roman" w:hAnsi="Times New Roman" w:cs="Times New Roman"/>
          <w:sz w:val="28"/>
          <w:szCs w:val="28"/>
        </w:rPr>
      </w:pPr>
      <w:r w:rsidRPr="003F6DBE">
        <w:rPr>
          <w:rFonts w:ascii="Times New Roman" w:hAnsi="Times New Roman" w:cs="Times New Roman"/>
          <w:b/>
          <w:bCs/>
          <w:sz w:val="28"/>
          <w:szCs w:val="28"/>
        </w:rPr>
        <w:t>LA DEMANDA Y SU CORRECCIÓN</w:t>
      </w:r>
    </w:p>
    <w:p w:rsidR="00E95907" w:rsidRPr="003F6DBE" w:rsidRDefault="003F6DBE" w:rsidP="00E95907">
      <w:pPr>
        <w:pStyle w:val="Prrafodelista"/>
        <w:spacing w:after="0" w:line="240" w:lineRule="auto"/>
        <w:ind w:right="-232"/>
        <w:jc w:val="both"/>
        <w:rPr>
          <w:rFonts w:ascii="Times New Roman" w:hAnsi="Times New Roman" w:cs="Times New Roman"/>
          <w:sz w:val="28"/>
          <w:szCs w:val="28"/>
        </w:rPr>
      </w:pPr>
    </w:p>
    <w:p w:rsidR="00207129" w:rsidRPr="003F6DBE" w:rsidRDefault="003F6DBE" w:rsidP="00DE38C0">
      <w:pPr>
        <w:pStyle w:val="Prrafodelista"/>
        <w:numPr>
          <w:ilvl w:val="0"/>
          <w:numId w:val="2"/>
        </w:numPr>
        <w:spacing w:after="0" w:line="240" w:lineRule="auto"/>
        <w:ind w:left="0" w:right="49" w:firstLine="0"/>
        <w:jc w:val="both"/>
        <w:rPr>
          <w:rFonts w:ascii="Times New Roman" w:hAnsi="Times New Roman" w:cs="Times New Roman"/>
          <w:sz w:val="28"/>
          <w:szCs w:val="28"/>
        </w:rPr>
      </w:pPr>
      <w:r w:rsidRPr="003F6DBE">
        <w:rPr>
          <w:rFonts w:ascii="Times New Roman" w:hAnsi="Times New Roman" w:cs="Times New Roman"/>
          <w:sz w:val="28"/>
          <w:szCs w:val="28"/>
        </w:rPr>
        <w:t xml:space="preserve">Previo a estructurar los argumentos necesarios para un cargo de una omisión legislativa relativa, </w:t>
      </w:r>
      <w:r w:rsidRPr="003F6DBE">
        <w:rPr>
          <w:rFonts w:ascii="Times New Roman" w:hAnsi="Times New Roman" w:cs="Times New Roman"/>
          <w:sz w:val="28"/>
          <w:szCs w:val="28"/>
        </w:rPr>
        <w:t>en la demanda se indicó que el punto de partida es que las disp</w:t>
      </w:r>
      <w:r w:rsidRPr="003F6DBE">
        <w:rPr>
          <w:rFonts w:ascii="Times New Roman" w:hAnsi="Times New Roman" w:cs="Times New Roman"/>
          <w:sz w:val="28"/>
          <w:szCs w:val="28"/>
        </w:rPr>
        <w:t>osiciones impugnadas</w:t>
      </w:r>
      <w:r w:rsidRPr="003F6DBE">
        <w:rPr>
          <w:rFonts w:ascii="Times New Roman" w:hAnsi="Times New Roman" w:cs="Times New Roman"/>
          <w:sz w:val="28"/>
        </w:rPr>
        <w:t xml:space="preserve"> vulneran los artículos 1, 2, 7, 13, 70, 93, 310 y 55 transitorio de la Constitución Política</w:t>
      </w:r>
      <w:r w:rsidRPr="003F6DBE">
        <w:rPr>
          <w:rFonts w:ascii="Times New Roman" w:hAnsi="Times New Roman" w:cs="Times New Roman"/>
          <w:sz w:val="28"/>
        </w:rPr>
        <w:t xml:space="preserve">, así como también </w:t>
      </w:r>
      <w:r w:rsidRPr="003F6DBE">
        <w:rPr>
          <w:rFonts w:ascii="Times New Roman" w:hAnsi="Times New Roman" w:cs="Times New Roman"/>
          <w:sz w:val="28"/>
        </w:rPr>
        <w:t>los artículos</w:t>
      </w:r>
      <w:r w:rsidRPr="003F6DBE">
        <w:rPr>
          <w:rFonts w:ascii="Times New Roman" w:hAnsi="Times New Roman" w:cs="Times New Roman"/>
          <w:sz w:val="28"/>
        </w:rPr>
        <w:t xml:space="preserve"> 1.1,</w:t>
      </w:r>
      <w:r w:rsidRPr="003F6DBE">
        <w:rPr>
          <w:rFonts w:ascii="Times New Roman" w:hAnsi="Times New Roman" w:cs="Times New Roman"/>
          <w:sz w:val="28"/>
        </w:rPr>
        <w:t xml:space="preserve"> 2</w:t>
      </w:r>
      <w:r w:rsidRPr="003F6DBE">
        <w:rPr>
          <w:rFonts w:ascii="Times New Roman" w:hAnsi="Times New Roman" w:cs="Times New Roman"/>
          <w:sz w:val="28"/>
        </w:rPr>
        <w:t>.2</w:t>
      </w:r>
      <w:r w:rsidRPr="003F6DBE">
        <w:rPr>
          <w:rFonts w:ascii="Times New Roman" w:hAnsi="Times New Roman" w:cs="Times New Roman"/>
          <w:sz w:val="28"/>
        </w:rPr>
        <w:t xml:space="preserve"> y 5</w:t>
      </w:r>
      <w:r w:rsidRPr="003F6DBE">
        <w:rPr>
          <w:rFonts w:ascii="Times New Roman" w:hAnsi="Times New Roman" w:cs="Times New Roman"/>
          <w:sz w:val="28"/>
        </w:rPr>
        <w:t>.a</w:t>
      </w:r>
      <w:r w:rsidRPr="003F6DBE">
        <w:rPr>
          <w:rFonts w:ascii="Times New Roman" w:hAnsi="Times New Roman" w:cs="Times New Roman"/>
          <w:sz w:val="28"/>
        </w:rPr>
        <w:t xml:space="preserve"> del Convenio 169 de la O</w:t>
      </w:r>
      <w:r w:rsidRPr="003F6DBE">
        <w:rPr>
          <w:rFonts w:ascii="Times New Roman" w:hAnsi="Times New Roman" w:cs="Times New Roman"/>
          <w:sz w:val="28"/>
        </w:rPr>
        <w:t xml:space="preserve">rganización Internacional del Trabajo (en adelante OIT) </w:t>
      </w:r>
      <w:r w:rsidRPr="003F6DBE">
        <w:rPr>
          <w:rFonts w:ascii="Times New Roman" w:hAnsi="Times New Roman" w:cs="Times New Roman"/>
          <w:sz w:val="28"/>
        </w:rPr>
        <w:t xml:space="preserve">que hace parte </w:t>
      </w:r>
      <w:r w:rsidRPr="003F6DBE">
        <w:rPr>
          <w:rFonts w:ascii="Times New Roman" w:hAnsi="Times New Roman" w:cs="Times New Roman"/>
          <w:sz w:val="28"/>
        </w:rPr>
        <w:t>del bloque de constitucionalidad en sentido estricto</w:t>
      </w:r>
      <w:r w:rsidRPr="003F6DBE">
        <w:rPr>
          <w:rStyle w:val="Refdenotaalpie"/>
          <w:rFonts w:ascii="Times New Roman" w:hAnsi="Times New Roman"/>
          <w:sz w:val="28"/>
        </w:rPr>
        <w:footnoteReference w:id="3"/>
      </w:r>
      <w:r w:rsidRPr="003F6DBE">
        <w:rPr>
          <w:rFonts w:ascii="Times New Roman" w:hAnsi="Times New Roman" w:cs="Times New Roman"/>
          <w:sz w:val="28"/>
        </w:rPr>
        <w:t>.</w:t>
      </w:r>
      <w:r w:rsidRPr="003F6DBE">
        <w:rPr>
          <w:rFonts w:ascii="Times New Roman" w:hAnsi="Times New Roman" w:cs="Times New Roman"/>
          <w:sz w:val="28"/>
          <w:szCs w:val="28"/>
        </w:rPr>
        <w:t xml:space="preserve"> </w:t>
      </w:r>
    </w:p>
    <w:p w:rsidR="005D60BA" w:rsidRPr="003F6DBE" w:rsidRDefault="003F6DBE" w:rsidP="00DE38C0">
      <w:pPr>
        <w:pStyle w:val="Prrafodelista"/>
        <w:spacing w:after="0" w:line="240" w:lineRule="auto"/>
        <w:ind w:left="0" w:right="49"/>
        <w:jc w:val="both"/>
        <w:rPr>
          <w:rFonts w:ascii="Times New Roman" w:hAnsi="Times New Roman" w:cs="Times New Roman"/>
          <w:sz w:val="28"/>
          <w:szCs w:val="28"/>
        </w:rPr>
      </w:pPr>
    </w:p>
    <w:p w:rsidR="00080B0C" w:rsidRPr="003F6DBE" w:rsidRDefault="003F6DBE" w:rsidP="00DE38C0">
      <w:pPr>
        <w:pStyle w:val="Prrafodelista"/>
        <w:numPr>
          <w:ilvl w:val="0"/>
          <w:numId w:val="2"/>
        </w:numPr>
        <w:spacing w:after="0" w:line="240" w:lineRule="auto"/>
        <w:ind w:left="0" w:right="49" w:firstLine="0"/>
        <w:jc w:val="both"/>
        <w:rPr>
          <w:rFonts w:ascii="Times New Roman" w:hAnsi="Times New Roman" w:cs="Times New Roman"/>
          <w:sz w:val="28"/>
        </w:rPr>
      </w:pPr>
      <w:r w:rsidRPr="003F6DBE">
        <w:rPr>
          <w:rFonts w:ascii="Times New Roman" w:hAnsi="Times New Roman" w:cs="Times New Roman"/>
          <w:sz w:val="28"/>
          <w:szCs w:val="28"/>
        </w:rPr>
        <w:t xml:space="preserve">La </w:t>
      </w:r>
      <w:r w:rsidRPr="003F6DBE">
        <w:rPr>
          <w:rFonts w:ascii="Times New Roman" w:hAnsi="Times New Roman" w:cs="Times New Roman"/>
          <w:sz w:val="28"/>
          <w:szCs w:val="28"/>
        </w:rPr>
        <w:t xml:space="preserve">demanda se </w:t>
      </w:r>
      <w:r w:rsidRPr="003F6DBE">
        <w:rPr>
          <w:rFonts w:ascii="Times New Roman" w:hAnsi="Times New Roman" w:cs="Times New Roman"/>
          <w:sz w:val="28"/>
          <w:szCs w:val="28"/>
        </w:rPr>
        <w:t>sustenta en</w:t>
      </w:r>
      <w:r w:rsidRPr="003F6DBE">
        <w:rPr>
          <w:rFonts w:ascii="Times New Roman" w:hAnsi="Times New Roman" w:cs="Times New Roman"/>
          <w:sz w:val="28"/>
          <w:szCs w:val="28"/>
        </w:rPr>
        <w:t xml:space="preserve"> la </w:t>
      </w:r>
      <w:r w:rsidRPr="003F6DBE">
        <w:rPr>
          <w:rFonts w:ascii="Times New Roman" w:hAnsi="Times New Roman" w:cs="Times New Roman"/>
          <w:sz w:val="28"/>
        </w:rPr>
        <w:t xml:space="preserve">protección constitucional de la identidad y </w:t>
      </w:r>
      <w:r w:rsidRPr="003F6DBE">
        <w:rPr>
          <w:rFonts w:ascii="Times New Roman" w:hAnsi="Times New Roman" w:cs="Times New Roman"/>
          <w:sz w:val="28"/>
        </w:rPr>
        <w:t xml:space="preserve">de la </w:t>
      </w:r>
      <w:bookmarkStart w:id="1" w:name="_Hlk166141768"/>
      <w:r w:rsidRPr="003F6DBE">
        <w:rPr>
          <w:rFonts w:ascii="Times New Roman" w:hAnsi="Times New Roman" w:cs="Times New Roman"/>
          <w:sz w:val="28"/>
        </w:rPr>
        <w:t>diversidad étnica y cultural. En particular, aqu</w:t>
      </w:r>
      <w:r w:rsidRPr="003F6DBE">
        <w:rPr>
          <w:rFonts w:ascii="Times New Roman" w:hAnsi="Times New Roman" w:cs="Times New Roman"/>
          <w:sz w:val="28"/>
        </w:rPr>
        <w:t>é</w:t>
      </w:r>
      <w:r w:rsidRPr="003F6DBE">
        <w:rPr>
          <w:rFonts w:ascii="Times New Roman" w:hAnsi="Times New Roman" w:cs="Times New Roman"/>
          <w:sz w:val="28"/>
        </w:rPr>
        <w:t xml:space="preserve">lla que protege a </w:t>
      </w:r>
      <w:bookmarkStart w:id="2" w:name="_Hlk166143105"/>
      <w:r w:rsidRPr="003F6DBE">
        <w:rPr>
          <w:rFonts w:ascii="Times New Roman" w:hAnsi="Times New Roman" w:cs="Times New Roman"/>
          <w:sz w:val="28"/>
        </w:rPr>
        <w:t xml:space="preserve">las comunidades negras, afrocolombianas, raizales y </w:t>
      </w:r>
      <w:r w:rsidRPr="003F6DBE">
        <w:rPr>
          <w:rFonts w:ascii="Times New Roman" w:hAnsi="Times New Roman" w:cs="Times New Roman"/>
          <w:sz w:val="28"/>
        </w:rPr>
        <w:t>palenqueras</w:t>
      </w:r>
      <w:bookmarkEnd w:id="2"/>
      <w:r w:rsidRPr="003F6DBE">
        <w:rPr>
          <w:rFonts w:ascii="Times New Roman" w:hAnsi="Times New Roman" w:cs="Times New Roman"/>
          <w:sz w:val="28"/>
        </w:rPr>
        <w:t xml:space="preserve"> </w:t>
      </w:r>
      <w:bookmarkEnd w:id="1"/>
      <w:r w:rsidRPr="003F6DBE">
        <w:rPr>
          <w:rFonts w:ascii="Times New Roman" w:hAnsi="Times New Roman" w:cs="Times New Roman"/>
          <w:sz w:val="28"/>
        </w:rPr>
        <w:t>(</w:t>
      </w:r>
      <w:r w:rsidRPr="003F6DBE">
        <w:rPr>
          <w:rFonts w:ascii="Times New Roman" w:hAnsi="Times New Roman" w:cs="Times New Roman"/>
          <w:sz w:val="28"/>
        </w:rPr>
        <w:t xml:space="preserve">en algunas referencias en adelante </w:t>
      </w:r>
      <w:r w:rsidRPr="003F6DBE">
        <w:rPr>
          <w:rFonts w:ascii="Times New Roman" w:hAnsi="Times New Roman" w:cs="Times New Roman"/>
          <w:sz w:val="28"/>
        </w:rPr>
        <w:t>NARP).</w:t>
      </w:r>
      <w:r w:rsidRPr="003F6DBE">
        <w:rPr>
          <w:rFonts w:ascii="Times New Roman" w:hAnsi="Times New Roman" w:cs="Times New Roman"/>
          <w:sz w:val="28"/>
        </w:rPr>
        <w:t xml:space="preserve"> Según </w:t>
      </w:r>
      <w:r w:rsidRPr="003F6DBE">
        <w:rPr>
          <w:rFonts w:ascii="Times New Roman" w:hAnsi="Times New Roman" w:cs="Times New Roman"/>
          <w:sz w:val="28"/>
        </w:rPr>
        <w:t>s</w:t>
      </w:r>
      <w:r w:rsidRPr="003F6DBE">
        <w:rPr>
          <w:rFonts w:ascii="Times New Roman" w:hAnsi="Times New Roman" w:cs="Times New Roman"/>
          <w:sz w:val="28"/>
        </w:rPr>
        <w:t>e indicó,</w:t>
      </w:r>
      <w:r w:rsidRPr="003F6DBE">
        <w:rPr>
          <w:rFonts w:ascii="Times New Roman" w:hAnsi="Times New Roman" w:cs="Times New Roman"/>
          <w:sz w:val="28"/>
        </w:rPr>
        <w:t xml:space="preserve"> </w:t>
      </w:r>
      <w:r w:rsidRPr="003F6DBE">
        <w:rPr>
          <w:rFonts w:ascii="Times New Roman" w:hAnsi="Times New Roman" w:cs="Times New Roman"/>
          <w:sz w:val="28"/>
        </w:rPr>
        <w:t>l</w:t>
      </w:r>
      <w:r w:rsidRPr="003F6DBE">
        <w:rPr>
          <w:rFonts w:ascii="Times New Roman" w:hAnsi="Times New Roman" w:cs="Times New Roman"/>
          <w:sz w:val="28"/>
        </w:rPr>
        <w:t>a Constitución Política de 1991 en su preámbulo y en los artículos 1, 7 y 70 reconoce el carácter pluriétnico y multicultural del Estado y el deber de protección de la diversidad étni</w:t>
      </w:r>
      <w:r w:rsidRPr="003F6DBE">
        <w:rPr>
          <w:rFonts w:ascii="Times New Roman" w:hAnsi="Times New Roman" w:cs="Times New Roman"/>
          <w:sz w:val="28"/>
        </w:rPr>
        <w:t>ca y cultura</w:t>
      </w:r>
      <w:r w:rsidRPr="003F6DBE">
        <w:rPr>
          <w:rFonts w:ascii="Times New Roman" w:hAnsi="Times New Roman" w:cs="Times New Roman"/>
          <w:sz w:val="28"/>
        </w:rPr>
        <w:t>l</w:t>
      </w:r>
      <w:r w:rsidRPr="003F6DBE">
        <w:rPr>
          <w:rFonts w:ascii="Times New Roman" w:hAnsi="Times New Roman" w:cs="Times New Roman"/>
          <w:sz w:val="28"/>
        </w:rPr>
        <w:t xml:space="preserve"> de la Nación. Esto se traduce no solo en la garantía de inclusión y reconocimiento de una especial protección a grupos históricamente excluidos como los pueblos y comunidades indígenas, R</w:t>
      </w:r>
      <w:r w:rsidRPr="003F6DBE">
        <w:rPr>
          <w:rFonts w:ascii="Times New Roman" w:hAnsi="Times New Roman" w:cs="Times New Roman"/>
          <w:sz w:val="28"/>
        </w:rPr>
        <w:t>r</w:t>
      </w:r>
      <w:r w:rsidRPr="003F6DBE">
        <w:rPr>
          <w:rFonts w:ascii="Times New Roman" w:hAnsi="Times New Roman" w:cs="Times New Roman"/>
          <w:sz w:val="28"/>
        </w:rPr>
        <w:t>om y las comunidades negras, afrocolombianas, raizales</w:t>
      </w:r>
      <w:r w:rsidRPr="003F6DBE">
        <w:rPr>
          <w:rFonts w:ascii="Times New Roman" w:hAnsi="Times New Roman" w:cs="Times New Roman"/>
          <w:sz w:val="28"/>
        </w:rPr>
        <w:t xml:space="preserve"> y palenqueras, sino además en el reconocimiento de titularidad de derechos fundamentales como comunidades étnicas</w:t>
      </w:r>
      <w:r w:rsidRPr="003F6DBE">
        <w:rPr>
          <w:rStyle w:val="Refdenotaalpie"/>
          <w:rFonts w:ascii="Times New Roman" w:hAnsi="Times New Roman"/>
          <w:sz w:val="28"/>
        </w:rPr>
        <w:footnoteReference w:id="4"/>
      </w:r>
      <w:r w:rsidRPr="003F6DBE">
        <w:rPr>
          <w:rFonts w:ascii="Times New Roman" w:hAnsi="Times New Roman" w:cs="Times New Roman"/>
          <w:sz w:val="28"/>
        </w:rPr>
        <w:t>. En ese sentido, la jurisprudencia de la Corte Constitucional ha señalado que la Constitución define al Estado colombiano como social y demo</w:t>
      </w:r>
      <w:r w:rsidRPr="003F6DBE">
        <w:rPr>
          <w:rFonts w:ascii="Times New Roman" w:hAnsi="Times New Roman" w:cs="Times New Roman"/>
          <w:sz w:val="28"/>
        </w:rPr>
        <w:t>crático de derecho, pluriétnico y multicultural, lo que incluye de una manera amplia e incluyente a toda la población que bajo distintas denominaciones se nombra y reconoce como</w:t>
      </w:r>
      <w:r w:rsidRPr="003F6DBE">
        <w:rPr>
          <w:rFonts w:ascii="Times New Roman" w:hAnsi="Times New Roman" w:cs="Times New Roman"/>
          <w:sz w:val="28"/>
        </w:rPr>
        <w:t xml:space="preserve"> parte de</w:t>
      </w:r>
      <w:r w:rsidRPr="003F6DBE">
        <w:rPr>
          <w:rFonts w:ascii="Times New Roman" w:hAnsi="Times New Roman" w:cs="Times New Roman"/>
          <w:sz w:val="28"/>
        </w:rPr>
        <w:t xml:space="preserve"> comunidades tradicionales incluyendo a las indígenas, pero no limitad</w:t>
      </w:r>
      <w:r w:rsidRPr="003F6DBE">
        <w:rPr>
          <w:rFonts w:ascii="Times New Roman" w:hAnsi="Times New Roman" w:cs="Times New Roman"/>
          <w:sz w:val="28"/>
        </w:rPr>
        <w:t>as a ellas</w:t>
      </w:r>
      <w:r w:rsidRPr="003F6DBE">
        <w:rPr>
          <w:rStyle w:val="Refdenotaalpie"/>
          <w:rFonts w:ascii="Times New Roman" w:hAnsi="Times New Roman"/>
          <w:sz w:val="28"/>
        </w:rPr>
        <w:footnoteReference w:id="5"/>
      </w:r>
      <w:r w:rsidRPr="003F6DBE">
        <w:rPr>
          <w:rFonts w:ascii="Times New Roman" w:hAnsi="Times New Roman" w:cs="Times New Roman"/>
          <w:sz w:val="28"/>
        </w:rPr>
        <w:t>.</w:t>
      </w:r>
    </w:p>
    <w:p w:rsidR="00E01424" w:rsidRPr="003F6DBE" w:rsidRDefault="003F6DBE" w:rsidP="00DE38C0">
      <w:pPr>
        <w:pStyle w:val="Prrafodelista"/>
        <w:spacing w:after="0" w:line="240" w:lineRule="auto"/>
        <w:ind w:left="0" w:right="49"/>
        <w:jc w:val="both"/>
        <w:rPr>
          <w:rFonts w:ascii="Times New Roman" w:hAnsi="Times New Roman" w:cs="Times New Roman"/>
          <w:sz w:val="28"/>
        </w:rPr>
      </w:pPr>
    </w:p>
    <w:p w:rsidR="004151D1" w:rsidRPr="003F6DBE" w:rsidRDefault="003F6DBE" w:rsidP="00DE38C0">
      <w:pPr>
        <w:pStyle w:val="Prrafodelista"/>
        <w:numPr>
          <w:ilvl w:val="0"/>
          <w:numId w:val="2"/>
        </w:numPr>
        <w:spacing w:after="0" w:line="240" w:lineRule="auto"/>
        <w:ind w:left="0" w:right="49" w:firstLine="0"/>
        <w:jc w:val="both"/>
        <w:rPr>
          <w:rFonts w:ascii="Times New Roman" w:hAnsi="Times New Roman" w:cs="Times New Roman"/>
          <w:sz w:val="28"/>
        </w:rPr>
      </w:pPr>
      <w:r w:rsidRPr="003F6DBE">
        <w:rPr>
          <w:rFonts w:ascii="Times New Roman" w:hAnsi="Times New Roman" w:cs="Times New Roman"/>
          <w:sz w:val="28"/>
        </w:rPr>
        <w:t>En consecuencia, los demandantes llamaron la atención sobre la importante línea jurisprudencial en favor de los derechos de las comunidades indígenas. Sin embargo, en el contexto del pluralismo y de</w:t>
      </w:r>
      <w:r w:rsidRPr="003F6DBE">
        <w:rPr>
          <w:rFonts w:ascii="Times New Roman" w:hAnsi="Times New Roman" w:cs="Times New Roman"/>
          <w:sz w:val="28"/>
        </w:rPr>
        <w:t xml:space="preserve"> </w:t>
      </w:r>
      <w:r w:rsidRPr="003F6DBE">
        <w:rPr>
          <w:rFonts w:ascii="Times New Roman" w:hAnsi="Times New Roman" w:cs="Times New Roman"/>
          <w:sz w:val="28"/>
        </w:rPr>
        <w:t>la identidad étnica</w:t>
      </w:r>
      <w:r w:rsidRPr="003F6DBE">
        <w:rPr>
          <w:rFonts w:ascii="Times New Roman" w:hAnsi="Times New Roman" w:cs="Times New Roman"/>
          <w:sz w:val="28"/>
        </w:rPr>
        <w:t>,</w:t>
      </w:r>
      <w:r w:rsidRPr="003F6DBE">
        <w:rPr>
          <w:rFonts w:ascii="Times New Roman" w:hAnsi="Times New Roman" w:cs="Times New Roman"/>
          <w:sz w:val="28"/>
        </w:rPr>
        <w:t xml:space="preserve"> también se debe reconocer a las comunidades afrodescendientes como así lo disponen los artículos 1.1. y 1.2 del Convenio 169 de la OIT, que forma</w:t>
      </w:r>
      <w:r w:rsidRPr="003F6DBE">
        <w:rPr>
          <w:rFonts w:ascii="Times New Roman" w:hAnsi="Times New Roman" w:cs="Times New Roman"/>
          <w:sz w:val="28"/>
        </w:rPr>
        <w:t>n</w:t>
      </w:r>
      <w:r w:rsidRPr="003F6DBE">
        <w:rPr>
          <w:rFonts w:ascii="Times New Roman" w:hAnsi="Times New Roman" w:cs="Times New Roman"/>
          <w:sz w:val="28"/>
        </w:rPr>
        <w:t xml:space="preserve"> parte del bloque de constitucionalidad en sentido estricto. De allí que, fundado en el criterio de autorreco</w:t>
      </w:r>
      <w:r w:rsidRPr="003F6DBE">
        <w:rPr>
          <w:rFonts w:ascii="Times New Roman" w:hAnsi="Times New Roman" w:cs="Times New Roman"/>
          <w:sz w:val="28"/>
        </w:rPr>
        <w:t>nocimiento</w:t>
      </w:r>
      <w:r w:rsidRPr="003F6DBE">
        <w:rPr>
          <w:rFonts w:ascii="Times New Roman" w:hAnsi="Times New Roman" w:cs="Times New Roman"/>
          <w:sz w:val="28"/>
        </w:rPr>
        <w:t xml:space="preserve">, se ha establecido que estos derechos cobijan a las comunidades indígenas, </w:t>
      </w:r>
      <w:r w:rsidRPr="003F6DBE">
        <w:rPr>
          <w:rFonts w:ascii="Times New Roman" w:hAnsi="Times New Roman" w:cs="Times New Roman"/>
          <w:sz w:val="28"/>
        </w:rPr>
        <w:t>R</w:t>
      </w:r>
      <w:r w:rsidRPr="003F6DBE">
        <w:rPr>
          <w:rFonts w:ascii="Times New Roman" w:hAnsi="Times New Roman" w:cs="Times New Roman"/>
          <w:sz w:val="28"/>
        </w:rPr>
        <w:t>rom y negras, afrocolombianas, raizales y palenqueras. Frente a estos últimos grupos ha explicado la Corte Constitucional que “[u]</w:t>
      </w:r>
      <w:r w:rsidRPr="003F6DBE">
        <w:rPr>
          <w:rFonts w:ascii="Times New Roman" w:hAnsi="Times New Roman" w:cs="Times New Roman"/>
          <w:i/>
          <w:iCs/>
          <w:sz w:val="28"/>
          <w:szCs w:val="28"/>
          <w:shd w:val="clear" w:color="auto" w:fill="FFFFFF"/>
        </w:rPr>
        <w:t>na de las principales formas de discrim</w:t>
      </w:r>
      <w:r w:rsidRPr="003F6DBE">
        <w:rPr>
          <w:rFonts w:ascii="Times New Roman" w:hAnsi="Times New Roman" w:cs="Times New Roman"/>
          <w:i/>
          <w:iCs/>
          <w:sz w:val="28"/>
          <w:szCs w:val="28"/>
          <w:shd w:val="clear" w:color="auto" w:fill="FFFFFF"/>
        </w:rPr>
        <w:t>inación ha sido, históricamente, la “invisibilidad” de la gente negr</w:t>
      </w:r>
      <w:bookmarkStart w:id="3" w:name="_ftnref136"/>
      <w:r w:rsidRPr="003F6DBE">
        <w:rPr>
          <w:rFonts w:ascii="Times New Roman" w:hAnsi="Times New Roman" w:cs="Times New Roman"/>
          <w:i/>
          <w:iCs/>
          <w:sz w:val="28"/>
          <w:szCs w:val="28"/>
          <w:shd w:val="clear" w:color="auto" w:fill="FFFFFF"/>
        </w:rPr>
        <w:t>a</w:t>
      </w:r>
      <w:r w:rsidRPr="003F6DBE">
        <w:rPr>
          <w:rFonts w:ascii="Times New Roman" w:hAnsi="Times New Roman" w:cs="Times New Roman"/>
          <w:sz w:val="28"/>
          <w:szCs w:val="28"/>
          <w:shd w:val="clear" w:color="auto" w:fill="FFFFFF"/>
        </w:rPr>
        <w:t>”</w:t>
      </w:r>
      <w:r w:rsidRPr="003F6DBE">
        <w:rPr>
          <w:rStyle w:val="Refdenotaalpie"/>
          <w:rFonts w:ascii="Times New Roman" w:hAnsi="Times New Roman"/>
          <w:sz w:val="28"/>
          <w:szCs w:val="28"/>
          <w:shd w:val="clear" w:color="auto" w:fill="FFFFFF"/>
        </w:rPr>
        <w:footnoteReference w:id="6"/>
      </w:r>
      <w:r w:rsidRPr="003F6DBE">
        <w:rPr>
          <w:rFonts w:ascii="Times New Roman" w:hAnsi="Times New Roman" w:cs="Times New Roman"/>
          <w:sz w:val="28"/>
          <w:szCs w:val="28"/>
          <w:shd w:val="clear" w:color="auto" w:fill="FFFFFF"/>
        </w:rPr>
        <w:t>.</w:t>
      </w:r>
      <w:bookmarkEnd w:id="3"/>
      <w:r w:rsidRPr="003F6DBE">
        <w:rPr>
          <w:rFonts w:ascii="Times New Roman" w:hAnsi="Times New Roman" w:cs="Times New Roman"/>
          <w:sz w:val="28"/>
          <w:szCs w:val="28"/>
          <w:shd w:val="clear" w:color="auto" w:fill="FFFFFF"/>
        </w:rPr>
        <w:t xml:space="preserve"> Incluso, se explicó en la demanda que </w:t>
      </w:r>
      <w:r w:rsidRPr="003F6DBE">
        <w:rPr>
          <w:rFonts w:ascii="Times New Roman" w:hAnsi="Times New Roman" w:cs="Times New Roman"/>
          <w:sz w:val="28"/>
          <w:szCs w:val="28"/>
          <w:shd w:val="clear" w:color="auto" w:fill="FFFFFF"/>
        </w:rPr>
        <w:t>ciertas “razas” han sido rechazadas con el beneplácito legal y del Estado que, en muchas ocasiones, los ha condenado a sobrevivir en la periferia</w:t>
      </w:r>
      <w:r w:rsidRPr="003F6DBE">
        <w:rPr>
          <w:rFonts w:ascii="Times New Roman" w:hAnsi="Times New Roman" w:cs="Times New Roman"/>
          <w:sz w:val="28"/>
          <w:szCs w:val="28"/>
          <w:shd w:val="clear" w:color="auto" w:fill="FFFFFF"/>
        </w:rPr>
        <w:t xml:space="preserve">. Así, las particulares circunstancias que han experimentado que se suman a la mayor intensidad del conflicto han llevado a que </w:t>
      </w:r>
      <w:r w:rsidRPr="003F6DBE">
        <w:rPr>
          <w:rFonts w:ascii="Times New Roman" w:hAnsi="Times New Roman" w:cs="Times New Roman"/>
          <w:sz w:val="28"/>
        </w:rPr>
        <w:t>la caracterización de los pueblos afrodescendientes en Colombia sea todavía una labor en construcción</w:t>
      </w:r>
      <w:r w:rsidRPr="003F6DBE">
        <w:rPr>
          <w:rFonts w:ascii="Times New Roman" w:hAnsi="Times New Roman" w:cs="Times New Roman"/>
          <w:sz w:val="28"/>
          <w:szCs w:val="28"/>
          <w:shd w:val="clear" w:color="auto" w:fill="FFFFFF"/>
        </w:rPr>
        <w:t>. Pese a estas discusiones,</w:t>
      </w:r>
      <w:r w:rsidRPr="003F6DBE">
        <w:rPr>
          <w:rFonts w:ascii="Times New Roman" w:hAnsi="Times New Roman" w:cs="Times New Roman"/>
          <w:sz w:val="28"/>
          <w:szCs w:val="28"/>
          <w:shd w:val="clear" w:color="auto" w:fill="FFFFFF"/>
        </w:rPr>
        <w:t xml:space="preserve"> </w:t>
      </w:r>
      <w:r w:rsidRPr="003F6DBE">
        <w:rPr>
          <w:rFonts w:ascii="Times New Roman" w:hAnsi="Times New Roman" w:cs="Times New Roman"/>
          <w:sz w:val="28"/>
          <w:szCs w:val="28"/>
          <w:shd w:val="clear" w:color="auto" w:fill="FFFFFF"/>
        </w:rPr>
        <w:t xml:space="preserve">se indica en la demanda que </w:t>
      </w:r>
      <w:r w:rsidRPr="003F6DBE">
        <w:rPr>
          <w:rFonts w:ascii="Times New Roman" w:hAnsi="Times New Roman" w:cs="Times New Roman"/>
          <w:sz w:val="28"/>
          <w:szCs w:val="28"/>
          <w:shd w:val="clear" w:color="auto" w:fill="FFFFFF"/>
        </w:rPr>
        <w:t xml:space="preserve">la Corte Constitucional ha señalado que las </w:t>
      </w:r>
      <w:r w:rsidRPr="003F6DBE">
        <w:rPr>
          <w:rFonts w:ascii="Times New Roman" w:hAnsi="Times New Roman" w:cs="Times New Roman"/>
          <w:sz w:val="28"/>
        </w:rPr>
        <w:t>comunidades negras, afrocolombian</w:t>
      </w:r>
      <w:r w:rsidRPr="003F6DBE">
        <w:rPr>
          <w:rFonts w:ascii="Times New Roman" w:hAnsi="Times New Roman" w:cs="Times New Roman"/>
          <w:sz w:val="28"/>
        </w:rPr>
        <w:t>a</w:t>
      </w:r>
      <w:r w:rsidRPr="003F6DBE">
        <w:rPr>
          <w:rFonts w:ascii="Times New Roman" w:hAnsi="Times New Roman" w:cs="Times New Roman"/>
          <w:sz w:val="28"/>
        </w:rPr>
        <w:t>s, raizales y palenquer</w:t>
      </w:r>
      <w:r w:rsidRPr="003F6DBE">
        <w:rPr>
          <w:rFonts w:ascii="Times New Roman" w:hAnsi="Times New Roman" w:cs="Times New Roman"/>
          <w:sz w:val="28"/>
        </w:rPr>
        <w:t>a</w:t>
      </w:r>
      <w:r w:rsidRPr="003F6DBE">
        <w:rPr>
          <w:rFonts w:ascii="Times New Roman" w:hAnsi="Times New Roman" w:cs="Times New Roman"/>
          <w:sz w:val="28"/>
        </w:rPr>
        <w:t>s son beneficiarias del Convenio 169 de la OIT</w:t>
      </w:r>
      <w:r w:rsidRPr="003F6DBE">
        <w:rPr>
          <w:rStyle w:val="Refdenotaalpie"/>
          <w:rFonts w:ascii="Times New Roman" w:hAnsi="Times New Roman"/>
          <w:sz w:val="28"/>
        </w:rPr>
        <w:footnoteReference w:id="7"/>
      </w:r>
      <w:r w:rsidRPr="003F6DBE">
        <w:rPr>
          <w:rFonts w:ascii="Times New Roman" w:hAnsi="Times New Roman" w:cs="Times New Roman"/>
          <w:sz w:val="28"/>
        </w:rPr>
        <w:t xml:space="preserve">. </w:t>
      </w:r>
    </w:p>
    <w:p w:rsidR="002244A8" w:rsidRPr="003F6DBE" w:rsidRDefault="003F6DBE" w:rsidP="00DE38C0">
      <w:pPr>
        <w:pStyle w:val="Prrafodelista"/>
        <w:spacing w:after="0" w:line="240" w:lineRule="auto"/>
        <w:ind w:left="0" w:right="49"/>
        <w:jc w:val="both"/>
        <w:rPr>
          <w:rFonts w:ascii="Times New Roman" w:hAnsi="Times New Roman" w:cs="Times New Roman"/>
          <w:sz w:val="28"/>
        </w:rPr>
      </w:pPr>
    </w:p>
    <w:p w:rsidR="002B373C" w:rsidRPr="003F6DBE" w:rsidRDefault="003F6DBE" w:rsidP="00DE38C0">
      <w:pPr>
        <w:pStyle w:val="Prrafodelista"/>
        <w:numPr>
          <w:ilvl w:val="0"/>
          <w:numId w:val="2"/>
        </w:numPr>
        <w:spacing w:after="0" w:line="240" w:lineRule="auto"/>
        <w:ind w:left="0" w:right="49" w:firstLine="0"/>
        <w:jc w:val="both"/>
        <w:rPr>
          <w:rFonts w:ascii="Times New Roman" w:hAnsi="Times New Roman" w:cs="Times New Roman"/>
          <w:sz w:val="28"/>
          <w:szCs w:val="28"/>
        </w:rPr>
      </w:pPr>
      <w:r w:rsidRPr="003F6DBE">
        <w:rPr>
          <w:rFonts w:ascii="Times New Roman" w:hAnsi="Times New Roman" w:cs="Times New Roman"/>
          <w:sz w:val="28"/>
        </w:rPr>
        <w:t>En virtud de este reconocimiento,</w:t>
      </w:r>
      <w:r w:rsidRPr="003F6DBE">
        <w:rPr>
          <w:rFonts w:ascii="Times New Roman" w:hAnsi="Times New Roman" w:cs="Times New Roman"/>
          <w:sz w:val="28"/>
        </w:rPr>
        <w:t xml:space="preserve"> según se </w:t>
      </w:r>
      <w:r w:rsidRPr="003F6DBE">
        <w:rPr>
          <w:rFonts w:ascii="Times New Roman" w:hAnsi="Times New Roman" w:cs="Times New Roman"/>
          <w:sz w:val="28"/>
        </w:rPr>
        <w:t>explicó</w:t>
      </w:r>
      <w:r w:rsidRPr="003F6DBE">
        <w:rPr>
          <w:rFonts w:ascii="Times New Roman" w:hAnsi="Times New Roman" w:cs="Times New Roman"/>
          <w:sz w:val="28"/>
        </w:rPr>
        <w:t>,</w:t>
      </w:r>
      <w:r w:rsidRPr="003F6DBE">
        <w:rPr>
          <w:rFonts w:ascii="Times New Roman" w:hAnsi="Times New Roman" w:cs="Times New Roman"/>
          <w:sz w:val="28"/>
        </w:rPr>
        <w:t xml:space="preserve"> la jurisprudencia constitucional ha determinado que de conformidad con los artículos 55 transitorio y 310 de la Constitución, la comunidad negra se identifica en los términos del numeral 5 del artículo 2 de la Ley 70 de 1993 como “</w:t>
      </w:r>
      <w:r w:rsidRPr="003F6DBE">
        <w:rPr>
          <w:rFonts w:ascii="Times New Roman" w:hAnsi="Times New Roman" w:cs="Times New Roman"/>
          <w:i/>
          <w:iCs/>
          <w:sz w:val="28"/>
        </w:rPr>
        <w:t xml:space="preserve">el conjunto de familias </w:t>
      </w:r>
      <w:r w:rsidRPr="003F6DBE">
        <w:rPr>
          <w:rFonts w:ascii="Times New Roman" w:hAnsi="Times New Roman" w:cs="Times New Roman"/>
          <w:i/>
          <w:iCs/>
          <w:sz w:val="28"/>
        </w:rPr>
        <w:t>de ascendencia afrocolombiana que poseen una cultura propia, comparten una historia y tienen sus propias tradiciones y costumbres dentro de la relación campo-poblado, que revelan y conservan conciencia de identidad que las distinguen de otros grupos étnico</w:t>
      </w:r>
      <w:r w:rsidRPr="003F6DBE">
        <w:rPr>
          <w:rFonts w:ascii="Times New Roman" w:hAnsi="Times New Roman" w:cs="Times New Roman"/>
          <w:i/>
          <w:iCs/>
          <w:sz w:val="28"/>
        </w:rPr>
        <w:t>s</w:t>
      </w:r>
      <w:r w:rsidRPr="003F6DBE">
        <w:rPr>
          <w:rFonts w:ascii="Times New Roman" w:hAnsi="Times New Roman" w:cs="Times New Roman"/>
          <w:sz w:val="28"/>
        </w:rPr>
        <w:t>”</w:t>
      </w:r>
      <w:r w:rsidRPr="003F6DBE">
        <w:rPr>
          <w:rFonts w:ascii="Times New Roman" w:hAnsi="Times New Roman" w:cs="Times New Roman"/>
          <w:sz w:val="28"/>
        </w:rPr>
        <w:t xml:space="preserve">. Esto, según se explicó, cobija a los afrocolombianos o palenques (art.  </w:t>
      </w:r>
      <w:r w:rsidRPr="003F6DBE">
        <w:rPr>
          <w:rFonts w:ascii="Times New Roman" w:hAnsi="Times New Roman" w:cs="Times New Roman"/>
          <w:sz w:val="28"/>
        </w:rPr>
        <w:t>t</w:t>
      </w:r>
      <w:r w:rsidRPr="003F6DBE">
        <w:rPr>
          <w:rFonts w:ascii="Times New Roman" w:hAnsi="Times New Roman" w:cs="Times New Roman"/>
          <w:sz w:val="28"/>
        </w:rPr>
        <w:t xml:space="preserve">ransitorio 55) y a la población raizal de San Andrés, Providencia y Santa Catalina (art. 310). No obstante, </w:t>
      </w:r>
      <w:r w:rsidRPr="003F6DBE">
        <w:rPr>
          <w:rFonts w:ascii="Times New Roman" w:hAnsi="Times New Roman" w:cs="Times New Roman"/>
          <w:sz w:val="28"/>
        </w:rPr>
        <w:t xml:space="preserve">en el año 2018, el DANE señaló en su Encuesta de Calidad de Vida (EVC) </w:t>
      </w:r>
      <w:r w:rsidRPr="003F6DBE">
        <w:rPr>
          <w:rFonts w:ascii="Times New Roman" w:hAnsi="Times New Roman" w:cs="Times New Roman"/>
          <w:sz w:val="28"/>
        </w:rPr>
        <w:t>que la población negra, afrocolombiana, raizal y palenquera era de 4.671.160 personas, lo cual correspondía a 9,34% de la población total nacional</w:t>
      </w:r>
      <w:r w:rsidRPr="003F6DBE">
        <w:rPr>
          <w:rFonts w:ascii="Times New Roman" w:hAnsi="Times New Roman" w:cs="Times New Roman"/>
          <w:sz w:val="28"/>
        </w:rPr>
        <w:t xml:space="preserve">, </w:t>
      </w:r>
      <w:r w:rsidRPr="003F6DBE">
        <w:rPr>
          <w:rFonts w:ascii="Times New Roman" w:hAnsi="Times New Roman" w:cs="Times New Roman"/>
          <w:sz w:val="28"/>
        </w:rPr>
        <w:t xml:space="preserve">pero que </w:t>
      </w:r>
      <w:r w:rsidRPr="003F6DBE">
        <w:rPr>
          <w:rFonts w:ascii="Times New Roman" w:hAnsi="Times New Roman" w:cs="Times New Roman"/>
          <w:sz w:val="28"/>
        </w:rPr>
        <w:t>existe un alto subregistro de datos sobre esta población, lo cual perpetúa su invisibilización.</w:t>
      </w:r>
    </w:p>
    <w:p w:rsidR="00351116" w:rsidRPr="003F6DBE" w:rsidRDefault="003F6DBE" w:rsidP="00DE38C0">
      <w:pPr>
        <w:pStyle w:val="Prrafodelista"/>
        <w:spacing w:after="0" w:line="240" w:lineRule="auto"/>
        <w:ind w:left="0" w:right="49"/>
        <w:jc w:val="both"/>
        <w:rPr>
          <w:rFonts w:ascii="Times New Roman" w:hAnsi="Times New Roman" w:cs="Times New Roman"/>
          <w:sz w:val="28"/>
          <w:szCs w:val="28"/>
        </w:rPr>
      </w:pPr>
    </w:p>
    <w:p w:rsidR="00667A14" w:rsidRPr="003F6DBE" w:rsidRDefault="003F6DBE" w:rsidP="00DE38C0">
      <w:pPr>
        <w:pStyle w:val="Prrafodelista"/>
        <w:numPr>
          <w:ilvl w:val="0"/>
          <w:numId w:val="2"/>
        </w:numPr>
        <w:spacing w:after="0" w:line="240" w:lineRule="auto"/>
        <w:ind w:left="0" w:right="49" w:firstLine="0"/>
        <w:jc w:val="both"/>
        <w:rPr>
          <w:rFonts w:ascii="Times New Roman" w:hAnsi="Times New Roman" w:cs="Times New Roman"/>
          <w:sz w:val="28"/>
          <w:szCs w:val="28"/>
        </w:rPr>
      </w:pPr>
      <w:r w:rsidRPr="003F6DBE">
        <w:rPr>
          <w:rFonts w:ascii="Times New Roman" w:hAnsi="Times New Roman" w:cs="Times New Roman"/>
          <w:sz w:val="28"/>
          <w:szCs w:val="28"/>
        </w:rPr>
        <w:t xml:space="preserve">A </w:t>
      </w:r>
      <w:r w:rsidRPr="003F6DBE">
        <w:rPr>
          <w:rFonts w:ascii="Times New Roman" w:hAnsi="Times New Roman" w:cs="Times New Roman"/>
          <w:sz w:val="28"/>
          <w:szCs w:val="28"/>
        </w:rPr>
        <w:t xml:space="preserve">Continuación, propusieron la base del cargo por omisión legislativa </w:t>
      </w:r>
      <w:r w:rsidRPr="003F6DBE">
        <w:rPr>
          <w:rFonts w:ascii="Times New Roman" w:hAnsi="Times New Roman" w:cs="Times New Roman"/>
          <w:sz w:val="28"/>
          <w:szCs w:val="28"/>
        </w:rPr>
        <w:t>relativa</w:t>
      </w:r>
      <w:r w:rsidRPr="003F6DBE">
        <w:rPr>
          <w:rStyle w:val="Refdenotaalpie"/>
          <w:rFonts w:ascii="Times New Roman" w:hAnsi="Times New Roman"/>
          <w:sz w:val="28"/>
          <w:szCs w:val="28"/>
        </w:rPr>
        <w:footnoteReference w:id="8"/>
      </w:r>
      <w:r w:rsidRPr="003F6DBE">
        <w:rPr>
          <w:rFonts w:ascii="Times New Roman" w:hAnsi="Times New Roman" w:cs="Times New Roman"/>
          <w:sz w:val="28"/>
          <w:szCs w:val="28"/>
        </w:rPr>
        <w:t xml:space="preserve"> y, en consecuencia, solicitaron </w:t>
      </w:r>
      <w:r w:rsidRPr="003F6DBE">
        <w:rPr>
          <w:rFonts w:ascii="Times New Roman" w:hAnsi="Times New Roman" w:cs="Times New Roman"/>
          <w:sz w:val="28"/>
        </w:rPr>
        <w:t xml:space="preserve">contemplar </w:t>
      </w:r>
      <w:r w:rsidRPr="003F6DBE">
        <w:rPr>
          <w:rFonts w:ascii="Times New Roman" w:hAnsi="Times New Roman" w:cs="Times New Roman"/>
          <w:sz w:val="28"/>
        </w:rPr>
        <w:t xml:space="preserve">a las comunidades NARP </w:t>
      </w:r>
      <w:r w:rsidRPr="003F6DBE">
        <w:rPr>
          <w:rFonts w:ascii="Times New Roman" w:hAnsi="Times New Roman" w:cs="Times New Roman"/>
          <w:sz w:val="28"/>
        </w:rPr>
        <w:t>en las disposiciones demandadas (</w:t>
      </w:r>
      <w:r w:rsidRPr="003F6DBE">
        <w:rPr>
          <w:rFonts w:ascii="Times New Roman" w:hAnsi="Times New Roman" w:cs="Times New Roman"/>
          <w:i/>
          <w:iCs/>
          <w:sz w:val="28"/>
        </w:rPr>
        <w:t>artículos 5, 7, 8 y 10 de la Ley 191 de 1995</w:t>
      </w:r>
      <w:r w:rsidRPr="003F6DBE">
        <w:rPr>
          <w:rFonts w:ascii="Times New Roman" w:hAnsi="Times New Roman" w:cs="Times New Roman"/>
          <w:sz w:val="28"/>
        </w:rPr>
        <w:t xml:space="preserve">), referidas a </w:t>
      </w:r>
      <w:r w:rsidRPr="003F6DBE">
        <w:rPr>
          <w:rFonts w:ascii="Times New Roman" w:hAnsi="Times New Roman" w:cs="Times New Roman"/>
          <w:i/>
          <w:iCs/>
          <w:sz w:val="28"/>
        </w:rPr>
        <w:t xml:space="preserve">(i) </w:t>
      </w:r>
      <w:r w:rsidRPr="003F6DBE">
        <w:rPr>
          <w:rFonts w:ascii="Times New Roman" w:hAnsi="Times New Roman" w:cs="Times New Roman"/>
          <w:sz w:val="28"/>
        </w:rPr>
        <w:t>la determinación</w:t>
      </w:r>
      <w:r w:rsidRPr="003F6DBE">
        <w:rPr>
          <w:rFonts w:ascii="Times New Roman" w:hAnsi="Times New Roman" w:cs="Times New Roman"/>
          <w:sz w:val="28"/>
        </w:rPr>
        <w:t xml:space="preserve"> de </w:t>
      </w:r>
      <w:r w:rsidRPr="003F6DBE">
        <w:rPr>
          <w:rFonts w:ascii="Times New Roman" w:hAnsi="Times New Roman" w:cs="Times New Roman"/>
          <w:sz w:val="28"/>
        </w:rPr>
        <w:t xml:space="preserve">las Zonas de Frontera, las Unidades Especiales de Desarrollo Fronterizo, y Zonas de Integración Fronteriza, </w:t>
      </w:r>
      <w:r w:rsidRPr="003F6DBE">
        <w:rPr>
          <w:rFonts w:ascii="Times New Roman" w:hAnsi="Times New Roman" w:cs="Times New Roman"/>
          <w:i/>
          <w:iCs/>
          <w:sz w:val="28"/>
        </w:rPr>
        <w:t xml:space="preserve">(ii) </w:t>
      </w:r>
      <w:r w:rsidRPr="003F6DBE">
        <w:rPr>
          <w:rFonts w:ascii="Times New Roman" w:hAnsi="Times New Roman" w:cs="Times New Roman"/>
          <w:sz w:val="28"/>
        </w:rPr>
        <w:t>la priorización de estas comunidades en los convenios de cooperación e integración fronteriza y</w:t>
      </w:r>
      <w:r w:rsidRPr="003F6DBE">
        <w:rPr>
          <w:rFonts w:ascii="Times New Roman" w:hAnsi="Times New Roman" w:cs="Times New Roman"/>
          <w:sz w:val="28"/>
        </w:rPr>
        <w:t xml:space="preserve"> </w:t>
      </w:r>
      <w:r w:rsidRPr="003F6DBE">
        <w:rPr>
          <w:rFonts w:ascii="Times New Roman" w:hAnsi="Times New Roman" w:cs="Times New Roman"/>
          <w:i/>
          <w:iCs/>
          <w:sz w:val="28"/>
        </w:rPr>
        <w:t>(iii)</w:t>
      </w:r>
      <w:r w:rsidRPr="003F6DBE">
        <w:rPr>
          <w:rFonts w:ascii="Times New Roman" w:hAnsi="Times New Roman" w:cs="Times New Roman"/>
          <w:sz w:val="28"/>
        </w:rPr>
        <w:t xml:space="preserve"> la protección de conocimientos tradic</w:t>
      </w:r>
      <w:r w:rsidRPr="003F6DBE">
        <w:rPr>
          <w:rFonts w:ascii="Times New Roman" w:hAnsi="Times New Roman" w:cs="Times New Roman"/>
          <w:sz w:val="28"/>
        </w:rPr>
        <w:t>ionales</w:t>
      </w:r>
      <w:r w:rsidRPr="003F6DBE">
        <w:rPr>
          <w:rFonts w:ascii="Times New Roman" w:hAnsi="Times New Roman" w:cs="Times New Roman"/>
          <w:sz w:val="28"/>
        </w:rPr>
        <w:t xml:space="preserve"> asociados a </w:t>
      </w:r>
      <w:r w:rsidRPr="003F6DBE">
        <w:rPr>
          <w:rFonts w:ascii="Times New Roman" w:hAnsi="Times New Roman" w:cs="Times New Roman"/>
          <w:sz w:val="28"/>
        </w:rPr>
        <w:t xml:space="preserve">recursos genéticos de </w:t>
      </w:r>
      <w:r w:rsidRPr="003F6DBE">
        <w:rPr>
          <w:rFonts w:ascii="Times New Roman" w:hAnsi="Times New Roman" w:cs="Times New Roman"/>
          <w:sz w:val="28"/>
        </w:rPr>
        <w:t xml:space="preserve">éstas </w:t>
      </w:r>
      <w:r w:rsidRPr="003F6DBE">
        <w:rPr>
          <w:rFonts w:ascii="Times New Roman" w:hAnsi="Times New Roman" w:cs="Times New Roman"/>
          <w:sz w:val="28"/>
        </w:rPr>
        <w:t xml:space="preserve">comunidades </w:t>
      </w:r>
      <w:r w:rsidRPr="003F6DBE">
        <w:rPr>
          <w:rFonts w:ascii="Times New Roman" w:hAnsi="Times New Roman" w:cs="Times New Roman"/>
          <w:sz w:val="28"/>
        </w:rPr>
        <w:t>y frente a procesos de colonización</w:t>
      </w:r>
      <w:r w:rsidRPr="003F6DBE">
        <w:rPr>
          <w:rFonts w:ascii="Times New Roman" w:hAnsi="Times New Roman" w:cs="Times New Roman"/>
          <w:sz w:val="28"/>
        </w:rPr>
        <w:t xml:space="preserve">. Por ello, </w:t>
      </w:r>
      <w:r w:rsidRPr="003F6DBE">
        <w:rPr>
          <w:rFonts w:ascii="Times New Roman" w:hAnsi="Times New Roman" w:cs="Times New Roman"/>
          <w:kern w:val="1"/>
          <w:sz w:val="28"/>
        </w:rPr>
        <w:t>solicitaron que se declare la constitucionalidad condicionada de la expresión “</w:t>
      </w:r>
      <w:r w:rsidRPr="003F6DBE">
        <w:rPr>
          <w:rFonts w:ascii="Times New Roman" w:hAnsi="Times New Roman" w:cs="Times New Roman"/>
          <w:i/>
          <w:iCs/>
          <w:kern w:val="1"/>
          <w:sz w:val="28"/>
        </w:rPr>
        <w:t>indígenas</w:t>
      </w:r>
      <w:r w:rsidRPr="003F6DBE">
        <w:rPr>
          <w:rFonts w:ascii="Times New Roman" w:hAnsi="Times New Roman" w:cs="Times New Roman"/>
          <w:kern w:val="1"/>
          <w:sz w:val="28"/>
        </w:rPr>
        <w:t>” contenida en los preceptos acusados, “</w:t>
      </w:r>
      <w:r w:rsidRPr="003F6DBE">
        <w:rPr>
          <w:rFonts w:ascii="Times New Roman" w:hAnsi="Times New Roman" w:cs="Times New Roman"/>
          <w:i/>
          <w:iCs/>
          <w:kern w:val="1"/>
          <w:sz w:val="28"/>
        </w:rPr>
        <w:t xml:space="preserve">en el entendido de </w:t>
      </w:r>
      <w:r w:rsidRPr="003F6DBE">
        <w:rPr>
          <w:rFonts w:ascii="Times New Roman" w:hAnsi="Times New Roman" w:cs="Times New Roman"/>
          <w:i/>
          <w:iCs/>
          <w:kern w:val="1"/>
          <w:sz w:val="28"/>
        </w:rPr>
        <w:t>que también incluye a los integrantes de las comunidades negras, afrocolombianas, raizales y palenqueras”</w:t>
      </w:r>
      <w:r w:rsidRPr="003F6DBE">
        <w:rPr>
          <w:rStyle w:val="Refdenotaalpie"/>
          <w:rFonts w:ascii="Times New Roman" w:hAnsi="Times New Roman"/>
          <w:i/>
          <w:iCs/>
          <w:kern w:val="1"/>
          <w:sz w:val="28"/>
        </w:rPr>
        <w:footnoteReference w:id="9"/>
      </w:r>
      <w:r w:rsidRPr="003F6DBE">
        <w:rPr>
          <w:rFonts w:ascii="Times New Roman" w:hAnsi="Times New Roman" w:cs="Times New Roman"/>
          <w:i/>
          <w:iCs/>
          <w:kern w:val="1"/>
          <w:sz w:val="28"/>
        </w:rPr>
        <w:t xml:space="preserve">. </w:t>
      </w:r>
    </w:p>
    <w:p w:rsidR="009F024A" w:rsidRPr="003F6DBE" w:rsidRDefault="003F6DBE" w:rsidP="00DE38C0">
      <w:pPr>
        <w:pStyle w:val="Prrafodelista"/>
        <w:ind w:right="49"/>
        <w:rPr>
          <w:rFonts w:ascii="Times New Roman" w:hAnsi="Times New Roman" w:cs="Times New Roman"/>
          <w:sz w:val="28"/>
          <w:szCs w:val="28"/>
        </w:rPr>
      </w:pPr>
    </w:p>
    <w:tbl>
      <w:tblPr>
        <w:tblStyle w:val="Tablaconcuadrcula"/>
        <w:tblW w:w="8784" w:type="dxa"/>
        <w:tblLook w:val="04A0" w:firstRow="1" w:lastRow="0" w:firstColumn="1" w:lastColumn="0" w:noHBand="0" w:noVBand="1"/>
      </w:tblPr>
      <w:tblGrid>
        <w:gridCol w:w="1906"/>
        <w:gridCol w:w="6878"/>
      </w:tblGrid>
      <w:tr w:rsidR="00494EDF" w:rsidRPr="003F6DBE" w:rsidTr="00077D5A">
        <w:tc>
          <w:tcPr>
            <w:tcW w:w="1906" w:type="dxa"/>
            <w:shd w:val="clear" w:color="auto" w:fill="1F4E79" w:themeFill="accent1" w:themeFillShade="80"/>
          </w:tcPr>
          <w:p w:rsidR="009F024A" w:rsidRPr="003F6DBE" w:rsidRDefault="003F6DBE" w:rsidP="00DE38C0">
            <w:pPr>
              <w:pStyle w:val="Prrafodelista"/>
              <w:adjustRightInd w:val="0"/>
              <w:ind w:left="0" w:right="49"/>
              <w:jc w:val="center"/>
              <w:rPr>
                <w:b/>
                <w:bCs/>
                <w:kern w:val="1"/>
                <w:sz w:val="28"/>
                <w:szCs w:val="24"/>
              </w:rPr>
            </w:pPr>
            <w:r w:rsidRPr="003F6DBE">
              <w:rPr>
                <w:b/>
                <w:bCs/>
                <w:kern w:val="1"/>
                <w:sz w:val="28"/>
                <w:szCs w:val="24"/>
              </w:rPr>
              <w:t>Criterio</w:t>
            </w:r>
          </w:p>
        </w:tc>
        <w:tc>
          <w:tcPr>
            <w:tcW w:w="6878" w:type="dxa"/>
            <w:shd w:val="clear" w:color="auto" w:fill="1F4E79" w:themeFill="accent1" w:themeFillShade="80"/>
          </w:tcPr>
          <w:p w:rsidR="009F024A" w:rsidRPr="003F6DBE" w:rsidRDefault="003F6DBE" w:rsidP="00DE38C0">
            <w:pPr>
              <w:pStyle w:val="Prrafodelista"/>
              <w:adjustRightInd w:val="0"/>
              <w:ind w:left="0" w:right="49"/>
              <w:jc w:val="center"/>
              <w:rPr>
                <w:b/>
                <w:bCs/>
                <w:kern w:val="1"/>
                <w:sz w:val="28"/>
                <w:szCs w:val="24"/>
              </w:rPr>
            </w:pPr>
            <w:r w:rsidRPr="003F6DBE">
              <w:rPr>
                <w:b/>
                <w:bCs/>
                <w:kern w:val="1"/>
                <w:sz w:val="28"/>
                <w:szCs w:val="24"/>
              </w:rPr>
              <w:t>Sustentación</w:t>
            </w:r>
          </w:p>
        </w:tc>
      </w:tr>
      <w:tr w:rsidR="00494EDF" w:rsidRPr="003F6DBE" w:rsidTr="00077D5A">
        <w:tc>
          <w:tcPr>
            <w:tcW w:w="1906" w:type="dxa"/>
          </w:tcPr>
          <w:p w:rsidR="009F024A" w:rsidRPr="003F6DBE" w:rsidRDefault="003F6DBE" w:rsidP="00DE38C0">
            <w:pPr>
              <w:pStyle w:val="Prrafodelista"/>
              <w:adjustRightInd w:val="0"/>
              <w:ind w:left="0" w:right="49"/>
              <w:jc w:val="center"/>
              <w:rPr>
                <w:b/>
                <w:bCs/>
                <w:kern w:val="1"/>
                <w:sz w:val="28"/>
                <w:szCs w:val="24"/>
              </w:rPr>
            </w:pPr>
          </w:p>
          <w:p w:rsidR="009F024A" w:rsidRPr="003F6DBE" w:rsidRDefault="003F6DBE" w:rsidP="00DE38C0">
            <w:pPr>
              <w:pStyle w:val="Prrafodelista"/>
              <w:adjustRightInd w:val="0"/>
              <w:ind w:left="0" w:right="49"/>
              <w:jc w:val="center"/>
              <w:rPr>
                <w:b/>
                <w:bCs/>
                <w:kern w:val="1"/>
                <w:sz w:val="28"/>
                <w:szCs w:val="24"/>
              </w:rPr>
            </w:pPr>
            <w:r w:rsidRPr="003F6DBE">
              <w:rPr>
                <w:b/>
                <w:bCs/>
                <w:kern w:val="1"/>
                <w:sz w:val="28"/>
                <w:szCs w:val="24"/>
              </w:rPr>
              <w:t>Normas sobre las que recae la omisión</w:t>
            </w:r>
          </w:p>
        </w:tc>
        <w:tc>
          <w:tcPr>
            <w:tcW w:w="6878" w:type="dxa"/>
          </w:tcPr>
          <w:p w:rsidR="009F024A" w:rsidRPr="003F6DBE" w:rsidRDefault="003F6DBE" w:rsidP="00DE38C0">
            <w:pPr>
              <w:adjustRightInd w:val="0"/>
              <w:ind w:right="49"/>
              <w:contextualSpacing/>
              <w:jc w:val="both"/>
              <w:rPr>
                <w:i/>
                <w:iCs/>
                <w:kern w:val="1"/>
                <w:sz w:val="28"/>
                <w:szCs w:val="24"/>
              </w:rPr>
            </w:pPr>
            <w:r w:rsidRPr="003F6DBE">
              <w:rPr>
                <w:kern w:val="1"/>
                <w:sz w:val="28"/>
                <w:szCs w:val="24"/>
              </w:rPr>
              <w:t>Los</w:t>
            </w:r>
            <w:r w:rsidRPr="003F6DBE">
              <w:rPr>
                <w:kern w:val="1"/>
                <w:sz w:val="28"/>
                <w:szCs w:val="24"/>
              </w:rPr>
              <w:t xml:space="preserve"> demandantes indicaron que los</w:t>
            </w:r>
            <w:r w:rsidRPr="003F6DBE">
              <w:rPr>
                <w:kern w:val="1"/>
                <w:sz w:val="28"/>
                <w:szCs w:val="24"/>
              </w:rPr>
              <w:t xml:space="preserve"> artículos 5 (parcial); parágrafo 2º del artículo 7 (parcial); artículo 8 (parcial) y artículo 10 (parcial) de la Ley 191 de 1995 no incluyen expresamente a las comunidades NARP en las comunidades que</w:t>
            </w:r>
            <w:r w:rsidRPr="003F6DBE">
              <w:rPr>
                <w:kern w:val="1"/>
                <w:sz w:val="28"/>
                <w:szCs w:val="24"/>
              </w:rPr>
              <w:t>:</w:t>
            </w:r>
            <w:r w:rsidRPr="003F6DBE">
              <w:rPr>
                <w:kern w:val="1"/>
                <w:sz w:val="28"/>
                <w:szCs w:val="24"/>
              </w:rPr>
              <w:t xml:space="preserve"> </w:t>
            </w:r>
            <w:r w:rsidRPr="003F6DBE">
              <w:rPr>
                <w:i/>
                <w:iCs/>
                <w:kern w:val="1"/>
                <w:sz w:val="28"/>
                <w:szCs w:val="24"/>
              </w:rPr>
              <w:t>(i)</w:t>
            </w:r>
            <w:r w:rsidRPr="003F6DBE">
              <w:rPr>
                <w:kern w:val="1"/>
                <w:sz w:val="28"/>
                <w:szCs w:val="24"/>
              </w:rPr>
              <w:t xml:space="preserve"> </w:t>
            </w:r>
            <w:r w:rsidRPr="003F6DBE">
              <w:rPr>
                <w:kern w:val="1"/>
                <w:sz w:val="28"/>
                <w:szCs w:val="24"/>
              </w:rPr>
              <w:t xml:space="preserve">deben ser concertadas para la determinación de </w:t>
            </w:r>
            <w:r w:rsidRPr="003F6DBE">
              <w:rPr>
                <w:kern w:val="1"/>
                <w:sz w:val="28"/>
                <w:szCs w:val="24"/>
              </w:rPr>
              <w:t>las</w:t>
            </w:r>
            <w:r w:rsidRPr="003F6DBE">
              <w:rPr>
                <w:kern w:val="1"/>
                <w:sz w:val="28"/>
                <w:szCs w:val="24"/>
              </w:rPr>
              <w:t xml:space="preserve"> Zonas de Frontera, </w:t>
            </w:r>
            <w:r w:rsidRPr="003F6DBE">
              <w:rPr>
                <w:kern w:val="1"/>
                <w:sz w:val="28"/>
                <w:szCs w:val="24"/>
              </w:rPr>
              <w:t>las Unidades Especiales de Desarrollo Fronterizo</w:t>
            </w:r>
            <w:r w:rsidRPr="003F6DBE">
              <w:rPr>
                <w:kern w:val="1"/>
                <w:sz w:val="28"/>
                <w:szCs w:val="24"/>
              </w:rPr>
              <w:t>, y Zonas de Integración Fronteriza</w:t>
            </w:r>
            <w:r w:rsidRPr="003F6DBE">
              <w:rPr>
                <w:kern w:val="1"/>
                <w:sz w:val="28"/>
                <w:szCs w:val="24"/>
              </w:rPr>
              <w:t xml:space="preserve">, </w:t>
            </w:r>
            <w:r w:rsidRPr="003F6DBE">
              <w:rPr>
                <w:i/>
                <w:iCs/>
                <w:kern w:val="1"/>
                <w:sz w:val="28"/>
                <w:szCs w:val="24"/>
              </w:rPr>
              <w:t xml:space="preserve">(ii) </w:t>
            </w:r>
            <w:r w:rsidRPr="003F6DBE">
              <w:rPr>
                <w:kern w:val="1"/>
                <w:sz w:val="28"/>
                <w:szCs w:val="24"/>
              </w:rPr>
              <w:t>deben ser priorizadas</w:t>
            </w:r>
            <w:r w:rsidRPr="003F6DBE">
              <w:rPr>
                <w:kern w:val="1"/>
                <w:sz w:val="28"/>
                <w:szCs w:val="24"/>
              </w:rPr>
              <w:t xml:space="preserve"> </w:t>
            </w:r>
            <w:r w:rsidRPr="003F6DBE">
              <w:rPr>
                <w:kern w:val="1"/>
                <w:sz w:val="28"/>
                <w:szCs w:val="24"/>
              </w:rPr>
              <w:t>en los Convenios de Cooperación e Integración en zonas de frontera,</w:t>
            </w:r>
            <w:r w:rsidRPr="003F6DBE">
              <w:rPr>
                <w:kern w:val="1"/>
                <w:sz w:val="28"/>
                <w:szCs w:val="24"/>
              </w:rPr>
              <w:t xml:space="preserve"> y</w:t>
            </w:r>
            <w:r w:rsidRPr="003F6DBE">
              <w:rPr>
                <w:kern w:val="1"/>
                <w:sz w:val="28"/>
                <w:szCs w:val="24"/>
              </w:rPr>
              <w:t xml:space="preserve"> </w:t>
            </w:r>
            <w:r w:rsidRPr="003F6DBE">
              <w:rPr>
                <w:i/>
                <w:iCs/>
                <w:kern w:val="1"/>
                <w:sz w:val="28"/>
                <w:szCs w:val="24"/>
              </w:rPr>
              <w:t xml:space="preserve">(iii) </w:t>
            </w:r>
            <w:r w:rsidRPr="003F6DBE">
              <w:rPr>
                <w:kern w:val="1"/>
                <w:sz w:val="28"/>
                <w:szCs w:val="24"/>
              </w:rPr>
              <w:t>se</w:t>
            </w:r>
            <w:r w:rsidRPr="003F6DBE">
              <w:rPr>
                <w:kern w:val="1"/>
                <w:sz w:val="28"/>
                <w:szCs w:val="24"/>
              </w:rPr>
              <w:t xml:space="preserve"> </w:t>
            </w:r>
            <w:r w:rsidRPr="003F6DBE">
              <w:rPr>
                <w:kern w:val="1"/>
                <w:sz w:val="28"/>
                <w:szCs w:val="24"/>
              </w:rPr>
              <w:t xml:space="preserve">les </w:t>
            </w:r>
            <w:r w:rsidRPr="003F6DBE">
              <w:rPr>
                <w:kern w:val="1"/>
                <w:sz w:val="28"/>
                <w:szCs w:val="24"/>
              </w:rPr>
              <w:t>prote</w:t>
            </w:r>
            <w:r w:rsidRPr="003F6DBE">
              <w:rPr>
                <w:kern w:val="1"/>
                <w:sz w:val="28"/>
                <w:szCs w:val="24"/>
              </w:rPr>
              <w:t>ge</w:t>
            </w:r>
            <w:r w:rsidRPr="003F6DBE">
              <w:rPr>
                <w:kern w:val="1"/>
                <w:sz w:val="28"/>
                <w:szCs w:val="24"/>
              </w:rPr>
              <w:t xml:space="preserve">, de un lado, el conocimiento </w:t>
            </w:r>
            <w:r w:rsidRPr="003F6DBE">
              <w:rPr>
                <w:kern w:val="1"/>
                <w:sz w:val="28"/>
                <w:szCs w:val="24"/>
              </w:rPr>
              <w:t>ancestral y los recursos genéticos y, del otro, frente a procesos de colonización en zonas</w:t>
            </w:r>
            <w:r w:rsidRPr="003F6DBE">
              <w:rPr>
                <w:kern w:val="1"/>
                <w:sz w:val="28"/>
                <w:szCs w:val="24"/>
              </w:rPr>
              <w:t xml:space="preserve"> de frontera</w:t>
            </w:r>
            <w:r w:rsidRPr="003F6DBE">
              <w:rPr>
                <w:kern w:val="1"/>
                <w:sz w:val="28"/>
                <w:szCs w:val="24"/>
              </w:rPr>
              <w:t xml:space="preserve">.  </w:t>
            </w:r>
          </w:p>
        </w:tc>
      </w:tr>
      <w:tr w:rsidR="00494EDF" w:rsidRPr="003F6DBE" w:rsidTr="00077D5A">
        <w:trPr>
          <w:trHeight w:val="566"/>
        </w:trPr>
        <w:tc>
          <w:tcPr>
            <w:tcW w:w="1906" w:type="dxa"/>
          </w:tcPr>
          <w:p w:rsidR="009F024A" w:rsidRPr="003F6DBE" w:rsidRDefault="003F6DBE" w:rsidP="00DE38C0">
            <w:pPr>
              <w:pStyle w:val="Prrafodelista"/>
              <w:adjustRightInd w:val="0"/>
              <w:ind w:left="0" w:right="49"/>
              <w:jc w:val="both"/>
              <w:rPr>
                <w:b/>
                <w:bCs/>
                <w:kern w:val="1"/>
                <w:sz w:val="28"/>
                <w:szCs w:val="24"/>
              </w:rPr>
            </w:pPr>
          </w:p>
          <w:p w:rsidR="009F024A" w:rsidRPr="003F6DBE" w:rsidRDefault="003F6DBE" w:rsidP="00DE38C0">
            <w:pPr>
              <w:pStyle w:val="Prrafodelista"/>
              <w:adjustRightInd w:val="0"/>
              <w:ind w:left="0" w:right="49"/>
              <w:jc w:val="both"/>
              <w:rPr>
                <w:b/>
                <w:bCs/>
                <w:kern w:val="1"/>
                <w:sz w:val="28"/>
                <w:szCs w:val="24"/>
              </w:rPr>
            </w:pPr>
          </w:p>
          <w:p w:rsidR="009F024A" w:rsidRPr="003F6DBE" w:rsidRDefault="003F6DBE" w:rsidP="00DE38C0">
            <w:pPr>
              <w:pStyle w:val="Prrafodelista"/>
              <w:adjustRightInd w:val="0"/>
              <w:ind w:left="0" w:right="49"/>
              <w:jc w:val="both"/>
              <w:rPr>
                <w:b/>
                <w:bCs/>
                <w:kern w:val="1"/>
                <w:sz w:val="28"/>
                <w:szCs w:val="24"/>
              </w:rPr>
            </w:pPr>
          </w:p>
          <w:p w:rsidR="009F024A" w:rsidRPr="003F6DBE" w:rsidRDefault="003F6DBE" w:rsidP="00DE38C0">
            <w:pPr>
              <w:pStyle w:val="Prrafodelista"/>
              <w:adjustRightInd w:val="0"/>
              <w:ind w:left="0" w:right="49"/>
              <w:jc w:val="both"/>
              <w:rPr>
                <w:b/>
                <w:bCs/>
                <w:kern w:val="1"/>
                <w:sz w:val="28"/>
                <w:szCs w:val="24"/>
              </w:rPr>
            </w:pPr>
          </w:p>
          <w:p w:rsidR="009F024A" w:rsidRPr="003F6DBE" w:rsidRDefault="003F6DBE" w:rsidP="00DE38C0">
            <w:pPr>
              <w:pStyle w:val="Prrafodelista"/>
              <w:adjustRightInd w:val="0"/>
              <w:ind w:left="0" w:right="49"/>
              <w:jc w:val="both"/>
              <w:rPr>
                <w:b/>
                <w:bCs/>
                <w:kern w:val="1"/>
                <w:sz w:val="28"/>
                <w:szCs w:val="24"/>
              </w:rPr>
            </w:pPr>
          </w:p>
          <w:p w:rsidR="009F024A" w:rsidRPr="003F6DBE" w:rsidRDefault="003F6DBE" w:rsidP="00DE38C0">
            <w:pPr>
              <w:pStyle w:val="Prrafodelista"/>
              <w:adjustRightInd w:val="0"/>
              <w:ind w:left="0" w:right="49"/>
              <w:jc w:val="both"/>
              <w:rPr>
                <w:b/>
                <w:bCs/>
                <w:kern w:val="1"/>
                <w:sz w:val="28"/>
                <w:szCs w:val="24"/>
              </w:rPr>
            </w:pPr>
          </w:p>
          <w:p w:rsidR="009F024A" w:rsidRPr="003F6DBE" w:rsidRDefault="003F6DBE" w:rsidP="00DE38C0">
            <w:pPr>
              <w:pStyle w:val="Prrafodelista"/>
              <w:adjustRightInd w:val="0"/>
              <w:ind w:left="0" w:right="49"/>
              <w:jc w:val="both"/>
              <w:rPr>
                <w:b/>
                <w:bCs/>
                <w:kern w:val="1"/>
                <w:sz w:val="28"/>
                <w:szCs w:val="24"/>
              </w:rPr>
            </w:pPr>
          </w:p>
          <w:p w:rsidR="009F024A" w:rsidRPr="003F6DBE" w:rsidRDefault="003F6DBE" w:rsidP="00DE38C0">
            <w:pPr>
              <w:pStyle w:val="Prrafodelista"/>
              <w:adjustRightInd w:val="0"/>
              <w:ind w:left="0" w:right="49"/>
              <w:jc w:val="both"/>
              <w:rPr>
                <w:b/>
                <w:bCs/>
                <w:kern w:val="1"/>
                <w:sz w:val="28"/>
                <w:szCs w:val="24"/>
              </w:rPr>
            </w:pPr>
          </w:p>
          <w:p w:rsidR="009F024A" w:rsidRPr="003F6DBE" w:rsidRDefault="003F6DBE" w:rsidP="00DE38C0">
            <w:pPr>
              <w:pStyle w:val="Prrafodelista"/>
              <w:adjustRightInd w:val="0"/>
              <w:ind w:left="0" w:right="49"/>
              <w:jc w:val="center"/>
              <w:rPr>
                <w:b/>
                <w:bCs/>
                <w:kern w:val="1"/>
                <w:sz w:val="28"/>
                <w:szCs w:val="24"/>
              </w:rPr>
            </w:pPr>
            <w:r w:rsidRPr="003F6DBE">
              <w:rPr>
                <w:b/>
                <w:bCs/>
                <w:kern w:val="1"/>
                <w:sz w:val="28"/>
                <w:szCs w:val="24"/>
              </w:rPr>
              <w:t>Incumplimiento de un mandato constitucional específico</w:t>
            </w:r>
          </w:p>
        </w:tc>
        <w:tc>
          <w:tcPr>
            <w:tcW w:w="6878" w:type="dxa"/>
          </w:tcPr>
          <w:p w:rsidR="009F024A" w:rsidRPr="003F6DBE" w:rsidRDefault="003F6DBE" w:rsidP="00DE38C0">
            <w:pPr>
              <w:pStyle w:val="Prrafodelista"/>
              <w:adjustRightInd w:val="0"/>
              <w:ind w:left="0" w:right="49"/>
              <w:jc w:val="both"/>
              <w:rPr>
                <w:kern w:val="1"/>
                <w:sz w:val="28"/>
                <w:szCs w:val="24"/>
              </w:rPr>
            </w:pPr>
            <w:r w:rsidRPr="003F6DBE">
              <w:rPr>
                <w:kern w:val="1"/>
                <w:sz w:val="28"/>
                <w:szCs w:val="24"/>
              </w:rPr>
              <w:t>También propusieron considerar que e</w:t>
            </w:r>
            <w:r w:rsidRPr="003F6DBE">
              <w:rPr>
                <w:kern w:val="1"/>
                <w:sz w:val="28"/>
                <w:szCs w:val="24"/>
              </w:rPr>
              <w:t>l Estado tiene la obligación internacional y el de</w:t>
            </w:r>
            <w:r w:rsidRPr="003F6DBE">
              <w:rPr>
                <w:kern w:val="1"/>
                <w:sz w:val="28"/>
                <w:szCs w:val="24"/>
              </w:rPr>
              <w:t xml:space="preserve">ber constitucional de proteger la identidad y diversidad étnica y cultural de las comunidades NARP (arts. 1, 2, 93, 310 y 55 transitorio de la Constitución Política), así como de otorgar igualdad de trato y dignidad a todas las culturas del país (arts. 7, </w:t>
            </w:r>
            <w:r w:rsidRPr="003F6DBE">
              <w:rPr>
                <w:kern w:val="1"/>
                <w:sz w:val="28"/>
                <w:szCs w:val="24"/>
              </w:rPr>
              <w:t>13 y 70 de la Constitución), en el diseño de las leyes y la conformación del ordenamiento jurídico</w:t>
            </w:r>
            <w:r w:rsidRPr="003F6DBE">
              <w:rPr>
                <w:rStyle w:val="Refdenotaalpie"/>
                <w:kern w:val="1"/>
                <w:sz w:val="28"/>
                <w:szCs w:val="24"/>
              </w:rPr>
              <w:footnoteReference w:id="10"/>
            </w:r>
            <w:r w:rsidRPr="003F6DBE">
              <w:rPr>
                <w:kern w:val="1"/>
                <w:sz w:val="28"/>
                <w:szCs w:val="24"/>
              </w:rPr>
              <w:t>. Del Texto Superior</w:t>
            </w:r>
            <w:r w:rsidRPr="003F6DBE">
              <w:rPr>
                <w:kern w:val="1"/>
                <w:sz w:val="28"/>
                <w:szCs w:val="24"/>
              </w:rPr>
              <w:t>, según se explicó,</w:t>
            </w:r>
            <w:r w:rsidRPr="003F6DBE">
              <w:rPr>
                <w:kern w:val="1"/>
                <w:sz w:val="28"/>
                <w:szCs w:val="24"/>
              </w:rPr>
              <w:t xml:space="preserve"> se deriva el principio de pluralismo y diversidad étnica y cultural que se complementa con el deber de reconocer la i</w:t>
            </w:r>
            <w:r w:rsidRPr="003F6DBE">
              <w:rPr>
                <w:kern w:val="1"/>
                <w:sz w:val="28"/>
                <w:szCs w:val="24"/>
              </w:rPr>
              <w:t>gualdad y la dignidad de las diversas culturas que conviven en el país, en particular, de las comunidades NARP (arts. 93, 310 y 55 transitorio de la Constitución). En aplicación de este principio junto con los artículos 1.2., 2.2. y 5.a. del Convenio 169 d</w:t>
            </w:r>
            <w:r w:rsidRPr="003F6DBE">
              <w:rPr>
                <w:kern w:val="1"/>
                <w:sz w:val="28"/>
                <w:szCs w:val="24"/>
              </w:rPr>
              <w:t>e la OIT</w:t>
            </w:r>
            <w:r w:rsidRPr="003F6DBE">
              <w:rPr>
                <w:rStyle w:val="Refdenotaalpie"/>
                <w:kern w:val="1"/>
                <w:sz w:val="28"/>
                <w:szCs w:val="24"/>
              </w:rPr>
              <w:footnoteReference w:id="11"/>
            </w:r>
            <w:r w:rsidRPr="003F6DBE">
              <w:rPr>
                <w:kern w:val="1"/>
                <w:sz w:val="28"/>
                <w:szCs w:val="24"/>
              </w:rPr>
              <w:t>, que integra el bloque de constitucionalidad en sentido estricto, el Estado multicultural “</w:t>
            </w:r>
            <w:r w:rsidRPr="003F6DBE">
              <w:rPr>
                <w:i/>
                <w:iCs/>
                <w:kern w:val="1"/>
                <w:sz w:val="28"/>
                <w:szCs w:val="24"/>
              </w:rPr>
              <w:t>está obligado, a un mismo tiempo, a garantizar los derechos de todas las personas en su calidad de ciudadanos y a reconocer las diferencias y necesidades p</w:t>
            </w:r>
            <w:r w:rsidRPr="003F6DBE">
              <w:rPr>
                <w:i/>
                <w:iCs/>
                <w:kern w:val="1"/>
                <w:sz w:val="28"/>
                <w:szCs w:val="24"/>
              </w:rPr>
              <w:t>articulares que surgen de la pertenencia de esas personas a grupos culturales específicos</w:t>
            </w:r>
            <w:r w:rsidRPr="003F6DBE">
              <w:rPr>
                <w:kern w:val="1"/>
                <w:sz w:val="28"/>
                <w:szCs w:val="24"/>
              </w:rPr>
              <w:t>”</w:t>
            </w:r>
            <w:r w:rsidRPr="003F6DBE">
              <w:rPr>
                <w:rStyle w:val="Refdenotaalpie"/>
                <w:kern w:val="1"/>
                <w:sz w:val="28"/>
                <w:szCs w:val="24"/>
              </w:rPr>
              <w:footnoteReference w:id="12"/>
            </w:r>
            <w:r w:rsidRPr="003F6DBE">
              <w:rPr>
                <w:kern w:val="1"/>
                <w:sz w:val="28"/>
                <w:szCs w:val="24"/>
              </w:rPr>
              <w:t>. Por lo demás, las comunidades NARP, en tanto grupo étnico titular de derechos fundamentales</w:t>
            </w:r>
            <w:r w:rsidRPr="003F6DBE">
              <w:rPr>
                <w:kern w:val="1"/>
                <w:sz w:val="28"/>
                <w:szCs w:val="24"/>
              </w:rPr>
              <w:t xml:space="preserve"> y colectivos</w:t>
            </w:r>
            <w:r w:rsidRPr="003F6DBE">
              <w:rPr>
                <w:kern w:val="1"/>
                <w:sz w:val="28"/>
                <w:szCs w:val="24"/>
              </w:rPr>
              <w:t xml:space="preserve"> merecen una protección especial cuando se diseñan medidas </w:t>
            </w:r>
            <w:r w:rsidRPr="003F6DBE">
              <w:rPr>
                <w:kern w:val="1"/>
                <w:sz w:val="28"/>
                <w:szCs w:val="24"/>
              </w:rPr>
              <w:t>legislativas que les afectan directamente, sin posibilidad de que se otorgue un tratamiento desigual injustificado respecto de otros grupos étnicos -v.gr. indígenas-. Este mandato se traduce en el presente caso “</w:t>
            </w:r>
            <w:r w:rsidRPr="003F6DBE">
              <w:rPr>
                <w:i/>
                <w:iCs/>
                <w:kern w:val="1"/>
                <w:sz w:val="28"/>
                <w:szCs w:val="24"/>
              </w:rPr>
              <w:t>en el diseño de normal que permiten proteger</w:t>
            </w:r>
            <w:r w:rsidRPr="003F6DBE">
              <w:rPr>
                <w:i/>
                <w:iCs/>
                <w:kern w:val="1"/>
                <w:sz w:val="28"/>
                <w:szCs w:val="24"/>
              </w:rPr>
              <w:t xml:space="preserve"> a las comunidades culturalmente diferenciadas en zonas de frontera </w:t>
            </w:r>
            <w:r w:rsidRPr="003F6DBE">
              <w:rPr>
                <w:kern w:val="1"/>
                <w:sz w:val="28"/>
                <w:szCs w:val="24"/>
              </w:rPr>
              <w:t>(...)”</w:t>
            </w:r>
            <w:r w:rsidRPr="003F6DBE">
              <w:rPr>
                <w:rStyle w:val="Refdenotaalpie"/>
                <w:kern w:val="1"/>
                <w:sz w:val="28"/>
                <w:szCs w:val="24"/>
              </w:rPr>
              <w:footnoteReference w:id="13"/>
            </w:r>
            <w:r w:rsidRPr="003F6DBE">
              <w:rPr>
                <w:kern w:val="1"/>
                <w:sz w:val="28"/>
                <w:szCs w:val="24"/>
              </w:rPr>
              <w:t>.</w:t>
            </w:r>
          </w:p>
        </w:tc>
      </w:tr>
      <w:tr w:rsidR="00494EDF" w:rsidRPr="003F6DBE" w:rsidTr="00077D5A">
        <w:tc>
          <w:tcPr>
            <w:tcW w:w="1906" w:type="dxa"/>
          </w:tcPr>
          <w:p w:rsidR="009F024A" w:rsidRPr="003F6DBE" w:rsidRDefault="003F6DBE" w:rsidP="00DE38C0">
            <w:pPr>
              <w:pStyle w:val="Prrafodelista"/>
              <w:adjustRightInd w:val="0"/>
              <w:ind w:left="0" w:right="49"/>
              <w:jc w:val="center"/>
              <w:rPr>
                <w:b/>
                <w:bCs/>
                <w:kern w:val="1"/>
                <w:sz w:val="28"/>
                <w:szCs w:val="24"/>
              </w:rPr>
            </w:pPr>
          </w:p>
          <w:p w:rsidR="009F024A" w:rsidRPr="003F6DBE" w:rsidRDefault="003F6DBE" w:rsidP="00DE38C0">
            <w:pPr>
              <w:pStyle w:val="Prrafodelista"/>
              <w:adjustRightInd w:val="0"/>
              <w:ind w:left="0" w:right="49"/>
              <w:jc w:val="center"/>
              <w:rPr>
                <w:b/>
                <w:bCs/>
                <w:kern w:val="1"/>
                <w:sz w:val="28"/>
                <w:szCs w:val="24"/>
              </w:rPr>
            </w:pPr>
          </w:p>
          <w:p w:rsidR="009F024A" w:rsidRPr="003F6DBE" w:rsidRDefault="003F6DBE" w:rsidP="00DE38C0">
            <w:pPr>
              <w:pStyle w:val="Prrafodelista"/>
              <w:adjustRightInd w:val="0"/>
              <w:ind w:left="0" w:right="49"/>
              <w:jc w:val="center"/>
              <w:rPr>
                <w:b/>
                <w:bCs/>
                <w:kern w:val="1"/>
                <w:sz w:val="28"/>
                <w:szCs w:val="24"/>
              </w:rPr>
            </w:pPr>
            <w:r w:rsidRPr="003F6DBE">
              <w:rPr>
                <w:b/>
                <w:bCs/>
                <w:kern w:val="1"/>
                <w:sz w:val="28"/>
                <w:szCs w:val="24"/>
              </w:rPr>
              <w:t>Carácter injustificado de la omisión.</w:t>
            </w:r>
          </w:p>
        </w:tc>
        <w:tc>
          <w:tcPr>
            <w:tcW w:w="6878" w:type="dxa"/>
          </w:tcPr>
          <w:p w:rsidR="009F024A" w:rsidRPr="003F6DBE" w:rsidRDefault="003F6DBE" w:rsidP="00DE38C0">
            <w:pPr>
              <w:pStyle w:val="Prrafodelista"/>
              <w:adjustRightInd w:val="0"/>
              <w:ind w:left="0" w:right="49"/>
              <w:jc w:val="both"/>
              <w:rPr>
                <w:kern w:val="1"/>
                <w:sz w:val="28"/>
                <w:szCs w:val="24"/>
              </w:rPr>
            </w:pPr>
            <w:r w:rsidRPr="003F6DBE">
              <w:rPr>
                <w:kern w:val="1"/>
                <w:sz w:val="28"/>
                <w:szCs w:val="24"/>
              </w:rPr>
              <w:t>Asimismo, en los términos propuestos en la demanda el carácter injustificada se origina en que l</w:t>
            </w:r>
            <w:r w:rsidRPr="003F6DBE">
              <w:rPr>
                <w:kern w:val="1"/>
                <w:sz w:val="28"/>
                <w:szCs w:val="24"/>
              </w:rPr>
              <w:t xml:space="preserve">as normas acusadas excluyen a las </w:t>
            </w:r>
            <w:r w:rsidRPr="003F6DBE">
              <w:rPr>
                <w:kern w:val="1"/>
                <w:sz w:val="28"/>
                <w:szCs w:val="24"/>
              </w:rPr>
              <w:t>comunidades NARP de las medidas creadas por la ley en favor de las comunidades indígenas. El trato contemplado para los indígenas es razonable porque pretende proteger la integridad y diversidad étnica y cultural de este grupo, a través de unas proteccione</w:t>
            </w:r>
            <w:r w:rsidRPr="003F6DBE">
              <w:rPr>
                <w:kern w:val="1"/>
                <w:sz w:val="28"/>
                <w:szCs w:val="24"/>
              </w:rPr>
              <w:t>s generales en comunidades de zonas fronterizas. Sin embargo, en el trámite de la discusión del proyecto de ley, el Legislador no explicitó las razones que podrían soportar un trato desigual de las comunidades NARP en la situación mencionada, ocasionado as</w:t>
            </w:r>
            <w:r w:rsidRPr="003F6DBE">
              <w:rPr>
                <w:kern w:val="1"/>
                <w:sz w:val="28"/>
                <w:szCs w:val="24"/>
              </w:rPr>
              <w:t>í una violación del derecho a la igualdad.</w:t>
            </w:r>
          </w:p>
        </w:tc>
      </w:tr>
      <w:tr w:rsidR="00494EDF" w:rsidRPr="003F6DBE" w:rsidTr="00077D5A">
        <w:tc>
          <w:tcPr>
            <w:tcW w:w="1906" w:type="dxa"/>
          </w:tcPr>
          <w:p w:rsidR="009F024A" w:rsidRPr="003F6DBE" w:rsidRDefault="003F6DBE" w:rsidP="00DE38C0">
            <w:pPr>
              <w:pStyle w:val="Prrafodelista"/>
              <w:adjustRightInd w:val="0"/>
              <w:ind w:left="0" w:right="49"/>
              <w:jc w:val="center"/>
              <w:rPr>
                <w:b/>
                <w:bCs/>
                <w:kern w:val="1"/>
                <w:sz w:val="28"/>
                <w:szCs w:val="24"/>
              </w:rPr>
            </w:pPr>
          </w:p>
          <w:p w:rsidR="009F024A" w:rsidRPr="003F6DBE" w:rsidRDefault="003F6DBE" w:rsidP="00DE38C0">
            <w:pPr>
              <w:pStyle w:val="Prrafodelista"/>
              <w:adjustRightInd w:val="0"/>
              <w:ind w:left="0" w:right="49"/>
              <w:jc w:val="center"/>
              <w:rPr>
                <w:b/>
                <w:bCs/>
                <w:kern w:val="1"/>
                <w:sz w:val="28"/>
                <w:szCs w:val="24"/>
              </w:rPr>
            </w:pPr>
          </w:p>
          <w:p w:rsidR="009F024A" w:rsidRPr="003F6DBE" w:rsidRDefault="003F6DBE" w:rsidP="00DE38C0">
            <w:pPr>
              <w:pStyle w:val="Prrafodelista"/>
              <w:adjustRightInd w:val="0"/>
              <w:ind w:left="0" w:right="49"/>
              <w:jc w:val="center"/>
              <w:rPr>
                <w:b/>
                <w:bCs/>
                <w:kern w:val="1"/>
                <w:sz w:val="28"/>
                <w:szCs w:val="24"/>
              </w:rPr>
            </w:pPr>
            <w:r w:rsidRPr="003F6DBE">
              <w:rPr>
                <w:b/>
                <w:bCs/>
                <w:kern w:val="1"/>
                <w:sz w:val="28"/>
                <w:szCs w:val="24"/>
              </w:rPr>
              <w:t>Desigualdad negativa</w:t>
            </w:r>
          </w:p>
        </w:tc>
        <w:tc>
          <w:tcPr>
            <w:tcW w:w="6878" w:type="dxa"/>
          </w:tcPr>
          <w:p w:rsidR="009F024A" w:rsidRPr="003F6DBE" w:rsidRDefault="003F6DBE" w:rsidP="00DE38C0">
            <w:pPr>
              <w:adjustRightInd w:val="0"/>
              <w:ind w:right="49"/>
              <w:contextualSpacing/>
              <w:jc w:val="both"/>
              <w:rPr>
                <w:i/>
                <w:iCs/>
                <w:kern w:val="1"/>
                <w:sz w:val="28"/>
                <w:szCs w:val="24"/>
              </w:rPr>
            </w:pPr>
            <w:r w:rsidRPr="003F6DBE">
              <w:rPr>
                <w:kern w:val="1"/>
                <w:sz w:val="28"/>
                <w:szCs w:val="24"/>
              </w:rPr>
              <w:t>Por su parte, según se explica, l</w:t>
            </w:r>
            <w:r w:rsidRPr="003F6DBE">
              <w:rPr>
                <w:kern w:val="1"/>
                <w:sz w:val="28"/>
                <w:szCs w:val="24"/>
              </w:rPr>
              <w:t>as medidas contenidas en las normas acusadas se fundamentan en los principios de pluralidad y protección de la diversidad étnica y cultural, por lo que no s</w:t>
            </w:r>
            <w:r w:rsidRPr="003F6DBE">
              <w:rPr>
                <w:kern w:val="1"/>
                <w:sz w:val="28"/>
                <w:szCs w:val="24"/>
              </w:rPr>
              <w:t>on algo exclusivo de los indígenas. A su turno, la igualdad en el trato de las diversas culturas y la prohibición de discriminación por razones étnicas no permite</w:t>
            </w:r>
            <w:r w:rsidRPr="003F6DBE">
              <w:rPr>
                <w:kern w:val="1"/>
                <w:sz w:val="28"/>
                <w:szCs w:val="24"/>
              </w:rPr>
              <w:t>n</w:t>
            </w:r>
            <w:r w:rsidRPr="003F6DBE">
              <w:rPr>
                <w:kern w:val="1"/>
                <w:sz w:val="28"/>
                <w:szCs w:val="24"/>
              </w:rPr>
              <w:t xml:space="preserve"> distinguir para los efectos de la ley entre los indígenas y las comunidades NARP. Por lo tan</w:t>
            </w:r>
            <w:r w:rsidRPr="003F6DBE">
              <w:rPr>
                <w:kern w:val="1"/>
                <w:sz w:val="28"/>
                <w:szCs w:val="24"/>
              </w:rPr>
              <w:t>to, la exclusión de estas últimas genera un trato desigual negativo</w:t>
            </w:r>
            <w:r w:rsidRPr="003F6DBE">
              <w:rPr>
                <w:rStyle w:val="Refdenotaalpie"/>
                <w:kern w:val="1"/>
                <w:sz w:val="28"/>
                <w:szCs w:val="24"/>
              </w:rPr>
              <w:footnoteReference w:id="14"/>
            </w:r>
            <w:r w:rsidRPr="003F6DBE">
              <w:rPr>
                <w:kern w:val="1"/>
                <w:sz w:val="28"/>
                <w:szCs w:val="24"/>
              </w:rPr>
              <w:t xml:space="preserve">. </w:t>
            </w:r>
          </w:p>
        </w:tc>
      </w:tr>
      <w:tr w:rsidR="00B43A98" w:rsidRPr="003F6DBE" w:rsidTr="00077D5A">
        <w:tc>
          <w:tcPr>
            <w:tcW w:w="1906" w:type="dxa"/>
          </w:tcPr>
          <w:p w:rsidR="009F024A" w:rsidRPr="003F6DBE" w:rsidRDefault="003F6DBE" w:rsidP="00DE38C0">
            <w:pPr>
              <w:pStyle w:val="Prrafodelista"/>
              <w:adjustRightInd w:val="0"/>
              <w:ind w:left="0" w:right="49"/>
              <w:jc w:val="center"/>
              <w:rPr>
                <w:b/>
                <w:bCs/>
                <w:kern w:val="1"/>
                <w:sz w:val="28"/>
                <w:szCs w:val="24"/>
              </w:rPr>
            </w:pPr>
          </w:p>
          <w:p w:rsidR="009F024A" w:rsidRPr="003F6DBE" w:rsidRDefault="003F6DBE" w:rsidP="00DE38C0">
            <w:pPr>
              <w:pStyle w:val="Prrafodelista"/>
              <w:adjustRightInd w:val="0"/>
              <w:ind w:left="0" w:right="49"/>
              <w:jc w:val="center"/>
              <w:rPr>
                <w:b/>
                <w:bCs/>
                <w:kern w:val="1"/>
                <w:sz w:val="28"/>
                <w:szCs w:val="24"/>
              </w:rPr>
            </w:pPr>
          </w:p>
          <w:p w:rsidR="009F024A" w:rsidRPr="003F6DBE" w:rsidRDefault="003F6DBE" w:rsidP="00DE38C0">
            <w:pPr>
              <w:pStyle w:val="Prrafodelista"/>
              <w:adjustRightInd w:val="0"/>
              <w:ind w:left="0" w:right="49"/>
              <w:jc w:val="center"/>
              <w:rPr>
                <w:b/>
                <w:bCs/>
                <w:kern w:val="1"/>
                <w:sz w:val="28"/>
                <w:szCs w:val="24"/>
              </w:rPr>
            </w:pPr>
            <w:r w:rsidRPr="003F6DBE">
              <w:rPr>
                <w:b/>
                <w:bCs/>
                <w:kern w:val="1"/>
                <w:sz w:val="28"/>
                <w:szCs w:val="24"/>
              </w:rPr>
              <w:t>Consecuencia de la OLR</w:t>
            </w:r>
          </w:p>
        </w:tc>
        <w:tc>
          <w:tcPr>
            <w:tcW w:w="6878" w:type="dxa"/>
          </w:tcPr>
          <w:p w:rsidR="009F024A" w:rsidRPr="003F6DBE" w:rsidRDefault="003F6DBE" w:rsidP="00DE38C0">
            <w:pPr>
              <w:adjustRightInd w:val="0"/>
              <w:ind w:right="49"/>
              <w:contextualSpacing/>
              <w:jc w:val="both"/>
              <w:rPr>
                <w:kern w:val="1"/>
                <w:sz w:val="28"/>
                <w:szCs w:val="24"/>
              </w:rPr>
            </w:pPr>
            <w:r w:rsidRPr="003F6DBE">
              <w:rPr>
                <w:kern w:val="1"/>
                <w:sz w:val="28"/>
                <w:szCs w:val="24"/>
              </w:rPr>
              <w:t xml:space="preserve">La omisión del legislador es relativa porque, si bien regula una situación de hecho y asigna una consecuencia jurídica en las normas demandadas, omite a una </w:t>
            </w:r>
            <w:r w:rsidRPr="003F6DBE">
              <w:rPr>
                <w:kern w:val="1"/>
                <w:sz w:val="28"/>
                <w:szCs w:val="24"/>
              </w:rPr>
              <w:t>población históricamente discriminada y que representa la diversidad cultural y étnica, con ocasión de su identidad. Por ello, es necesario armonizar la expresión “</w:t>
            </w:r>
            <w:r w:rsidRPr="003F6DBE">
              <w:rPr>
                <w:i/>
                <w:iCs/>
                <w:kern w:val="1"/>
                <w:sz w:val="28"/>
                <w:szCs w:val="24"/>
              </w:rPr>
              <w:t>indígena</w:t>
            </w:r>
            <w:r w:rsidRPr="003F6DBE">
              <w:rPr>
                <w:kern w:val="1"/>
                <w:sz w:val="28"/>
                <w:szCs w:val="24"/>
              </w:rPr>
              <w:t xml:space="preserve">” contenida en los preceptos demandados con el mandato constitucional de protección </w:t>
            </w:r>
            <w:r w:rsidRPr="003F6DBE">
              <w:rPr>
                <w:kern w:val="1"/>
                <w:sz w:val="28"/>
                <w:szCs w:val="24"/>
              </w:rPr>
              <w:t>de la identidad y diversidad étnica y cultural, de manera que se entienda “</w:t>
            </w:r>
            <w:r w:rsidRPr="003F6DBE">
              <w:rPr>
                <w:i/>
                <w:iCs/>
                <w:kern w:val="1"/>
                <w:sz w:val="28"/>
                <w:szCs w:val="24"/>
              </w:rPr>
              <w:t>que dicha expresión incluye a todas las comunidades culturalmente diferenciables, incluyendo la identidad cultural, social y económica de las comunidades NARP</w:t>
            </w:r>
            <w:r w:rsidRPr="003F6DBE">
              <w:rPr>
                <w:kern w:val="1"/>
                <w:sz w:val="28"/>
                <w:szCs w:val="24"/>
              </w:rPr>
              <w:t>”</w:t>
            </w:r>
            <w:r w:rsidRPr="003F6DBE">
              <w:rPr>
                <w:rStyle w:val="Refdenotaalpie"/>
                <w:kern w:val="1"/>
                <w:sz w:val="28"/>
                <w:szCs w:val="24"/>
              </w:rPr>
              <w:footnoteReference w:id="15"/>
            </w:r>
            <w:r w:rsidRPr="003F6DBE">
              <w:rPr>
                <w:kern w:val="1"/>
                <w:sz w:val="28"/>
                <w:szCs w:val="24"/>
              </w:rPr>
              <w:t>.</w:t>
            </w:r>
          </w:p>
        </w:tc>
      </w:tr>
    </w:tbl>
    <w:p w:rsidR="009F024A" w:rsidRPr="003F6DBE" w:rsidRDefault="003F6DBE" w:rsidP="00DE38C0">
      <w:pPr>
        <w:spacing w:after="0" w:line="240" w:lineRule="auto"/>
        <w:ind w:right="49"/>
        <w:jc w:val="both"/>
        <w:rPr>
          <w:rFonts w:ascii="Times New Roman" w:hAnsi="Times New Roman" w:cs="Times New Roman"/>
          <w:sz w:val="28"/>
          <w:szCs w:val="28"/>
        </w:rPr>
      </w:pPr>
    </w:p>
    <w:p w:rsidR="00C42436" w:rsidRPr="003F6DBE" w:rsidRDefault="003F6DBE" w:rsidP="00DE38C0">
      <w:pPr>
        <w:pStyle w:val="Textoindependiente"/>
        <w:numPr>
          <w:ilvl w:val="0"/>
          <w:numId w:val="2"/>
        </w:numPr>
        <w:ind w:left="0" w:right="49" w:firstLine="0"/>
        <w:outlineLvl w:val="0"/>
        <w:rPr>
          <w:rFonts w:ascii="Times New Roman" w:hAnsi="Times New Roman" w:cs="Times New Roman"/>
          <w:sz w:val="28"/>
          <w:lang w:val="es-CO"/>
        </w:rPr>
      </w:pPr>
      <w:r w:rsidRPr="003F6DBE">
        <w:rPr>
          <w:rFonts w:ascii="Times New Roman" w:hAnsi="Times New Roman" w:cs="Times New Roman"/>
          <w:sz w:val="28"/>
          <w:lang w:val="es-CO"/>
        </w:rPr>
        <w:t>De forma tra</w:t>
      </w:r>
      <w:r w:rsidRPr="003F6DBE">
        <w:rPr>
          <w:rFonts w:ascii="Times New Roman" w:hAnsi="Times New Roman" w:cs="Times New Roman"/>
          <w:sz w:val="28"/>
          <w:lang w:val="es-CO"/>
        </w:rPr>
        <w:t>n</w:t>
      </w:r>
      <w:r w:rsidRPr="003F6DBE">
        <w:rPr>
          <w:rFonts w:ascii="Times New Roman" w:hAnsi="Times New Roman" w:cs="Times New Roman"/>
          <w:sz w:val="28"/>
          <w:lang w:val="es-CO"/>
        </w:rPr>
        <w:t>sversal a este cargo, se adujo que esta no es la primera vez en la que la Corte Constitucional ha conocido demanda</w:t>
      </w:r>
      <w:r w:rsidRPr="003F6DBE">
        <w:rPr>
          <w:rFonts w:ascii="Times New Roman" w:hAnsi="Times New Roman" w:cs="Times New Roman"/>
          <w:sz w:val="28"/>
          <w:lang w:val="es-CO"/>
        </w:rPr>
        <w:t>s</w:t>
      </w:r>
      <w:r w:rsidRPr="003F6DBE">
        <w:rPr>
          <w:rFonts w:ascii="Times New Roman" w:hAnsi="Times New Roman" w:cs="Times New Roman"/>
          <w:sz w:val="28"/>
          <w:lang w:val="es-CO"/>
        </w:rPr>
        <w:t xml:space="preserve"> </w:t>
      </w:r>
      <w:r w:rsidRPr="003F6DBE">
        <w:rPr>
          <w:rFonts w:ascii="Times New Roman" w:hAnsi="Times New Roman" w:cs="Times New Roman"/>
          <w:sz w:val="28"/>
          <w:lang w:val="es-CO"/>
        </w:rPr>
        <w:t>fundadas en</w:t>
      </w:r>
      <w:r w:rsidRPr="003F6DBE">
        <w:rPr>
          <w:rFonts w:ascii="Times New Roman" w:hAnsi="Times New Roman" w:cs="Times New Roman"/>
          <w:sz w:val="28"/>
          <w:lang w:val="es-CO"/>
        </w:rPr>
        <w:t xml:space="preserve"> la presunta existencia de omisiones legislativas relativas en temas étnicos, pues existen tres sentencias recientes al respecto:</w:t>
      </w:r>
      <w:r w:rsidRPr="003F6DBE">
        <w:rPr>
          <w:rFonts w:ascii="Times New Roman" w:hAnsi="Times New Roman" w:cs="Times New Roman"/>
          <w:sz w:val="28"/>
          <w:lang w:val="es-CO"/>
        </w:rPr>
        <w:t xml:space="preserve"> </w:t>
      </w:r>
      <w:bookmarkStart w:id="5" w:name="_Hlk161323211"/>
      <w:r w:rsidRPr="003F6DBE">
        <w:rPr>
          <w:rFonts w:ascii="Times New Roman" w:hAnsi="Times New Roman" w:cs="Times New Roman"/>
          <w:sz w:val="28"/>
        </w:rPr>
        <w:t>C-359 de 2013, C-073 de 2018 y C-480 de 2019</w:t>
      </w:r>
      <w:bookmarkEnd w:id="5"/>
      <w:r w:rsidRPr="003F6DBE">
        <w:rPr>
          <w:rFonts w:ascii="Times New Roman" w:hAnsi="Times New Roman" w:cs="Times New Roman"/>
          <w:sz w:val="28"/>
        </w:rPr>
        <w:t xml:space="preserve">. En consecuencia, a juicio de los demandantes, existe un mandato constitucional de protección de la identidad y de la diversidad étnica y cultural, en conjunto con el derecho a la igualdad, que impone el deber </w:t>
      </w:r>
      <w:r w:rsidRPr="003F6DBE">
        <w:rPr>
          <w:rFonts w:ascii="Times New Roman" w:hAnsi="Times New Roman" w:cs="Times New Roman"/>
          <w:sz w:val="28"/>
        </w:rPr>
        <w:t>de reconocer y actuar ante las omisiones legislativas relativas violatorias de los artículos 7, 13 y 70 de la Constitución, así como de proteger las formas de vida</w:t>
      </w:r>
      <w:r w:rsidRPr="003F6DBE">
        <w:rPr>
          <w:rFonts w:ascii="Times New Roman" w:hAnsi="Times New Roman" w:cs="Times New Roman"/>
          <w:sz w:val="28"/>
        </w:rPr>
        <w:t xml:space="preserve"> diferenciadas</w:t>
      </w:r>
      <w:r w:rsidRPr="003F6DBE">
        <w:rPr>
          <w:rFonts w:ascii="Times New Roman" w:hAnsi="Times New Roman" w:cs="Times New Roman"/>
          <w:sz w:val="28"/>
        </w:rPr>
        <w:t xml:space="preserve"> (económica, social y cultural) en favor de grupos étnicos con cosmovisiones </w:t>
      </w:r>
      <w:r w:rsidRPr="003F6DBE">
        <w:rPr>
          <w:rFonts w:ascii="Times New Roman" w:hAnsi="Times New Roman" w:cs="Times New Roman"/>
          <w:sz w:val="28"/>
        </w:rPr>
        <w:t>pa</w:t>
      </w:r>
      <w:r w:rsidRPr="003F6DBE">
        <w:rPr>
          <w:rFonts w:ascii="Times New Roman" w:hAnsi="Times New Roman" w:cs="Times New Roman"/>
          <w:sz w:val="28"/>
        </w:rPr>
        <w:t>rticulares</w:t>
      </w:r>
      <w:r w:rsidRPr="003F6DBE">
        <w:rPr>
          <w:rFonts w:ascii="Times New Roman" w:hAnsi="Times New Roman" w:cs="Times New Roman"/>
          <w:sz w:val="28"/>
        </w:rPr>
        <w:t xml:space="preserve">. </w:t>
      </w:r>
    </w:p>
    <w:p w:rsidR="00042828" w:rsidRPr="003F6DBE" w:rsidRDefault="003F6DBE" w:rsidP="00DE38C0">
      <w:pPr>
        <w:pStyle w:val="Textoindependiente"/>
        <w:ind w:right="49"/>
        <w:outlineLvl w:val="0"/>
        <w:rPr>
          <w:rFonts w:ascii="Times New Roman" w:hAnsi="Times New Roman" w:cs="Times New Roman"/>
          <w:sz w:val="28"/>
          <w:lang w:val="es-CO"/>
        </w:rPr>
      </w:pPr>
    </w:p>
    <w:p w:rsidR="00042828" w:rsidRPr="003F6DBE" w:rsidRDefault="003F6DBE" w:rsidP="00DE38C0">
      <w:pPr>
        <w:pStyle w:val="Textoindependiente"/>
        <w:numPr>
          <w:ilvl w:val="0"/>
          <w:numId w:val="2"/>
        </w:numPr>
        <w:ind w:left="0" w:right="49" w:firstLine="0"/>
        <w:outlineLvl w:val="0"/>
        <w:rPr>
          <w:rFonts w:ascii="Times New Roman" w:hAnsi="Times New Roman" w:cs="Times New Roman"/>
          <w:sz w:val="28"/>
          <w:lang w:val="es-CO"/>
        </w:rPr>
      </w:pPr>
      <w:r w:rsidRPr="003F6DBE">
        <w:rPr>
          <w:rFonts w:ascii="Times New Roman" w:hAnsi="Times New Roman" w:cs="Times New Roman"/>
          <w:sz w:val="28"/>
          <w:lang w:val="es-CO"/>
        </w:rPr>
        <w:t xml:space="preserve">El 18 de mayo de 2023, el entonces magistrado sustanciador </w:t>
      </w:r>
      <w:r w:rsidRPr="003F6DBE">
        <w:rPr>
          <w:rFonts w:ascii="Times New Roman" w:hAnsi="Times New Roman" w:cs="Times New Roman"/>
          <w:sz w:val="28"/>
          <w:lang w:val="es-CO"/>
        </w:rPr>
        <w:t xml:space="preserve">inadmitió la demanda y, en consecuencia, concedió tres días desde la notificación de </w:t>
      </w:r>
      <w:r w:rsidRPr="003F6DBE">
        <w:rPr>
          <w:rFonts w:ascii="Times New Roman" w:hAnsi="Times New Roman" w:cs="Times New Roman"/>
          <w:sz w:val="28"/>
          <w:lang w:val="es-CO"/>
        </w:rPr>
        <w:t>dicho</w:t>
      </w:r>
      <w:r w:rsidRPr="003F6DBE">
        <w:rPr>
          <w:rFonts w:ascii="Times New Roman" w:hAnsi="Times New Roman" w:cs="Times New Roman"/>
          <w:sz w:val="28"/>
          <w:lang w:val="es-CO"/>
        </w:rPr>
        <w:t xml:space="preserve"> auto para que se subsanara la carga argumentativa</w:t>
      </w:r>
      <w:r w:rsidRPr="003F6DBE">
        <w:rPr>
          <w:rFonts w:ascii="Times New Roman" w:hAnsi="Times New Roman" w:cs="Times New Roman"/>
          <w:sz w:val="28"/>
          <w:lang w:val="es-CO"/>
        </w:rPr>
        <w:t xml:space="preserve"> allí presentada</w:t>
      </w:r>
      <w:r w:rsidRPr="003F6DBE">
        <w:rPr>
          <w:rFonts w:ascii="Times New Roman" w:hAnsi="Times New Roman" w:cs="Times New Roman"/>
          <w:sz w:val="28"/>
          <w:lang w:val="es-CO"/>
        </w:rPr>
        <w:t>. De manera puntual</w:t>
      </w:r>
      <w:r w:rsidRPr="003F6DBE">
        <w:rPr>
          <w:rFonts w:ascii="Times New Roman" w:hAnsi="Times New Roman" w:cs="Times New Roman"/>
          <w:sz w:val="28"/>
          <w:lang w:val="es-CO"/>
        </w:rPr>
        <w:t xml:space="preserve"> respect</w:t>
      </w:r>
      <w:r w:rsidRPr="003F6DBE">
        <w:rPr>
          <w:rFonts w:ascii="Times New Roman" w:hAnsi="Times New Roman" w:cs="Times New Roman"/>
          <w:sz w:val="28"/>
          <w:lang w:val="es-CO"/>
        </w:rPr>
        <w:t>o al cargo por omisión legislativa relativa, adujo que tal carecía de las exigencias de certeza, especificidad, certeza, pertinencia y suficiencia. Al respecto, en términos generales, se explicó que, ante la naturaleza del cargo, las exigencias de admisibi</w:t>
      </w:r>
      <w:r w:rsidRPr="003F6DBE">
        <w:rPr>
          <w:rFonts w:ascii="Times New Roman" w:hAnsi="Times New Roman" w:cs="Times New Roman"/>
          <w:sz w:val="28"/>
          <w:lang w:val="es-CO"/>
        </w:rPr>
        <w:t xml:space="preserve">lidad se fortalecían. Por lo cual, </w:t>
      </w:r>
      <w:r w:rsidRPr="003F6DBE">
        <w:rPr>
          <w:rFonts w:ascii="Times New Roman" w:hAnsi="Times New Roman" w:cs="Times New Roman"/>
          <w:sz w:val="28"/>
          <w:lang w:val="es-CO"/>
        </w:rPr>
        <w:t>era necesario que</w:t>
      </w:r>
      <w:r w:rsidRPr="003F6DBE">
        <w:rPr>
          <w:rFonts w:ascii="Times New Roman" w:hAnsi="Times New Roman" w:cs="Times New Roman"/>
          <w:sz w:val="28"/>
          <w:lang w:val="es-CO"/>
        </w:rPr>
        <w:t>, entre otras cuestiones,</w:t>
      </w:r>
      <w:r w:rsidRPr="003F6DBE">
        <w:rPr>
          <w:rFonts w:ascii="Times New Roman" w:hAnsi="Times New Roman" w:cs="Times New Roman"/>
          <w:sz w:val="28"/>
          <w:lang w:val="es-CO"/>
        </w:rPr>
        <w:t xml:space="preserve"> los demandantes </w:t>
      </w:r>
      <w:r w:rsidRPr="003F6DBE">
        <w:rPr>
          <w:rFonts w:ascii="Times New Roman" w:hAnsi="Times New Roman" w:cs="Times New Roman"/>
          <w:sz w:val="28"/>
          <w:lang w:val="es-CO"/>
        </w:rPr>
        <w:t>reforzaran</w:t>
      </w:r>
      <w:r w:rsidRPr="003F6DBE">
        <w:rPr>
          <w:rFonts w:ascii="Times New Roman" w:hAnsi="Times New Roman" w:cs="Times New Roman"/>
          <w:sz w:val="28"/>
          <w:lang w:val="es-CO"/>
        </w:rPr>
        <w:t xml:space="preserve"> el análisis sobre </w:t>
      </w:r>
      <w:r w:rsidRPr="003F6DBE">
        <w:rPr>
          <w:rFonts w:ascii="Times New Roman" w:hAnsi="Times New Roman" w:cs="Times New Roman"/>
          <w:sz w:val="28"/>
        </w:rPr>
        <w:t>la existencia de un imperativo constitucional específico que le imponga al legislador la inclusión de tales grupos en las medidas con</w:t>
      </w:r>
      <w:r w:rsidRPr="003F6DBE">
        <w:rPr>
          <w:rFonts w:ascii="Times New Roman" w:hAnsi="Times New Roman" w:cs="Times New Roman"/>
          <w:sz w:val="28"/>
        </w:rPr>
        <w:t>tenidas en los preceptos acusados</w:t>
      </w:r>
      <w:r w:rsidRPr="003F6DBE">
        <w:rPr>
          <w:rFonts w:ascii="Times New Roman" w:hAnsi="Times New Roman" w:cs="Times New Roman"/>
          <w:sz w:val="28"/>
        </w:rPr>
        <w:t>, lo cual debía hacerse de manera más concreta. En similar sentido, se explicó que era necesario que se desarrollaran razones concretas de porqu</w:t>
      </w:r>
      <w:r w:rsidRPr="003F6DBE">
        <w:rPr>
          <w:rFonts w:ascii="Times New Roman" w:hAnsi="Times New Roman" w:cs="Times New Roman"/>
          <w:sz w:val="28"/>
        </w:rPr>
        <w:t>é</w:t>
      </w:r>
      <w:r w:rsidRPr="003F6DBE">
        <w:rPr>
          <w:rFonts w:ascii="Times New Roman" w:hAnsi="Times New Roman" w:cs="Times New Roman"/>
          <w:sz w:val="28"/>
        </w:rPr>
        <w:t xml:space="preserve"> deb</w:t>
      </w:r>
      <w:r w:rsidRPr="003F6DBE">
        <w:rPr>
          <w:rFonts w:ascii="Times New Roman" w:hAnsi="Times New Roman" w:cs="Times New Roman"/>
          <w:sz w:val="28"/>
        </w:rPr>
        <w:t>ían</w:t>
      </w:r>
      <w:r w:rsidRPr="003F6DBE">
        <w:rPr>
          <w:rFonts w:ascii="Times New Roman" w:hAnsi="Times New Roman" w:cs="Times New Roman"/>
          <w:sz w:val="28"/>
        </w:rPr>
        <w:t xml:space="preserve"> las comunidades afrocolombianas estar expresamente incluidas en las di</w:t>
      </w:r>
      <w:r w:rsidRPr="003F6DBE">
        <w:rPr>
          <w:rFonts w:ascii="Times New Roman" w:hAnsi="Times New Roman" w:cs="Times New Roman"/>
          <w:sz w:val="28"/>
        </w:rPr>
        <w:t>sposiciones demandadas</w:t>
      </w:r>
      <w:r w:rsidRPr="003F6DBE">
        <w:rPr>
          <w:rStyle w:val="Refdenotaalpie"/>
          <w:rFonts w:ascii="Times New Roman" w:hAnsi="Times New Roman"/>
          <w:sz w:val="28"/>
        </w:rPr>
        <w:footnoteReference w:id="16"/>
      </w:r>
      <w:r w:rsidRPr="003F6DBE">
        <w:rPr>
          <w:rFonts w:ascii="Times New Roman" w:hAnsi="Times New Roman" w:cs="Times New Roman"/>
          <w:sz w:val="28"/>
        </w:rPr>
        <w:t>.</w:t>
      </w:r>
    </w:p>
    <w:p w:rsidR="005646F5" w:rsidRPr="003F6DBE" w:rsidRDefault="003F6DBE" w:rsidP="00DE38C0">
      <w:pPr>
        <w:pStyle w:val="Textoindependiente"/>
        <w:ind w:right="49"/>
        <w:outlineLvl w:val="0"/>
        <w:rPr>
          <w:rFonts w:ascii="Times New Roman" w:hAnsi="Times New Roman" w:cs="Times New Roman"/>
          <w:sz w:val="28"/>
          <w:lang w:val="es-CO"/>
        </w:rPr>
      </w:pPr>
    </w:p>
    <w:p w:rsidR="00296ACC" w:rsidRPr="003F6DBE" w:rsidRDefault="003F6DBE" w:rsidP="00DE38C0">
      <w:pPr>
        <w:pStyle w:val="Textoindependiente"/>
        <w:numPr>
          <w:ilvl w:val="0"/>
          <w:numId w:val="2"/>
        </w:numPr>
        <w:ind w:left="0" w:right="49" w:firstLine="0"/>
        <w:outlineLvl w:val="0"/>
        <w:rPr>
          <w:rFonts w:ascii="Times New Roman" w:hAnsi="Times New Roman" w:cs="Times New Roman"/>
          <w:sz w:val="28"/>
          <w:lang w:val="es-CO"/>
        </w:rPr>
      </w:pPr>
      <w:r w:rsidRPr="003F6DBE">
        <w:rPr>
          <w:rFonts w:ascii="Times New Roman" w:hAnsi="Times New Roman" w:cs="Times New Roman"/>
          <w:sz w:val="28"/>
          <w:lang w:val="es-CO"/>
        </w:rPr>
        <w:t xml:space="preserve">Por último, el 26 de mayo de 2023, los demandantes subsanaron la demanda y presentaron la argumentación dirigida a </w:t>
      </w:r>
      <w:r w:rsidRPr="003F6DBE">
        <w:rPr>
          <w:rFonts w:ascii="Times New Roman" w:hAnsi="Times New Roman" w:cs="Times New Roman"/>
          <w:sz w:val="28"/>
          <w:lang w:val="es-CO"/>
        </w:rPr>
        <w:t xml:space="preserve">demostrar </w:t>
      </w:r>
      <w:r w:rsidRPr="003F6DBE">
        <w:rPr>
          <w:rFonts w:ascii="Times New Roman" w:hAnsi="Times New Roman" w:cs="Times New Roman"/>
          <w:sz w:val="28"/>
          <w:lang w:val="es-CO"/>
        </w:rPr>
        <w:t xml:space="preserve">las referidas omisiones legislativas relativas </w:t>
      </w:r>
      <w:r w:rsidRPr="003F6DBE">
        <w:rPr>
          <w:rFonts w:ascii="Times New Roman" w:hAnsi="Times New Roman" w:cs="Times New Roman"/>
          <w:sz w:val="28"/>
          <w:lang w:val="es-CO"/>
        </w:rPr>
        <w:t xml:space="preserve">en que podrían haber incurrido </w:t>
      </w:r>
      <w:r w:rsidRPr="003F6DBE">
        <w:rPr>
          <w:rFonts w:ascii="Times New Roman" w:hAnsi="Times New Roman" w:cs="Times New Roman"/>
          <w:sz w:val="28"/>
          <w:lang w:val="es-CO"/>
        </w:rPr>
        <w:t xml:space="preserve">las disposiciones </w:t>
      </w:r>
      <w:r w:rsidRPr="003F6DBE">
        <w:rPr>
          <w:rFonts w:ascii="Times New Roman" w:hAnsi="Times New Roman" w:cs="Times New Roman"/>
          <w:sz w:val="28"/>
          <w:lang w:val="es-CO"/>
        </w:rPr>
        <w:t>cuestionada</w:t>
      </w:r>
      <w:r w:rsidRPr="003F6DBE">
        <w:rPr>
          <w:rFonts w:ascii="Times New Roman" w:hAnsi="Times New Roman" w:cs="Times New Roman"/>
          <w:sz w:val="28"/>
          <w:lang w:val="es-CO"/>
        </w:rPr>
        <w:t xml:space="preserve">s. </w:t>
      </w:r>
      <w:r w:rsidRPr="003F6DBE">
        <w:rPr>
          <w:rFonts w:ascii="Times New Roman" w:hAnsi="Times New Roman" w:cs="Times New Roman"/>
          <w:sz w:val="28"/>
          <w:lang w:val="es-CO"/>
        </w:rPr>
        <w:t>Al respecto, profundizaron en el precedente de la sentencia C-480 de 2019 que se refirió a la protección de las bebidas alcohólicas tradicionales de las comunidades indígenas, pero excluyendo a las comunidades afro. Así, indicaron que en dich</w:t>
      </w:r>
      <w:r w:rsidRPr="003F6DBE">
        <w:rPr>
          <w:rFonts w:ascii="Times New Roman" w:hAnsi="Times New Roman" w:cs="Times New Roman"/>
          <w:sz w:val="28"/>
          <w:lang w:val="es-CO"/>
        </w:rPr>
        <w:t xml:space="preserve">a oportunidad se declaró una omisión legislativa relativa pues ello implicó una discriminación en </w:t>
      </w:r>
      <w:r w:rsidRPr="003F6DBE">
        <w:rPr>
          <w:rFonts w:ascii="Times New Roman" w:hAnsi="Times New Roman" w:cs="Times New Roman"/>
          <w:sz w:val="28"/>
          <w:lang w:val="es-CO"/>
        </w:rPr>
        <w:t>contra de sus comunidades</w:t>
      </w:r>
      <w:r w:rsidRPr="003F6DBE">
        <w:rPr>
          <w:rFonts w:ascii="Times New Roman" w:hAnsi="Times New Roman" w:cs="Times New Roman"/>
          <w:sz w:val="28"/>
          <w:lang w:val="es-CO"/>
        </w:rPr>
        <w:t>. Pese a ello, precisó</w:t>
      </w:r>
      <w:r w:rsidRPr="003F6DBE">
        <w:rPr>
          <w:rFonts w:ascii="Times New Roman" w:hAnsi="Times New Roman" w:cs="Times New Roman"/>
          <w:sz w:val="28"/>
          <w:lang w:val="es-CO"/>
        </w:rPr>
        <w:t xml:space="preserve"> el demandante que</w:t>
      </w:r>
      <w:r w:rsidRPr="003F6DBE">
        <w:rPr>
          <w:rFonts w:ascii="Times New Roman" w:hAnsi="Times New Roman" w:cs="Times New Roman"/>
          <w:sz w:val="28"/>
          <w:lang w:val="es-CO"/>
        </w:rPr>
        <w:t xml:space="preserve"> la Corte Constitucional </w:t>
      </w:r>
      <w:r w:rsidRPr="003F6DBE">
        <w:rPr>
          <w:rFonts w:ascii="Times New Roman" w:hAnsi="Times New Roman" w:cs="Times New Roman"/>
          <w:sz w:val="28"/>
          <w:lang w:val="es-CO"/>
        </w:rPr>
        <w:t xml:space="preserve">ha aclarado </w:t>
      </w:r>
      <w:r w:rsidRPr="003F6DBE">
        <w:rPr>
          <w:rFonts w:ascii="Times New Roman" w:hAnsi="Times New Roman" w:cs="Times New Roman"/>
          <w:sz w:val="28"/>
          <w:lang w:val="es-CO"/>
        </w:rPr>
        <w:t xml:space="preserve">que no </w:t>
      </w:r>
      <w:r w:rsidRPr="003F6DBE">
        <w:rPr>
          <w:rFonts w:ascii="Times New Roman" w:hAnsi="Times New Roman" w:cs="Times New Roman"/>
          <w:sz w:val="28"/>
        </w:rPr>
        <w:t>cualquier regulación sobre pueblos indígena</w:t>
      </w:r>
      <w:r w:rsidRPr="003F6DBE">
        <w:rPr>
          <w:rFonts w:ascii="Times New Roman" w:hAnsi="Times New Roman" w:cs="Times New Roman"/>
          <w:sz w:val="28"/>
        </w:rPr>
        <w:t>s</w:t>
      </w:r>
      <w:r w:rsidRPr="003F6DBE">
        <w:rPr>
          <w:rFonts w:ascii="Times New Roman" w:hAnsi="Times New Roman" w:cs="Times New Roman"/>
          <w:sz w:val="28"/>
        </w:rPr>
        <w:t xml:space="preserve"> debe</w:t>
      </w:r>
      <w:r w:rsidRPr="003F6DBE">
        <w:rPr>
          <w:rFonts w:ascii="Times New Roman" w:hAnsi="Times New Roman" w:cs="Times New Roman"/>
          <w:sz w:val="28"/>
        </w:rPr>
        <w:t xml:space="preserve"> ser </w:t>
      </w:r>
      <w:bookmarkStart w:id="6" w:name="_Hlk161323256"/>
      <w:r w:rsidRPr="003F6DBE">
        <w:rPr>
          <w:rFonts w:ascii="Times New Roman" w:hAnsi="Times New Roman" w:cs="Times New Roman"/>
          <w:sz w:val="28"/>
        </w:rPr>
        <w:t xml:space="preserve">automáticamente trasladada a las comunidades negras, pues esto puede desconocer que son comunidades </w:t>
      </w:r>
      <w:r w:rsidRPr="003F6DBE">
        <w:rPr>
          <w:rFonts w:ascii="Times New Roman" w:hAnsi="Times New Roman" w:cs="Times New Roman"/>
          <w:sz w:val="28"/>
        </w:rPr>
        <w:t>étnicamente</w:t>
      </w:r>
      <w:r w:rsidRPr="003F6DBE">
        <w:rPr>
          <w:rFonts w:ascii="Times New Roman" w:hAnsi="Times New Roman" w:cs="Times New Roman"/>
          <w:sz w:val="28"/>
        </w:rPr>
        <w:t xml:space="preserve"> diferenciadas con pasados e historias</w:t>
      </w:r>
      <w:r w:rsidRPr="003F6DBE">
        <w:rPr>
          <w:rFonts w:ascii="Times New Roman" w:hAnsi="Times New Roman" w:cs="Times New Roman"/>
          <w:sz w:val="28"/>
        </w:rPr>
        <w:t xml:space="preserve"> divergentes</w:t>
      </w:r>
      <w:r w:rsidRPr="003F6DBE">
        <w:rPr>
          <w:rStyle w:val="Refdenotaalpie"/>
          <w:rFonts w:ascii="Times New Roman" w:hAnsi="Times New Roman"/>
          <w:sz w:val="28"/>
        </w:rPr>
        <w:footnoteReference w:id="17"/>
      </w:r>
      <w:r w:rsidRPr="003F6DBE">
        <w:rPr>
          <w:rFonts w:ascii="Times New Roman" w:hAnsi="Times New Roman" w:cs="Times New Roman"/>
          <w:sz w:val="28"/>
        </w:rPr>
        <w:t>.</w:t>
      </w:r>
      <w:bookmarkEnd w:id="6"/>
      <w:r w:rsidRPr="003F6DBE">
        <w:rPr>
          <w:rFonts w:ascii="Times New Roman" w:hAnsi="Times New Roman" w:cs="Times New Roman"/>
          <w:sz w:val="28"/>
        </w:rPr>
        <w:t xml:space="preserve"> En consecuencia, llamó la atención para </w:t>
      </w:r>
      <w:r w:rsidRPr="003F6DBE">
        <w:rPr>
          <w:rFonts w:ascii="Times New Roman" w:hAnsi="Times New Roman" w:cs="Times New Roman"/>
          <w:sz w:val="28"/>
        </w:rPr>
        <w:t xml:space="preserve">sustentar </w:t>
      </w:r>
      <w:r w:rsidRPr="003F6DBE">
        <w:rPr>
          <w:rFonts w:ascii="Times New Roman" w:hAnsi="Times New Roman" w:cs="Times New Roman"/>
          <w:sz w:val="28"/>
        </w:rPr>
        <w:t>que en estos eventos la omisión d</w:t>
      </w:r>
      <w:r w:rsidRPr="003F6DBE">
        <w:rPr>
          <w:rFonts w:ascii="Times New Roman" w:hAnsi="Times New Roman" w:cs="Times New Roman"/>
          <w:sz w:val="28"/>
        </w:rPr>
        <w:t xml:space="preserve">ebe </w:t>
      </w:r>
      <w:r w:rsidRPr="003F6DBE">
        <w:rPr>
          <w:rFonts w:ascii="Times New Roman" w:hAnsi="Times New Roman" w:cs="Times New Roman"/>
          <w:sz w:val="28"/>
        </w:rPr>
        <w:t>desconocer</w:t>
      </w:r>
      <w:r w:rsidRPr="003F6DBE">
        <w:rPr>
          <w:rFonts w:ascii="Times New Roman" w:hAnsi="Times New Roman" w:cs="Times New Roman"/>
          <w:sz w:val="28"/>
        </w:rPr>
        <w:t xml:space="preserve"> un imperativo</w:t>
      </w:r>
      <w:r w:rsidRPr="003F6DBE">
        <w:rPr>
          <w:rFonts w:ascii="Times New Roman" w:hAnsi="Times New Roman" w:cs="Times New Roman"/>
          <w:sz w:val="28"/>
        </w:rPr>
        <w:t xml:space="preserve"> puntual</w:t>
      </w:r>
      <w:r w:rsidRPr="003F6DBE">
        <w:rPr>
          <w:rFonts w:ascii="Times New Roman" w:hAnsi="Times New Roman" w:cs="Times New Roman"/>
          <w:sz w:val="28"/>
        </w:rPr>
        <w:t xml:space="preserve">. En este marco, </w:t>
      </w:r>
      <w:r w:rsidRPr="003F6DBE">
        <w:rPr>
          <w:rFonts w:ascii="Times New Roman" w:hAnsi="Times New Roman" w:cs="Times New Roman"/>
          <w:sz w:val="28"/>
        </w:rPr>
        <w:t>reforzaron los argumentos que inicialmente habían expuesto</w:t>
      </w:r>
      <w:r w:rsidRPr="003F6DBE">
        <w:rPr>
          <w:rFonts w:ascii="Times New Roman" w:hAnsi="Times New Roman" w:cs="Times New Roman"/>
          <w:sz w:val="28"/>
        </w:rPr>
        <w:t xml:space="preserve"> en dicho sentido</w:t>
      </w:r>
      <w:r w:rsidRPr="003F6DBE">
        <w:rPr>
          <w:rFonts w:ascii="Times New Roman" w:hAnsi="Times New Roman" w:cs="Times New Roman"/>
          <w:sz w:val="28"/>
        </w:rPr>
        <w:t xml:space="preserve"> y, además, las razones concretas por las cuales las comunidades afrocolombianas debieron haber sido incluidas expresamente en las d</w:t>
      </w:r>
      <w:r w:rsidRPr="003F6DBE">
        <w:rPr>
          <w:rFonts w:ascii="Times New Roman" w:hAnsi="Times New Roman" w:cs="Times New Roman"/>
          <w:sz w:val="28"/>
        </w:rPr>
        <w:t>isposiciones demandadas</w:t>
      </w:r>
      <w:r w:rsidRPr="003F6DBE">
        <w:rPr>
          <w:rFonts w:ascii="Times New Roman" w:hAnsi="Times New Roman" w:cs="Times New Roman"/>
          <w:sz w:val="28"/>
        </w:rPr>
        <w:t>. En efecto, se explicó que la</w:t>
      </w:r>
      <w:r w:rsidRPr="003F6DBE">
        <w:rPr>
          <w:rFonts w:ascii="Times New Roman" w:hAnsi="Times New Roman" w:cs="Times New Roman"/>
          <w:sz w:val="28"/>
        </w:rPr>
        <w:t xml:space="preserve"> caracterización de la</w:t>
      </w:r>
      <w:r w:rsidRPr="003F6DBE">
        <w:rPr>
          <w:rFonts w:ascii="Times New Roman" w:hAnsi="Times New Roman" w:cs="Times New Roman"/>
          <w:sz w:val="28"/>
        </w:rPr>
        <w:t xml:space="preserve"> población del Estado colombiano ha sido desigual</w:t>
      </w:r>
      <w:r w:rsidRPr="003F6DBE">
        <w:rPr>
          <w:rFonts w:ascii="Times New Roman" w:hAnsi="Times New Roman" w:cs="Times New Roman"/>
          <w:sz w:val="28"/>
        </w:rPr>
        <w:t xml:space="preserve"> </w:t>
      </w:r>
      <w:r w:rsidRPr="003F6DBE">
        <w:rPr>
          <w:rFonts w:ascii="Times New Roman" w:hAnsi="Times New Roman" w:cs="Times New Roman"/>
          <w:sz w:val="28"/>
        </w:rPr>
        <w:t>en especial en las zonas de frontera:</w:t>
      </w:r>
    </w:p>
    <w:p w:rsidR="0082636A" w:rsidRPr="003F6DBE" w:rsidRDefault="003F6DBE" w:rsidP="00DE38C0">
      <w:pPr>
        <w:pStyle w:val="Textoindependiente"/>
        <w:ind w:right="49"/>
        <w:outlineLvl w:val="0"/>
        <w:rPr>
          <w:rFonts w:ascii="Times New Roman" w:hAnsi="Times New Roman" w:cs="Times New Roman"/>
          <w:sz w:val="28"/>
          <w:lang w:val="es-CO"/>
        </w:rPr>
      </w:pPr>
    </w:p>
    <w:p w:rsidR="00031112" w:rsidRPr="003F6DBE" w:rsidRDefault="003F6DBE" w:rsidP="00DE38C0">
      <w:pPr>
        <w:pStyle w:val="Textoindependiente"/>
        <w:numPr>
          <w:ilvl w:val="0"/>
          <w:numId w:val="4"/>
        </w:numPr>
        <w:ind w:left="709" w:right="49" w:hanging="709"/>
        <w:outlineLvl w:val="0"/>
        <w:rPr>
          <w:rFonts w:ascii="Times New Roman" w:hAnsi="Times New Roman" w:cs="Times New Roman"/>
          <w:sz w:val="28"/>
          <w:szCs w:val="24"/>
          <w:lang w:val="es-CO"/>
        </w:rPr>
      </w:pPr>
      <w:r w:rsidRPr="003F6DBE">
        <w:rPr>
          <w:rFonts w:ascii="Times New Roman" w:hAnsi="Times New Roman" w:cs="Times New Roman"/>
          <w:sz w:val="28"/>
          <w:szCs w:val="24"/>
        </w:rPr>
        <w:t>Cuando las comunidades, individuos</w:t>
      </w:r>
      <w:r w:rsidRPr="003F6DBE">
        <w:rPr>
          <w:rFonts w:ascii="Times New Roman" w:hAnsi="Times New Roman" w:cs="Times New Roman"/>
          <w:sz w:val="28"/>
          <w:szCs w:val="24"/>
        </w:rPr>
        <w:t xml:space="preserve"> y </w:t>
      </w:r>
      <w:r w:rsidRPr="003F6DBE">
        <w:rPr>
          <w:rFonts w:ascii="Times New Roman" w:hAnsi="Times New Roman" w:cs="Times New Roman"/>
          <w:sz w:val="28"/>
          <w:szCs w:val="24"/>
        </w:rPr>
        <w:t xml:space="preserve">pueblos de ascendencia africana fueron esclavizados y </w:t>
      </w:r>
      <w:r w:rsidRPr="003F6DBE">
        <w:rPr>
          <w:rFonts w:ascii="Times New Roman" w:hAnsi="Times New Roman" w:cs="Times New Roman"/>
          <w:sz w:val="28"/>
          <w:szCs w:val="24"/>
        </w:rPr>
        <w:t>traídos a América</w:t>
      </w:r>
      <w:r w:rsidRPr="003F6DBE">
        <w:rPr>
          <w:rFonts w:ascii="Times New Roman" w:hAnsi="Times New Roman" w:cs="Times New Roman"/>
          <w:sz w:val="28"/>
          <w:szCs w:val="24"/>
        </w:rPr>
        <w:t>, como si se tratara</w:t>
      </w:r>
      <w:r w:rsidRPr="003F6DBE">
        <w:rPr>
          <w:rFonts w:ascii="Times New Roman" w:hAnsi="Times New Roman" w:cs="Times New Roman"/>
          <w:sz w:val="28"/>
          <w:szCs w:val="24"/>
        </w:rPr>
        <w:t xml:space="preserve"> de objetos, procedían de diferentes naciones del occidente de África. En muchas ocasiones no hablaban la misma lengua</w:t>
      </w:r>
      <w:r w:rsidRPr="003F6DBE">
        <w:rPr>
          <w:rFonts w:ascii="Times New Roman" w:hAnsi="Times New Roman" w:cs="Times New Roman"/>
          <w:sz w:val="28"/>
          <w:szCs w:val="24"/>
        </w:rPr>
        <w:t xml:space="preserve"> o </w:t>
      </w:r>
      <w:r w:rsidRPr="003F6DBE">
        <w:rPr>
          <w:rFonts w:ascii="Times New Roman" w:hAnsi="Times New Roman" w:cs="Times New Roman"/>
          <w:sz w:val="28"/>
          <w:szCs w:val="24"/>
        </w:rPr>
        <w:t>compartían las mismas creencias religiosas</w:t>
      </w:r>
      <w:r w:rsidRPr="003F6DBE">
        <w:rPr>
          <w:rFonts w:ascii="Times New Roman" w:hAnsi="Times New Roman" w:cs="Times New Roman"/>
          <w:sz w:val="28"/>
          <w:szCs w:val="24"/>
        </w:rPr>
        <w:t>,</w:t>
      </w:r>
      <w:r w:rsidRPr="003F6DBE">
        <w:rPr>
          <w:rFonts w:ascii="Times New Roman" w:hAnsi="Times New Roman" w:cs="Times New Roman"/>
          <w:sz w:val="28"/>
          <w:szCs w:val="24"/>
        </w:rPr>
        <w:t xml:space="preserve"> pero</w:t>
      </w:r>
      <w:r w:rsidRPr="003F6DBE">
        <w:rPr>
          <w:rFonts w:ascii="Times New Roman" w:hAnsi="Times New Roman" w:cs="Times New Roman"/>
          <w:sz w:val="28"/>
          <w:szCs w:val="24"/>
        </w:rPr>
        <w:t xml:space="preserve"> </w:t>
      </w:r>
      <w:r w:rsidRPr="003F6DBE">
        <w:rPr>
          <w:rFonts w:ascii="Times New Roman" w:hAnsi="Times New Roman" w:cs="Times New Roman"/>
          <w:sz w:val="28"/>
          <w:szCs w:val="24"/>
        </w:rPr>
        <w:t>a</w:t>
      </w:r>
      <w:r w:rsidRPr="003F6DBE">
        <w:rPr>
          <w:rFonts w:ascii="Times New Roman" w:hAnsi="Times New Roman" w:cs="Times New Roman"/>
          <w:sz w:val="28"/>
          <w:szCs w:val="24"/>
        </w:rPr>
        <w:t>l llegar a América eran sometidos a regulaciones</w:t>
      </w:r>
      <w:r w:rsidRPr="003F6DBE">
        <w:rPr>
          <w:rFonts w:ascii="Times New Roman" w:hAnsi="Times New Roman" w:cs="Times New Roman"/>
          <w:sz w:val="28"/>
          <w:szCs w:val="24"/>
        </w:rPr>
        <w:t xml:space="preserve"> jurídicas diferentes a la de los pueblos indígenas. </w:t>
      </w:r>
    </w:p>
    <w:p w:rsidR="00031112" w:rsidRPr="003F6DBE" w:rsidRDefault="003F6DBE" w:rsidP="00DE38C0">
      <w:pPr>
        <w:pStyle w:val="Textoindependiente"/>
        <w:ind w:left="709" w:right="49" w:hanging="709"/>
        <w:outlineLvl w:val="0"/>
        <w:rPr>
          <w:rFonts w:ascii="Times New Roman" w:hAnsi="Times New Roman" w:cs="Times New Roman"/>
          <w:sz w:val="28"/>
          <w:szCs w:val="24"/>
          <w:lang w:val="es-CO"/>
        </w:rPr>
      </w:pPr>
    </w:p>
    <w:p w:rsidR="00031112" w:rsidRPr="003F6DBE" w:rsidRDefault="003F6DBE" w:rsidP="00DE38C0">
      <w:pPr>
        <w:pStyle w:val="Textoindependiente"/>
        <w:numPr>
          <w:ilvl w:val="0"/>
          <w:numId w:val="4"/>
        </w:numPr>
        <w:ind w:left="709" w:right="49" w:hanging="709"/>
        <w:outlineLvl w:val="0"/>
        <w:rPr>
          <w:rFonts w:ascii="Times New Roman" w:hAnsi="Times New Roman" w:cs="Times New Roman"/>
          <w:sz w:val="28"/>
          <w:szCs w:val="24"/>
          <w:lang w:val="es-CO"/>
        </w:rPr>
      </w:pPr>
      <w:r w:rsidRPr="003F6DBE">
        <w:rPr>
          <w:rFonts w:ascii="Times New Roman" w:hAnsi="Times New Roman" w:cs="Times New Roman"/>
          <w:sz w:val="28"/>
          <w:szCs w:val="24"/>
        </w:rPr>
        <w:t>Estos últimos eran vistos, a ojos de la legislación hispánica, como menores de edad que debían ser objeto de un proceso “civilizatorio”</w:t>
      </w:r>
      <w:r w:rsidRPr="003F6DBE">
        <w:rPr>
          <w:rFonts w:ascii="Times New Roman" w:hAnsi="Times New Roman" w:cs="Times New Roman"/>
          <w:sz w:val="28"/>
          <w:szCs w:val="24"/>
        </w:rPr>
        <w:t>. E</w:t>
      </w:r>
      <w:r w:rsidRPr="003F6DBE">
        <w:rPr>
          <w:rFonts w:ascii="Times New Roman" w:hAnsi="Times New Roman" w:cs="Times New Roman"/>
          <w:sz w:val="28"/>
          <w:szCs w:val="24"/>
        </w:rPr>
        <w:t>n esa medida, los pueblos indígenas, en muchas ocasiones, fuero</w:t>
      </w:r>
      <w:r w:rsidRPr="003F6DBE">
        <w:rPr>
          <w:rFonts w:ascii="Times New Roman" w:hAnsi="Times New Roman" w:cs="Times New Roman"/>
          <w:sz w:val="28"/>
          <w:szCs w:val="24"/>
        </w:rPr>
        <w:t>n mantenidos cerca de las poblaciones hispánicas, con el fin de permitir el trabajo pastoral (religioso).</w:t>
      </w:r>
      <w:r w:rsidRPr="003F6DBE">
        <w:rPr>
          <w:rFonts w:ascii="Times New Roman" w:hAnsi="Times New Roman" w:cs="Times New Roman"/>
          <w:sz w:val="28"/>
          <w:szCs w:val="24"/>
          <w:lang w:val="es-CO"/>
        </w:rPr>
        <w:t xml:space="preserve"> </w:t>
      </w:r>
      <w:r w:rsidRPr="003F6DBE">
        <w:rPr>
          <w:rFonts w:ascii="Times New Roman" w:hAnsi="Times New Roman" w:cs="Times New Roman"/>
          <w:sz w:val="28"/>
          <w:szCs w:val="24"/>
        </w:rPr>
        <w:t xml:space="preserve">Además, </w:t>
      </w:r>
      <w:r w:rsidRPr="003F6DBE">
        <w:rPr>
          <w:rFonts w:ascii="Times New Roman" w:hAnsi="Times New Roman" w:cs="Times New Roman"/>
          <w:sz w:val="28"/>
          <w:szCs w:val="24"/>
        </w:rPr>
        <w:t>debido a que</w:t>
      </w:r>
      <w:r w:rsidRPr="003F6DBE">
        <w:rPr>
          <w:rFonts w:ascii="Times New Roman" w:hAnsi="Times New Roman" w:cs="Times New Roman"/>
          <w:sz w:val="28"/>
          <w:szCs w:val="24"/>
        </w:rPr>
        <w:t xml:space="preserve"> el trabajo intensivo de extracción de excedente exigía que las instituciones coloniales tuvieran control cercano sobre los pueblo</w:t>
      </w:r>
      <w:r w:rsidRPr="003F6DBE">
        <w:rPr>
          <w:rFonts w:ascii="Times New Roman" w:hAnsi="Times New Roman" w:cs="Times New Roman"/>
          <w:sz w:val="28"/>
          <w:szCs w:val="24"/>
        </w:rPr>
        <w:t>s indígenas. Es decir, hubo ciudades españolas</w:t>
      </w:r>
      <w:r w:rsidRPr="003F6DBE">
        <w:rPr>
          <w:rFonts w:ascii="Times New Roman" w:hAnsi="Times New Roman" w:cs="Times New Roman"/>
          <w:sz w:val="28"/>
          <w:szCs w:val="24"/>
        </w:rPr>
        <w:t xml:space="preserve"> en las que existía la</w:t>
      </w:r>
      <w:r w:rsidRPr="003F6DBE">
        <w:rPr>
          <w:rFonts w:ascii="Times New Roman" w:hAnsi="Times New Roman" w:cs="Times New Roman"/>
          <w:sz w:val="28"/>
          <w:szCs w:val="24"/>
        </w:rPr>
        <w:t xml:space="preserve"> tendencia</w:t>
      </w:r>
      <w:r w:rsidRPr="003F6DBE">
        <w:rPr>
          <w:rFonts w:ascii="Times New Roman" w:hAnsi="Times New Roman" w:cs="Times New Roman"/>
          <w:sz w:val="28"/>
          <w:szCs w:val="24"/>
        </w:rPr>
        <w:t xml:space="preserve"> de </w:t>
      </w:r>
      <w:r w:rsidRPr="003F6DBE">
        <w:rPr>
          <w:rFonts w:ascii="Times New Roman" w:hAnsi="Times New Roman" w:cs="Times New Roman"/>
          <w:sz w:val="28"/>
          <w:szCs w:val="24"/>
        </w:rPr>
        <w:t xml:space="preserve">alta densidad poblacional indígena. </w:t>
      </w:r>
    </w:p>
    <w:p w:rsidR="0026140A" w:rsidRPr="003F6DBE" w:rsidRDefault="003F6DBE" w:rsidP="00DE38C0">
      <w:pPr>
        <w:pStyle w:val="Textoindependiente"/>
        <w:ind w:left="709" w:right="49" w:hanging="709"/>
        <w:outlineLvl w:val="0"/>
        <w:rPr>
          <w:rFonts w:ascii="Times New Roman" w:hAnsi="Times New Roman" w:cs="Times New Roman"/>
          <w:sz w:val="28"/>
          <w:szCs w:val="24"/>
          <w:lang w:val="es-CO"/>
        </w:rPr>
      </w:pPr>
    </w:p>
    <w:p w:rsidR="00692C14" w:rsidRPr="003F6DBE" w:rsidRDefault="003F6DBE" w:rsidP="00DE38C0">
      <w:pPr>
        <w:pStyle w:val="Textoindependiente"/>
        <w:numPr>
          <w:ilvl w:val="0"/>
          <w:numId w:val="4"/>
        </w:numPr>
        <w:ind w:left="709" w:right="49" w:hanging="709"/>
        <w:outlineLvl w:val="0"/>
        <w:rPr>
          <w:rFonts w:ascii="Times New Roman" w:hAnsi="Times New Roman" w:cs="Times New Roman"/>
          <w:sz w:val="28"/>
          <w:szCs w:val="24"/>
          <w:lang w:val="es-CO"/>
        </w:rPr>
      </w:pPr>
      <w:r w:rsidRPr="003F6DBE">
        <w:rPr>
          <w:rFonts w:ascii="Times New Roman" w:hAnsi="Times New Roman" w:cs="Times New Roman"/>
          <w:sz w:val="28"/>
          <w:szCs w:val="24"/>
        </w:rPr>
        <w:t>Por el contrario, en aquellas zonas apartadas</w:t>
      </w:r>
      <w:r w:rsidRPr="003F6DBE">
        <w:rPr>
          <w:rFonts w:ascii="Times New Roman" w:hAnsi="Times New Roman" w:cs="Times New Roman"/>
          <w:sz w:val="28"/>
          <w:szCs w:val="24"/>
        </w:rPr>
        <w:t xml:space="preserve"> o</w:t>
      </w:r>
      <w:r w:rsidRPr="003F6DBE">
        <w:rPr>
          <w:rFonts w:ascii="Times New Roman" w:hAnsi="Times New Roman" w:cs="Times New Roman"/>
          <w:sz w:val="28"/>
          <w:szCs w:val="24"/>
        </w:rPr>
        <w:t xml:space="preserve"> de frontera, en las que no existía población indígena que someter a las reglas hispánica</w:t>
      </w:r>
      <w:r w:rsidRPr="003F6DBE">
        <w:rPr>
          <w:rFonts w:ascii="Times New Roman" w:hAnsi="Times New Roman" w:cs="Times New Roman"/>
          <w:sz w:val="28"/>
          <w:szCs w:val="24"/>
        </w:rPr>
        <w:t>s, la empresa colonial acudió a la institución de la esclavitud. Las comunidades de ascendencia africana fueron introducidas en territorios alejados de los centros virreinales, generalmente relacionados con la minería</w:t>
      </w:r>
      <w:r w:rsidRPr="003F6DBE">
        <w:rPr>
          <w:rFonts w:ascii="Times New Roman" w:hAnsi="Times New Roman" w:cs="Times New Roman"/>
          <w:sz w:val="28"/>
          <w:szCs w:val="24"/>
        </w:rPr>
        <w:t>, e</w:t>
      </w:r>
      <w:r w:rsidRPr="003F6DBE">
        <w:rPr>
          <w:rFonts w:ascii="Times New Roman" w:hAnsi="Times New Roman" w:cs="Times New Roman"/>
          <w:sz w:val="28"/>
          <w:szCs w:val="24"/>
        </w:rPr>
        <w:t>n las zonas de baja densidad demográ</w:t>
      </w:r>
      <w:r w:rsidRPr="003F6DBE">
        <w:rPr>
          <w:rFonts w:ascii="Times New Roman" w:hAnsi="Times New Roman" w:cs="Times New Roman"/>
          <w:sz w:val="28"/>
          <w:szCs w:val="24"/>
        </w:rPr>
        <w:t>fica, o en los que no fue posible someter a las comunidades indígenas</w:t>
      </w:r>
      <w:r w:rsidRPr="003F6DBE">
        <w:rPr>
          <w:rStyle w:val="Refdenotaalpie"/>
          <w:rFonts w:ascii="Times New Roman" w:hAnsi="Times New Roman"/>
          <w:sz w:val="28"/>
          <w:szCs w:val="24"/>
        </w:rPr>
        <w:footnoteReference w:id="18"/>
      </w:r>
      <w:r w:rsidRPr="003F6DBE">
        <w:rPr>
          <w:rFonts w:ascii="Times New Roman" w:hAnsi="Times New Roman" w:cs="Times New Roman"/>
          <w:sz w:val="28"/>
          <w:szCs w:val="24"/>
        </w:rPr>
        <w:t>.</w:t>
      </w:r>
    </w:p>
    <w:p w:rsidR="00692C14" w:rsidRPr="003F6DBE" w:rsidRDefault="003F6DBE" w:rsidP="00DE38C0">
      <w:pPr>
        <w:pStyle w:val="Textoindependiente"/>
        <w:ind w:left="709" w:right="49" w:hanging="709"/>
        <w:outlineLvl w:val="0"/>
        <w:rPr>
          <w:rFonts w:ascii="Times New Roman" w:hAnsi="Times New Roman" w:cs="Times New Roman"/>
          <w:sz w:val="28"/>
          <w:szCs w:val="24"/>
          <w:lang w:val="es-CO"/>
        </w:rPr>
      </w:pPr>
    </w:p>
    <w:p w:rsidR="00765D8B" w:rsidRPr="003F6DBE" w:rsidRDefault="003F6DBE" w:rsidP="00DE38C0">
      <w:pPr>
        <w:pStyle w:val="Textoindependiente"/>
        <w:numPr>
          <w:ilvl w:val="0"/>
          <w:numId w:val="4"/>
        </w:numPr>
        <w:ind w:left="709" w:right="49" w:hanging="709"/>
        <w:outlineLvl w:val="0"/>
        <w:rPr>
          <w:rFonts w:ascii="Times New Roman" w:hAnsi="Times New Roman" w:cs="Times New Roman"/>
          <w:sz w:val="28"/>
          <w:szCs w:val="24"/>
          <w:lang w:val="es-CO"/>
        </w:rPr>
      </w:pPr>
      <w:r w:rsidRPr="003F6DBE">
        <w:rPr>
          <w:rFonts w:ascii="Times New Roman" w:hAnsi="Times New Roman" w:cs="Times New Roman"/>
          <w:sz w:val="28"/>
          <w:szCs w:val="24"/>
          <w:lang w:val="es-CO"/>
        </w:rPr>
        <w:t>Es decir, en relación con esta demanda de inconstitucionalidad no puede obviarse que la ocupación del territorio colombiano ha sido un proceso social racializado. En tal las poblacion</w:t>
      </w:r>
      <w:r w:rsidRPr="003F6DBE">
        <w:rPr>
          <w:rFonts w:ascii="Times New Roman" w:hAnsi="Times New Roman" w:cs="Times New Roman"/>
          <w:sz w:val="28"/>
          <w:szCs w:val="24"/>
          <w:lang w:val="es-CO"/>
        </w:rPr>
        <w:t>es de ascendencia africana fueron, en su mayoría, dirigidas desde tiempos coloniales a regiones de frontera generalmente vinculadas a minería, en las que no existía alta densidad poblacional de poblaciones indígenas.</w:t>
      </w:r>
      <w:r w:rsidRPr="003F6DBE">
        <w:rPr>
          <w:rFonts w:ascii="Times New Roman" w:hAnsi="Times New Roman" w:cs="Times New Roman"/>
          <w:sz w:val="28"/>
          <w:szCs w:val="24"/>
          <w:lang w:val="es-CO"/>
        </w:rPr>
        <w:t xml:space="preserve"> En consecuencia, sostiene la demanda que como lo han afirmado distintos autores, esta ubicación en la periferia de las comunidades afrocolombianas no ha sido subvertid</w:t>
      </w:r>
      <w:r w:rsidRPr="003F6DBE">
        <w:rPr>
          <w:rFonts w:ascii="Times New Roman" w:hAnsi="Times New Roman" w:cs="Times New Roman"/>
          <w:sz w:val="28"/>
          <w:szCs w:val="24"/>
          <w:lang w:val="es-CO"/>
        </w:rPr>
        <w:t>a y, por ello, en algunas ocasiones se encuentran ubicados</w:t>
      </w:r>
      <w:r w:rsidRPr="003F6DBE">
        <w:rPr>
          <w:rFonts w:ascii="Times New Roman" w:hAnsi="Times New Roman" w:cs="Times New Roman"/>
          <w:sz w:val="28"/>
          <w:szCs w:val="24"/>
          <w:lang w:val="es-CO"/>
        </w:rPr>
        <w:t xml:space="preserve"> </w:t>
      </w:r>
      <w:r w:rsidRPr="003F6DBE">
        <w:rPr>
          <w:rFonts w:ascii="Times New Roman" w:hAnsi="Times New Roman" w:cs="Times New Roman"/>
          <w:sz w:val="28"/>
          <w:szCs w:val="24"/>
          <w:lang w:val="es-CO"/>
        </w:rPr>
        <w:t xml:space="preserve">en </w:t>
      </w:r>
      <w:r w:rsidRPr="003F6DBE">
        <w:rPr>
          <w:rFonts w:ascii="Times New Roman" w:hAnsi="Times New Roman" w:cs="Times New Roman"/>
          <w:sz w:val="28"/>
          <w:szCs w:val="24"/>
          <w:lang w:val="es-CO"/>
        </w:rPr>
        <w:t>la frontera con otros Esta</w:t>
      </w:r>
      <w:r w:rsidRPr="003F6DBE">
        <w:rPr>
          <w:rFonts w:ascii="Times New Roman" w:hAnsi="Times New Roman" w:cs="Times New Roman"/>
          <w:sz w:val="28"/>
          <w:szCs w:val="24"/>
          <w:lang w:val="es-CO"/>
        </w:rPr>
        <w:t xml:space="preserve">dos. </w:t>
      </w:r>
    </w:p>
    <w:p w:rsidR="005F4B59" w:rsidRPr="003F6DBE" w:rsidRDefault="003F6DBE" w:rsidP="00DE38C0">
      <w:pPr>
        <w:pStyle w:val="Textoindependiente"/>
        <w:ind w:right="49"/>
        <w:outlineLvl w:val="0"/>
        <w:rPr>
          <w:rFonts w:ascii="Times New Roman" w:hAnsi="Times New Roman" w:cs="Times New Roman"/>
          <w:sz w:val="28"/>
          <w:lang w:val="es-CO"/>
        </w:rPr>
      </w:pPr>
    </w:p>
    <w:p w:rsidR="002244A8" w:rsidRPr="003F6DBE" w:rsidRDefault="003F6DBE" w:rsidP="00DE38C0">
      <w:pPr>
        <w:pStyle w:val="Textoindependiente"/>
        <w:numPr>
          <w:ilvl w:val="0"/>
          <w:numId w:val="2"/>
        </w:numPr>
        <w:ind w:left="0" w:right="49" w:firstLine="0"/>
        <w:outlineLvl w:val="0"/>
        <w:rPr>
          <w:rFonts w:ascii="Times New Roman" w:hAnsi="Times New Roman" w:cs="Times New Roman"/>
          <w:sz w:val="28"/>
          <w:lang w:val="es-CO"/>
        </w:rPr>
      </w:pPr>
      <w:r w:rsidRPr="003F6DBE">
        <w:rPr>
          <w:rFonts w:ascii="Times New Roman" w:hAnsi="Times New Roman" w:cs="Times New Roman"/>
          <w:sz w:val="28"/>
          <w:lang w:val="es-CO"/>
        </w:rPr>
        <w:t xml:space="preserve">Así, con sustento en el breve recuento histórico referenciado, los demandantes </w:t>
      </w:r>
      <w:r w:rsidRPr="003F6DBE">
        <w:rPr>
          <w:rFonts w:ascii="Times New Roman" w:hAnsi="Times New Roman" w:cs="Times New Roman"/>
          <w:sz w:val="28"/>
          <w:lang w:val="es-CO"/>
        </w:rPr>
        <w:t>desarrollaron el contenido de las disposiciones controvertidas p</w:t>
      </w:r>
      <w:r w:rsidRPr="003F6DBE">
        <w:rPr>
          <w:rFonts w:ascii="Times New Roman" w:hAnsi="Times New Roman" w:cs="Times New Roman"/>
          <w:sz w:val="28"/>
          <w:lang w:val="es-CO"/>
        </w:rPr>
        <w:t>ara</w:t>
      </w:r>
      <w:r w:rsidRPr="003F6DBE">
        <w:rPr>
          <w:rFonts w:ascii="Times New Roman" w:hAnsi="Times New Roman" w:cs="Times New Roman"/>
          <w:sz w:val="28"/>
          <w:lang w:val="es-CO"/>
        </w:rPr>
        <w:t xml:space="preserve"> advertir que son contrarias a la Constitución</w:t>
      </w:r>
      <w:r w:rsidRPr="003F6DBE">
        <w:rPr>
          <w:rFonts w:ascii="Times New Roman" w:hAnsi="Times New Roman" w:cs="Times New Roman"/>
          <w:sz w:val="28"/>
          <w:lang w:val="es-CO"/>
        </w:rPr>
        <w:t xml:space="preserve">. De manera puntual, sobre el deber que en específico se </w:t>
      </w:r>
      <w:r w:rsidRPr="003F6DBE">
        <w:rPr>
          <w:rFonts w:ascii="Times New Roman" w:hAnsi="Times New Roman" w:cs="Times New Roman"/>
          <w:sz w:val="28"/>
          <w:lang w:val="es-CO"/>
        </w:rPr>
        <w:t>habría incumplido, explic</w:t>
      </w:r>
      <w:r w:rsidRPr="003F6DBE">
        <w:rPr>
          <w:rFonts w:ascii="Times New Roman" w:hAnsi="Times New Roman" w:cs="Times New Roman"/>
          <w:sz w:val="28"/>
          <w:lang w:val="es-CO"/>
        </w:rPr>
        <w:t>aron</w:t>
      </w:r>
      <w:r w:rsidRPr="003F6DBE">
        <w:rPr>
          <w:rFonts w:ascii="Times New Roman" w:hAnsi="Times New Roman" w:cs="Times New Roman"/>
          <w:sz w:val="28"/>
          <w:lang w:val="es-CO"/>
        </w:rPr>
        <w:t xml:space="preserve"> que la Corte Constitucional ha interpretado que el artículo 7 del Convenio 169 de la OIT implica que las autoridades deben buscar la concertación con las comunidades afrocolombianas en las decisiones de las afectan. Es decir q</w:t>
      </w:r>
      <w:r w:rsidRPr="003F6DBE">
        <w:rPr>
          <w:rFonts w:ascii="Times New Roman" w:hAnsi="Times New Roman" w:cs="Times New Roman"/>
          <w:sz w:val="28"/>
          <w:lang w:val="es-CO"/>
        </w:rPr>
        <w:t xml:space="preserve">ue es necesario su participación para </w:t>
      </w:r>
      <w:r w:rsidRPr="003F6DBE">
        <w:rPr>
          <w:rFonts w:ascii="Times New Roman" w:hAnsi="Times New Roman" w:cs="Times New Roman"/>
          <w:sz w:val="28"/>
        </w:rPr>
        <w:t xml:space="preserve">la </w:t>
      </w:r>
      <w:r w:rsidRPr="003F6DBE">
        <w:rPr>
          <w:rFonts w:ascii="Times New Roman" w:hAnsi="Times New Roman" w:cs="Times New Roman"/>
          <w:sz w:val="28"/>
        </w:rPr>
        <w:t xml:space="preserve">determinación </w:t>
      </w:r>
      <w:r w:rsidRPr="003F6DBE">
        <w:rPr>
          <w:rFonts w:ascii="Times New Roman" w:hAnsi="Times New Roman" w:cs="Times New Roman"/>
          <w:sz w:val="28"/>
        </w:rPr>
        <w:t xml:space="preserve">de </w:t>
      </w:r>
      <w:r w:rsidRPr="003F6DBE">
        <w:rPr>
          <w:rFonts w:ascii="Times New Roman" w:hAnsi="Times New Roman" w:cs="Times New Roman"/>
          <w:sz w:val="28"/>
        </w:rPr>
        <w:t xml:space="preserve">las </w:t>
      </w:r>
      <w:r w:rsidRPr="003F6DBE">
        <w:rPr>
          <w:rFonts w:ascii="Times New Roman" w:hAnsi="Times New Roman" w:cs="Times New Roman"/>
          <w:sz w:val="28"/>
        </w:rPr>
        <w:t>Zonas de Frontera, Unidades Especiales de Desarrollo Fronterizo o los convenios de integración fronteriza, en coordinación con Estados vecinos. En el caso de la</w:t>
      </w:r>
      <w:r w:rsidRPr="003F6DBE">
        <w:rPr>
          <w:rFonts w:ascii="Times New Roman" w:hAnsi="Times New Roman" w:cs="Times New Roman"/>
          <w:sz w:val="28"/>
        </w:rPr>
        <w:t>s</w:t>
      </w:r>
      <w:r w:rsidRPr="003F6DBE">
        <w:rPr>
          <w:rFonts w:ascii="Times New Roman" w:hAnsi="Times New Roman" w:cs="Times New Roman"/>
          <w:sz w:val="28"/>
        </w:rPr>
        <w:t xml:space="preserve"> norm</w:t>
      </w:r>
      <w:r w:rsidRPr="003F6DBE">
        <w:rPr>
          <w:rFonts w:ascii="Times New Roman" w:hAnsi="Times New Roman" w:cs="Times New Roman"/>
          <w:sz w:val="28"/>
        </w:rPr>
        <w:t>as</w:t>
      </w:r>
      <w:r w:rsidRPr="003F6DBE">
        <w:rPr>
          <w:rFonts w:ascii="Times New Roman" w:hAnsi="Times New Roman" w:cs="Times New Roman"/>
          <w:sz w:val="28"/>
        </w:rPr>
        <w:t xml:space="preserve"> acusada</w:t>
      </w:r>
      <w:r w:rsidRPr="003F6DBE">
        <w:rPr>
          <w:rFonts w:ascii="Times New Roman" w:hAnsi="Times New Roman" w:cs="Times New Roman"/>
          <w:sz w:val="28"/>
        </w:rPr>
        <w:t>s</w:t>
      </w:r>
      <w:r w:rsidRPr="003F6DBE">
        <w:rPr>
          <w:rFonts w:ascii="Times New Roman" w:hAnsi="Times New Roman" w:cs="Times New Roman"/>
          <w:sz w:val="28"/>
        </w:rPr>
        <w:t xml:space="preserve"> sostuvieron que </w:t>
      </w:r>
      <w:r w:rsidRPr="003F6DBE">
        <w:rPr>
          <w:rFonts w:ascii="Times New Roman" w:hAnsi="Times New Roman" w:cs="Times New Roman"/>
          <w:sz w:val="28"/>
        </w:rPr>
        <w:t>existe el deber constitucional de que se prevea, a nivel legal, un espacio para atender las solicitudes de las autoridades de los pueblos negros, afrocolombianos, raizales, y palenqueros</w:t>
      </w:r>
      <w:r w:rsidRPr="003F6DBE">
        <w:rPr>
          <w:rFonts w:ascii="Times New Roman" w:hAnsi="Times New Roman" w:cs="Times New Roman"/>
          <w:sz w:val="28"/>
        </w:rPr>
        <w:t>, que</w:t>
      </w:r>
      <w:r w:rsidRPr="003F6DBE">
        <w:rPr>
          <w:rFonts w:ascii="Times New Roman" w:hAnsi="Times New Roman" w:cs="Times New Roman"/>
          <w:sz w:val="28"/>
        </w:rPr>
        <w:t xml:space="preserve"> deben ser atendidas especialmente. Este deber emerge del artícul</w:t>
      </w:r>
      <w:r w:rsidRPr="003F6DBE">
        <w:rPr>
          <w:rFonts w:ascii="Times New Roman" w:hAnsi="Times New Roman" w:cs="Times New Roman"/>
          <w:sz w:val="28"/>
        </w:rPr>
        <w:t>o 7 de la Constitución sobre protección de la diversidad étnica y cultural, del artículo 13 superior y, además, del artículo 6, literal b) del convenio 169 de la OIT que exige un trato paritario para comunidades étnicas ubicadas en zonas de frontera.  Adem</w:t>
      </w:r>
      <w:r w:rsidRPr="003F6DBE">
        <w:rPr>
          <w:rFonts w:ascii="Times New Roman" w:hAnsi="Times New Roman" w:cs="Times New Roman"/>
          <w:sz w:val="28"/>
        </w:rPr>
        <w:t xml:space="preserve">ás, el artículo 15 del convenio 169 de la OIT indica que los estados tienen el deber de garantizar que los pueblos étnicamente diferenciados </w:t>
      </w:r>
      <w:r w:rsidRPr="003F6DBE">
        <w:rPr>
          <w:rFonts w:ascii="Times New Roman" w:hAnsi="Times New Roman" w:cs="Times New Roman"/>
          <w:sz w:val="28"/>
        </w:rPr>
        <w:t xml:space="preserve">puedan gozar </w:t>
      </w:r>
      <w:r w:rsidRPr="003F6DBE">
        <w:rPr>
          <w:rFonts w:ascii="Times New Roman" w:hAnsi="Times New Roman" w:cs="Times New Roman"/>
          <w:sz w:val="28"/>
        </w:rPr>
        <w:t xml:space="preserve">de protección </w:t>
      </w:r>
      <w:r w:rsidRPr="003F6DBE">
        <w:rPr>
          <w:rFonts w:ascii="Times New Roman" w:hAnsi="Times New Roman" w:cs="Times New Roman"/>
          <w:sz w:val="28"/>
        </w:rPr>
        <w:t xml:space="preserve">en </w:t>
      </w:r>
      <w:r w:rsidRPr="003F6DBE">
        <w:rPr>
          <w:rFonts w:ascii="Times New Roman" w:hAnsi="Times New Roman" w:cs="Times New Roman"/>
          <w:sz w:val="28"/>
        </w:rPr>
        <w:t>los recursos naturales de sus territorios</w:t>
      </w:r>
      <w:r w:rsidRPr="003F6DBE">
        <w:rPr>
          <w:rFonts w:ascii="Times New Roman" w:hAnsi="Times New Roman" w:cs="Times New Roman"/>
          <w:sz w:val="28"/>
        </w:rPr>
        <w:t xml:space="preserve">; mientras que </w:t>
      </w:r>
      <w:bookmarkStart w:id="7" w:name="_Hlk166144491"/>
      <w:r w:rsidRPr="003F6DBE">
        <w:rPr>
          <w:rFonts w:ascii="Times New Roman" w:hAnsi="Times New Roman" w:cs="Times New Roman"/>
          <w:sz w:val="28"/>
        </w:rPr>
        <w:t>el artículo 8 de la Constituc</w:t>
      </w:r>
      <w:r w:rsidRPr="003F6DBE">
        <w:rPr>
          <w:rFonts w:ascii="Times New Roman" w:hAnsi="Times New Roman" w:cs="Times New Roman"/>
          <w:sz w:val="28"/>
        </w:rPr>
        <w:t xml:space="preserve">ión indica que </w:t>
      </w:r>
      <w:r w:rsidRPr="003F6DBE">
        <w:rPr>
          <w:rFonts w:ascii="Times New Roman" w:hAnsi="Times New Roman" w:cs="Times New Roman"/>
          <w:sz w:val="28"/>
          <w:lang w:val="es-CO"/>
        </w:rPr>
        <w:t>e</w:t>
      </w:r>
      <w:r w:rsidRPr="003F6DBE">
        <w:rPr>
          <w:rFonts w:ascii="Times New Roman" w:hAnsi="Times New Roman" w:cs="Times New Roman"/>
          <w:sz w:val="28"/>
        </w:rPr>
        <w:t>l Estado tiene la obligación de proteger la riqueza cultural de la nación, la que fue definida como pluriétnica.</w:t>
      </w:r>
      <w:bookmarkEnd w:id="7"/>
      <w:r w:rsidRPr="003F6DBE">
        <w:rPr>
          <w:rFonts w:ascii="Times New Roman" w:hAnsi="Times New Roman" w:cs="Times New Roman"/>
          <w:sz w:val="28"/>
        </w:rPr>
        <w:t xml:space="preserve"> En consecuencia, dicha exclusión tampoco esta justificada por cuenta de que no se creó una legislación que protegiera a las com</w:t>
      </w:r>
      <w:r w:rsidRPr="003F6DBE">
        <w:rPr>
          <w:rFonts w:ascii="Times New Roman" w:hAnsi="Times New Roman" w:cs="Times New Roman"/>
          <w:sz w:val="28"/>
        </w:rPr>
        <w:t xml:space="preserve">unidades afro, aunque sí a los indígenas, lo cual terminó por desconocer la importancia histórica de las fronteras y </w:t>
      </w:r>
      <w:r w:rsidRPr="003F6DBE">
        <w:rPr>
          <w:rFonts w:ascii="Times New Roman" w:hAnsi="Times New Roman" w:cs="Times New Roman"/>
          <w:sz w:val="28"/>
        </w:rPr>
        <w:t xml:space="preserve">la </w:t>
      </w:r>
      <w:r w:rsidRPr="003F6DBE">
        <w:rPr>
          <w:rFonts w:ascii="Times New Roman" w:hAnsi="Times New Roman" w:cs="Times New Roman"/>
          <w:sz w:val="28"/>
        </w:rPr>
        <w:t>tradicional ubicación en dichos lugares</w:t>
      </w:r>
      <w:r w:rsidRPr="003F6DBE">
        <w:rPr>
          <w:rFonts w:ascii="Times New Roman" w:hAnsi="Times New Roman" w:cs="Times New Roman"/>
          <w:sz w:val="28"/>
        </w:rPr>
        <w:t xml:space="preserve"> de pueblos negros, afrodescendientes, raizales y palenqueros. En el caso del artículo 5 de la Le</w:t>
      </w:r>
      <w:r w:rsidRPr="003F6DBE">
        <w:rPr>
          <w:rFonts w:ascii="Times New Roman" w:hAnsi="Times New Roman" w:cs="Times New Roman"/>
          <w:sz w:val="28"/>
        </w:rPr>
        <w:t xml:space="preserve">y </w:t>
      </w:r>
      <w:r w:rsidRPr="003F6DBE">
        <w:rPr>
          <w:rFonts w:ascii="Times New Roman" w:hAnsi="Times New Roman" w:cs="Times New Roman"/>
          <w:bCs/>
          <w:sz w:val="28"/>
          <w:lang w:eastAsia="zh-CN"/>
        </w:rPr>
        <w:t xml:space="preserve">191 de 1995 esto es peor por cuenta de que se impide el ejercicio, en condiciones de igualdad, del derecho a la consulta previa o la concertación. </w:t>
      </w:r>
    </w:p>
    <w:p w:rsidR="00957CA6" w:rsidRPr="003F6DBE" w:rsidRDefault="003F6DBE" w:rsidP="00DE38C0">
      <w:pPr>
        <w:spacing w:after="0" w:line="240" w:lineRule="auto"/>
        <w:ind w:right="49"/>
        <w:jc w:val="both"/>
        <w:rPr>
          <w:rFonts w:ascii="Times New Roman" w:hAnsi="Times New Roman" w:cs="Times New Roman"/>
          <w:sz w:val="28"/>
        </w:rPr>
      </w:pPr>
    </w:p>
    <w:p w:rsidR="009457E6" w:rsidRPr="003F6DBE" w:rsidRDefault="003F6DBE" w:rsidP="00DE38C0">
      <w:pPr>
        <w:pStyle w:val="Prrafodelista"/>
        <w:numPr>
          <w:ilvl w:val="0"/>
          <w:numId w:val="3"/>
        </w:numPr>
        <w:spacing w:after="0" w:line="240" w:lineRule="auto"/>
        <w:ind w:right="49"/>
        <w:jc w:val="both"/>
        <w:rPr>
          <w:rFonts w:ascii="Times New Roman" w:hAnsi="Times New Roman" w:cs="Times New Roman"/>
          <w:sz w:val="28"/>
        </w:rPr>
      </w:pPr>
      <w:r w:rsidRPr="003F6DBE">
        <w:rPr>
          <w:rFonts w:ascii="Times New Roman" w:hAnsi="Times New Roman" w:cs="Times New Roman"/>
          <w:b/>
          <w:sz w:val="28"/>
        </w:rPr>
        <w:t>INTERVENCIONES</w:t>
      </w:r>
    </w:p>
    <w:p w:rsidR="002A2D4E" w:rsidRPr="003F6DBE" w:rsidRDefault="003F6DBE" w:rsidP="002A2D4E">
      <w:pPr>
        <w:spacing w:after="0" w:line="240" w:lineRule="auto"/>
        <w:ind w:right="-232"/>
        <w:jc w:val="both"/>
        <w:rPr>
          <w:rFonts w:ascii="Times New Roman" w:hAnsi="Times New Roman" w:cs="Times New Roman"/>
          <w:sz w:val="28"/>
        </w:rPr>
      </w:pPr>
    </w:p>
    <w:p w:rsidR="002A2D4E" w:rsidRPr="003F6DBE" w:rsidRDefault="003F6DBE" w:rsidP="002A2D4E">
      <w:pPr>
        <w:pStyle w:val="Prrafodelista"/>
        <w:numPr>
          <w:ilvl w:val="0"/>
          <w:numId w:val="5"/>
        </w:numPr>
        <w:spacing w:after="0" w:line="240" w:lineRule="auto"/>
        <w:ind w:right="-232"/>
        <w:jc w:val="both"/>
        <w:rPr>
          <w:rFonts w:ascii="Times New Roman" w:hAnsi="Times New Roman" w:cs="Times New Roman"/>
          <w:b/>
          <w:bCs/>
          <w:sz w:val="28"/>
          <w:szCs w:val="28"/>
          <w:lang w:val="es-ES_tradnl"/>
        </w:rPr>
      </w:pPr>
      <w:r w:rsidRPr="003F6DBE">
        <w:rPr>
          <w:rFonts w:ascii="Times New Roman" w:hAnsi="Times New Roman" w:cs="Times New Roman"/>
          <w:b/>
          <w:bCs/>
          <w:sz w:val="28"/>
          <w:szCs w:val="28"/>
          <w:lang w:val="es-ES_tradnl"/>
        </w:rPr>
        <w:t xml:space="preserve">Ministerio de </w:t>
      </w:r>
      <w:r w:rsidRPr="003F6DBE">
        <w:rPr>
          <w:rFonts w:ascii="Times New Roman" w:hAnsi="Times New Roman" w:cs="Times New Roman"/>
          <w:b/>
          <w:bCs/>
          <w:sz w:val="28"/>
          <w:szCs w:val="28"/>
          <w:lang w:val="es-ES_tradnl"/>
        </w:rPr>
        <w:t>Transporte</w:t>
      </w:r>
    </w:p>
    <w:p w:rsidR="003356B5" w:rsidRPr="003F6DBE" w:rsidRDefault="003F6DBE" w:rsidP="003356B5">
      <w:pPr>
        <w:pStyle w:val="Prrafodelista"/>
        <w:spacing w:after="0" w:line="240" w:lineRule="auto"/>
        <w:ind w:right="-232"/>
        <w:jc w:val="both"/>
        <w:rPr>
          <w:rFonts w:ascii="Times New Roman" w:hAnsi="Times New Roman" w:cs="Times New Roman"/>
          <w:b/>
          <w:bCs/>
          <w:sz w:val="28"/>
          <w:szCs w:val="28"/>
          <w:lang w:val="es-ES_tradnl"/>
        </w:rPr>
      </w:pPr>
    </w:p>
    <w:p w:rsidR="00692E86" w:rsidRPr="003F6DBE" w:rsidRDefault="003F6DBE" w:rsidP="00077D5A">
      <w:pPr>
        <w:pStyle w:val="Prrafodelista"/>
        <w:numPr>
          <w:ilvl w:val="0"/>
          <w:numId w:val="2"/>
        </w:numPr>
        <w:spacing w:after="0" w:line="240" w:lineRule="auto"/>
        <w:ind w:left="0" w:right="49" w:firstLine="0"/>
        <w:jc w:val="both"/>
        <w:rPr>
          <w:rFonts w:ascii="Times New Roman" w:eastAsia="Times New Roman" w:hAnsi="Times New Roman" w:cs="Times New Roman"/>
          <w:sz w:val="28"/>
          <w:szCs w:val="28"/>
          <w:lang w:val="es-ES_tradnl"/>
        </w:rPr>
      </w:pPr>
      <w:r w:rsidRPr="003F6DBE">
        <w:rPr>
          <w:rFonts w:ascii="Times New Roman" w:eastAsia="Times New Roman" w:hAnsi="Times New Roman" w:cs="Times New Roman"/>
          <w:sz w:val="28"/>
          <w:szCs w:val="28"/>
          <w:lang w:val="es-ES_tradnl"/>
        </w:rPr>
        <w:t xml:space="preserve">A través de apoderado </w:t>
      </w:r>
      <w:r w:rsidRPr="003F6DBE">
        <w:rPr>
          <w:rFonts w:ascii="Times New Roman" w:eastAsia="Times New Roman" w:hAnsi="Times New Roman" w:cs="Times New Roman"/>
          <w:sz w:val="28"/>
          <w:szCs w:val="28"/>
          <w:lang w:val="es-ES_tradnl"/>
        </w:rPr>
        <w:t xml:space="preserve">el Ministerio de </w:t>
      </w:r>
      <w:r w:rsidRPr="003F6DBE">
        <w:rPr>
          <w:rFonts w:ascii="Times New Roman" w:eastAsia="Times New Roman" w:hAnsi="Times New Roman" w:cs="Times New Roman"/>
          <w:sz w:val="28"/>
          <w:szCs w:val="28"/>
          <w:lang w:val="es-ES_tradnl"/>
        </w:rPr>
        <w:t>Transporte</w:t>
      </w:r>
      <w:r w:rsidRPr="003F6DBE">
        <w:rPr>
          <w:rFonts w:ascii="Times New Roman" w:eastAsia="Times New Roman" w:hAnsi="Times New Roman" w:cs="Times New Roman"/>
          <w:sz w:val="28"/>
          <w:szCs w:val="28"/>
          <w:lang w:val="es-ES_tradnl"/>
        </w:rPr>
        <w:t xml:space="preserve"> solicita declarar la exequibilidad</w:t>
      </w:r>
      <w:r w:rsidRPr="003F6DBE">
        <w:rPr>
          <w:rFonts w:ascii="Times New Roman" w:eastAsia="Times New Roman" w:hAnsi="Times New Roman" w:cs="Times New Roman"/>
          <w:sz w:val="28"/>
          <w:szCs w:val="28"/>
          <w:lang w:val="es-ES_tradnl"/>
        </w:rPr>
        <w:t xml:space="preserve"> </w:t>
      </w:r>
      <w:r w:rsidRPr="003F6DBE">
        <w:rPr>
          <w:rFonts w:ascii="Times New Roman" w:eastAsia="Times New Roman" w:hAnsi="Times New Roman" w:cs="Times New Roman"/>
          <w:sz w:val="28"/>
          <w:szCs w:val="28"/>
          <w:lang w:val="es-ES_tradnl"/>
        </w:rPr>
        <w:t>de los apartes demandados</w:t>
      </w:r>
      <w:r w:rsidRPr="003F6DBE">
        <w:rPr>
          <w:rFonts w:ascii="Times New Roman" w:eastAsia="Times New Roman" w:hAnsi="Times New Roman" w:cs="Times New Roman"/>
          <w:sz w:val="28"/>
          <w:szCs w:val="28"/>
          <w:lang w:val="es-ES_tradnl"/>
        </w:rPr>
        <w:t xml:space="preserve">. Indica que las disposiciones son una respuesta a la cultura de los pueblos indígenas, en virtud de que </w:t>
      </w:r>
      <w:r w:rsidRPr="003F6DBE">
        <w:rPr>
          <w:rFonts w:ascii="Times New Roman" w:eastAsia="Times New Roman" w:hAnsi="Times New Roman" w:cs="Times New Roman"/>
          <w:sz w:val="28"/>
          <w:szCs w:val="28"/>
          <w:lang w:val="es-ES_tradnl"/>
        </w:rPr>
        <w:t>las demás</w:t>
      </w:r>
      <w:r w:rsidRPr="003F6DBE">
        <w:rPr>
          <w:rFonts w:ascii="Times New Roman" w:eastAsia="Times New Roman" w:hAnsi="Times New Roman" w:cs="Times New Roman"/>
          <w:sz w:val="28"/>
          <w:szCs w:val="28"/>
          <w:lang w:val="es-ES_tradnl"/>
        </w:rPr>
        <w:t xml:space="preserve"> comunidades</w:t>
      </w:r>
      <w:r w:rsidRPr="003F6DBE">
        <w:rPr>
          <w:rFonts w:ascii="Times New Roman" w:eastAsia="Times New Roman" w:hAnsi="Times New Roman" w:cs="Times New Roman"/>
          <w:sz w:val="28"/>
          <w:szCs w:val="28"/>
          <w:lang w:val="es-ES_tradnl"/>
        </w:rPr>
        <w:t xml:space="preserve"> étnicas</w:t>
      </w:r>
      <w:r w:rsidRPr="003F6DBE">
        <w:rPr>
          <w:rFonts w:ascii="Times New Roman" w:eastAsia="Times New Roman" w:hAnsi="Times New Roman" w:cs="Times New Roman"/>
          <w:sz w:val="28"/>
          <w:szCs w:val="28"/>
          <w:lang w:val="es-ES_tradnl"/>
        </w:rPr>
        <w:t>,</w:t>
      </w:r>
      <w:r w:rsidRPr="003F6DBE">
        <w:rPr>
          <w:rFonts w:ascii="Times New Roman" w:eastAsia="Times New Roman" w:hAnsi="Times New Roman" w:cs="Times New Roman"/>
          <w:sz w:val="28"/>
          <w:szCs w:val="28"/>
          <w:lang w:val="es-ES_tradnl"/>
        </w:rPr>
        <w:t xml:space="preserve"> tal el caso de</w:t>
      </w:r>
      <w:r w:rsidRPr="003F6DBE">
        <w:rPr>
          <w:rFonts w:ascii="Times New Roman" w:eastAsia="Times New Roman" w:hAnsi="Times New Roman" w:cs="Times New Roman"/>
          <w:sz w:val="28"/>
          <w:szCs w:val="28"/>
          <w:lang w:val="es-ES_tradnl"/>
        </w:rPr>
        <w:t xml:space="preserve"> </w:t>
      </w:r>
      <w:r w:rsidRPr="003F6DBE">
        <w:rPr>
          <w:rFonts w:ascii="Times New Roman" w:eastAsia="Times New Roman" w:hAnsi="Times New Roman" w:cs="Times New Roman"/>
          <w:sz w:val="28"/>
          <w:szCs w:val="28"/>
          <w:lang w:val="es-ES_tradnl"/>
        </w:rPr>
        <w:t xml:space="preserve">las </w:t>
      </w:r>
      <w:r w:rsidRPr="003F6DBE">
        <w:rPr>
          <w:rFonts w:ascii="Times New Roman" w:eastAsia="Times New Roman" w:hAnsi="Times New Roman" w:cs="Times New Roman"/>
          <w:sz w:val="28"/>
          <w:szCs w:val="28"/>
          <w:lang w:val="es-ES_tradnl"/>
        </w:rPr>
        <w:t>negras, afro</w:t>
      </w:r>
      <w:r w:rsidRPr="003F6DBE">
        <w:rPr>
          <w:rFonts w:ascii="Times New Roman" w:eastAsia="Times New Roman" w:hAnsi="Times New Roman" w:cs="Times New Roman"/>
          <w:sz w:val="28"/>
          <w:szCs w:val="28"/>
          <w:lang w:val="es-ES_tradnl"/>
        </w:rPr>
        <w:t xml:space="preserve">colombianas, raizales y </w:t>
      </w:r>
      <w:r w:rsidRPr="003F6DBE">
        <w:rPr>
          <w:rFonts w:ascii="Times New Roman" w:eastAsia="Times New Roman" w:hAnsi="Times New Roman" w:cs="Times New Roman"/>
          <w:sz w:val="28"/>
          <w:szCs w:val="28"/>
          <w:lang w:val="es-ES_tradnl"/>
        </w:rPr>
        <w:t>palenque</w:t>
      </w:r>
      <w:r w:rsidRPr="003F6DBE">
        <w:rPr>
          <w:rFonts w:ascii="Times New Roman" w:eastAsia="Times New Roman" w:hAnsi="Times New Roman" w:cs="Times New Roman"/>
          <w:sz w:val="28"/>
          <w:szCs w:val="28"/>
          <w:lang w:val="es-ES_tradnl"/>
        </w:rPr>
        <w:t xml:space="preserve">ras, </w:t>
      </w:r>
      <w:r w:rsidRPr="003F6DBE">
        <w:rPr>
          <w:rFonts w:ascii="Times New Roman" w:eastAsia="Times New Roman" w:hAnsi="Times New Roman" w:cs="Times New Roman"/>
          <w:sz w:val="28"/>
          <w:szCs w:val="28"/>
          <w:lang w:val="es-ES_tradnl"/>
        </w:rPr>
        <w:t>se</w:t>
      </w:r>
      <w:r w:rsidRPr="003F6DBE">
        <w:rPr>
          <w:rFonts w:ascii="Times New Roman" w:eastAsia="Times New Roman" w:hAnsi="Times New Roman" w:cs="Times New Roman"/>
          <w:sz w:val="28"/>
          <w:szCs w:val="28"/>
          <w:lang w:val="es-ES_tradnl"/>
        </w:rPr>
        <w:t xml:space="preserve"> ent</w:t>
      </w:r>
      <w:r w:rsidRPr="003F6DBE">
        <w:rPr>
          <w:rFonts w:ascii="Times New Roman" w:eastAsia="Times New Roman" w:hAnsi="Times New Roman" w:cs="Times New Roman"/>
          <w:sz w:val="28"/>
          <w:szCs w:val="28"/>
          <w:lang w:val="es-ES_tradnl"/>
        </w:rPr>
        <w:t>i</w:t>
      </w:r>
      <w:r w:rsidRPr="003F6DBE">
        <w:rPr>
          <w:rFonts w:ascii="Times New Roman" w:eastAsia="Times New Roman" w:hAnsi="Times New Roman" w:cs="Times New Roman"/>
          <w:sz w:val="28"/>
          <w:szCs w:val="28"/>
          <w:lang w:val="es-ES_tradnl"/>
        </w:rPr>
        <w:t>ende</w:t>
      </w:r>
      <w:r w:rsidRPr="003F6DBE">
        <w:rPr>
          <w:rFonts w:ascii="Times New Roman" w:eastAsia="Times New Roman" w:hAnsi="Times New Roman" w:cs="Times New Roman"/>
          <w:sz w:val="28"/>
          <w:szCs w:val="28"/>
          <w:lang w:val="es-ES_tradnl"/>
        </w:rPr>
        <w:t>n</w:t>
      </w:r>
      <w:r w:rsidRPr="003F6DBE">
        <w:rPr>
          <w:rFonts w:ascii="Times New Roman" w:eastAsia="Times New Roman" w:hAnsi="Times New Roman" w:cs="Times New Roman"/>
          <w:sz w:val="28"/>
          <w:szCs w:val="28"/>
          <w:lang w:val="es-ES_tradnl"/>
        </w:rPr>
        <w:t xml:space="preserve"> incluidas dentro de las comunidades locales, conforme quedó expresado en las disposiciones censuradas.</w:t>
      </w:r>
      <w:r w:rsidRPr="003F6DBE">
        <w:rPr>
          <w:rFonts w:ascii="Times New Roman" w:eastAsia="Times New Roman" w:hAnsi="Times New Roman" w:cs="Times New Roman"/>
          <w:sz w:val="28"/>
          <w:szCs w:val="28"/>
          <w:lang w:val="es-ES_tradnl"/>
        </w:rPr>
        <w:t xml:space="preserve"> </w:t>
      </w:r>
      <w:r w:rsidRPr="003F6DBE">
        <w:rPr>
          <w:rFonts w:ascii="Times New Roman" w:eastAsia="Times New Roman" w:hAnsi="Times New Roman" w:cs="Times New Roman"/>
          <w:sz w:val="28"/>
          <w:szCs w:val="28"/>
          <w:lang w:val="es-ES_tradnl"/>
        </w:rPr>
        <w:t>A</w:t>
      </w:r>
      <w:r w:rsidRPr="003F6DBE">
        <w:rPr>
          <w:rFonts w:ascii="Times New Roman" w:eastAsia="Times New Roman" w:hAnsi="Times New Roman" w:cs="Times New Roman"/>
          <w:sz w:val="28"/>
          <w:szCs w:val="28"/>
          <w:lang w:val="es-ES_tradnl"/>
        </w:rPr>
        <w:t xml:space="preserve">lude, </w:t>
      </w:r>
      <w:r w:rsidRPr="003F6DBE">
        <w:rPr>
          <w:rFonts w:ascii="Times New Roman" w:eastAsia="Times New Roman" w:hAnsi="Times New Roman" w:cs="Times New Roman"/>
          <w:sz w:val="28"/>
          <w:szCs w:val="28"/>
          <w:lang w:val="es-ES_tradnl"/>
        </w:rPr>
        <w:t>de manera inicial</w:t>
      </w:r>
      <w:r w:rsidRPr="003F6DBE">
        <w:rPr>
          <w:rFonts w:ascii="Times New Roman" w:eastAsia="Times New Roman" w:hAnsi="Times New Roman" w:cs="Times New Roman"/>
          <w:sz w:val="28"/>
          <w:szCs w:val="28"/>
          <w:lang w:val="es-ES_tradnl"/>
        </w:rPr>
        <w:t>, a los presupuestos necesarios para la interposición de demandas de inconstitucionalidad</w:t>
      </w:r>
      <w:r w:rsidRPr="003F6DBE">
        <w:rPr>
          <w:rFonts w:ascii="Times New Roman" w:eastAsia="Times New Roman" w:hAnsi="Times New Roman" w:cs="Times New Roman"/>
          <w:sz w:val="28"/>
          <w:szCs w:val="28"/>
          <w:lang w:val="es-ES_tradnl"/>
        </w:rPr>
        <w:t xml:space="preserve"> fundadas en u</w:t>
      </w:r>
      <w:r w:rsidRPr="003F6DBE">
        <w:rPr>
          <w:rFonts w:ascii="Times New Roman" w:eastAsia="Times New Roman" w:hAnsi="Times New Roman" w:cs="Times New Roman"/>
          <w:sz w:val="28"/>
          <w:szCs w:val="28"/>
          <w:lang w:val="es-ES_tradnl"/>
        </w:rPr>
        <w:t>na omisión legislativa relativa</w:t>
      </w:r>
      <w:r w:rsidRPr="003F6DBE">
        <w:rPr>
          <w:rFonts w:ascii="Times New Roman" w:eastAsia="Times New Roman" w:hAnsi="Times New Roman" w:cs="Times New Roman"/>
          <w:sz w:val="28"/>
          <w:szCs w:val="28"/>
          <w:lang w:val="es-ES_tradnl"/>
        </w:rPr>
        <w:t>, como la presente, que desarrolla a partir del contenido de la Sentencia C-122 de 2020 y al tenor del artículo 2 del Decreto 2067 de 1991</w:t>
      </w:r>
      <w:r w:rsidRPr="003F6DBE">
        <w:rPr>
          <w:rFonts w:ascii="Times New Roman" w:eastAsia="Times New Roman" w:hAnsi="Times New Roman" w:cs="Times New Roman"/>
          <w:sz w:val="28"/>
          <w:szCs w:val="28"/>
          <w:lang w:val="es-ES_tradnl"/>
        </w:rPr>
        <w:t>, así como de las cargas argumentativas mínimas exigidas</w:t>
      </w:r>
      <w:r w:rsidRPr="003F6DBE">
        <w:rPr>
          <w:rFonts w:ascii="Times New Roman" w:eastAsia="Times New Roman" w:hAnsi="Times New Roman" w:cs="Times New Roman"/>
          <w:sz w:val="28"/>
          <w:szCs w:val="28"/>
          <w:lang w:val="es-ES_tradnl"/>
        </w:rPr>
        <w:t xml:space="preserve">. </w:t>
      </w:r>
      <w:r w:rsidRPr="003F6DBE">
        <w:rPr>
          <w:rFonts w:ascii="Times New Roman" w:eastAsia="Times New Roman" w:hAnsi="Times New Roman" w:cs="Times New Roman"/>
          <w:sz w:val="28"/>
          <w:szCs w:val="28"/>
          <w:lang w:val="es-ES_tradnl"/>
        </w:rPr>
        <w:t xml:space="preserve">En este contexto, </w:t>
      </w:r>
      <w:r w:rsidRPr="003F6DBE">
        <w:rPr>
          <w:rFonts w:ascii="Times New Roman" w:eastAsia="Times New Roman" w:hAnsi="Times New Roman" w:cs="Times New Roman"/>
          <w:sz w:val="28"/>
          <w:szCs w:val="28"/>
          <w:lang w:val="es-ES_tradnl"/>
        </w:rPr>
        <w:t>advierte qu</w:t>
      </w:r>
      <w:r w:rsidRPr="003F6DBE">
        <w:rPr>
          <w:rFonts w:ascii="Times New Roman" w:eastAsia="Times New Roman" w:hAnsi="Times New Roman" w:cs="Times New Roman"/>
          <w:sz w:val="28"/>
          <w:szCs w:val="28"/>
          <w:lang w:val="es-ES_tradnl"/>
        </w:rPr>
        <w:t xml:space="preserve">e la referencia a los “indígenas”, </w:t>
      </w:r>
      <w:r w:rsidRPr="003F6DBE">
        <w:rPr>
          <w:rFonts w:ascii="Times New Roman" w:eastAsia="Times New Roman" w:hAnsi="Times New Roman" w:cs="Times New Roman"/>
          <w:sz w:val="28"/>
          <w:szCs w:val="28"/>
          <w:lang w:val="es-ES_tradnl"/>
        </w:rPr>
        <w:t>objeto de censura,</w:t>
      </w:r>
      <w:r w:rsidRPr="003F6DBE">
        <w:rPr>
          <w:rFonts w:ascii="Times New Roman" w:eastAsia="Times New Roman" w:hAnsi="Times New Roman" w:cs="Times New Roman"/>
          <w:sz w:val="28"/>
          <w:szCs w:val="28"/>
          <w:lang w:val="es-ES_tradnl"/>
        </w:rPr>
        <w:t xml:space="preserve"> no debe entenderse</w:t>
      </w:r>
      <w:r w:rsidRPr="003F6DBE">
        <w:rPr>
          <w:rFonts w:ascii="Times New Roman" w:eastAsia="Times New Roman" w:hAnsi="Times New Roman" w:cs="Times New Roman"/>
          <w:sz w:val="28"/>
          <w:szCs w:val="28"/>
          <w:lang w:val="es-ES_tradnl"/>
        </w:rPr>
        <w:t xml:space="preserve"> como una exclusión de las comunidades mencionadas en la demanda pues las disposiciones c</w:t>
      </w:r>
      <w:r w:rsidRPr="003F6DBE">
        <w:rPr>
          <w:rFonts w:ascii="Times New Roman" w:eastAsia="Times New Roman" w:hAnsi="Times New Roman" w:cs="Times New Roman"/>
          <w:sz w:val="28"/>
          <w:szCs w:val="28"/>
          <w:lang w:val="es-ES_tradnl"/>
        </w:rPr>
        <w:t>uestionadas</w:t>
      </w:r>
      <w:r w:rsidRPr="003F6DBE">
        <w:rPr>
          <w:rFonts w:ascii="Times New Roman" w:eastAsia="Times New Roman" w:hAnsi="Times New Roman" w:cs="Times New Roman"/>
          <w:sz w:val="28"/>
          <w:szCs w:val="28"/>
          <w:lang w:val="es-ES_tradnl"/>
        </w:rPr>
        <w:t xml:space="preserve"> también refieren a las comunidades locales</w:t>
      </w:r>
      <w:r w:rsidRPr="003F6DBE">
        <w:rPr>
          <w:rFonts w:ascii="Times New Roman" w:eastAsia="Times New Roman" w:hAnsi="Times New Roman" w:cs="Times New Roman"/>
          <w:sz w:val="28"/>
          <w:szCs w:val="28"/>
          <w:lang w:val="es-ES_tradnl"/>
        </w:rPr>
        <w:t xml:space="preserve"> y, por ello, una interpretación analógic</w:t>
      </w:r>
      <w:r w:rsidRPr="003F6DBE">
        <w:rPr>
          <w:rFonts w:ascii="Times New Roman" w:eastAsia="Times New Roman" w:hAnsi="Times New Roman" w:cs="Times New Roman"/>
          <w:sz w:val="28"/>
          <w:szCs w:val="28"/>
          <w:lang w:val="es-ES_tradnl"/>
        </w:rPr>
        <w:t xml:space="preserve">a permitiría subsanar el vacío existente. </w:t>
      </w:r>
    </w:p>
    <w:p w:rsidR="00692E86" w:rsidRPr="003F6DBE" w:rsidRDefault="003F6DBE" w:rsidP="00077D5A">
      <w:pPr>
        <w:spacing w:after="0" w:line="240" w:lineRule="auto"/>
        <w:ind w:right="49"/>
        <w:jc w:val="both"/>
        <w:rPr>
          <w:rFonts w:ascii="Times New Roman" w:eastAsia="Times New Roman" w:hAnsi="Times New Roman" w:cs="Times New Roman"/>
          <w:sz w:val="28"/>
          <w:szCs w:val="28"/>
          <w:lang w:val="es-ES_tradnl"/>
        </w:rPr>
      </w:pPr>
    </w:p>
    <w:p w:rsidR="00BE1765" w:rsidRPr="003F6DBE" w:rsidRDefault="003F6DBE" w:rsidP="00077D5A">
      <w:pPr>
        <w:pStyle w:val="Prrafodelista"/>
        <w:numPr>
          <w:ilvl w:val="0"/>
          <w:numId w:val="5"/>
        </w:numPr>
        <w:spacing w:after="0" w:line="240" w:lineRule="auto"/>
        <w:ind w:right="49"/>
        <w:jc w:val="both"/>
        <w:rPr>
          <w:rFonts w:ascii="Times New Roman" w:eastAsia="Times New Roman" w:hAnsi="Times New Roman" w:cs="Times New Roman"/>
          <w:b/>
          <w:bCs/>
          <w:sz w:val="28"/>
          <w:szCs w:val="28"/>
          <w:lang w:val="es-ES_tradnl"/>
        </w:rPr>
      </w:pPr>
      <w:r w:rsidRPr="003F6DBE">
        <w:rPr>
          <w:rFonts w:ascii="Times New Roman" w:hAnsi="Times New Roman" w:cs="Times New Roman"/>
          <w:b/>
          <w:bCs/>
          <w:sz w:val="28"/>
        </w:rPr>
        <w:t>Ministerio de Relaciones Exteriores</w:t>
      </w:r>
    </w:p>
    <w:p w:rsidR="00D74D36" w:rsidRPr="003F6DBE" w:rsidRDefault="003F6DBE" w:rsidP="00077D5A">
      <w:pPr>
        <w:spacing w:after="0" w:line="240" w:lineRule="auto"/>
        <w:ind w:right="49"/>
        <w:jc w:val="both"/>
        <w:rPr>
          <w:rFonts w:ascii="Times New Roman" w:eastAsia="Times New Roman" w:hAnsi="Times New Roman" w:cs="Times New Roman"/>
          <w:b/>
          <w:sz w:val="28"/>
          <w:szCs w:val="28"/>
          <w:lang w:val="es-ES_tradnl"/>
        </w:rPr>
      </w:pPr>
    </w:p>
    <w:p w:rsidR="00B20A0B" w:rsidRPr="003F6DBE" w:rsidRDefault="003F6DBE" w:rsidP="00077D5A">
      <w:pPr>
        <w:pStyle w:val="Prrafodelista"/>
        <w:numPr>
          <w:ilvl w:val="0"/>
          <w:numId w:val="2"/>
        </w:numPr>
        <w:spacing w:after="0" w:line="240" w:lineRule="auto"/>
        <w:ind w:left="0" w:right="49" w:firstLine="0"/>
        <w:jc w:val="both"/>
        <w:rPr>
          <w:rFonts w:ascii="Times New Roman" w:eastAsia="Times New Roman" w:hAnsi="Times New Roman" w:cs="Times New Roman"/>
          <w:sz w:val="28"/>
          <w:szCs w:val="28"/>
          <w:lang w:val="es-ES_tradnl"/>
        </w:rPr>
      </w:pPr>
      <w:r w:rsidRPr="003F6DBE">
        <w:rPr>
          <w:rFonts w:ascii="Times New Roman" w:eastAsia="Times New Roman" w:hAnsi="Times New Roman" w:cs="Times New Roman"/>
          <w:sz w:val="28"/>
          <w:szCs w:val="28"/>
          <w:lang w:val="es-ES_tradnl"/>
        </w:rPr>
        <w:t>E</w:t>
      </w:r>
      <w:r w:rsidRPr="003F6DBE">
        <w:rPr>
          <w:rFonts w:ascii="Times New Roman" w:eastAsia="Times New Roman" w:hAnsi="Times New Roman" w:cs="Times New Roman"/>
          <w:sz w:val="28"/>
          <w:szCs w:val="28"/>
          <w:lang w:val="es-ES_tradnl"/>
        </w:rPr>
        <w:t xml:space="preserve">l Ministerio de Relaciones Exteriores solicita declarar la exequibilidad condicionada de los apartes demandados, para que sus efectos se hagan extensivos a las demás comunidades, atendiendo el reconocimiento y </w:t>
      </w:r>
      <w:r w:rsidRPr="003F6DBE">
        <w:rPr>
          <w:rFonts w:ascii="Times New Roman" w:eastAsia="Times New Roman" w:hAnsi="Times New Roman" w:cs="Times New Roman"/>
          <w:sz w:val="28"/>
          <w:szCs w:val="28"/>
          <w:lang w:val="es-ES_tradnl"/>
        </w:rPr>
        <w:t xml:space="preserve">la </w:t>
      </w:r>
      <w:r w:rsidRPr="003F6DBE">
        <w:rPr>
          <w:rFonts w:ascii="Times New Roman" w:eastAsia="Times New Roman" w:hAnsi="Times New Roman" w:cs="Times New Roman"/>
          <w:sz w:val="28"/>
          <w:szCs w:val="28"/>
          <w:lang w:val="es-ES_tradnl"/>
        </w:rPr>
        <w:t>protección del enfoque multicultural que ha</w:t>
      </w:r>
      <w:r w:rsidRPr="003F6DBE">
        <w:rPr>
          <w:rFonts w:ascii="Times New Roman" w:eastAsia="Times New Roman" w:hAnsi="Times New Roman" w:cs="Times New Roman"/>
          <w:sz w:val="28"/>
          <w:szCs w:val="28"/>
          <w:lang w:val="es-ES_tradnl"/>
        </w:rPr>
        <w:t xml:space="preserve"> desarrollado </w:t>
      </w:r>
      <w:r w:rsidRPr="003F6DBE">
        <w:rPr>
          <w:rFonts w:ascii="Times New Roman" w:eastAsia="Times New Roman" w:hAnsi="Times New Roman" w:cs="Times New Roman"/>
          <w:sz w:val="28"/>
          <w:szCs w:val="28"/>
          <w:lang w:val="es-ES_tradnl"/>
        </w:rPr>
        <w:t xml:space="preserve">la Corte Constitucional. Con sustento en </w:t>
      </w:r>
      <w:r w:rsidRPr="003F6DBE">
        <w:rPr>
          <w:rFonts w:ascii="Times New Roman" w:eastAsia="Times New Roman" w:hAnsi="Times New Roman" w:cs="Times New Roman"/>
          <w:sz w:val="28"/>
          <w:szCs w:val="28"/>
          <w:lang w:val="es-ES_tradnl"/>
        </w:rPr>
        <w:t xml:space="preserve">la </w:t>
      </w:r>
      <w:r w:rsidRPr="003F6DBE">
        <w:rPr>
          <w:rFonts w:ascii="Times New Roman" w:eastAsia="Times New Roman" w:hAnsi="Times New Roman" w:cs="Times New Roman"/>
          <w:sz w:val="28"/>
          <w:szCs w:val="28"/>
          <w:lang w:val="es-ES_tradnl"/>
        </w:rPr>
        <w:t>s</w:t>
      </w:r>
      <w:r w:rsidRPr="003F6DBE">
        <w:rPr>
          <w:rFonts w:ascii="Times New Roman" w:eastAsia="Times New Roman" w:hAnsi="Times New Roman" w:cs="Times New Roman"/>
          <w:sz w:val="28"/>
          <w:szCs w:val="28"/>
          <w:lang w:val="es-ES_tradnl"/>
        </w:rPr>
        <w:t>entencia C-15</w:t>
      </w:r>
      <w:r w:rsidRPr="003F6DBE">
        <w:rPr>
          <w:rFonts w:ascii="Times New Roman" w:eastAsia="Times New Roman" w:hAnsi="Times New Roman" w:cs="Times New Roman"/>
          <w:sz w:val="28"/>
          <w:szCs w:val="28"/>
          <w:lang w:val="es-ES_tradnl"/>
        </w:rPr>
        <w:t>6</w:t>
      </w:r>
      <w:r w:rsidRPr="003F6DBE">
        <w:rPr>
          <w:rFonts w:ascii="Times New Roman" w:eastAsia="Times New Roman" w:hAnsi="Times New Roman" w:cs="Times New Roman"/>
          <w:sz w:val="28"/>
          <w:szCs w:val="28"/>
          <w:lang w:val="es-ES_tradnl"/>
        </w:rPr>
        <w:t xml:space="preserve"> de 2022</w:t>
      </w:r>
      <w:r w:rsidRPr="003F6DBE">
        <w:rPr>
          <w:rFonts w:ascii="Times New Roman" w:eastAsia="Times New Roman" w:hAnsi="Times New Roman" w:cs="Times New Roman"/>
          <w:sz w:val="28"/>
          <w:szCs w:val="28"/>
          <w:lang w:val="es-ES_tradnl"/>
        </w:rPr>
        <w:t xml:space="preserve">, explica que el cargo por omisión legislativa relativa </w:t>
      </w:r>
      <w:r w:rsidRPr="003F6DBE">
        <w:rPr>
          <w:rFonts w:ascii="Times New Roman" w:eastAsia="Times New Roman" w:hAnsi="Times New Roman" w:cs="Times New Roman"/>
          <w:sz w:val="28"/>
          <w:szCs w:val="28"/>
          <w:lang w:val="es-ES_tradnl"/>
        </w:rPr>
        <w:t>supone reconocer</w:t>
      </w:r>
      <w:r w:rsidRPr="003F6DBE">
        <w:rPr>
          <w:rFonts w:ascii="Times New Roman" w:eastAsia="Times New Roman" w:hAnsi="Times New Roman" w:cs="Times New Roman"/>
          <w:sz w:val="28"/>
          <w:szCs w:val="28"/>
          <w:lang w:val="es-ES_tradnl"/>
        </w:rPr>
        <w:t xml:space="preserve"> una exclusión contraria</w:t>
      </w:r>
      <w:r w:rsidRPr="003F6DBE">
        <w:rPr>
          <w:rFonts w:ascii="Times New Roman" w:eastAsia="Times New Roman" w:hAnsi="Times New Roman" w:cs="Times New Roman"/>
          <w:sz w:val="28"/>
          <w:szCs w:val="28"/>
          <w:lang w:val="es-ES_tradnl"/>
        </w:rPr>
        <w:t xml:space="preserve"> a la Constitución</w:t>
      </w:r>
      <w:r w:rsidRPr="003F6DBE">
        <w:rPr>
          <w:rFonts w:ascii="Times New Roman" w:eastAsia="Times New Roman" w:hAnsi="Times New Roman" w:cs="Times New Roman"/>
          <w:sz w:val="28"/>
          <w:szCs w:val="28"/>
          <w:lang w:val="es-ES_tradnl"/>
        </w:rPr>
        <w:t>. Así, en el caso de las disposiciones estudiadas se debe con</w:t>
      </w:r>
      <w:r w:rsidRPr="003F6DBE">
        <w:rPr>
          <w:rFonts w:ascii="Times New Roman" w:eastAsia="Times New Roman" w:hAnsi="Times New Roman" w:cs="Times New Roman"/>
          <w:sz w:val="28"/>
          <w:szCs w:val="28"/>
          <w:lang w:val="es-ES_tradnl"/>
        </w:rPr>
        <w:t xml:space="preserve">siderar que </w:t>
      </w:r>
      <w:r w:rsidRPr="003F6DBE">
        <w:rPr>
          <w:rFonts w:ascii="Times New Roman" w:eastAsia="Times New Roman" w:hAnsi="Times New Roman" w:cs="Times New Roman"/>
          <w:sz w:val="28"/>
          <w:szCs w:val="28"/>
          <w:lang w:val="es-ES_tradnl"/>
        </w:rPr>
        <w:t xml:space="preserve">el </w:t>
      </w:r>
      <w:r w:rsidRPr="003F6DBE">
        <w:rPr>
          <w:rFonts w:ascii="Times New Roman" w:eastAsia="Times New Roman" w:hAnsi="Times New Roman" w:cs="Times New Roman"/>
          <w:sz w:val="28"/>
          <w:szCs w:val="28"/>
          <w:lang w:val="es-ES_tradnl"/>
        </w:rPr>
        <w:t>E</w:t>
      </w:r>
      <w:r w:rsidRPr="003F6DBE">
        <w:rPr>
          <w:rFonts w:ascii="Times New Roman" w:eastAsia="Times New Roman" w:hAnsi="Times New Roman" w:cs="Times New Roman"/>
          <w:sz w:val="28"/>
          <w:szCs w:val="28"/>
          <w:lang w:val="es-ES_tradnl"/>
        </w:rPr>
        <w:t>stado colombiano es pluralista y que</w:t>
      </w:r>
      <w:r w:rsidRPr="003F6DBE">
        <w:rPr>
          <w:rFonts w:ascii="Times New Roman" w:eastAsia="Times New Roman" w:hAnsi="Times New Roman" w:cs="Times New Roman"/>
          <w:sz w:val="28"/>
          <w:szCs w:val="28"/>
          <w:lang w:val="es-ES_tradnl"/>
        </w:rPr>
        <w:t>,</w:t>
      </w:r>
      <w:r w:rsidRPr="003F6DBE">
        <w:rPr>
          <w:rFonts w:ascii="Times New Roman" w:eastAsia="Times New Roman" w:hAnsi="Times New Roman" w:cs="Times New Roman"/>
          <w:sz w:val="28"/>
          <w:szCs w:val="28"/>
          <w:lang w:val="es-ES_tradnl"/>
        </w:rPr>
        <w:t xml:space="preserve"> por mandato constitucional</w:t>
      </w:r>
      <w:r w:rsidRPr="003F6DBE">
        <w:rPr>
          <w:rFonts w:ascii="Times New Roman" w:eastAsia="Times New Roman" w:hAnsi="Times New Roman" w:cs="Times New Roman"/>
          <w:sz w:val="28"/>
          <w:szCs w:val="28"/>
          <w:lang w:val="es-ES_tradnl"/>
        </w:rPr>
        <w:t>,</w:t>
      </w:r>
      <w:r w:rsidRPr="003F6DBE">
        <w:rPr>
          <w:rFonts w:ascii="Times New Roman" w:eastAsia="Times New Roman" w:hAnsi="Times New Roman" w:cs="Times New Roman"/>
          <w:sz w:val="28"/>
          <w:szCs w:val="28"/>
          <w:lang w:val="es-ES_tradnl"/>
        </w:rPr>
        <w:t xml:space="preserve"> se reconoce la diversidad étnica y cultural de su población</w:t>
      </w:r>
      <w:r w:rsidRPr="003F6DBE">
        <w:rPr>
          <w:rFonts w:ascii="Times New Roman" w:eastAsia="Times New Roman" w:hAnsi="Times New Roman" w:cs="Times New Roman"/>
          <w:sz w:val="28"/>
          <w:szCs w:val="28"/>
          <w:lang w:val="es-ES_tradnl"/>
        </w:rPr>
        <w:t xml:space="preserve"> y </w:t>
      </w:r>
      <w:r w:rsidRPr="003F6DBE">
        <w:rPr>
          <w:rFonts w:ascii="Times New Roman" w:eastAsia="Times New Roman" w:hAnsi="Times New Roman" w:cs="Times New Roman"/>
          <w:sz w:val="28"/>
          <w:szCs w:val="28"/>
          <w:lang w:val="es-ES_tradnl"/>
        </w:rPr>
        <w:t xml:space="preserve">la autonomía de los pueblos indígenas en sus territorios </w:t>
      </w:r>
      <w:r w:rsidRPr="003F6DBE">
        <w:rPr>
          <w:rFonts w:ascii="Times New Roman" w:eastAsia="Times New Roman" w:hAnsi="Times New Roman" w:cs="Times New Roman"/>
          <w:sz w:val="28"/>
          <w:szCs w:val="28"/>
          <w:lang w:val="es-ES_tradnl"/>
        </w:rPr>
        <w:t>(</w:t>
      </w:r>
      <w:r w:rsidRPr="003F6DBE">
        <w:rPr>
          <w:rFonts w:ascii="Times New Roman" w:eastAsia="Times New Roman" w:hAnsi="Times New Roman" w:cs="Times New Roman"/>
          <w:sz w:val="28"/>
          <w:szCs w:val="28"/>
          <w:lang w:val="es-ES_tradnl"/>
        </w:rPr>
        <w:t xml:space="preserve">artículos 1, 7, 70 y 330 de la constitución Política </w:t>
      </w:r>
      <w:r w:rsidRPr="003F6DBE">
        <w:rPr>
          <w:rFonts w:ascii="Times New Roman" w:eastAsia="Times New Roman" w:hAnsi="Times New Roman" w:cs="Times New Roman"/>
          <w:sz w:val="28"/>
          <w:szCs w:val="28"/>
          <w:lang w:val="es-ES_tradnl"/>
        </w:rPr>
        <w:t>de Colombia)</w:t>
      </w:r>
      <w:r w:rsidRPr="003F6DBE">
        <w:rPr>
          <w:rFonts w:ascii="Times New Roman" w:eastAsia="Times New Roman" w:hAnsi="Times New Roman" w:cs="Times New Roman"/>
          <w:sz w:val="28"/>
          <w:szCs w:val="28"/>
          <w:lang w:val="es-ES_tradnl"/>
        </w:rPr>
        <w:t xml:space="preserve">. Sin embargo, </w:t>
      </w:r>
      <w:r w:rsidRPr="003F6DBE">
        <w:rPr>
          <w:rFonts w:ascii="Times New Roman" w:eastAsia="Times New Roman" w:hAnsi="Times New Roman" w:cs="Times New Roman"/>
          <w:sz w:val="28"/>
          <w:szCs w:val="28"/>
          <w:lang w:val="es-ES_tradnl"/>
        </w:rPr>
        <w:t>el Convenio 169 de la OIT, ratificado por Colombia,</w:t>
      </w:r>
      <w:r w:rsidRPr="003F6DBE">
        <w:rPr>
          <w:rFonts w:ascii="Times New Roman" w:eastAsia="Times New Roman" w:hAnsi="Times New Roman" w:cs="Times New Roman"/>
          <w:sz w:val="28"/>
          <w:szCs w:val="28"/>
          <w:lang w:val="es-ES_tradnl"/>
        </w:rPr>
        <w:t xml:space="preserve"> también reconoce</w:t>
      </w:r>
      <w:r w:rsidRPr="003F6DBE">
        <w:rPr>
          <w:rFonts w:ascii="Times New Roman" w:eastAsia="Times New Roman" w:hAnsi="Times New Roman" w:cs="Times New Roman"/>
          <w:sz w:val="28"/>
          <w:szCs w:val="28"/>
          <w:lang w:val="es-ES_tradnl"/>
        </w:rPr>
        <w:t xml:space="preserve"> los derechos de </w:t>
      </w:r>
      <w:r w:rsidRPr="003F6DBE">
        <w:rPr>
          <w:rFonts w:ascii="Times New Roman" w:eastAsia="Times New Roman" w:hAnsi="Times New Roman" w:cs="Times New Roman"/>
          <w:sz w:val="28"/>
          <w:szCs w:val="28"/>
          <w:lang w:val="es-ES_tradnl"/>
        </w:rPr>
        <w:t>los pueblos tribales cuyas condiciones permitan diferenciarlos del resto de la población y que estén regidos por costumbres o tradiciones propia</w:t>
      </w:r>
      <w:r w:rsidRPr="003F6DBE">
        <w:rPr>
          <w:rFonts w:ascii="Times New Roman" w:eastAsia="Times New Roman" w:hAnsi="Times New Roman" w:cs="Times New Roman"/>
          <w:sz w:val="28"/>
          <w:szCs w:val="28"/>
          <w:lang w:val="es-ES_tradnl"/>
        </w:rPr>
        <w:t>s (artículo 1</w:t>
      </w:r>
      <w:r w:rsidRPr="003F6DBE">
        <w:rPr>
          <w:rFonts w:ascii="Times New Roman" w:eastAsia="Times New Roman" w:hAnsi="Times New Roman" w:cs="Times New Roman"/>
          <w:sz w:val="28"/>
          <w:szCs w:val="28"/>
          <w:lang w:val="es-ES_tradnl"/>
        </w:rPr>
        <w:t xml:space="preserve">, literal a). En atención al contexto normativo descrito, las comunidades </w:t>
      </w:r>
      <w:r w:rsidRPr="003F6DBE">
        <w:rPr>
          <w:rFonts w:ascii="Times New Roman" w:eastAsia="Times New Roman" w:hAnsi="Times New Roman" w:cs="Times New Roman"/>
          <w:sz w:val="28"/>
          <w:szCs w:val="28"/>
          <w:lang w:val="es-ES_tradnl"/>
        </w:rPr>
        <w:t>negras, afrocolombianas, raizales y palenqueras</w:t>
      </w:r>
      <w:r w:rsidRPr="003F6DBE">
        <w:rPr>
          <w:rFonts w:ascii="Times New Roman" w:eastAsia="Times New Roman" w:hAnsi="Times New Roman" w:cs="Times New Roman"/>
          <w:sz w:val="28"/>
          <w:szCs w:val="28"/>
          <w:lang w:val="es-ES_tradnl"/>
        </w:rPr>
        <w:t xml:space="preserve"> se encuentran incluidas en las disposiciones demandadas, pero no era posible que el legislador así lo contemplara para el</w:t>
      </w:r>
      <w:r w:rsidRPr="003F6DBE">
        <w:rPr>
          <w:rFonts w:ascii="Times New Roman" w:eastAsia="Times New Roman" w:hAnsi="Times New Roman" w:cs="Times New Roman"/>
          <w:sz w:val="28"/>
          <w:szCs w:val="28"/>
          <w:lang w:val="es-ES_tradnl"/>
        </w:rPr>
        <w:t xml:space="preserve"> momento de la expedición de dicha normatividad por cuenta de que la protección de la diversidad étnica y cultural se ha dado de manera paulatina por la jurisprudencia constitucional</w:t>
      </w:r>
      <w:r w:rsidRPr="003F6DBE">
        <w:rPr>
          <w:rStyle w:val="Refdenotaalpie"/>
          <w:rFonts w:ascii="Times New Roman" w:eastAsia="Times New Roman" w:hAnsi="Times New Roman"/>
          <w:sz w:val="28"/>
          <w:szCs w:val="28"/>
          <w:lang w:val="es-ES_tradnl"/>
        </w:rPr>
        <w:footnoteReference w:id="19"/>
      </w:r>
      <w:r w:rsidRPr="003F6DBE">
        <w:rPr>
          <w:rFonts w:ascii="Times New Roman" w:eastAsia="Times New Roman" w:hAnsi="Times New Roman" w:cs="Times New Roman"/>
          <w:sz w:val="28"/>
          <w:szCs w:val="28"/>
          <w:lang w:val="es-ES_tradnl"/>
        </w:rPr>
        <w:t>.</w:t>
      </w:r>
    </w:p>
    <w:p w:rsidR="002244A8" w:rsidRPr="003F6DBE" w:rsidRDefault="003F6DBE" w:rsidP="00077D5A">
      <w:pPr>
        <w:spacing w:after="0" w:line="240" w:lineRule="auto"/>
        <w:ind w:right="49"/>
        <w:jc w:val="both"/>
        <w:rPr>
          <w:rFonts w:ascii="Times New Roman" w:eastAsia="Times New Roman" w:hAnsi="Times New Roman" w:cs="Times New Roman"/>
          <w:sz w:val="28"/>
          <w:szCs w:val="28"/>
          <w:lang w:val="es-ES_tradnl"/>
        </w:rPr>
      </w:pPr>
    </w:p>
    <w:p w:rsidR="005E4976" w:rsidRPr="003F6DBE" w:rsidRDefault="003F6DBE" w:rsidP="00DE38C0">
      <w:pPr>
        <w:pStyle w:val="Prrafodelista"/>
        <w:numPr>
          <w:ilvl w:val="0"/>
          <w:numId w:val="5"/>
        </w:numPr>
        <w:spacing w:after="0" w:line="240" w:lineRule="auto"/>
        <w:ind w:right="191"/>
        <w:jc w:val="both"/>
        <w:rPr>
          <w:rFonts w:ascii="Times New Roman" w:eastAsia="Times New Roman" w:hAnsi="Times New Roman" w:cs="Times New Roman"/>
          <w:b/>
          <w:sz w:val="28"/>
          <w:szCs w:val="28"/>
          <w:lang w:val="es-ES_tradnl"/>
        </w:rPr>
      </w:pPr>
      <w:r w:rsidRPr="003F6DBE">
        <w:rPr>
          <w:rFonts w:ascii="Times New Roman" w:eastAsia="Times New Roman" w:hAnsi="Times New Roman" w:cs="Times New Roman"/>
          <w:b/>
          <w:sz w:val="28"/>
          <w:szCs w:val="28"/>
          <w:lang w:val="es-ES_tradnl"/>
        </w:rPr>
        <w:t>Departamento Nacional de Estadística –DANE-</w:t>
      </w:r>
    </w:p>
    <w:p w:rsidR="00B72657" w:rsidRPr="003F6DBE" w:rsidRDefault="003F6DBE" w:rsidP="00DE38C0">
      <w:pPr>
        <w:spacing w:after="0" w:line="240" w:lineRule="auto"/>
        <w:ind w:right="191"/>
        <w:jc w:val="both"/>
        <w:rPr>
          <w:rFonts w:ascii="Times New Roman" w:eastAsia="Times New Roman" w:hAnsi="Times New Roman" w:cs="Times New Roman"/>
          <w:sz w:val="28"/>
          <w:szCs w:val="28"/>
          <w:lang w:val="es-ES_tradnl"/>
        </w:rPr>
      </w:pPr>
    </w:p>
    <w:p w:rsidR="004A5708" w:rsidRPr="003F6DBE" w:rsidRDefault="003F6DBE" w:rsidP="00DE38C0">
      <w:pPr>
        <w:pStyle w:val="Prrafodelista"/>
        <w:numPr>
          <w:ilvl w:val="0"/>
          <w:numId w:val="2"/>
        </w:numPr>
        <w:spacing w:after="0" w:line="240" w:lineRule="auto"/>
        <w:ind w:left="0" w:right="191" w:firstLine="0"/>
        <w:jc w:val="both"/>
        <w:rPr>
          <w:rFonts w:ascii="Times New Roman" w:eastAsia="Times New Roman" w:hAnsi="Times New Roman" w:cs="Times New Roman"/>
          <w:sz w:val="28"/>
          <w:szCs w:val="28"/>
          <w:lang w:val="es-ES_tradnl"/>
        </w:rPr>
      </w:pPr>
      <w:r w:rsidRPr="003F6DBE">
        <w:rPr>
          <w:rFonts w:ascii="Times New Roman" w:eastAsia="Times New Roman" w:hAnsi="Times New Roman" w:cs="Times New Roman"/>
          <w:sz w:val="28"/>
          <w:szCs w:val="28"/>
          <w:lang w:val="es-ES_tradnl"/>
        </w:rPr>
        <w:t xml:space="preserve">El Director Técnico de Censos y Demografía </w:t>
      </w:r>
      <w:r w:rsidRPr="003F6DBE">
        <w:rPr>
          <w:rFonts w:ascii="Times New Roman" w:eastAsia="Times New Roman" w:hAnsi="Times New Roman" w:cs="Times New Roman"/>
          <w:sz w:val="28"/>
          <w:szCs w:val="28"/>
          <w:lang w:val="es-ES_tradnl"/>
        </w:rPr>
        <w:t>del Departamento Administrativo Nacional de Estadística –DANE- considera que los apartes censurados deben ser objeto de revisión para garantizar que las comunidades negras, afrocolombianas, raizales y palenqueras</w:t>
      </w:r>
      <w:r w:rsidRPr="003F6DBE">
        <w:rPr>
          <w:rFonts w:ascii="Times New Roman" w:eastAsia="Times New Roman" w:hAnsi="Times New Roman" w:cs="Times New Roman"/>
          <w:sz w:val="28"/>
          <w:szCs w:val="28"/>
          <w:lang w:val="es-ES_tradnl"/>
        </w:rPr>
        <w:t xml:space="preserve"> </w:t>
      </w:r>
      <w:r w:rsidRPr="003F6DBE">
        <w:rPr>
          <w:rFonts w:ascii="Times New Roman" w:eastAsia="Times New Roman" w:hAnsi="Times New Roman" w:cs="Times New Roman"/>
          <w:sz w:val="28"/>
          <w:szCs w:val="28"/>
          <w:lang w:val="es-ES_tradnl"/>
        </w:rPr>
        <w:t>gocen de la misma protección que se otorga a la población indígena</w:t>
      </w:r>
      <w:r w:rsidRPr="003F6DBE">
        <w:rPr>
          <w:rFonts w:ascii="Times New Roman" w:eastAsia="Times New Roman" w:hAnsi="Times New Roman" w:cs="Times New Roman"/>
          <w:sz w:val="28"/>
          <w:szCs w:val="28"/>
          <w:lang w:val="es-ES_tradnl"/>
        </w:rPr>
        <w:t>. Este</w:t>
      </w:r>
      <w:r w:rsidRPr="003F6DBE">
        <w:rPr>
          <w:rFonts w:ascii="Times New Roman" w:eastAsia="Times New Roman" w:hAnsi="Times New Roman" w:cs="Times New Roman"/>
          <w:sz w:val="28"/>
          <w:szCs w:val="28"/>
          <w:lang w:val="es-ES_tradnl"/>
        </w:rPr>
        <w:t xml:space="preserve"> ajuste resulta esencial para asegurar la coherencia del derecho a la igualdad y a la no discriminación, como compromiso del </w:t>
      </w:r>
      <w:r w:rsidRPr="003F6DBE">
        <w:rPr>
          <w:rFonts w:ascii="Times New Roman" w:eastAsia="Times New Roman" w:hAnsi="Times New Roman" w:cs="Times New Roman"/>
          <w:sz w:val="28"/>
          <w:szCs w:val="28"/>
          <w:lang w:val="es-ES_tradnl"/>
        </w:rPr>
        <w:t>E</w:t>
      </w:r>
      <w:r w:rsidRPr="003F6DBE">
        <w:rPr>
          <w:rFonts w:ascii="Times New Roman" w:eastAsia="Times New Roman" w:hAnsi="Times New Roman" w:cs="Times New Roman"/>
          <w:sz w:val="28"/>
          <w:szCs w:val="28"/>
          <w:lang w:val="es-ES_tradnl"/>
        </w:rPr>
        <w:t>stado colombiano.</w:t>
      </w:r>
    </w:p>
    <w:p w:rsidR="00DD560E" w:rsidRPr="003F6DBE" w:rsidRDefault="003F6DBE" w:rsidP="00DE38C0">
      <w:pPr>
        <w:spacing w:after="0" w:line="240" w:lineRule="auto"/>
        <w:ind w:right="191"/>
        <w:jc w:val="both"/>
        <w:rPr>
          <w:rFonts w:ascii="Times New Roman" w:eastAsia="Times New Roman" w:hAnsi="Times New Roman" w:cs="Times New Roman"/>
          <w:sz w:val="28"/>
          <w:szCs w:val="28"/>
          <w:lang w:val="es-ES_tradnl"/>
        </w:rPr>
      </w:pPr>
    </w:p>
    <w:p w:rsidR="00DD560E" w:rsidRPr="003F6DBE" w:rsidRDefault="003F6DBE" w:rsidP="00DE38C0">
      <w:pPr>
        <w:pStyle w:val="Prrafodelista"/>
        <w:numPr>
          <w:ilvl w:val="0"/>
          <w:numId w:val="2"/>
        </w:numPr>
        <w:spacing w:after="0" w:line="240" w:lineRule="auto"/>
        <w:ind w:left="0" w:right="191" w:firstLine="0"/>
        <w:jc w:val="both"/>
        <w:rPr>
          <w:rFonts w:ascii="Times New Roman" w:eastAsia="Times New Roman" w:hAnsi="Times New Roman" w:cs="Times New Roman"/>
          <w:sz w:val="28"/>
          <w:szCs w:val="28"/>
          <w:lang w:val="es-ES_tradnl"/>
        </w:rPr>
      </w:pPr>
      <w:r w:rsidRPr="003F6DBE">
        <w:rPr>
          <w:rFonts w:ascii="Times New Roman" w:eastAsia="Times New Roman" w:hAnsi="Times New Roman" w:cs="Times New Roman"/>
          <w:sz w:val="28"/>
          <w:szCs w:val="28"/>
          <w:lang w:val="es-ES_tradnl"/>
        </w:rPr>
        <w:t xml:space="preserve">Para justificar su posición, advierte que el </w:t>
      </w:r>
      <w:r w:rsidRPr="003F6DBE">
        <w:rPr>
          <w:rFonts w:ascii="Times New Roman" w:eastAsia="Times New Roman" w:hAnsi="Times New Roman" w:cs="Times New Roman"/>
          <w:sz w:val="28"/>
          <w:szCs w:val="28"/>
          <w:lang w:val="es-ES_tradnl"/>
        </w:rPr>
        <w:t>reconocimiento de la diversidad étnica</w:t>
      </w:r>
      <w:r w:rsidRPr="003F6DBE">
        <w:rPr>
          <w:rFonts w:ascii="Times New Roman" w:eastAsia="Times New Roman" w:hAnsi="Times New Roman" w:cs="Times New Roman"/>
          <w:sz w:val="28"/>
          <w:szCs w:val="28"/>
          <w:lang w:val="es-ES_tradnl"/>
        </w:rPr>
        <w:t xml:space="preserve"> y cultural es un pilar de identificación de la nación y de la democracia colombiana, la cual garantiza la diferencia y reconoce la diversidad, aunque no sea la cultura domi</w:t>
      </w:r>
      <w:r w:rsidRPr="003F6DBE">
        <w:rPr>
          <w:rFonts w:ascii="Times New Roman" w:eastAsia="Times New Roman" w:hAnsi="Times New Roman" w:cs="Times New Roman"/>
          <w:sz w:val="28"/>
          <w:szCs w:val="28"/>
          <w:lang w:val="es-ES_tradnl"/>
        </w:rPr>
        <w:t>nante. Así, la inclusión no sólo constituye un avance normativo, sino que, también, implica que se supera la histórica tendencia de homogenizar la sociedad reconociendo la riqueza de la diversidad:</w:t>
      </w:r>
    </w:p>
    <w:p w:rsidR="00DD560E" w:rsidRPr="003F6DBE" w:rsidRDefault="003F6DBE" w:rsidP="00DE38C0">
      <w:pPr>
        <w:spacing w:after="0" w:line="240" w:lineRule="auto"/>
        <w:ind w:right="191"/>
        <w:jc w:val="both"/>
        <w:rPr>
          <w:rFonts w:ascii="Times New Roman" w:eastAsia="Times New Roman" w:hAnsi="Times New Roman" w:cs="Times New Roman"/>
          <w:sz w:val="28"/>
          <w:szCs w:val="28"/>
          <w:lang w:val="es-ES_tradnl"/>
        </w:rPr>
      </w:pPr>
    </w:p>
    <w:p w:rsidR="00DD560E" w:rsidRPr="003F6DBE" w:rsidRDefault="003F6DBE" w:rsidP="00077D5A">
      <w:pPr>
        <w:spacing w:after="0" w:line="240" w:lineRule="auto"/>
        <w:ind w:left="567" w:right="567"/>
        <w:jc w:val="both"/>
        <w:rPr>
          <w:rFonts w:ascii="Times New Roman" w:hAnsi="Times New Roman" w:cs="Times New Roman"/>
          <w:sz w:val="28"/>
          <w:szCs w:val="24"/>
        </w:rPr>
      </w:pPr>
      <w:r w:rsidRPr="003F6DBE">
        <w:rPr>
          <w:rFonts w:ascii="Times New Roman" w:eastAsia="Times New Roman" w:hAnsi="Times New Roman" w:cs="Times New Roman"/>
          <w:sz w:val="28"/>
          <w:szCs w:val="24"/>
          <w:lang w:val="es-ES_tradnl"/>
        </w:rPr>
        <w:t>“</w:t>
      </w:r>
      <w:r w:rsidRPr="003F6DBE">
        <w:rPr>
          <w:rFonts w:ascii="Times New Roman" w:hAnsi="Times New Roman" w:cs="Times New Roman"/>
          <w:sz w:val="28"/>
          <w:szCs w:val="24"/>
        </w:rPr>
        <w:t>Esta reconfiguración del papel del Estado implica el rec</w:t>
      </w:r>
      <w:r w:rsidRPr="003F6DBE">
        <w:rPr>
          <w:rFonts w:ascii="Times New Roman" w:hAnsi="Times New Roman" w:cs="Times New Roman"/>
          <w:sz w:val="28"/>
          <w:szCs w:val="24"/>
        </w:rPr>
        <w:t xml:space="preserve">onocimiento de la pluralidad como un activo fundamental para la construcción de una identidad nacional robusta y auténtica. Al celebrar la diversidad, se establece un marco que promueve la participación significativa de todas las comunidades étnicas en el </w:t>
      </w:r>
      <w:r w:rsidRPr="003F6DBE">
        <w:rPr>
          <w:rFonts w:ascii="Times New Roman" w:hAnsi="Times New Roman" w:cs="Times New Roman"/>
          <w:sz w:val="28"/>
          <w:szCs w:val="24"/>
        </w:rPr>
        <w:t xml:space="preserve">desarrollo cultural, social y político del país. De esta manera, se erige como una herramienta legal que no solo protege los derechos fundamentales de todas las minorías étnicas, sino que también impulsa un cambio cultural más amplio hacia la aceptación y </w:t>
      </w:r>
      <w:r w:rsidRPr="003F6DBE">
        <w:rPr>
          <w:rFonts w:ascii="Times New Roman" w:hAnsi="Times New Roman" w:cs="Times New Roman"/>
          <w:sz w:val="28"/>
          <w:szCs w:val="24"/>
        </w:rPr>
        <w:t>aprecio de la diversidad como un pilar fundamental de la identidad colombiana”.</w:t>
      </w:r>
    </w:p>
    <w:p w:rsidR="00DD62C8" w:rsidRPr="003F6DBE" w:rsidRDefault="003F6DBE" w:rsidP="00DE38C0">
      <w:pPr>
        <w:spacing w:after="0" w:line="240" w:lineRule="auto"/>
        <w:ind w:right="191"/>
        <w:jc w:val="both"/>
        <w:rPr>
          <w:rFonts w:ascii="Times New Roman" w:hAnsi="Times New Roman" w:cs="Times New Roman"/>
          <w:sz w:val="28"/>
          <w:szCs w:val="24"/>
        </w:rPr>
      </w:pPr>
    </w:p>
    <w:p w:rsidR="003F5968" w:rsidRPr="003F6DBE" w:rsidRDefault="003F6DBE" w:rsidP="00DE38C0">
      <w:pPr>
        <w:pStyle w:val="Prrafodelista"/>
        <w:numPr>
          <w:ilvl w:val="0"/>
          <w:numId w:val="2"/>
        </w:numPr>
        <w:spacing w:after="0" w:line="240" w:lineRule="auto"/>
        <w:ind w:left="0" w:right="191" w:firstLine="0"/>
        <w:jc w:val="both"/>
        <w:rPr>
          <w:rFonts w:ascii="Times New Roman" w:eastAsia="Times New Roman" w:hAnsi="Times New Roman" w:cs="Times New Roman"/>
          <w:sz w:val="28"/>
          <w:szCs w:val="28"/>
          <w:lang w:val="es-ES_tradnl"/>
        </w:rPr>
      </w:pPr>
      <w:r w:rsidRPr="003F6DBE">
        <w:rPr>
          <w:rFonts w:ascii="Times New Roman" w:hAnsi="Times New Roman" w:cs="Times New Roman"/>
          <w:sz w:val="28"/>
          <w:szCs w:val="28"/>
        </w:rPr>
        <w:t xml:space="preserve">De conformidad con el derecho internacional, los Estados deben garantizar los derechos de los pueblos étnicos lo cual no se restringe a las comunidades indígenas, como así lo </w:t>
      </w:r>
      <w:r w:rsidRPr="003F6DBE">
        <w:rPr>
          <w:rFonts w:ascii="Times New Roman" w:hAnsi="Times New Roman" w:cs="Times New Roman"/>
          <w:sz w:val="28"/>
          <w:szCs w:val="28"/>
        </w:rPr>
        <w:t>dispone el literal a) del artículo 1 del Convenio 169 de la OIT. Al seguir dicha aproximación, esta entidad tuvo que formular una pregunta más general sobre la pertenencia a comunidades étnicas con fundamento en el autorreconocimiento</w:t>
      </w:r>
      <w:r w:rsidRPr="003F6DBE">
        <w:rPr>
          <w:rFonts w:ascii="Times New Roman" w:hAnsi="Times New Roman" w:cs="Times New Roman"/>
          <w:sz w:val="28"/>
          <w:szCs w:val="28"/>
        </w:rPr>
        <w:t xml:space="preserve"> para</w:t>
      </w:r>
      <w:r w:rsidRPr="003F6DBE">
        <w:rPr>
          <w:rFonts w:ascii="Times New Roman" w:eastAsia="Times New Roman" w:hAnsi="Times New Roman" w:cs="Times New Roman"/>
          <w:sz w:val="28"/>
          <w:szCs w:val="28"/>
        </w:rPr>
        <w:t xml:space="preserve"> </w:t>
      </w:r>
      <w:r w:rsidRPr="003F6DBE">
        <w:rPr>
          <w:rFonts w:ascii="Times New Roman" w:eastAsia="Times New Roman" w:hAnsi="Times New Roman" w:cs="Times New Roman"/>
          <w:sz w:val="28"/>
          <w:szCs w:val="28"/>
          <w:lang w:val="es-ES_tradnl"/>
        </w:rPr>
        <w:t xml:space="preserve">sus operaciones </w:t>
      </w:r>
      <w:r w:rsidRPr="003F6DBE">
        <w:rPr>
          <w:rFonts w:ascii="Times New Roman" w:eastAsia="Times New Roman" w:hAnsi="Times New Roman" w:cs="Times New Roman"/>
          <w:sz w:val="28"/>
          <w:szCs w:val="28"/>
          <w:lang w:val="es-ES_tradnl"/>
        </w:rPr>
        <w:t xml:space="preserve">censales a efectos de estar en capacidad de identificar </w:t>
      </w:r>
      <w:r w:rsidRPr="003F6DBE">
        <w:rPr>
          <w:rFonts w:ascii="Times New Roman" w:eastAsia="Times New Roman" w:hAnsi="Times New Roman" w:cs="Times New Roman"/>
          <w:sz w:val="28"/>
          <w:szCs w:val="28"/>
          <w:lang w:val="es-ES_tradnl"/>
        </w:rPr>
        <w:t>la integridad de ellas</w:t>
      </w:r>
      <w:r w:rsidRPr="003F6DBE">
        <w:rPr>
          <w:rStyle w:val="Refdenotaalpie"/>
          <w:rFonts w:ascii="Times New Roman" w:eastAsia="Times New Roman" w:hAnsi="Times New Roman"/>
          <w:sz w:val="28"/>
          <w:szCs w:val="28"/>
          <w:lang w:val="es-ES_tradnl"/>
        </w:rPr>
        <w:footnoteReference w:id="20"/>
      </w:r>
      <w:r w:rsidRPr="003F6DBE">
        <w:rPr>
          <w:rFonts w:ascii="Times New Roman" w:eastAsia="Times New Roman" w:hAnsi="Times New Roman" w:cs="Times New Roman"/>
          <w:sz w:val="28"/>
          <w:szCs w:val="28"/>
          <w:lang w:val="es-ES_tradnl"/>
        </w:rPr>
        <w:t>.</w:t>
      </w:r>
    </w:p>
    <w:p w:rsidR="003F5968" w:rsidRPr="003F6DBE" w:rsidRDefault="003F6DBE" w:rsidP="00DE38C0">
      <w:pPr>
        <w:pStyle w:val="Prrafodelista"/>
        <w:numPr>
          <w:ilvl w:val="0"/>
          <w:numId w:val="5"/>
        </w:numPr>
        <w:spacing w:after="0" w:line="240" w:lineRule="auto"/>
        <w:ind w:right="191"/>
        <w:jc w:val="both"/>
        <w:rPr>
          <w:rFonts w:ascii="Times New Roman" w:eastAsia="Times New Roman" w:hAnsi="Times New Roman" w:cs="Times New Roman"/>
          <w:b/>
          <w:sz w:val="28"/>
          <w:szCs w:val="28"/>
          <w:lang w:val="es-ES_tradnl"/>
        </w:rPr>
      </w:pPr>
      <w:r w:rsidRPr="003F6DBE">
        <w:rPr>
          <w:rFonts w:ascii="Times New Roman" w:eastAsia="Times New Roman" w:hAnsi="Times New Roman" w:cs="Times New Roman"/>
          <w:b/>
          <w:sz w:val="28"/>
          <w:szCs w:val="28"/>
          <w:lang w:val="es-ES_tradnl"/>
        </w:rPr>
        <w:t>Contraloría General de la República</w:t>
      </w:r>
    </w:p>
    <w:p w:rsidR="001D5079" w:rsidRPr="003F6DBE" w:rsidRDefault="003F6DBE" w:rsidP="00DE38C0">
      <w:pPr>
        <w:spacing w:after="0" w:line="240" w:lineRule="auto"/>
        <w:ind w:right="191"/>
        <w:jc w:val="both"/>
        <w:rPr>
          <w:rFonts w:ascii="Times New Roman" w:eastAsia="Times New Roman" w:hAnsi="Times New Roman" w:cs="Times New Roman"/>
          <w:sz w:val="28"/>
          <w:szCs w:val="28"/>
          <w:lang w:val="es-ES_tradnl"/>
        </w:rPr>
      </w:pPr>
    </w:p>
    <w:p w:rsidR="003F5968" w:rsidRPr="003F6DBE" w:rsidRDefault="003F6DBE" w:rsidP="00890D82">
      <w:pPr>
        <w:pStyle w:val="Prrafodelista"/>
        <w:numPr>
          <w:ilvl w:val="0"/>
          <w:numId w:val="2"/>
        </w:numPr>
        <w:spacing w:after="0" w:line="240" w:lineRule="auto"/>
        <w:ind w:left="0" w:right="49" w:firstLine="0"/>
        <w:jc w:val="both"/>
        <w:rPr>
          <w:rFonts w:ascii="Times New Roman" w:eastAsia="Times New Roman" w:hAnsi="Times New Roman" w:cs="Times New Roman"/>
          <w:sz w:val="28"/>
          <w:szCs w:val="28"/>
          <w:lang w:val="es-ES_tradnl"/>
        </w:rPr>
      </w:pPr>
      <w:r w:rsidRPr="003F6DBE">
        <w:rPr>
          <w:rFonts w:ascii="Times New Roman" w:eastAsia="Times New Roman" w:hAnsi="Times New Roman" w:cs="Times New Roman"/>
          <w:sz w:val="28"/>
          <w:szCs w:val="28"/>
          <w:lang w:val="es-ES_tradnl"/>
        </w:rPr>
        <w:t xml:space="preserve">Mediante apoderado, la Contraloría General de la República </w:t>
      </w:r>
      <w:r w:rsidRPr="003F6DBE">
        <w:rPr>
          <w:rFonts w:ascii="Times New Roman" w:eastAsia="Times New Roman" w:hAnsi="Times New Roman" w:cs="Times New Roman"/>
          <w:sz w:val="28"/>
          <w:szCs w:val="28"/>
          <w:lang w:val="es-ES_tradnl"/>
        </w:rPr>
        <w:t>solicita declarar la constitucionalidad condicionada de los apartes normativo</w:t>
      </w:r>
      <w:r w:rsidRPr="003F6DBE">
        <w:rPr>
          <w:rFonts w:ascii="Times New Roman" w:eastAsia="Times New Roman" w:hAnsi="Times New Roman" w:cs="Times New Roman"/>
          <w:sz w:val="28"/>
          <w:szCs w:val="28"/>
          <w:lang w:val="es-ES_tradnl"/>
        </w:rPr>
        <w:t xml:space="preserve">s </w:t>
      </w:r>
      <w:r w:rsidRPr="003F6DBE">
        <w:rPr>
          <w:rFonts w:ascii="Times New Roman" w:eastAsia="Times New Roman" w:hAnsi="Times New Roman" w:cs="Times New Roman"/>
          <w:sz w:val="28"/>
          <w:szCs w:val="28"/>
          <w:lang w:val="es-ES_tradnl"/>
        </w:rPr>
        <w:t>censurados en la demanda, al constatar que los mismos omiten postulados de la Constitución Política de Colombia.</w:t>
      </w:r>
    </w:p>
    <w:p w:rsidR="003F5968" w:rsidRPr="003F6DBE" w:rsidRDefault="003F6DBE" w:rsidP="00890D82">
      <w:pPr>
        <w:spacing w:after="0" w:line="240" w:lineRule="auto"/>
        <w:ind w:right="49"/>
        <w:jc w:val="both"/>
        <w:rPr>
          <w:rFonts w:ascii="Times New Roman" w:eastAsia="Times New Roman" w:hAnsi="Times New Roman" w:cs="Times New Roman"/>
          <w:sz w:val="28"/>
          <w:szCs w:val="28"/>
          <w:lang w:val="es-ES_tradnl"/>
        </w:rPr>
      </w:pPr>
    </w:p>
    <w:p w:rsidR="003B20AB" w:rsidRPr="003F6DBE" w:rsidRDefault="003F6DBE" w:rsidP="00890D82">
      <w:pPr>
        <w:pStyle w:val="Prrafodelista"/>
        <w:numPr>
          <w:ilvl w:val="0"/>
          <w:numId w:val="2"/>
        </w:numPr>
        <w:spacing w:after="0" w:line="240" w:lineRule="auto"/>
        <w:ind w:left="0" w:right="49" w:firstLine="0"/>
        <w:jc w:val="both"/>
        <w:rPr>
          <w:rFonts w:ascii="Times New Roman" w:hAnsi="Times New Roman" w:cs="Times New Roman"/>
          <w:sz w:val="28"/>
        </w:rPr>
      </w:pPr>
      <w:r w:rsidRPr="003F6DBE">
        <w:rPr>
          <w:rFonts w:ascii="Times New Roman" w:eastAsia="Times New Roman" w:hAnsi="Times New Roman" w:cs="Times New Roman"/>
          <w:sz w:val="28"/>
          <w:szCs w:val="28"/>
          <w:lang w:val="es-ES_tradnl"/>
        </w:rPr>
        <w:t xml:space="preserve">En primer lugar, esto encuentra sustento </w:t>
      </w:r>
      <w:r w:rsidRPr="003F6DBE">
        <w:rPr>
          <w:rFonts w:ascii="Times New Roman" w:eastAsia="Times New Roman" w:hAnsi="Times New Roman" w:cs="Times New Roman"/>
          <w:sz w:val="28"/>
          <w:szCs w:val="28"/>
          <w:lang w:val="es-ES_tradnl"/>
        </w:rPr>
        <w:t>e</w:t>
      </w:r>
      <w:r w:rsidRPr="003F6DBE">
        <w:rPr>
          <w:rFonts w:ascii="Times New Roman" w:eastAsia="Times New Roman" w:hAnsi="Times New Roman" w:cs="Times New Roman"/>
          <w:sz w:val="28"/>
          <w:szCs w:val="28"/>
          <w:lang w:val="es-ES_tradnl"/>
        </w:rPr>
        <w:t>l estado de cosas inconstitucional</w:t>
      </w:r>
      <w:r w:rsidRPr="003F6DBE">
        <w:rPr>
          <w:rFonts w:ascii="Times New Roman" w:eastAsia="Times New Roman" w:hAnsi="Times New Roman" w:cs="Times New Roman"/>
          <w:sz w:val="28"/>
          <w:szCs w:val="28"/>
          <w:lang w:val="es-ES_tradnl"/>
        </w:rPr>
        <w:t>es</w:t>
      </w:r>
      <w:r w:rsidRPr="003F6DBE">
        <w:rPr>
          <w:rFonts w:ascii="Times New Roman" w:eastAsia="Times New Roman" w:hAnsi="Times New Roman" w:cs="Times New Roman"/>
          <w:sz w:val="28"/>
          <w:szCs w:val="28"/>
          <w:lang w:val="es-ES_tradnl"/>
        </w:rPr>
        <w:t xml:space="preserve"> declarado mediante </w:t>
      </w:r>
      <w:r w:rsidRPr="003F6DBE">
        <w:rPr>
          <w:rFonts w:ascii="Times New Roman" w:eastAsia="Times New Roman" w:hAnsi="Times New Roman" w:cs="Times New Roman"/>
          <w:sz w:val="28"/>
          <w:szCs w:val="28"/>
          <w:lang w:val="es-ES_tradnl"/>
        </w:rPr>
        <w:t>la s</w:t>
      </w:r>
      <w:r w:rsidRPr="003F6DBE">
        <w:rPr>
          <w:rFonts w:ascii="Times New Roman" w:eastAsia="Times New Roman" w:hAnsi="Times New Roman" w:cs="Times New Roman"/>
          <w:sz w:val="28"/>
          <w:szCs w:val="28"/>
          <w:lang w:val="es-ES_tradnl"/>
        </w:rPr>
        <w:t>entencia T</w:t>
      </w:r>
      <w:r w:rsidRPr="003F6DBE">
        <w:rPr>
          <w:rFonts w:ascii="Times New Roman" w:eastAsia="Times New Roman" w:hAnsi="Times New Roman" w:cs="Times New Roman"/>
          <w:sz w:val="28"/>
          <w:szCs w:val="28"/>
          <w:lang w:val="es-ES_tradnl"/>
        </w:rPr>
        <w:t>-</w:t>
      </w:r>
      <w:r w:rsidRPr="003F6DBE">
        <w:rPr>
          <w:rFonts w:ascii="Times New Roman" w:eastAsia="Times New Roman" w:hAnsi="Times New Roman" w:cs="Times New Roman"/>
          <w:sz w:val="28"/>
          <w:szCs w:val="28"/>
          <w:lang w:val="es-ES_tradnl"/>
        </w:rPr>
        <w:t>025 de 2004 y su auto de segu</w:t>
      </w:r>
      <w:r w:rsidRPr="003F6DBE">
        <w:rPr>
          <w:rFonts w:ascii="Times New Roman" w:eastAsia="Times New Roman" w:hAnsi="Times New Roman" w:cs="Times New Roman"/>
          <w:sz w:val="28"/>
          <w:szCs w:val="28"/>
          <w:lang w:val="es-ES_tradnl"/>
        </w:rPr>
        <w:t xml:space="preserve">imiento 005 de 2009, donde se reconocieron los derechos de las comunidades negras, afrocolombianas, raizales y palenqueras a recibir atención prioritaria del </w:t>
      </w:r>
      <w:r w:rsidRPr="003F6DBE">
        <w:rPr>
          <w:rFonts w:ascii="Times New Roman" w:eastAsia="Times New Roman" w:hAnsi="Times New Roman" w:cs="Times New Roman"/>
          <w:sz w:val="28"/>
          <w:szCs w:val="28"/>
          <w:lang w:val="es-ES_tradnl"/>
        </w:rPr>
        <w:t>E</w:t>
      </w:r>
      <w:r w:rsidRPr="003F6DBE">
        <w:rPr>
          <w:rFonts w:ascii="Times New Roman" w:eastAsia="Times New Roman" w:hAnsi="Times New Roman" w:cs="Times New Roman"/>
          <w:sz w:val="28"/>
          <w:szCs w:val="28"/>
          <w:lang w:val="es-ES_tradnl"/>
        </w:rPr>
        <w:t xml:space="preserve">stado </w:t>
      </w:r>
      <w:r w:rsidRPr="003F6DBE">
        <w:rPr>
          <w:rFonts w:ascii="Times New Roman" w:eastAsia="Times New Roman" w:hAnsi="Times New Roman" w:cs="Times New Roman"/>
          <w:sz w:val="28"/>
          <w:szCs w:val="28"/>
          <w:lang w:val="es-ES_tradnl"/>
        </w:rPr>
        <w:t>en salud, educación, vivienda y servicios básicos. Así, se explicó que como pueblos étnicos</w:t>
      </w:r>
      <w:r w:rsidRPr="003F6DBE">
        <w:rPr>
          <w:rFonts w:ascii="Times New Roman" w:eastAsia="Times New Roman" w:hAnsi="Times New Roman" w:cs="Times New Roman"/>
          <w:sz w:val="28"/>
          <w:szCs w:val="28"/>
          <w:lang w:val="es-ES_tradnl"/>
        </w:rPr>
        <w:t xml:space="preserve"> son titulares de una protección especial del Estado y, por ello, </w:t>
      </w:r>
      <w:r w:rsidRPr="003F6DBE">
        <w:rPr>
          <w:rFonts w:ascii="Times New Roman" w:eastAsia="Times New Roman" w:hAnsi="Times New Roman" w:cs="Times New Roman"/>
          <w:sz w:val="28"/>
          <w:szCs w:val="28"/>
          <w:lang w:val="es-ES_tradnl"/>
        </w:rPr>
        <w:t xml:space="preserve">existe la necesidad de ejecutar políticas públicas orientadas a </w:t>
      </w:r>
      <w:r w:rsidRPr="003F6DBE">
        <w:rPr>
          <w:rFonts w:ascii="Times New Roman" w:hAnsi="Times New Roman" w:cs="Times New Roman"/>
          <w:sz w:val="28"/>
        </w:rPr>
        <w:t>mejorar su calidad de vida y disminuir la pobreza en las regiones donde están ubicadas.</w:t>
      </w:r>
    </w:p>
    <w:p w:rsidR="003B20AB" w:rsidRPr="003F6DBE" w:rsidRDefault="003F6DBE" w:rsidP="00890D82">
      <w:pPr>
        <w:spacing w:after="0" w:line="240" w:lineRule="auto"/>
        <w:ind w:right="49"/>
        <w:jc w:val="both"/>
        <w:rPr>
          <w:rFonts w:ascii="Times New Roman" w:hAnsi="Times New Roman" w:cs="Times New Roman"/>
          <w:sz w:val="28"/>
        </w:rPr>
      </w:pPr>
    </w:p>
    <w:p w:rsidR="00FC52CF" w:rsidRPr="003F6DBE" w:rsidRDefault="003F6DBE" w:rsidP="00890D82">
      <w:pPr>
        <w:pStyle w:val="Prrafodelista"/>
        <w:numPr>
          <w:ilvl w:val="0"/>
          <w:numId w:val="2"/>
        </w:numPr>
        <w:spacing w:after="0" w:line="240" w:lineRule="auto"/>
        <w:ind w:left="0" w:right="49" w:firstLine="0"/>
        <w:jc w:val="both"/>
        <w:rPr>
          <w:rFonts w:ascii="Times New Roman" w:eastAsia="Times New Roman" w:hAnsi="Times New Roman" w:cs="Times New Roman"/>
          <w:sz w:val="28"/>
          <w:szCs w:val="28"/>
          <w:lang w:val="es-ES_tradnl"/>
        </w:rPr>
      </w:pPr>
      <w:r w:rsidRPr="003F6DBE">
        <w:rPr>
          <w:rFonts w:ascii="Times New Roman" w:hAnsi="Times New Roman" w:cs="Times New Roman"/>
          <w:sz w:val="28"/>
        </w:rPr>
        <w:t>En segundo lugar, al estudiar el text</w:t>
      </w:r>
      <w:r w:rsidRPr="003F6DBE">
        <w:rPr>
          <w:rFonts w:ascii="Times New Roman" w:hAnsi="Times New Roman" w:cs="Times New Roman"/>
          <w:sz w:val="28"/>
        </w:rPr>
        <w:t xml:space="preserve">o normativo en el que se insertan las disposiciones demandadas, se identifican mandatos que mencionan tanto a las comunidades negras, afrocolombianas, raizales y palenqueras como a las indígenas. En efecto, no luce legítimo </w:t>
      </w:r>
      <w:r w:rsidRPr="003F6DBE">
        <w:rPr>
          <w:rFonts w:ascii="Times New Roman" w:eastAsia="Times New Roman" w:hAnsi="Times New Roman" w:cs="Times New Roman"/>
          <w:sz w:val="28"/>
          <w:szCs w:val="28"/>
          <w:lang w:val="es-ES_tradnl"/>
        </w:rPr>
        <w:t>que en lo</w:t>
      </w:r>
      <w:r w:rsidRPr="003F6DBE">
        <w:rPr>
          <w:rFonts w:ascii="Times New Roman" w:eastAsia="Times New Roman" w:hAnsi="Times New Roman" w:cs="Times New Roman"/>
          <w:sz w:val="28"/>
          <w:szCs w:val="28"/>
          <w:lang w:val="es-ES_tradnl"/>
        </w:rPr>
        <w:t>s</w:t>
      </w:r>
      <w:r w:rsidRPr="003F6DBE">
        <w:rPr>
          <w:rFonts w:ascii="Times New Roman" w:eastAsia="Times New Roman" w:hAnsi="Times New Roman" w:cs="Times New Roman"/>
          <w:sz w:val="28"/>
          <w:szCs w:val="28"/>
          <w:lang w:val="es-ES_tradnl"/>
        </w:rPr>
        <w:t xml:space="preserve"> apartes normativos atacados sólo se haya incluido a </w:t>
      </w:r>
      <w:r w:rsidRPr="003F6DBE">
        <w:rPr>
          <w:rFonts w:ascii="Times New Roman" w:eastAsia="Times New Roman" w:hAnsi="Times New Roman" w:cs="Times New Roman"/>
          <w:sz w:val="28"/>
          <w:szCs w:val="28"/>
          <w:lang w:val="es-ES_tradnl"/>
        </w:rPr>
        <w:t>la población indígena, cuando en otras disposiciones de l</w:t>
      </w:r>
      <w:r w:rsidRPr="003F6DBE">
        <w:rPr>
          <w:rFonts w:ascii="Times New Roman" w:eastAsia="Times New Roman" w:hAnsi="Times New Roman" w:cs="Times New Roman"/>
          <w:sz w:val="28"/>
          <w:szCs w:val="28"/>
          <w:lang w:val="es-ES_tradnl"/>
        </w:rPr>
        <w:t xml:space="preserve">a </w:t>
      </w:r>
      <w:r w:rsidRPr="003F6DBE">
        <w:rPr>
          <w:rFonts w:ascii="Times New Roman" w:eastAsia="Times New Roman" w:hAnsi="Times New Roman" w:cs="Times New Roman"/>
          <w:sz w:val="28"/>
          <w:szCs w:val="28"/>
          <w:lang w:val="es-ES_tradnl"/>
        </w:rPr>
        <w:t xml:space="preserve">Ley 191 de 1995, sí se hizo mención las comunidades negras </w:t>
      </w:r>
      <w:r w:rsidRPr="003F6DBE">
        <w:rPr>
          <w:rFonts w:ascii="Times New Roman" w:eastAsia="Times New Roman" w:hAnsi="Times New Roman" w:cs="Times New Roman"/>
          <w:sz w:val="28"/>
          <w:szCs w:val="28"/>
          <w:lang w:val="es-ES_tradnl"/>
        </w:rPr>
        <w:t>(</w:t>
      </w:r>
      <w:r w:rsidRPr="003F6DBE">
        <w:rPr>
          <w:rFonts w:ascii="Times New Roman" w:eastAsia="Times New Roman" w:hAnsi="Times New Roman" w:cs="Times New Roman"/>
          <w:sz w:val="28"/>
          <w:szCs w:val="28"/>
          <w:lang w:val="es-ES_tradnl"/>
        </w:rPr>
        <w:t>artículos 3, 9, 12</w:t>
      </w:r>
      <w:r w:rsidRPr="003F6DBE">
        <w:rPr>
          <w:rFonts w:ascii="Times New Roman" w:eastAsia="Times New Roman" w:hAnsi="Times New Roman" w:cs="Times New Roman"/>
          <w:sz w:val="28"/>
          <w:szCs w:val="28"/>
          <w:lang w:val="es-ES_tradnl"/>
        </w:rPr>
        <w:t>,</w:t>
      </w:r>
      <w:r w:rsidRPr="003F6DBE">
        <w:rPr>
          <w:rFonts w:ascii="Times New Roman" w:eastAsia="Times New Roman" w:hAnsi="Times New Roman" w:cs="Times New Roman"/>
          <w:sz w:val="28"/>
          <w:szCs w:val="28"/>
          <w:lang w:val="es-ES_tradnl"/>
        </w:rPr>
        <w:t xml:space="preserve"> 13</w:t>
      </w:r>
      <w:r w:rsidRPr="003F6DBE">
        <w:rPr>
          <w:rFonts w:ascii="Times New Roman" w:eastAsia="Times New Roman" w:hAnsi="Times New Roman" w:cs="Times New Roman"/>
          <w:sz w:val="28"/>
          <w:szCs w:val="28"/>
          <w:lang w:val="es-ES_tradnl"/>
        </w:rPr>
        <w:t xml:space="preserve"> y 40 (literal d)</w:t>
      </w:r>
      <w:r w:rsidRPr="003F6DBE">
        <w:rPr>
          <w:rFonts w:ascii="Times New Roman" w:eastAsia="Times New Roman" w:hAnsi="Times New Roman" w:cs="Times New Roman"/>
          <w:sz w:val="28"/>
          <w:szCs w:val="28"/>
          <w:lang w:val="es-ES_tradnl"/>
        </w:rPr>
        <w:t>. Así las cosas, la inclusión de aquellas com</w:t>
      </w:r>
      <w:r w:rsidRPr="003F6DBE">
        <w:rPr>
          <w:rFonts w:ascii="Times New Roman" w:eastAsia="Times New Roman" w:hAnsi="Times New Roman" w:cs="Times New Roman"/>
          <w:sz w:val="28"/>
          <w:szCs w:val="28"/>
          <w:lang w:val="es-ES_tradnl"/>
        </w:rPr>
        <w:t>unidades, negra, afrocolombiana, raizal y palenquera</w:t>
      </w:r>
      <w:r w:rsidRPr="003F6DBE">
        <w:rPr>
          <w:rFonts w:ascii="Times New Roman" w:eastAsia="Times New Roman" w:hAnsi="Times New Roman" w:cs="Times New Roman"/>
          <w:sz w:val="28"/>
          <w:szCs w:val="28"/>
          <w:lang w:val="es-ES_tradnl"/>
        </w:rPr>
        <w:t xml:space="preserve"> </w:t>
      </w:r>
      <w:r w:rsidRPr="003F6DBE">
        <w:rPr>
          <w:rFonts w:ascii="Times New Roman" w:eastAsia="Times New Roman" w:hAnsi="Times New Roman" w:cs="Times New Roman"/>
          <w:sz w:val="28"/>
          <w:szCs w:val="28"/>
          <w:lang w:val="es-ES_tradnl"/>
        </w:rPr>
        <w:t>en los segmentos censurados sería consecuente con el reconocimiento de la diversidad étnica y cultural y con el principio constitucional de igualdad.</w:t>
      </w:r>
    </w:p>
    <w:p w:rsidR="00FC52CF" w:rsidRPr="003F6DBE" w:rsidRDefault="003F6DBE" w:rsidP="00DE38C0">
      <w:pPr>
        <w:spacing w:after="0" w:line="240" w:lineRule="auto"/>
        <w:ind w:right="191"/>
        <w:jc w:val="both"/>
        <w:rPr>
          <w:rFonts w:ascii="Times New Roman" w:eastAsia="Times New Roman" w:hAnsi="Times New Roman" w:cs="Times New Roman"/>
          <w:b/>
          <w:bCs/>
          <w:sz w:val="28"/>
          <w:szCs w:val="28"/>
          <w:lang w:val="es-ES_tradnl"/>
        </w:rPr>
      </w:pPr>
    </w:p>
    <w:p w:rsidR="00F329E2" w:rsidRPr="003F6DBE" w:rsidRDefault="003F6DBE" w:rsidP="00DE38C0">
      <w:pPr>
        <w:pStyle w:val="Prrafodelista"/>
        <w:numPr>
          <w:ilvl w:val="0"/>
          <w:numId w:val="5"/>
        </w:numPr>
        <w:spacing w:after="0" w:line="240" w:lineRule="auto"/>
        <w:ind w:right="191"/>
        <w:jc w:val="both"/>
        <w:rPr>
          <w:rFonts w:ascii="Times New Roman" w:eastAsia="Times New Roman" w:hAnsi="Times New Roman" w:cs="Times New Roman"/>
          <w:b/>
          <w:bCs/>
          <w:sz w:val="28"/>
          <w:szCs w:val="28"/>
          <w:lang w:val="es-ES_tradnl"/>
        </w:rPr>
      </w:pPr>
      <w:r w:rsidRPr="003F6DBE">
        <w:rPr>
          <w:rFonts w:ascii="Times New Roman" w:eastAsia="Times New Roman" w:hAnsi="Times New Roman" w:cs="Times New Roman"/>
          <w:b/>
          <w:bCs/>
          <w:sz w:val="28"/>
          <w:szCs w:val="28"/>
          <w:lang w:val="es-ES_tradnl"/>
        </w:rPr>
        <w:t>Federación Colombiana de Municipios</w:t>
      </w:r>
    </w:p>
    <w:p w:rsidR="00F329E2" w:rsidRPr="003F6DBE" w:rsidRDefault="003F6DBE" w:rsidP="00DE38C0">
      <w:pPr>
        <w:spacing w:after="0" w:line="240" w:lineRule="auto"/>
        <w:ind w:right="191"/>
        <w:jc w:val="both"/>
        <w:rPr>
          <w:rFonts w:ascii="Times New Roman" w:eastAsia="Times New Roman" w:hAnsi="Times New Roman" w:cs="Times New Roman"/>
          <w:b/>
          <w:sz w:val="28"/>
          <w:szCs w:val="28"/>
          <w:lang w:val="es-ES_tradnl"/>
        </w:rPr>
      </w:pPr>
    </w:p>
    <w:p w:rsidR="006B08DF" w:rsidRPr="003F6DBE" w:rsidRDefault="003F6DBE" w:rsidP="00DE38C0">
      <w:pPr>
        <w:pStyle w:val="Prrafodelista"/>
        <w:numPr>
          <w:ilvl w:val="0"/>
          <w:numId w:val="2"/>
        </w:numPr>
        <w:spacing w:after="0" w:line="240" w:lineRule="auto"/>
        <w:ind w:left="0" w:right="191" w:firstLine="0"/>
        <w:jc w:val="both"/>
        <w:rPr>
          <w:rFonts w:ascii="Times New Roman" w:eastAsia="Times New Roman" w:hAnsi="Times New Roman" w:cs="Times New Roman"/>
          <w:sz w:val="28"/>
          <w:szCs w:val="28"/>
          <w:lang w:val="es-ES_tradnl"/>
        </w:rPr>
      </w:pPr>
      <w:r w:rsidRPr="003F6DBE">
        <w:rPr>
          <w:rFonts w:ascii="Times New Roman" w:eastAsia="Times New Roman" w:hAnsi="Times New Roman" w:cs="Times New Roman"/>
          <w:sz w:val="28"/>
          <w:szCs w:val="28"/>
          <w:lang w:val="es-ES_tradnl"/>
        </w:rPr>
        <w:t xml:space="preserve">El </w:t>
      </w:r>
      <w:r w:rsidRPr="003F6DBE">
        <w:rPr>
          <w:rFonts w:ascii="Times New Roman" w:eastAsia="Times New Roman" w:hAnsi="Times New Roman" w:cs="Times New Roman"/>
          <w:sz w:val="28"/>
          <w:szCs w:val="28"/>
          <w:lang w:val="es-ES_tradnl"/>
        </w:rPr>
        <w:t>D</w:t>
      </w:r>
      <w:r w:rsidRPr="003F6DBE">
        <w:rPr>
          <w:rFonts w:ascii="Times New Roman" w:eastAsia="Times New Roman" w:hAnsi="Times New Roman" w:cs="Times New Roman"/>
          <w:sz w:val="28"/>
          <w:szCs w:val="28"/>
          <w:lang w:val="es-ES_tradnl"/>
        </w:rPr>
        <w:t xml:space="preserve">irector </w:t>
      </w:r>
      <w:r w:rsidRPr="003F6DBE">
        <w:rPr>
          <w:rFonts w:ascii="Times New Roman" w:eastAsia="Times New Roman" w:hAnsi="Times New Roman" w:cs="Times New Roman"/>
          <w:sz w:val="28"/>
          <w:szCs w:val="28"/>
          <w:lang w:val="es-ES_tradnl"/>
        </w:rPr>
        <w:t>E</w:t>
      </w:r>
      <w:r w:rsidRPr="003F6DBE">
        <w:rPr>
          <w:rFonts w:ascii="Times New Roman" w:eastAsia="Times New Roman" w:hAnsi="Times New Roman" w:cs="Times New Roman"/>
          <w:sz w:val="28"/>
          <w:szCs w:val="28"/>
          <w:lang w:val="es-ES_tradnl"/>
        </w:rPr>
        <w:t xml:space="preserve">jecutivo de </w:t>
      </w:r>
      <w:r w:rsidRPr="003F6DBE">
        <w:rPr>
          <w:rFonts w:ascii="Times New Roman" w:eastAsia="Times New Roman" w:hAnsi="Times New Roman" w:cs="Times New Roman"/>
          <w:sz w:val="28"/>
          <w:szCs w:val="28"/>
          <w:lang w:val="es-ES_tradnl"/>
        </w:rPr>
        <w:t>la Federación Colombiana de Municipios solicita declarar la exequib</w:t>
      </w:r>
      <w:r w:rsidRPr="003F6DBE">
        <w:rPr>
          <w:rFonts w:ascii="Times New Roman" w:eastAsia="Times New Roman" w:hAnsi="Times New Roman" w:cs="Times New Roman"/>
          <w:sz w:val="28"/>
          <w:szCs w:val="28"/>
          <w:lang w:val="es-ES_tradnl"/>
        </w:rPr>
        <w:t>i</w:t>
      </w:r>
      <w:r w:rsidRPr="003F6DBE">
        <w:rPr>
          <w:rFonts w:ascii="Times New Roman" w:eastAsia="Times New Roman" w:hAnsi="Times New Roman" w:cs="Times New Roman"/>
          <w:sz w:val="28"/>
          <w:szCs w:val="28"/>
          <w:lang w:val="es-ES_tradnl"/>
        </w:rPr>
        <w:t>lidad condicionada de los apartes censurados de la Ley 191 de 1995</w:t>
      </w:r>
      <w:r w:rsidRPr="003F6DBE">
        <w:rPr>
          <w:rFonts w:ascii="Times New Roman" w:eastAsia="Times New Roman" w:hAnsi="Times New Roman" w:cs="Times New Roman"/>
          <w:sz w:val="28"/>
          <w:szCs w:val="28"/>
          <w:lang w:val="es-ES_tradnl"/>
        </w:rPr>
        <w:t xml:space="preserve">. Como sustento, indica que los demandantes lograron justificar el cargo propuesto y que, además, este asunto </w:t>
      </w:r>
      <w:r w:rsidRPr="003F6DBE">
        <w:rPr>
          <w:rFonts w:ascii="Times New Roman" w:eastAsia="Times New Roman" w:hAnsi="Times New Roman" w:cs="Times New Roman"/>
          <w:sz w:val="28"/>
          <w:szCs w:val="28"/>
          <w:lang w:val="es-ES_tradnl"/>
        </w:rPr>
        <w:t xml:space="preserve">guarda gran similitud con la </w:t>
      </w:r>
      <w:r w:rsidRPr="003F6DBE">
        <w:rPr>
          <w:rFonts w:ascii="Times New Roman" w:eastAsia="Times New Roman" w:hAnsi="Times New Roman" w:cs="Times New Roman"/>
          <w:sz w:val="28"/>
          <w:szCs w:val="28"/>
          <w:lang w:val="es-ES_tradnl"/>
        </w:rPr>
        <w:t xml:space="preserve">ponderación efectuada por </w:t>
      </w:r>
      <w:r w:rsidRPr="003F6DBE">
        <w:rPr>
          <w:rFonts w:ascii="Times New Roman" w:eastAsia="Times New Roman" w:hAnsi="Times New Roman" w:cs="Times New Roman"/>
          <w:sz w:val="28"/>
          <w:szCs w:val="28"/>
          <w:lang w:val="es-ES_tradnl"/>
        </w:rPr>
        <w:t>est</w:t>
      </w:r>
      <w:r w:rsidRPr="003F6DBE">
        <w:rPr>
          <w:rFonts w:ascii="Times New Roman" w:eastAsia="Times New Roman" w:hAnsi="Times New Roman" w:cs="Times New Roman"/>
          <w:sz w:val="28"/>
          <w:szCs w:val="28"/>
          <w:lang w:val="es-ES_tradnl"/>
        </w:rPr>
        <w:t>e</w:t>
      </w:r>
      <w:r w:rsidRPr="003F6DBE">
        <w:rPr>
          <w:rFonts w:ascii="Times New Roman" w:eastAsia="Times New Roman" w:hAnsi="Times New Roman" w:cs="Times New Roman"/>
          <w:sz w:val="28"/>
          <w:szCs w:val="28"/>
          <w:lang w:val="es-ES_tradnl"/>
        </w:rPr>
        <w:t xml:space="preserve"> </w:t>
      </w:r>
      <w:r w:rsidRPr="003F6DBE">
        <w:rPr>
          <w:rFonts w:ascii="Times New Roman" w:eastAsia="Times New Roman" w:hAnsi="Times New Roman" w:cs="Times New Roman"/>
          <w:sz w:val="28"/>
          <w:szCs w:val="28"/>
          <w:lang w:val="es-ES_tradnl"/>
        </w:rPr>
        <w:t xml:space="preserve">tribunal </w:t>
      </w:r>
      <w:r w:rsidRPr="003F6DBE">
        <w:rPr>
          <w:rFonts w:ascii="Times New Roman" w:eastAsia="Times New Roman" w:hAnsi="Times New Roman" w:cs="Times New Roman"/>
          <w:sz w:val="28"/>
          <w:szCs w:val="28"/>
          <w:lang w:val="es-ES_tradnl"/>
        </w:rPr>
        <w:t>en sentencia C-480 de 2019.</w:t>
      </w:r>
    </w:p>
    <w:p w:rsidR="00890D82" w:rsidRPr="003F6DBE" w:rsidRDefault="003F6DBE" w:rsidP="00890D82">
      <w:pPr>
        <w:spacing w:after="0" w:line="240" w:lineRule="auto"/>
        <w:ind w:right="191"/>
        <w:jc w:val="both"/>
        <w:rPr>
          <w:rFonts w:ascii="Times New Roman" w:eastAsia="Times New Roman" w:hAnsi="Times New Roman" w:cs="Times New Roman"/>
          <w:sz w:val="28"/>
          <w:szCs w:val="28"/>
          <w:lang w:val="es-ES_tradnl"/>
        </w:rPr>
      </w:pPr>
    </w:p>
    <w:p w:rsidR="00890D82" w:rsidRPr="003F6DBE" w:rsidRDefault="003F6DBE" w:rsidP="00890D82">
      <w:pPr>
        <w:spacing w:after="0" w:line="240" w:lineRule="auto"/>
        <w:ind w:right="191"/>
        <w:jc w:val="both"/>
        <w:rPr>
          <w:rFonts w:ascii="Times New Roman" w:eastAsia="Times New Roman" w:hAnsi="Times New Roman" w:cs="Times New Roman"/>
          <w:sz w:val="28"/>
          <w:szCs w:val="28"/>
          <w:lang w:val="es-ES_tradnl"/>
        </w:rPr>
      </w:pPr>
    </w:p>
    <w:p w:rsidR="006B08DF" w:rsidRPr="003F6DBE" w:rsidRDefault="003F6DBE" w:rsidP="00DE38C0">
      <w:pPr>
        <w:spacing w:after="0" w:line="240" w:lineRule="auto"/>
        <w:ind w:right="191"/>
        <w:jc w:val="both"/>
        <w:rPr>
          <w:rFonts w:ascii="Times New Roman" w:eastAsia="Times New Roman" w:hAnsi="Times New Roman" w:cs="Times New Roman"/>
          <w:sz w:val="28"/>
          <w:szCs w:val="28"/>
          <w:lang w:val="es-ES_tradnl"/>
        </w:rPr>
      </w:pPr>
    </w:p>
    <w:p w:rsidR="002A2D4E" w:rsidRPr="003F6DBE" w:rsidRDefault="003F6DBE" w:rsidP="00DE38C0">
      <w:pPr>
        <w:pStyle w:val="Prrafodelista"/>
        <w:numPr>
          <w:ilvl w:val="0"/>
          <w:numId w:val="5"/>
        </w:numPr>
        <w:spacing w:after="0" w:line="240" w:lineRule="auto"/>
        <w:ind w:right="191"/>
        <w:jc w:val="both"/>
        <w:rPr>
          <w:rFonts w:ascii="Times New Roman" w:eastAsia="Times New Roman" w:hAnsi="Times New Roman" w:cs="Times New Roman"/>
          <w:b/>
          <w:sz w:val="28"/>
          <w:szCs w:val="28"/>
          <w:lang w:val="es-ES_tradnl"/>
        </w:rPr>
      </w:pPr>
      <w:r w:rsidRPr="003F6DBE">
        <w:rPr>
          <w:rFonts w:ascii="Times New Roman" w:eastAsia="Times New Roman" w:hAnsi="Times New Roman" w:cs="Times New Roman"/>
          <w:b/>
          <w:sz w:val="28"/>
          <w:szCs w:val="28"/>
          <w:lang w:val="es-ES_tradnl"/>
        </w:rPr>
        <w:t>Universidad Nacional de Colombia</w:t>
      </w:r>
    </w:p>
    <w:p w:rsidR="002A2D4E" w:rsidRPr="003F6DBE" w:rsidRDefault="003F6DBE" w:rsidP="00DE38C0">
      <w:pPr>
        <w:spacing w:after="0" w:line="240" w:lineRule="auto"/>
        <w:ind w:right="191"/>
        <w:jc w:val="both"/>
        <w:rPr>
          <w:rFonts w:ascii="Times New Roman" w:eastAsia="Times New Roman" w:hAnsi="Times New Roman" w:cs="Times New Roman"/>
          <w:sz w:val="28"/>
          <w:szCs w:val="28"/>
          <w:lang w:val="es-ES_tradnl"/>
        </w:rPr>
      </w:pPr>
    </w:p>
    <w:p w:rsidR="00556771" w:rsidRPr="003F6DBE" w:rsidRDefault="003F6DBE" w:rsidP="00DA100F">
      <w:pPr>
        <w:pStyle w:val="Prrafodelista"/>
        <w:numPr>
          <w:ilvl w:val="0"/>
          <w:numId w:val="2"/>
        </w:numPr>
        <w:spacing w:after="0" w:line="240" w:lineRule="auto"/>
        <w:ind w:left="0" w:right="49" w:firstLine="0"/>
        <w:jc w:val="both"/>
        <w:rPr>
          <w:rFonts w:ascii="Times New Roman" w:eastAsia="Times New Roman" w:hAnsi="Times New Roman" w:cs="Times New Roman"/>
          <w:sz w:val="28"/>
          <w:szCs w:val="28"/>
          <w:lang w:val="es-ES_tradnl"/>
        </w:rPr>
      </w:pPr>
      <w:r w:rsidRPr="003F6DBE">
        <w:rPr>
          <w:rFonts w:ascii="Times New Roman" w:eastAsia="Times New Roman" w:hAnsi="Times New Roman" w:cs="Times New Roman"/>
          <w:sz w:val="28"/>
          <w:szCs w:val="28"/>
          <w:lang w:val="es-ES_tradnl"/>
        </w:rPr>
        <w:t>La Facultad de Derecho, Ciencias Políticas y Sociales de la Universidad Nacional de Colombia</w:t>
      </w:r>
      <w:r w:rsidRPr="003F6DBE">
        <w:rPr>
          <w:rFonts w:ascii="Times New Roman" w:eastAsia="Times New Roman" w:hAnsi="Times New Roman" w:cs="Times New Roman"/>
          <w:sz w:val="28"/>
          <w:szCs w:val="28"/>
          <w:lang w:val="es-ES_tradnl"/>
        </w:rPr>
        <w:t xml:space="preserve"> </w:t>
      </w:r>
      <w:r w:rsidRPr="003F6DBE">
        <w:rPr>
          <w:rFonts w:ascii="Times New Roman" w:eastAsia="Times New Roman" w:hAnsi="Times New Roman" w:cs="Times New Roman"/>
          <w:sz w:val="28"/>
          <w:szCs w:val="28"/>
          <w:lang w:val="es-ES_tradnl"/>
        </w:rPr>
        <w:t xml:space="preserve">en su intervención explica </w:t>
      </w:r>
      <w:r w:rsidRPr="003F6DBE">
        <w:rPr>
          <w:rFonts w:ascii="Times New Roman" w:eastAsia="Times New Roman" w:hAnsi="Times New Roman" w:cs="Times New Roman"/>
          <w:sz w:val="28"/>
          <w:szCs w:val="28"/>
          <w:lang w:val="es-ES_tradnl"/>
        </w:rPr>
        <w:t>po</w:t>
      </w:r>
      <w:r w:rsidRPr="003F6DBE">
        <w:rPr>
          <w:rFonts w:ascii="Times New Roman" w:eastAsia="Times New Roman" w:hAnsi="Times New Roman" w:cs="Times New Roman"/>
          <w:sz w:val="28"/>
          <w:szCs w:val="28"/>
          <w:lang w:val="es-ES_tradnl"/>
        </w:rPr>
        <w:t>r</w:t>
      </w:r>
      <w:r w:rsidRPr="003F6DBE">
        <w:rPr>
          <w:rFonts w:ascii="Times New Roman" w:eastAsia="Times New Roman" w:hAnsi="Times New Roman" w:cs="Times New Roman"/>
          <w:sz w:val="28"/>
          <w:szCs w:val="28"/>
          <w:lang w:val="es-ES_tradnl"/>
        </w:rPr>
        <w:t xml:space="preserve">que </w:t>
      </w:r>
      <w:r w:rsidRPr="003F6DBE">
        <w:rPr>
          <w:rFonts w:ascii="Times New Roman" w:eastAsia="Times New Roman" w:hAnsi="Times New Roman" w:cs="Times New Roman"/>
          <w:sz w:val="28"/>
          <w:szCs w:val="28"/>
          <w:lang w:val="es-ES_tradnl"/>
        </w:rPr>
        <w:t>los apartes censurados vulneran los derechos alega</w:t>
      </w:r>
      <w:r w:rsidRPr="003F6DBE">
        <w:rPr>
          <w:rFonts w:ascii="Times New Roman" w:eastAsia="Times New Roman" w:hAnsi="Times New Roman" w:cs="Times New Roman"/>
          <w:sz w:val="28"/>
          <w:szCs w:val="28"/>
          <w:lang w:val="es-ES_tradnl"/>
        </w:rPr>
        <w:t>d</w:t>
      </w:r>
      <w:r w:rsidRPr="003F6DBE">
        <w:rPr>
          <w:rFonts w:ascii="Times New Roman" w:eastAsia="Times New Roman" w:hAnsi="Times New Roman" w:cs="Times New Roman"/>
          <w:sz w:val="28"/>
          <w:szCs w:val="28"/>
          <w:lang w:val="es-ES_tradnl"/>
        </w:rPr>
        <w:t>os por los accionantes, en especial el de igualdad y no discriminación</w:t>
      </w:r>
      <w:r w:rsidRPr="003F6DBE">
        <w:rPr>
          <w:rFonts w:ascii="Times New Roman" w:eastAsia="Times New Roman" w:hAnsi="Times New Roman" w:cs="Times New Roman"/>
          <w:sz w:val="28"/>
          <w:szCs w:val="28"/>
          <w:lang w:val="es-ES_tradnl"/>
        </w:rPr>
        <w:t>,</w:t>
      </w:r>
      <w:r w:rsidRPr="003F6DBE">
        <w:rPr>
          <w:rFonts w:ascii="Times New Roman" w:eastAsia="Times New Roman" w:hAnsi="Times New Roman" w:cs="Times New Roman"/>
          <w:sz w:val="28"/>
          <w:szCs w:val="28"/>
          <w:lang w:val="es-ES_tradnl"/>
        </w:rPr>
        <w:t xml:space="preserve"> al incurrir en una omisión legislativa relativa y transgredir los artículos 1, 2, 7, 13, 93 y 55 transitorio de la Constitución, así como el Convenio 169 de la OIT (1.2, 2.2 y 5.a).</w:t>
      </w:r>
      <w:r w:rsidRPr="003F6DBE">
        <w:rPr>
          <w:rFonts w:ascii="Times New Roman" w:eastAsia="Times New Roman" w:hAnsi="Times New Roman" w:cs="Times New Roman"/>
          <w:sz w:val="28"/>
          <w:szCs w:val="28"/>
          <w:lang w:val="es-ES_tradnl"/>
        </w:rPr>
        <w:t xml:space="preserve"> P</w:t>
      </w:r>
      <w:r w:rsidRPr="003F6DBE">
        <w:rPr>
          <w:rFonts w:ascii="Times New Roman" w:eastAsia="Times New Roman" w:hAnsi="Times New Roman" w:cs="Times New Roman"/>
          <w:sz w:val="28"/>
          <w:szCs w:val="28"/>
          <w:lang w:val="es-ES_tradnl"/>
        </w:rPr>
        <w:t>or ello</w:t>
      </w:r>
      <w:r w:rsidRPr="003F6DBE">
        <w:rPr>
          <w:rFonts w:ascii="Times New Roman" w:eastAsia="Times New Roman" w:hAnsi="Times New Roman" w:cs="Times New Roman"/>
          <w:sz w:val="28"/>
          <w:szCs w:val="28"/>
          <w:lang w:val="es-ES_tradnl"/>
        </w:rPr>
        <w:t>,</w:t>
      </w:r>
      <w:r w:rsidRPr="003F6DBE">
        <w:rPr>
          <w:rFonts w:ascii="Times New Roman" w:eastAsia="Times New Roman" w:hAnsi="Times New Roman" w:cs="Times New Roman"/>
          <w:sz w:val="28"/>
          <w:szCs w:val="28"/>
          <w:lang w:val="es-ES_tradnl"/>
        </w:rPr>
        <w:t xml:space="preserve"> solicita que se declare la exequibilidad condicionada de la exp</w:t>
      </w:r>
      <w:r w:rsidRPr="003F6DBE">
        <w:rPr>
          <w:rFonts w:ascii="Times New Roman" w:eastAsia="Times New Roman" w:hAnsi="Times New Roman" w:cs="Times New Roman"/>
          <w:sz w:val="28"/>
          <w:szCs w:val="28"/>
          <w:lang w:val="es-ES_tradnl"/>
        </w:rPr>
        <w:t>resión “</w:t>
      </w:r>
      <w:r w:rsidRPr="003F6DBE">
        <w:rPr>
          <w:rFonts w:ascii="Times New Roman" w:eastAsia="Times New Roman" w:hAnsi="Times New Roman" w:cs="Times New Roman"/>
          <w:i/>
          <w:iCs/>
          <w:sz w:val="28"/>
          <w:szCs w:val="28"/>
          <w:lang w:val="es-ES_tradnl"/>
        </w:rPr>
        <w:t>indígenas</w:t>
      </w:r>
      <w:r w:rsidRPr="003F6DBE">
        <w:rPr>
          <w:rFonts w:ascii="Times New Roman" w:eastAsia="Times New Roman" w:hAnsi="Times New Roman" w:cs="Times New Roman"/>
          <w:sz w:val="28"/>
          <w:szCs w:val="28"/>
          <w:lang w:val="es-ES_tradnl"/>
        </w:rPr>
        <w:t>”</w:t>
      </w:r>
      <w:r w:rsidRPr="003F6DBE">
        <w:rPr>
          <w:rFonts w:ascii="Times New Roman" w:eastAsia="Times New Roman" w:hAnsi="Times New Roman" w:cs="Times New Roman"/>
          <w:sz w:val="28"/>
          <w:szCs w:val="28"/>
          <w:lang w:val="es-ES_tradnl"/>
        </w:rPr>
        <w:t>,</w:t>
      </w:r>
      <w:r w:rsidRPr="003F6DBE">
        <w:rPr>
          <w:rFonts w:ascii="Times New Roman" w:eastAsia="Times New Roman" w:hAnsi="Times New Roman" w:cs="Times New Roman"/>
          <w:sz w:val="28"/>
          <w:szCs w:val="28"/>
          <w:lang w:val="es-ES_tradnl"/>
        </w:rPr>
        <w:t xml:space="preserve"> contenida en </w:t>
      </w:r>
      <w:r w:rsidRPr="003F6DBE">
        <w:rPr>
          <w:rFonts w:ascii="Times New Roman" w:eastAsia="Times New Roman" w:hAnsi="Times New Roman" w:cs="Times New Roman"/>
          <w:sz w:val="28"/>
          <w:szCs w:val="28"/>
          <w:lang w:val="es-ES_tradnl"/>
        </w:rPr>
        <w:t>las</w:t>
      </w:r>
      <w:r w:rsidRPr="003F6DBE">
        <w:rPr>
          <w:rFonts w:ascii="Times New Roman" w:eastAsia="Times New Roman" w:hAnsi="Times New Roman" w:cs="Times New Roman"/>
          <w:sz w:val="28"/>
          <w:szCs w:val="28"/>
          <w:lang w:val="es-ES_tradnl"/>
        </w:rPr>
        <w:t xml:space="preserve"> disposiciones</w:t>
      </w:r>
      <w:r w:rsidRPr="003F6DBE">
        <w:rPr>
          <w:rFonts w:ascii="Times New Roman" w:eastAsia="Times New Roman" w:hAnsi="Times New Roman" w:cs="Times New Roman"/>
          <w:sz w:val="28"/>
          <w:szCs w:val="28"/>
          <w:lang w:val="es-ES_tradnl"/>
        </w:rPr>
        <w:t xml:space="preserve"> demandadas, para que se incluyan </w:t>
      </w:r>
      <w:r w:rsidRPr="003F6DBE">
        <w:rPr>
          <w:rFonts w:ascii="Times New Roman" w:eastAsia="Times New Roman" w:hAnsi="Times New Roman" w:cs="Times New Roman"/>
          <w:sz w:val="28"/>
          <w:szCs w:val="28"/>
          <w:lang w:val="es-ES_tradnl"/>
        </w:rPr>
        <w:t>los pueblos negros, afrocolombianos, raizales y palenqueros</w:t>
      </w:r>
      <w:r w:rsidRPr="003F6DBE">
        <w:rPr>
          <w:rFonts w:ascii="Times New Roman" w:eastAsia="Times New Roman" w:hAnsi="Times New Roman" w:cs="Times New Roman"/>
          <w:sz w:val="28"/>
          <w:szCs w:val="28"/>
          <w:lang w:val="es-ES_tradnl"/>
        </w:rPr>
        <w:t>, al tratarse de una omisión legislativa relativa que exige una sentencia integradora.</w:t>
      </w:r>
    </w:p>
    <w:p w:rsidR="00377878" w:rsidRPr="003F6DBE" w:rsidRDefault="003F6DBE" w:rsidP="00DA100F">
      <w:pPr>
        <w:spacing w:after="0" w:line="240" w:lineRule="auto"/>
        <w:ind w:right="49"/>
        <w:jc w:val="both"/>
        <w:rPr>
          <w:rFonts w:ascii="Times New Roman" w:eastAsia="Times New Roman" w:hAnsi="Times New Roman" w:cs="Times New Roman"/>
          <w:sz w:val="28"/>
          <w:szCs w:val="28"/>
          <w:lang w:val="es-ES_tradnl"/>
        </w:rPr>
      </w:pPr>
    </w:p>
    <w:p w:rsidR="00707DBB" w:rsidRPr="003F6DBE" w:rsidRDefault="003F6DBE" w:rsidP="00DA100F">
      <w:pPr>
        <w:pStyle w:val="Prrafodelista"/>
        <w:numPr>
          <w:ilvl w:val="0"/>
          <w:numId w:val="2"/>
        </w:numPr>
        <w:spacing w:after="0" w:line="240" w:lineRule="auto"/>
        <w:ind w:left="0" w:right="49" w:firstLine="0"/>
        <w:jc w:val="both"/>
        <w:rPr>
          <w:rFonts w:ascii="Times New Roman" w:eastAsia="Times New Roman" w:hAnsi="Times New Roman" w:cs="Times New Roman"/>
          <w:sz w:val="28"/>
          <w:szCs w:val="28"/>
          <w:lang w:val="es-ES_tradnl"/>
        </w:rPr>
      </w:pPr>
      <w:r w:rsidRPr="003F6DBE">
        <w:rPr>
          <w:rFonts w:ascii="Times New Roman" w:eastAsia="Times New Roman" w:hAnsi="Times New Roman" w:cs="Times New Roman"/>
          <w:sz w:val="28"/>
          <w:szCs w:val="28"/>
          <w:lang w:val="es-ES_tradnl"/>
        </w:rPr>
        <w:t>L</w:t>
      </w:r>
      <w:r w:rsidRPr="003F6DBE">
        <w:rPr>
          <w:rFonts w:ascii="Times New Roman" w:eastAsia="Times New Roman" w:hAnsi="Times New Roman" w:cs="Times New Roman"/>
          <w:sz w:val="28"/>
          <w:szCs w:val="28"/>
          <w:lang w:val="es-ES_tradnl"/>
        </w:rPr>
        <w:t xml:space="preserve">a Constitución Política </w:t>
      </w:r>
      <w:r w:rsidRPr="003F6DBE">
        <w:rPr>
          <w:rFonts w:ascii="Times New Roman" w:eastAsia="Times New Roman" w:hAnsi="Times New Roman" w:cs="Times New Roman"/>
          <w:sz w:val="28"/>
          <w:szCs w:val="28"/>
          <w:lang w:val="es-ES_tradnl"/>
        </w:rPr>
        <w:t>de Colombia</w:t>
      </w:r>
      <w:r w:rsidRPr="003F6DBE">
        <w:rPr>
          <w:rFonts w:ascii="Times New Roman" w:eastAsia="Times New Roman" w:hAnsi="Times New Roman" w:cs="Times New Roman"/>
          <w:sz w:val="28"/>
          <w:szCs w:val="28"/>
          <w:lang w:val="es-ES_tradnl"/>
        </w:rPr>
        <w:t xml:space="preserve"> estableció en favor</w:t>
      </w:r>
      <w:r w:rsidRPr="003F6DBE">
        <w:rPr>
          <w:rFonts w:ascii="Times New Roman" w:eastAsia="Times New Roman" w:hAnsi="Times New Roman" w:cs="Times New Roman"/>
          <w:sz w:val="28"/>
          <w:szCs w:val="28"/>
          <w:lang w:val="es-ES_tradnl"/>
        </w:rPr>
        <w:t xml:space="preserve"> </w:t>
      </w:r>
      <w:r w:rsidRPr="003F6DBE">
        <w:rPr>
          <w:rFonts w:ascii="Times New Roman" w:eastAsia="Times New Roman" w:hAnsi="Times New Roman" w:cs="Times New Roman"/>
          <w:sz w:val="28"/>
          <w:szCs w:val="28"/>
          <w:lang w:val="es-ES_tradnl"/>
        </w:rPr>
        <w:t>de las comunidades étnicas el reconocimiento d</w:t>
      </w:r>
      <w:r w:rsidRPr="003F6DBE">
        <w:rPr>
          <w:rFonts w:ascii="Times New Roman" w:eastAsia="Times New Roman" w:hAnsi="Times New Roman" w:cs="Times New Roman"/>
          <w:sz w:val="28"/>
          <w:szCs w:val="28"/>
          <w:lang w:val="es-ES_tradnl"/>
        </w:rPr>
        <w:t>el carácter multicultural y multiétnico del país</w:t>
      </w:r>
      <w:r w:rsidRPr="003F6DBE">
        <w:rPr>
          <w:rFonts w:ascii="Times New Roman" w:eastAsia="Times New Roman" w:hAnsi="Times New Roman" w:cs="Times New Roman"/>
          <w:sz w:val="28"/>
          <w:szCs w:val="28"/>
          <w:lang w:val="es-ES_tradnl"/>
        </w:rPr>
        <w:t xml:space="preserve"> (art. 7). Con ello se buscó propiciar un espacio que desmontara estereotipos negativos y que permitiera reducir las desigualdades</w:t>
      </w:r>
      <w:r w:rsidRPr="003F6DBE">
        <w:rPr>
          <w:rFonts w:ascii="Times New Roman" w:eastAsia="Times New Roman" w:hAnsi="Times New Roman" w:cs="Times New Roman"/>
          <w:sz w:val="28"/>
          <w:szCs w:val="28"/>
          <w:lang w:val="es-ES_tradnl"/>
        </w:rPr>
        <w:t xml:space="preserve"> históricas fundada</w:t>
      </w:r>
      <w:r w:rsidRPr="003F6DBE">
        <w:rPr>
          <w:rFonts w:ascii="Times New Roman" w:eastAsia="Times New Roman" w:hAnsi="Times New Roman" w:cs="Times New Roman"/>
          <w:sz w:val="28"/>
          <w:szCs w:val="28"/>
          <w:lang w:val="es-ES_tradnl"/>
        </w:rPr>
        <w:t>s</w:t>
      </w:r>
      <w:r w:rsidRPr="003F6DBE">
        <w:rPr>
          <w:rFonts w:ascii="Times New Roman" w:eastAsia="Times New Roman" w:hAnsi="Times New Roman" w:cs="Times New Roman"/>
          <w:sz w:val="28"/>
          <w:szCs w:val="28"/>
          <w:lang w:val="es-ES_tradnl"/>
        </w:rPr>
        <w:t xml:space="preserve"> en el respeto de la dignidad. En este marco, se instauró un compromiso con la inclusión y la pluralidad de la sociedad (art. 1). </w:t>
      </w:r>
      <w:r w:rsidRPr="003F6DBE">
        <w:rPr>
          <w:rFonts w:ascii="Times New Roman" w:eastAsia="Times New Roman" w:hAnsi="Times New Roman" w:cs="Times New Roman"/>
          <w:sz w:val="28"/>
          <w:szCs w:val="28"/>
          <w:lang w:val="es-ES_tradnl"/>
        </w:rPr>
        <w:t xml:space="preserve"> </w:t>
      </w:r>
      <w:r w:rsidRPr="003F6DBE">
        <w:rPr>
          <w:rFonts w:ascii="Times New Roman" w:eastAsia="Times New Roman" w:hAnsi="Times New Roman" w:cs="Times New Roman"/>
          <w:sz w:val="28"/>
          <w:szCs w:val="28"/>
          <w:lang w:val="es-ES_tradnl"/>
        </w:rPr>
        <w:t>Además de</w:t>
      </w:r>
      <w:r w:rsidRPr="003F6DBE">
        <w:rPr>
          <w:rFonts w:ascii="Times New Roman" w:eastAsia="Times New Roman" w:hAnsi="Times New Roman" w:cs="Times New Roman"/>
          <w:sz w:val="28"/>
          <w:szCs w:val="28"/>
          <w:lang w:val="es-ES_tradnl"/>
        </w:rPr>
        <w:t xml:space="preserve">l derecho a la igualdad (art. 13), </w:t>
      </w:r>
      <w:r w:rsidRPr="003F6DBE">
        <w:rPr>
          <w:rFonts w:ascii="Times New Roman" w:eastAsia="Times New Roman" w:hAnsi="Times New Roman" w:cs="Times New Roman"/>
          <w:sz w:val="28"/>
          <w:szCs w:val="28"/>
          <w:lang w:val="es-ES_tradnl"/>
        </w:rPr>
        <w:t>acud</w:t>
      </w:r>
      <w:r w:rsidRPr="003F6DBE">
        <w:rPr>
          <w:rFonts w:ascii="Times New Roman" w:eastAsia="Times New Roman" w:hAnsi="Times New Roman" w:cs="Times New Roman"/>
          <w:sz w:val="28"/>
          <w:szCs w:val="28"/>
          <w:lang w:val="es-ES_tradnl"/>
        </w:rPr>
        <w:t>e</w:t>
      </w:r>
      <w:r w:rsidRPr="003F6DBE">
        <w:rPr>
          <w:rFonts w:ascii="Times New Roman" w:eastAsia="Times New Roman" w:hAnsi="Times New Roman" w:cs="Times New Roman"/>
          <w:sz w:val="28"/>
          <w:szCs w:val="28"/>
          <w:lang w:val="es-ES_tradnl"/>
        </w:rPr>
        <w:t xml:space="preserve"> a lo previsto en el artículo 55 transitorio </w:t>
      </w:r>
      <w:r w:rsidRPr="003F6DBE">
        <w:rPr>
          <w:rFonts w:ascii="Times New Roman" w:eastAsia="Times New Roman" w:hAnsi="Times New Roman" w:cs="Times New Roman"/>
          <w:sz w:val="28"/>
          <w:szCs w:val="28"/>
          <w:lang w:val="es-ES_tradnl"/>
        </w:rPr>
        <w:t xml:space="preserve">de la </w:t>
      </w:r>
      <w:r w:rsidRPr="003F6DBE">
        <w:rPr>
          <w:rFonts w:ascii="Times New Roman" w:eastAsia="Times New Roman" w:hAnsi="Times New Roman" w:cs="Times New Roman"/>
          <w:sz w:val="28"/>
          <w:szCs w:val="28"/>
          <w:lang w:val="es-ES_tradnl"/>
        </w:rPr>
        <w:t>Constitución</w:t>
      </w:r>
      <w:r w:rsidRPr="003F6DBE">
        <w:rPr>
          <w:rFonts w:ascii="Times New Roman" w:eastAsia="Times New Roman" w:hAnsi="Times New Roman" w:cs="Times New Roman"/>
          <w:sz w:val="28"/>
          <w:szCs w:val="28"/>
          <w:lang w:val="es-ES_tradnl"/>
        </w:rPr>
        <w:t>,</w:t>
      </w:r>
      <w:r w:rsidRPr="003F6DBE">
        <w:rPr>
          <w:rFonts w:ascii="Times New Roman" w:eastAsia="Times New Roman" w:hAnsi="Times New Roman" w:cs="Times New Roman"/>
          <w:sz w:val="28"/>
          <w:szCs w:val="28"/>
          <w:lang w:val="es-ES_tradnl"/>
        </w:rPr>
        <w:t xml:space="preserve"> </w:t>
      </w:r>
      <w:r w:rsidRPr="003F6DBE">
        <w:rPr>
          <w:rFonts w:ascii="Times New Roman" w:eastAsia="Times New Roman" w:hAnsi="Times New Roman" w:cs="Times New Roman"/>
          <w:sz w:val="28"/>
          <w:szCs w:val="28"/>
          <w:lang w:val="es-ES_tradnl"/>
        </w:rPr>
        <w:t xml:space="preserve">que impuso al </w:t>
      </w:r>
      <w:r w:rsidRPr="003F6DBE">
        <w:rPr>
          <w:rFonts w:ascii="Times New Roman" w:eastAsia="Times New Roman" w:hAnsi="Times New Roman" w:cs="Times New Roman"/>
          <w:sz w:val="28"/>
          <w:szCs w:val="28"/>
          <w:lang w:val="es-ES_tradnl"/>
        </w:rPr>
        <w:t>l</w:t>
      </w:r>
      <w:r w:rsidRPr="003F6DBE">
        <w:rPr>
          <w:rFonts w:ascii="Times New Roman" w:eastAsia="Times New Roman" w:hAnsi="Times New Roman" w:cs="Times New Roman"/>
          <w:sz w:val="28"/>
          <w:szCs w:val="28"/>
          <w:lang w:val="es-ES_tradnl"/>
        </w:rPr>
        <w:t>egislador la obligación de reconocer a las comunidades negras el derecho a la propiedad colectiva sobre tierras baldías de las zonas rurales ribereñas de la cuenca del pacífico</w:t>
      </w:r>
      <w:r w:rsidRPr="003F6DBE">
        <w:rPr>
          <w:rFonts w:ascii="Times New Roman" w:eastAsia="Times New Roman" w:hAnsi="Times New Roman" w:cs="Times New Roman"/>
          <w:sz w:val="28"/>
          <w:szCs w:val="28"/>
          <w:lang w:val="es-ES_tradnl"/>
        </w:rPr>
        <w:t>. Dicha obligación fue desarrolla</w:t>
      </w:r>
      <w:r w:rsidRPr="003F6DBE">
        <w:rPr>
          <w:rFonts w:ascii="Times New Roman" w:eastAsia="Times New Roman" w:hAnsi="Times New Roman" w:cs="Times New Roman"/>
          <w:sz w:val="28"/>
          <w:szCs w:val="28"/>
          <w:lang w:val="es-ES_tradnl"/>
        </w:rPr>
        <w:t>da</w:t>
      </w:r>
      <w:r w:rsidRPr="003F6DBE">
        <w:rPr>
          <w:rFonts w:ascii="Times New Roman" w:eastAsia="Times New Roman" w:hAnsi="Times New Roman" w:cs="Times New Roman"/>
          <w:sz w:val="28"/>
          <w:szCs w:val="28"/>
          <w:lang w:val="es-ES_tradnl"/>
        </w:rPr>
        <w:t xml:space="preserve"> mediante la Ley</w:t>
      </w:r>
      <w:r w:rsidRPr="003F6DBE">
        <w:rPr>
          <w:rFonts w:ascii="Times New Roman" w:eastAsia="Times New Roman" w:hAnsi="Times New Roman" w:cs="Times New Roman"/>
          <w:sz w:val="28"/>
          <w:szCs w:val="28"/>
          <w:lang w:val="es-ES_tradnl"/>
        </w:rPr>
        <w:t xml:space="preserve"> 70 de 1993 y es importante en tanto </w:t>
      </w:r>
      <w:r w:rsidRPr="003F6DBE">
        <w:rPr>
          <w:rFonts w:ascii="Times New Roman" w:eastAsia="Times New Roman" w:hAnsi="Times New Roman" w:cs="Times New Roman"/>
          <w:sz w:val="28"/>
          <w:szCs w:val="28"/>
          <w:lang w:val="es-ES_tradnl"/>
        </w:rPr>
        <w:t>reconoció</w:t>
      </w:r>
      <w:r w:rsidRPr="003F6DBE">
        <w:rPr>
          <w:rFonts w:ascii="Times New Roman" w:eastAsia="Times New Roman" w:hAnsi="Times New Roman" w:cs="Times New Roman"/>
          <w:sz w:val="28"/>
          <w:szCs w:val="28"/>
          <w:lang w:val="es-ES_tradnl"/>
        </w:rPr>
        <w:t xml:space="preserve"> a</w:t>
      </w:r>
      <w:r w:rsidRPr="003F6DBE">
        <w:rPr>
          <w:rFonts w:ascii="Times New Roman" w:eastAsia="Times New Roman" w:hAnsi="Times New Roman" w:cs="Times New Roman"/>
          <w:sz w:val="28"/>
          <w:szCs w:val="28"/>
          <w:lang w:val="es-ES_tradnl"/>
        </w:rPr>
        <w:t xml:space="preserve"> la población afrodescendiente como un nuevo sujeto colectivo con derechos</w:t>
      </w:r>
      <w:r w:rsidRPr="003F6DBE">
        <w:rPr>
          <w:rFonts w:ascii="Times New Roman" w:eastAsia="Times New Roman" w:hAnsi="Times New Roman" w:cs="Times New Roman"/>
          <w:sz w:val="28"/>
          <w:szCs w:val="28"/>
          <w:lang w:val="es-ES_tradnl"/>
        </w:rPr>
        <w:t xml:space="preserve"> y así se ha reafirmado por la jurisprudencia constitucional mediante sentencias como </w:t>
      </w:r>
      <w:r w:rsidRPr="003F6DBE">
        <w:rPr>
          <w:rFonts w:ascii="Times New Roman" w:eastAsia="Times New Roman" w:hAnsi="Times New Roman" w:cs="Times New Roman"/>
          <w:sz w:val="28"/>
          <w:szCs w:val="28"/>
          <w:lang w:val="es-ES_tradnl"/>
        </w:rPr>
        <w:t>C</w:t>
      </w:r>
      <w:r w:rsidRPr="003F6DBE">
        <w:rPr>
          <w:rFonts w:ascii="Times New Roman" w:eastAsia="Times New Roman" w:hAnsi="Times New Roman" w:cs="Times New Roman"/>
          <w:sz w:val="28"/>
          <w:szCs w:val="28"/>
          <w:lang w:val="es-ES_tradnl"/>
        </w:rPr>
        <w:t>-</w:t>
      </w:r>
      <w:r w:rsidRPr="003F6DBE">
        <w:rPr>
          <w:rFonts w:ascii="Times New Roman" w:eastAsia="Times New Roman" w:hAnsi="Times New Roman" w:cs="Times New Roman"/>
          <w:sz w:val="28"/>
          <w:szCs w:val="28"/>
          <w:lang w:val="es-ES_tradnl"/>
        </w:rPr>
        <w:t>480 de 2019</w:t>
      </w:r>
      <w:r w:rsidRPr="003F6DBE">
        <w:rPr>
          <w:rStyle w:val="Refdenotaalpie"/>
          <w:rFonts w:ascii="Times New Roman" w:eastAsia="Times New Roman" w:hAnsi="Times New Roman"/>
          <w:sz w:val="28"/>
          <w:szCs w:val="28"/>
          <w:lang w:val="es-ES_tradnl"/>
        </w:rPr>
        <w:footnoteReference w:id="21"/>
      </w:r>
      <w:r w:rsidRPr="003F6DBE">
        <w:rPr>
          <w:rFonts w:ascii="Times New Roman" w:eastAsia="Times New Roman" w:hAnsi="Times New Roman" w:cs="Times New Roman"/>
          <w:sz w:val="28"/>
          <w:szCs w:val="28"/>
          <w:lang w:val="es-ES_tradnl"/>
        </w:rPr>
        <w:t>, al reconocer a esta población co</w:t>
      </w:r>
      <w:r w:rsidRPr="003F6DBE">
        <w:rPr>
          <w:rFonts w:ascii="Times New Roman" w:eastAsia="Times New Roman" w:hAnsi="Times New Roman" w:cs="Times New Roman"/>
          <w:sz w:val="28"/>
          <w:szCs w:val="28"/>
          <w:lang w:val="es-ES_tradnl"/>
        </w:rPr>
        <w:t xml:space="preserve">mo un grupo étnico. </w:t>
      </w:r>
    </w:p>
    <w:p w:rsidR="00707DBB" w:rsidRPr="003F6DBE" w:rsidRDefault="003F6DBE" w:rsidP="00DA100F">
      <w:pPr>
        <w:spacing w:after="0" w:line="240" w:lineRule="auto"/>
        <w:ind w:right="49"/>
        <w:jc w:val="both"/>
        <w:rPr>
          <w:rFonts w:ascii="Times New Roman" w:eastAsia="Times New Roman" w:hAnsi="Times New Roman" w:cs="Times New Roman"/>
          <w:sz w:val="28"/>
          <w:szCs w:val="28"/>
          <w:lang w:val="es-ES_tradnl"/>
        </w:rPr>
      </w:pPr>
    </w:p>
    <w:p w:rsidR="00CF4D73" w:rsidRPr="003F6DBE" w:rsidRDefault="003F6DBE" w:rsidP="00DA100F">
      <w:pPr>
        <w:pStyle w:val="Prrafodelista"/>
        <w:numPr>
          <w:ilvl w:val="0"/>
          <w:numId w:val="2"/>
        </w:numPr>
        <w:spacing w:after="0" w:line="240" w:lineRule="auto"/>
        <w:ind w:left="0" w:right="49" w:firstLine="0"/>
        <w:jc w:val="both"/>
        <w:rPr>
          <w:rFonts w:ascii="Times New Roman" w:eastAsia="Times New Roman" w:hAnsi="Times New Roman" w:cs="Times New Roman"/>
          <w:sz w:val="28"/>
          <w:szCs w:val="28"/>
          <w:lang w:val="es-ES_tradnl"/>
        </w:rPr>
      </w:pPr>
      <w:r w:rsidRPr="003F6DBE">
        <w:rPr>
          <w:rFonts w:ascii="Times New Roman" w:eastAsia="Times New Roman" w:hAnsi="Times New Roman" w:cs="Times New Roman"/>
          <w:sz w:val="28"/>
          <w:szCs w:val="28"/>
          <w:lang w:val="es-ES_tradnl"/>
        </w:rPr>
        <w:t xml:space="preserve">En consecuencia, explica que la finalidad de las disposiciones demandadas fue desarrollar los artículos 285, 289 y 337 constitucionales, relativos a la división del territorio para </w:t>
      </w:r>
      <w:r w:rsidRPr="003F6DBE">
        <w:rPr>
          <w:rFonts w:ascii="Times New Roman" w:eastAsia="Times New Roman" w:hAnsi="Times New Roman" w:cs="Times New Roman"/>
          <w:sz w:val="28"/>
          <w:szCs w:val="28"/>
          <w:lang w:val="es-ES_tradnl"/>
        </w:rPr>
        <w:t>responder a las funciones y servicios a cargo del Est</w:t>
      </w:r>
      <w:r w:rsidRPr="003F6DBE">
        <w:rPr>
          <w:rFonts w:ascii="Times New Roman" w:eastAsia="Times New Roman" w:hAnsi="Times New Roman" w:cs="Times New Roman"/>
          <w:sz w:val="28"/>
          <w:szCs w:val="28"/>
          <w:lang w:val="es-ES_tradnl"/>
        </w:rPr>
        <w:t xml:space="preserve">ado por medio del establecimiento de zonas de fronteras. De acuerdo con estas disposiciones, los departamentos y municipios están facultados para realizar programas de cooperación e integración en beneficio del desarrollo comunitario y </w:t>
      </w:r>
      <w:r w:rsidRPr="003F6DBE">
        <w:rPr>
          <w:rFonts w:ascii="Times New Roman" w:eastAsia="Times New Roman" w:hAnsi="Times New Roman" w:cs="Times New Roman"/>
          <w:sz w:val="28"/>
          <w:szCs w:val="28"/>
          <w:lang w:val="es-ES_tradnl"/>
        </w:rPr>
        <w:t>la sostenibilidad</w:t>
      </w:r>
      <w:r w:rsidRPr="003F6DBE">
        <w:rPr>
          <w:rFonts w:ascii="Times New Roman" w:eastAsia="Times New Roman" w:hAnsi="Times New Roman" w:cs="Times New Roman"/>
          <w:sz w:val="28"/>
          <w:szCs w:val="28"/>
          <w:lang w:val="es-ES_tradnl"/>
        </w:rPr>
        <w:t xml:space="preserve"> am</w:t>
      </w:r>
      <w:r w:rsidRPr="003F6DBE">
        <w:rPr>
          <w:rFonts w:ascii="Times New Roman" w:eastAsia="Times New Roman" w:hAnsi="Times New Roman" w:cs="Times New Roman"/>
          <w:sz w:val="28"/>
          <w:szCs w:val="28"/>
          <w:lang w:val="es-ES_tradnl"/>
        </w:rPr>
        <w:t>bienta</w:t>
      </w:r>
      <w:r w:rsidRPr="003F6DBE">
        <w:rPr>
          <w:rFonts w:ascii="Times New Roman" w:eastAsia="Times New Roman" w:hAnsi="Times New Roman" w:cs="Times New Roman"/>
          <w:sz w:val="28"/>
          <w:szCs w:val="28"/>
          <w:lang w:val="es-ES_tradnl"/>
        </w:rPr>
        <w:t>l</w:t>
      </w:r>
      <w:r w:rsidRPr="003F6DBE">
        <w:rPr>
          <w:rFonts w:ascii="Times New Roman" w:eastAsia="Times New Roman" w:hAnsi="Times New Roman" w:cs="Times New Roman"/>
          <w:sz w:val="28"/>
          <w:szCs w:val="28"/>
          <w:lang w:val="es-ES_tradnl"/>
        </w:rPr>
        <w:t>. Sin embargo, las normas demandadas limitan su alcance, al omitir incluir a los colectivos afrocolombianos, pese a estar en idéntica situación a los regulado</w:t>
      </w:r>
      <w:r w:rsidRPr="003F6DBE">
        <w:rPr>
          <w:rFonts w:ascii="Times New Roman" w:eastAsia="Times New Roman" w:hAnsi="Times New Roman" w:cs="Times New Roman"/>
          <w:sz w:val="28"/>
          <w:szCs w:val="28"/>
          <w:lang w:val="es-ES_tradnl"/>
        </w:rPr>
        <w:t>s</w:t>
      </w:r>
      <w:r w:rsidRPr="003F6DBE">
        <w:rPr>
          <w:rFonts w:ascii="Times New Roman" w:eastAsia="Times New Roman" w:hAnsi="Times New Roman" w:cs="Times New Roman"/>
          <w:sz w:val="28"/>
          <w:szCs w:val="28"/>
          <w:lang w:val="es-ES_tradnl"/>
        </w:rPr>
        <w:t xml:space="preserve"> en los artículos 5, 7, 8 y 10 de la </w:t>
      </w:r>
      <w:r w:rsidRPr="003F6DBE">
        <w:rPr>
          <w:rFonts w:ascii="Times New Roman" w:eastAsia="Times New Roman" w:hAnsi="Times New Roman" w:cs="Times New Roman"/>
          <w:bCs/>
          <w:sz w:val="28"/>
          <w:szCs w:val="28"/>
          <w:lang w:eastAsia="zh-CN"/>
        </w:rPr>
        <w:t>Ley 191 de 1995, al habitar las zonas de frontera y t</w:t>
      </w:r>
      <w:r w:rsidRPr="003F6DBE">
        <w:rPr>
          <w:rFonts w:ascii="Times New Roman" w:eastAsia="Times New Roman" w:hAnsi="Times New Roman" w:cs="Times New Roman"/>
          <w:bCs/>
          <w:sz w:val="28"/>
          <w:szCs w:val="28"/>
          <w:lang w:eastAsia="zh-CN"/>
        </w:rPr>
        <w:t xml:space="preserve">ener interés en ello. De allí que, </w:t>
      </w:r>
      <w:r w:rsidRPr="003F6DBE">
        <w:rPr>
          <w:rFonts w:ascii="Times New Roman" w:eastAsia="Times New Roman" w:hAnsi="Times New Roman" w:cs="Times New Roman"/>
          <w:sz w:val="28"/>
          <w:szCs w:val="28"/>
          <w:lang w:val="es-ES_tradnl"/>
        </w:rPr>
        <w:t>además de las comunidades indígenas,</w:t>
      </w:r>
      <w:r w:rsidRPr="003F6DBE">
        <w:rPr>
          <w:rFonts w:ascii="Times New Roman" w:eastAsia="Times New Roman" w:hAnsi="Times New Roman" w:cs="Times New Roman"/>
          <w:sz w:val="28"/>
          <w:szCs w:val="28"/>
          <w:lang w:val="es-ES_tradnl"/>
        </w:rPr>
        <w:t xml:space="preserve"> se deben respetar su calidad de</w:t>
      </w:r>
      <w:r w:rsidRPr="003F6DBE">
        <w:rPr>
          <w:rFonts w:ascii="Times New Roman" w:eastAsia="Times New Roman" w:hAnsi="Times New Roman" w:cs="Times New Roman"/>
          <w:sz w:val="28"/>
          <w:szCs w:val="28"/>
          <w:lang w:val="es-ES_tradnl"/>
        </w:rPr>
        <w:t xml:space="preserve"> grupos étnicos diferenciados</w:t>
      </w:r>
      <w:r w:rsidRPr="003F6DBE">
        <w:rPr>
          <w:rFonts w:ascii="Times New Roman" w:eastAsia="Times New Roman" w:hAnsi="Times New Roman" w:cs="Times New Roman"/>
          <w:sz w:val="28"/>
          <w:szCs w:val="28"/>
          <w:lang w:val="es-ES_tradnl"/>
        </w:rPr>
        <w:t xml:space="preserve"> (arts. 7 y 55 transitorio de la CP)</w:t>
      </w:r>
      <w:r w:rsidRPr="003F6DBE">
        <w:rPr>
          <w:rFonts w:ascii="Times New Roman" w:eastAsia="Times New Roman" w:hAnsi="Times New Roman" w:cs="Times New Roman"/>
          <w:sz w:val="28"/>
          <w:szCs w:val="28"/>
          <w:lang w:val="es-ES_tradnl"/>
        </w:rPr>
        <w:t xml:space="preserve">, </w:t>
      </w:r>
      <w:r w:rsidRPr="003F6DBE">
        <w:rPr>
          <w:rFonts w:ascii="Times New Roman" w:eastAsia="Times New Roman" w:hAnsi="Times New Roman" w:cs="Times New Roman"/>
          <w:sz w:val="28"/>
          <w:szCs w:val="28"/>
          <w:lang w:val="es-ES_tradnl"/>
        </w:rPr>
        <w:t>así como</w:t>
      </w:r>
      <w:r w:rsidRPr="003F6DBE">
        <w:rPr>
          <w:rFonts w:ascii="Times New Roman" w:eastAsia="Times New Roman" w:hAnsi="Times New Roman" w:cs="Times New Roman"/>
          <w:sz w:val="28"/>
          <w:szCs w:val="28"/>
          <w:lang w:val="es-ES_tradnl"/>
        </w:rPr>
        <w:t xml:space="preserve"> </w:t>
      </w:r>
      <w:r w:rsidRPr="003F6DBE">
        <w:rPr>
          <w:rFonts w:ascii="Times New Roman" w:eastAsia="Times New Roman" w:hAnsi="Times New Roman" w:cs="Times New Roman"/>
          <w:sz w:val="28"/>
          <w:szCs w:val="28"/>
          <w:lang w:val="es-ES_tradnl"/>
        </w:rPr>
        <w:t>el Convenio 169 de la OIT</w:t>
      </w:r>
      <w:r w:rsidRPr="003F6DBE">
        <w:rPr>
          <w:rFonts w:ascii="Times New Roman" w:eastAsia="Times New Roman" w:hAnsi="Times New Roman" w:cs="Times New Roman"/>
          <w:sz w:val="28"/>
          <w:szCs w:val="28"/>
          <w:lang w:val="es-ES_tradnl"/>
        </w:rPr>
        <w:t>.</w:t>
      </w:r>
    </w:p>
    <w:p w:rsidR="007F0877" w:rsidRPr="003F6DBE" w:rsidRDefault="003F6DBE" w:rsidP="00DA100F">
      <w:pPr>
        <w:pStyle w:val="Prrafodelista"/>
        <w:spacing w:after="0" w:line="240" w:lineRule="auto"/>
        <w:ind w:left="0" w:right="49"/>
        <w:jc w:val="both"/>
        <w:rPr>
          <w:rFonts w:ascii="Times New Roman" w:eastAsia="Times New Roman" w:hAnsi="Times New Roman" w:cs="Times New Roman"/>
          <w:sz w:val="28"/>
          <w:szCs w:val="28"/>
          <w:lang w:val="es-ES_tradnl"/>
        </w:rPr>
      </w:pPr>
    </w:p>
    <w:p w:rsidR="006B08DF" w:rsidRPr="003F6DBE" w:rsidRDefault="003F6DBE" w:rsidP="00DA100F">
      <w:pPr>
        <w:pStyle w:val="Prrafodelista"/>
        <w:numPr>
          <w:ilvl w:val="0"/>
          <w:numId w:val="5"/>
        </w:numPr>
        <w:spacing w:after="0" w:line="240" w:lineRule="auto"/>
        <w:ind w:right="49"/>
        <w:jc w:val="both"/>
        <w:rPr>
          <w:rFonts w:ascii="Times New Roman" w:hAnsi="Times New Roman" w:cs="Times New Roman"/>
          <w:b/>
          <w:sz w:val="28"/>
          <w:szCs w:val="28"/>
          <w:lang w:val="es-ES_tradnl"/>
        </w:rPr>
      </w:pPr>
      <w:r w:rsidRPr="003F6DBE">
        <w:rPr>
          <w:rFonts w:ascii="Times New Roman" w:hAnsi="Times New Roman" w:cs="Times New Roman"/>
          <w:b/>
          <w:sz w:val="28"/>
          <w:szCs w:val="28"/>
          <w:lang w:val="es-ES_tradnl"/>
        </w:rPr>
        <w:t xml:space="preserve">Intervención ciudadana de </w:t>
      </w:r>
      <w:r w:rsidRPr="003F6DBE">
        <w:rPr>
          <w:rFonts w:ascii="Times New Roman" w:hAnsi="Times New Roman" w:cs="Times New Roman"/>
          <w:b/>
          <w:sz w:val="28"/>
          <w:szCs w:val="28"/>
          <w:lang w:val="es-ES_tradnl"/>
        </w:rPr>
        <w:t xml:space="preserve">Valentina Álvarez </w:t>
      </w:r>
      <w:r w:rsidRPr="003F6DBE">
        <w:rPr>
          <w:rFonts w:ascii="Times New Roman" w:hAnsi="Times New Roman" w:cs="Times New Roman"/>
          <w:b/>
          <w:sz w:val="28"/>
          <w:szCs w:val="28"/>
          <w:lang w:val="es-ES_tradnl"/>
        </w:rPr>
        <w:t>Lesmes</w:t>
      </w:r>
    </w:p>
    <w:p w:rsidR="006B08DF" w:rsidRPr="003F6DBE" w:rsidRDefault="003F6DBE" w:rsidP="00DA100F">
      <w:pPr>
        <w:spacing w:after="0" w:line="240" w:lineRule="auto"/>
        <w:ind w:right="49"/>
        <w:jc w:val="both"/>
        <w:rPr>
          <w:rFonts w:ascii="Times New Roman" w:hAnsi="Times New Roman" w:cs="Times New Roman"/>
          <w:sz w:val="28"/>
          <w:szCs w:val="28"/>
          <w:lang w:val="es-ES_tradnl"/>
        </w:rPr>
      </w:pPr>
    </w:p>
    <w:p w:rsidR="008321BC" w:rsidRPr="003F6DBE" w:rsidRDefault="003F6DBE" w:rsidP="00DA100F">
      <w:pPr>
        <w:pStyle w:val="Prrafodelista"/>
        <w:numPr>
          <w:ilvl w:val="0"/>
          <w:numId w:val="2"/>
        </w:numPr>
        <w:spacing w:after="0" w:line="240" w:lineRule="auto"/>
        <w:ind w:left="0" w:right="49" w:firstLine="0"/>
        <w:jc w:val="both"/>
        <w:rPr>
          <w:rFonts w:ascii="Times New Roman" w:hAnsi="Times New Roman" w:cs="Times New Roman"/>
          <w:sz w:val="28"/>
          <w:szCs w:val="28"/>
          <w:lang w:val="es-ES_tradnl"/>
        </w:rPr>
      </w:pPr>
      <w:r w:rsidRPr="003F6DBE">
        <w:rPr>
          <w:rFonts w:ascii="Times New Roman" w:hAnsi="Times New Roman" w:cs="Times New Roman"/>
          <w:sz w:val="28"/>
          <w:szCs w:val="28"/>
          <w:lang w:val="es-ES_tradnl"/>
        </w:rPr>
        <w:t>La ciudadana c</w:t>
      </w:r>
      <w:r w:rsidRPr="003F6DBE">
        <w:rPr>
          <w:rFonts w:ascii="Times New Roman" w:hAnsi="Times New Roman" w:cs="Times New Roman"/>
          <w:sz w:val="28"/>
          <w:szCs w:val="28"/>
          <w:lang w:val="es-ES_tradnl"/>
        </w:rPr>
        <w:t>onsidera que los apartes demandados son inconstitucionales</w:t>
      </w:r>
      <w:r w:rsidRPr="003F6DBE">
        <w:rPr>
          <w:rFonts w:ascii="Times New Roman" w:hAnsi="Times New Roman" w:cs="Times New Roman"/>
          <w:sz w:val="28"/>
          <w:szCs w:val="28"/>
          <w:lang w:val="es-ES_tradnl"/>
        </w:rPr>
        <w:t xml:space="preserve">, porque </w:t>
      </w:r>
      <w:r w:rsidRPr="003F6DBE">
        <w:rPr>
          <w:rFonts w:ascii="Times New Roman" w:hAnsi="Times New Roman" w:cs="Times New Roman"/>
          <w:sz w:val="28"/>
          <w:szCs w:val="28"/>
          <w:lang w:val="es-ES_tradnl"/>
        </w:rPr>
        <w:t xml:space="preserve">generan una discriminación en detrimento de los derechos de </w:t>
      </w:r>
      <w:r w:rsidRPr="003F6DBE">
        <w:rPr>
          <w:rFonts w:ascii="Times New Roman" w:hAnsi="Times New Roman" w:cs="Times New Roman"/>
          <w:sz w:val="28"/>
          <w:szCs w:val="28"/>
          <w:lang w:val="es-ES_tradnl"/>
        </w:rPr>
        <w:t xml:space="preserve">las comunidades </w:t>
      </w:r>
      <w:r w:rsidRPr="003F6DBE">
        <w:rPr>
          <w:rFonts w:ascii="Times New Roman" w:hAnsi="Times New Roman" w:cs="Times New Roman"/>
          <w:sz w:val="28"/>
          <w:szCs w:val="28"/>
          <w:lang w:val="es-ES_tradnl"/>
        </w:rPr>
        <w:t>negras, afrodescendientes, raizales y palenqueras</w:t>
      </w:r>
      <w:r w:rsidRPr="003F6DBE">
        <w:rPr>
          <w:rFonts w:ascii="Times New Roman" w:hAnsi="Times New Roman" w:cs="Times New Roman"/>
          <w:sz w:val="28"/>
          <w:szCs w:val="28"/>
          <w:lang w:val="es-ES_tradnl"/>
        </w:rPr>
        <w:t xml:space="preserve"> al haber sido excluidos sin razón. En esa</w:t>
      </w:r>
      <w:r w:rsidRPr="003F6DBE">
        <w:rPr>
          <w:rFonts w:ascii="Times New Roman" w:hAnsi="Times New Roman" w:cs="Times New Roman"/>
          <w:sz w:val="28"/>
          <w:szCs w:val="28"/>
          <w:lang w:val="es-ES_tradnl"/>
        </w:rPr>
        <w:t xml:space="preserve"> dirección, a</w:t>
      </w:r>
      <w:r w:rsidRPr="003F6DBE">
        <w:rPr>
          <w:rFonts w:ascii="Times New Roman" w:hAnsi="Times New Roman" w:cs="Times New Roman"/>
          <w:sz w:val="28"/>
          <w:szCs w:val="28"/>
          <w:lang w:val="es-ES_tradnl"/>
        </w:rPr>
        <w:t>firma que la exclusión de estas comunidades les impide ejercer sus derechos constitucionales, en igualdad de condiciones</w:t>
      </w:r>
      <w:r w:rsidRPr="003F6DBE">
        <w:rPr>
          <w:rFonts w:ascii="Times New Roman" w:hAnsi="Times New Roman" w:cs="Times New Roman"/>
          <w:sz w:val="28"/>
          <w:szCs w:val="28"/>
          <w:lang w:val="es-ES_tradnl"/>
        </w:rPr>
        <w:t>,</w:t>
      </w:r>
      <w:r w:rsidRPr="003F6DBE">
        <w:rPr>
          <w:rFonts w:ascii="Times New Roman" w:hAnsi="Times New Roman" w:cs="Times New Roman"/>
          <w:sz w:val="28"/>
          <w:szCs w:val="28"/>
          <w:lang w:val="es-ES_tradnl"/>
        </w:rPr>
        <w:t xml:space="preserve"> </w:t>
      </w:r>
      <w:r w:rsidRPr="003F6DBE">
        <w:rPr>
          <w:rFonts w:ascii="Times New Roman" w:hAnsi="Times New Roman" w:cs="Times New Roman"/>
          <w:sz w:val="28"/>
          <w:szCs w:val="28"/>
          <w:lang w:val="es-ES_tradnl"/>
        </w:rPr>
        <w:t>respecto a de</w:t>
      </w:r>
      <w:r w:rsidRPr="003F6DBE">
        <w:rPr>
          <w:rFonts w:ascii="Times New Roman" w:hAnsi="Times New Roman" w:cs="Times New Roman"/>
          <w:sz w:val="28"/>
          <w:szCs w:val="28"/>
          <w:lang w:val="es-ES_tradnl"/>
        </w:rPr>
        <w:t xml:space="preserve"> los grupos indígenas</w:t>
      </w:r>
      <w:r w:rsidRPr="003F6DBE">
        <w:rPr>
          <w:rFonts w:ascii="Times New Roman" w:hAnsi="Times New Roman" w:cs="Times New Roman"/>
          <w:sz w:val="28"/>
          <w:szCs w:val="28"/>
          <w:lang w:val="es-ES_tradnl"/>
        </w:rPr>
        <w:t>, pese a que son comparables para estos efectos</w:t>
      </w:r>
      <w:r w:rsidRPr="003F6DBE">
        <w:rPr>
          <w:rFonts w:ascii="Times New Roman" w:hAnsi="Times New Roman" w:cs="Times New Roman"/>
          <w:sz w:val="28"/>
          <w:szCs w:val="28"/>
          <w:lang w:val="es-ES_tradnl"/>
        </w:rPr>
        <w:t>. D</w:t>
      </w:r>
      <w:r w:rsidRPr="003F6DBE">
        <w:rPr>
          <w:rFonts w:ascii="Times New Roman" w:hAnsi="Times New Roman" w:cs="Times New Roman"/>
          <w:sz w:val="28"/>
          <w:szCs w:val="28"/>
          <w:lang w:val="es-ES_tradnl"/>
        </w:rPr>
        <w:t xml:space="preserve">ichas disposiciones carecen de una </w:t>
      </w:r>
      <w:r w:rsidRPr="003F6DBE">
        <w:rPr>
          <w:rFonts w:ascii="Times New Roman" w:hAnsi="Times New Roman" w:cs="Times New Roman"/>
          <w:sz w:val="28"/>
          <w:szCs w:val="28"/>
          <w:lang w:val="es-ES_tradnl"/>
        </w:rPr>
        <w:t>base razonable que justifique esa exclusión y</w:t>
      </w:r>
      <w:r w:rsidRPr="003F6DBE">
        <w:rPr>
          <w:rFonts w:ascii="Times New Roman" w:hAnsi="Times New Roman" w:cs="Times New Roman"/>
          <w:sz w:val="28"/>
          <w:szCs w:val="28"/>
          <w:lang w:val="es-ES_tradnl"/>
        </w:rPr>
        <w:t xml:space="preserve">, </w:t>
      </w:r>
      <w:r w:rsidRPr="003F6DBE">
        <w:rPr>
          <w:rFonts w:ascii="Times New Roman" w:hAnsi="Times New Roman" w:cs="Times New Roman"/>
          <w:sz w:val="28"/>
          <w:szCs w:val="28"/>
          <w:lang w:val="es-ES_tradnl"/>
        </w:rPr>
        <w:t>bajo ese entendido, esta Corporación debe declarar su inexequibilidad.</w:t>
      </w:r>
    </w:p>
    <w:p w:rsidR="002A6AC6" w:rsidRPr="003F6DBE" w:rsidRDefault="003F6DBE" w:rsidP="00DA100F">
      <w:pPr>
        <w:spacing w:after="0" w:line="240" w:lineRule="auto"/>
        <w:ind w:right="49"/>
        <w:jc w:val="both"/>
        <w:rPr>
          <w:rFonts w:ascii="Times New Roman" w:hAnsi="Times New Roman" w:cs="Times New Roman"/>
          <w:sz w:val="28"/>
          <w:szCs w:val="28"/>
          <w:lang w:val="es-ES_tradnl"/>
        </w:rPr>
      </w:pPr>
    </w:p>
    <w:p w:rsidR="002A6AC6" w:rsidRPr="003F6DBE" w:rsidRDefault="003F6DBE" w:rsidP="00DA100F">
      <w:pPr>
        <w:pStyle w:val="Prrafodelista"/>
        <w:numPr>
          <w:ilvl w:val="0"/>
          <w:numId w:val="2"/>
        </w:numPr>
        <w:spacing w:after="0" w:line="240" w:lineRule="auto"/>
        <w:ind w:left="0" w:right="49" w:firstLine="0"/>
        <w:jc w:val="both"/>
        <w:rPr>
          <w:rFonts w:ascii="Times New Roman" w:hAnsi="Times New Roman" w:cs="Times New Roman"/>
          <w:sz w:val="28"/>
          <w:szCs w:val="28"/>
          <w:lang w:val="es-ES_tradnl"/>
        </w:rPr>
      </w:pPr>
      <w:r w:rsidRPr="003F6DBE">
        <w:rPr>
          <w:rFonts w:ascii="Times New Roman" w:hAnsi="Times New Roman" w:cs="Times New Roman"/>
          <w:sz w:val="28"/>
          <w:szCs w:val="28"/>
          <w:lang w:val="es-ES_tradnl"/>
        </w:rPr>
        <w:t>Con todo, indica respecto a la falta de justificación de la exclusión por parte del legislador que n</w:t>
      </w:r>
      <w:r w:rsidRPr="003F6DBE">
        <w:rPr>
          <w:rFonts w:ascii="Times New Roman" w:hAnsi="Times New Roman" w:cs="Times New Roman"/>
          <w:sz w:val="28"/>
        </w:rPr>
        <w:t>o existen razones válidas que permita</w:t>
      </w:r>
      <w:r w:rsidRPr="003F6DBE">
        <w:rPr>
          <w:rFonts w:ascii="Times New Roman" w:hAnsi="Times New Roman" w:cs="Times New Roman"/>
          <w:sz w:val="28"/>
        </w:rPr>
        <w:t>n la discriminación en la que incurrió el legislador al no incluir a estos grupos étnicos. La demografía, la historia y las obligaciones constitucionales e internacionales respaldan la necesidad de considerar a los pueblos negros, afrocolombianos, raizales</w:t>
      </w:r>
      <w:r w:rsidRPr="003F6DBE">
        <w:rPr>
          <w:rFonts w:ascii="Times New Roman" w:hAnsi="Times New Roman" w:cs="Times New Roman"/>
          <w:sz w:val="28"/>
        </w:rPr>
        <w:t xml:space="preserve"> y palenqueros</w:t>
      </w:r>
      <w:r w:rsidRPr="003F6DBE">
        <w:rPr>
          <w:rFonts w:ascii="Times New Roman" w:hAnsi="Times New Roman" w:cs="Times New Roman"/>
          <w:sz w:val="28"/>
        </w:rPr>
        <w:t>, quien</w:t>
      </w:r>
      <w:r w:rsidRPr="003F6DBE">
        <w:rPr>
          <w:rFonts w:ascii="Times New Roman" w:hAnsi="Times New Roman" w:cs="Times New Roman"/>
          <w:sz w:val="28"/>
        </w:rPr>
        <w:t>es</w:t>
      </w:r>
      <w:r w:rsidRPr="003F6DBE">
        <w:rPr>
          <w:rFonts w:ascii="Times New Roman" w:hAnsi="Times New Roman" w:cs="Times New Roman"/>
          <w:sz w:val="28"/>
        </w:rPr>
        <w:t xml:space="preserve"> han sido </w:t>
      </w:r>
      <w:r w:rsidRPr="003F6DBE">
        <w:rPr>
          <w:rFonts w:ascii="Times New Roman" w:hAnsi="Times New Roman" w:cs="Times New Roman"/>
          <w:sz w:val="28"/>
        </w:rPr>
        <w:t xml:space="preserve">excluidos y confinados a zonas de frontera, en los términos expuestos en la corrección de la demanda. </w:t>
      </w:r>
    </w:p>
    <w:p w:rsidR="008321BC" w:rsidRPr="003F6DBE" w:rsidRDefault="003F6DBE" w:rsidP="00DA100F">
      <w:pPr>
        <w:spacing w:after="0" w:line="240" w:lineRule="auto"/>
        <w:ind w:right="49"/>
        <w:jc w:val="both"/>
        <w:rPr>
          <w:rFonts w:ascii="Times New Roman" w:hAnsi="Times New Roman" w:cs="Times New Roman"/>
          <w:sz w:val="28"/>
          <w:szCs w:val="28"/>
          <w:lang w:val="es-ES_tradnl"/>
        </w:rPr>
      </w:pPr>
    </w:p>
    <w:p w:rsidR="008321BC" w:rsidRPr="003F6DBE" w:rsidRDefault="003F6DBE" w:rsidP="00DA100F">
      <w:pPr>
        <w:pStyle w:val="Prrafodelista"/>
        <w:numPr>
          <w:ilvl w:val="0"/>
          <w:numId w:val="5"/>
        </w:numPr>
        <w:spacing w:after="0" w:line="240" w:lineRule="auto"/>
        <w:ind w:right="49"/>
        <w:jc w:val="both"/>
        <w:rPr>
          <w:rFonts w:ascii="Times New Roman" w:hAnsi="Times New Roman" w:cs="Times New Roman"/>
          <w:b/>
          <w:sz w:val="28"/>
          <w:szCs w:val="28"/>
          <w:lang w:val="es-ES_tradnl"/>
        </w:rPr>
      </w:pPr>
      <w:r w:rsidRPr="003F6DBE">
        <w:rPr>
          <w:rFonts w:ascii="Times New Roman" w:hAnsi="Times New Roman" w:cs="Times New Roman"/>
          <w:b/>
          <w:sz w:val="28"/>
          <w:szCs w:val="28"/>
          <w:lang w:val="es-ES_tradnl"/>
        </w:rPr>
        <w:t>Ilex Acción Jurídica</w:t>
      </w:r>
    </w:p>
    <w:p w:rsidR="00C207CB" w:rsidRPr="003F6DBE" w:rsidRDefault="003F6DBE" w:rsidP="00DA100F">
      <w:pPr>
        <w:spacing w:after="0" w:line="240" w:lineRule="auto"/>
        <w:ind w:right="49"/>
        <w:jc w:val="both"/>
        <w:rPr>
          <w:rFonts w:ascii="Times New Roman" w:hAnsi="Times New Roman" w:cs="Times New Roman"/>
          <w:sz w:val="28"/>
          <w:szCs w:val="28"/>
          <w:lang w:val="es-ES_tradnl"/>
        </w:rPr>
      </w:pPr>
    </w:p>
    <w:p w:rsidR="0055699A" w:rsidRPr="003F6DBE" w:rsidRDefault="003F6DBE" w:rsidP="00DA100F">
      <w:pPr>
        <w:pStyle w:val="Prrafodelista"/>
        <w:numPr>
          <w:ilvl w:val="0"/>
          <w:numId w:val="2"/>
        </w:numPr>
        <w:spacing w:after="0" w:line="240" w:lineRule="auto"/>
        <w:ind w:left="0" w:right="49" w:firstLine="0"/>
        <w:jc w:val="both"/>
        <w:rPr>
          <w:rFonts w:ascii="Times New Roman" w:hAnsi="Times New Roman" w:cs="Times New Roman"/>
          <w:sz w:val="28"/>
          <w:szCs w:val="28"/>
          <w:lang w:val="es-ES_tradnl"/>
        </w:rPr>
      </w:pPr>
      <w:r w:rsidRPr="003F6DBE">
        <w:rPr>
          <w:rFonts w:ascii="Times New Roman" w:hAnsi="Times New Roman" w:cs="Times New Roman"/>
          <w:sz w:val="28"/>
          <w:szCs w:val="28"/>
          <w:lang w:val="es-ES_tradnl"/>
        </w:rPr>
        <w:t>Mediante la</w:t>
      </w:r>
      <w:r w:rsidRPr="003F6DBE">
        <w:rPr>
          <w:rFonts w:ascii="Times New Roman" w:hAnsi="Times New Roman" w:cs="Times New Roman"/>
          <w:sz w:val="28"/>
          <w:szCs w:val="28"/>
          <w:lang w:val="es-ES_tradnl"/>
        </w:rPr>
        <w:t xml:space="preserve"> s</w:t>
      </w:r>
      <w:r w:rsidRPr="003F6DBE">
        <w:rPr>
          <w:rFonts w:ascii="Times New Roman" w:hAnsi="Times New Roman" w:cs="Times New Roman"/>
          <w:sz w:val="28"/>
        </w:rPr>
        <w:t>ubdirectora general y directora de litigio estratégico</w:t>
      </w:r>
      <w:r w:rsidRPr="003F6DBE">
        <w:rPr>
          <w:rStyle w:val="Refdenotaalpie"/>
          <w:rFonts w:ascii="Times New Roman" w:hAnsi="Times New Roman"/>
          <w:sz w:val="28"/>
        </w:rPr>
        <w:footnoteReference w:id="22"/>
      </w:r>
      <w:r w:rsidRPr="003F6DBE">
        <w:rPr>
          <w:rFonts w:ascii="Times New Roman" w:hAnsi="Times New Roman" w:cs="Times New Roman"/>
          <w:sz w:val="28"/>
          <w:szCs w:val="28"/>
        </w:rPr>
        <w:t xml:space="preserve"> </w:t>
      </w:r>
      <w:r w:rsidRPr="003F6DBE">
        <w:rPr>
          <w:rFonts w:ascii="Times New Roman" w:hAnsi="Times New Roman" w:cs="Times New Roman"/>
          <w:sz w:val="28"/>
          <w:szCs w:val="28"/>
          <w:lang w:val="es-ES_tradnl"/>
        </w:rPr>
        <w:t xml:space="preserve">solicitan que se declare la constitucionalidad condicionada de los apartes </w:t>
      </w:r>
      <w:r w:rsidRPr="003F6DBE">
        <w:rPr>
          <w:rFonts w:ascii="Times New Roman" w:hAnsi="Times New Roman" w:cs="Times New Roman"/>
          <w:sz w:val="28"/>
          <w:szCs w:val="28"/>
          <w:lang w:val="es-ES_tradnl"/>
        </w:rPr>
        <w:t>demandados de la Ley 191 de 1995</w:t>
      </w:r>
      <w:r w:rsidRPr="003F6DBE">
        <w:rPr>
          <w:rFonts w:ascii="Times New Roman" w:hAnsi="Times New Roman" w:cs="Times New Roman"/>
          <w:sz w:val="28"/>
          <w:szCs w:val="28"/>
          <w:lang w:val="es-ES_tradnl"/>
        </w:rPr>
        <w:t>, pues consideran que se está ante una omisión legislativa relativa</w:t>
      </w:r>
      <w:r w:rsidRPr="003F6DBE">
        <w:rPr>
          <w:rFonts w:ascii="Times New Roman" w:hAnsi="Times New Roman" w:cs="Times New Roman"/>
          <w:sz w:val="28"/>
          <w:szCs w:val="28"/>
          <w:lang w:val="es-ES_tradnl"/>
        </w:rPr>
        <w:t xml:space="preserve"> por no incluirse, además de las comunidades indígenas, </w:t>
      </w:r>
      <w:r w:rsidRPr="003F6DBE">
        <w:rPr>
          <w:rFonts w:ascii="Times New Roman" w:hAnsi="Times New Roman" w:cs="Times New Roman"/>
          <w:sz w:val="28"/>
          <w:szCs w:val="28"/>
          <w:lang w:val="es-ES_tradnl"/>
        </w:rPr>
        <w:t xml:space="preserve">a </w:t>
      </w:r>
      <w:r w:rsidRPr="003F6DBE">
        <w:rPr>
          <w:rFonts w:ascii="Times New Roman" w:hAnsi="Times New Roman" w:cs="Times New Roman"/>
          <w:sz w:val="28"/>
          <w:szCs w:val="28"/>
          <w:lang w:val="es-ES_tradnl"/>
        </w:rPr>
        <w:t>las</w:t>
      </w:r>
      <w:r w:rsidRPr="003F6DBE">
        <w:rPr>
          <w:rFonts w:ascii="Times New Roman" w:hAnsi="Times New Roman" w:cs="Times New Roman"/>
          <w:sz w:val="28"/>
          <w:szCs w:val="28"/>
          <w:lang w:val="es-ES_tradnl"/>
        </w:rPr>
        <w:t xml:space="preserve"> negras, afrocolombia</w:t>
      </w:r>
      <w:r w:rsidRPr="003F6DBE">
        <w:rPr>
          <w:rFonts w:ascii="Times New Roman" w:hAnsi="Times New Roman" w:cs="Times New Roman"/>
          <w:sz w:val="28"/>
          <w:szCs w:val="28"/>
          <w:lang w:val="es-ES_tradnl"/>
        </w:rPr>
        <w:t>nas, raizales y pale</w:t>
      </w:r>
      <w:r w:rsidRPr="003F6DBE">
        <w:rPr>
          <w:rFonts w:ascii="Times New Roman" w:hAnsi="Times New Roman" w:cs="Times New Roman"/>
          <w:sz w:val="28"/>
          <w:szCs w:val="28"/>
          <w:lang w:val="es-ES_tradnl"/>
        </w:rPr>
        <w:t>n</w:t>
      </w:r>
      <w:r w:rsidRPr="003F6DBE">
        <w:rPr>
          <w:rFonts w:ascii="Times New Roman" w:hAnsi="Times New Roman" w:cs="Times New Roman"/>
          <w:sz w:val="28"/>
          <w:szCs w:val="28"/>
          <w:lang w:val="es-ES_tradnl"/>
        </w:rPr>
        <w:t>queras.</w:t>
      </w:r>
      <w:r w:rsidRPr="003F6DBE">
        <w:rPr>
          <w:rFonts w:ascii="Times New Roman" w:hAnsi="Times New Roman" w:cs="Times New Roman"/>
          <w:sz w:val="28"/>
          <w:szCs w:val="28"/>
          <w:lang w:val="es-ES_tradnl"/>
        </w:rPr>
        <w:t xml:space="preserve"> Al respecto, advierten que los cargos por omisión legislativa relativa responden a una estructura particular, como así se consideró en la sentencia C-1236 de 2005. </w:t>
      </w:r>
    </w:p>
    <w:p w:rsidR="0055699A" w:rsidRPr="003F6DBE" w:rsidRDefault="003F6DBE" w:rsidP="00DA100F">
      <w:pPr>
        <w:spacing w:after="0" w:line="240" w:lineRule="auto"/>
        <w:ind w:right="49"/>
        <w:jc w:val="both"/>
        <w:rPr>
          <w:rFonts w:ascii="Times New Roman" w:hAnsi="Times New Roman" w:cs="Times New Roman"/>
          <w:sz w:val="28"/>
          <w:szCs w:val="28"/>
          <w:lang w:val="es-ES_tradnl"/>
        </w:rPr>
      </w:pPr>
    </w:p>
    <w:p w:rsidR="00994200" w:rsidRPr="003F6DBE" w:rsidRDefault="003F6DBE" w:rsidP="00DA100F">
      <w:pPr>
        <w:pStyle w:val="Prrafodelista"/>
        <w:numPr>
          <w:ilvl w:val="0"/>
          <w:numId w:val="2"/>
        </w:numPr>
        <w:spacing w:after="0" w:line="240" w:lineRule="auto"/>
        <w:ind w:left="0" w:right="49" w:firstLine="0"/>
        <w:jc w:val="both"/>
        <w:rPr>
          <w:rFonts w:ascii="Times New Roman" w:hAnsi="Times New Roman" w:cs="Times New Roman"/>
          <w:sz w:val="28"/>
          <w:szCs w:val="28"/>
          <w:lang w:val="es-ES_tradnl"/>
        </w:rPr>
      </w:pPr>
      <w:r w:rsidRPr="003F6DBE">
        <w:rPr>
          <w:rFonts w:ascii="Times New Roman" w:hAnsi="Times New Roman" w:cs="Times New Roman"/>
          <w:sz w:val="28"/>
          <w:szCs w:val="28"/>
          <w:lang w:val="es-ES_tradnl"/>
        </w:rPr>
        <w:t>A partir de esos presupuestos, señalan que excluir a las comu</w:t>
      </w:r>
      <w:r w:rsidRPr="003F6DBE">
        <w:rPr>
          <w:rFonts w:ascii="Times New Roman" w:hAnsi="Times New Roman" w:cs="Times New Roman"/>
          <w:sz w:val="28"/>
          <w:szCs w:val="28"/>
          <w:lang w:val="es-ES_tradnl"/>
        </w:rPr>
        <w:t xml:space="preserve">nidades </w:t>
      </w:r>
      <w:r w:rsidRPr="003F6DBE">
        <w:rPr>
          <w:rFonts w:ascii="Times New Roman" w:hAnsi="Times New Roman" w:cs="Times New Roman"/>
          <w:sz w:val="28"/>
          <w:szCs w:val="28"/>
          <w:lang w:val="es-ES_tradnl"/>
        </w:rPr>
        <w:t>afrocolombiana de</w:t>
      </w:r>
      <w:r w:rsidRPr="003F6DBE">
        <w:rPr>
          <w:rFonts w:ascii="Times New Roman" w:hAnsi="Times New Roman" w:cs="Times New Roman"/>
          <w:sz w:val="28"/>
          <w:szCs w:val="28"/>
          <w:lang w:val="es-ES_tradnl"/>
        </w:rPr>
        <w:t xml:space="preserve"> los apartes normativos demandados</w:t>
      </w:r>
      <w:r w:rsidRPr="003F6DBE">
        <w:rPr>
          <w:rFonts w:ascii="Times New Roman" w:hAnsi="Times New Roman" w:cs="Times New Roman"/>
          <w:sz w:val="28"/>
          <w:szCs w:val="28"/>
          <w:lang w:val="es-ES_tradnl"/>
        </w:rPr>
        <w:t xml:space="preserve"> </w:t>
      </w:r>
      <w:r w:rsidRPr="003F6DBE">
        <w:rPr>
          <w:rFonts w:ascii="Times New Roman" w:hAnsi="Times New Roman" w:cs="Times New Roman"/>
          <w:sz w:val="28"/>
          <w:szCs w:val="28"/>
          <w:lang w:val="es-ES_tradnl"/>
        </w:rPr>
        <w:t xml:space="preserve">donde sólo se </w:t>
      </w:r>
      <w:r w:rsidRPr="003F6DBE">
        <w:rPr>
          <w:rFonts w:ascii="Times New Roman" w:hAnsi="Times New Roman" w:cs="Times New Roman"/>
          <w:sz w:val="28"/>
          <w:szCs w:val="28"/>
          <w:lang w:val="es-ES_tradnl"/>
        </w:rPr>
        <w:t>mencionó a</w:t>
      </w:r>
      <w:r w:rsidRPr="003F6DBE">
        <w:rPr>
          <w:rFonts w:ascii="Times New Roman" w:hAnsi="Times New Roman" w:cs="Times New Roman"/>
          <w:sz w:val="28"/>
          <w:szCs w:val="28"/>
          <w:lang w:val="es-ES_tradnl"/>
        </w:rPr>
        <w:t xml:space="preserve"> las “indígenas”, carece de razón, justificación y objetividad.</w:t>
      </w:r>
      <w:r w:rsidRPr="003F6DBE">
        <w:rPr>
          <w:rFonts w:ascii="Times New Roman" w:hAnsi="Times New Roman" w:cs="Times New Roman"/>
          <w:sz w:val="28"/>
          <w:szCs w:val="28"/>
          <w:lang w:val="es-ES_tradnl"/>
        </w:rPr>
        <w:t xml:space="preserve"> </w:t>
      </w:r>
      <w:r w:rsidRPr="003F6DBE">
        <w:rPr>
          <w:rFonts w:ascii="Times New Roman" w:hAnsi="Times New Roman" w:cs="Times New Roman"/>
          <w:sz w:val="28"/>
          <w:szCs w:val="28"/>
          <w:lang w:val="es-ES_tradnl"/>
        </w:rPr>
        <w:t>Indican que esa discriminación no</w:t>
      </w:r>
      <w:r w:rsidRPr="003F6DBE">
        <w:rPr>
          <w:rFonts w:ascii="Times New Roman" w:hAnsi="Times New Roman" w:cs="Times New Roman"/>
          <w:sz w:val="28"/>
          <w:szCs w:val="28"/>
          <w:lang w:val="es-ES_tradnl"/>
        </w:rPr>
        <w:t xml:space="preserve"> se ajusta con </w:t>
      </w:r>
      <w:r w:rsidRPr="003F6DBE">
        <w:rPr>
          <w:rFonts w:ascii="Times New Roman" w:hAnsi="Times New Roman" w:cs="Times New Roman"/>
          <w:sz w:val="28"/>
          <w:szCs w:val="28"/>
          <w:lang w:val="es-ES_tradnl"/>
        </w:rPr>
        <w:t xml:space="preserve">el deber impuesto al </w:t>
      </w:r>
      <w:r w:rsidRPr="003F6DBE">
        <w:rPr>
          <w:rFonts w:ascii="Times New Roman" w:hAnsi="Times New Roman" w:cs="Times New Roman"/>
          <w:sz w:val="28"/>
          <w:szCs w:val="28"/>
          <w:lang w:val="es-ES_tradnl"/>
        </w:rPr>
        <w:t>E</w:t>
      </w:r>
      <w:r w:rsidRPr="003F6DBE">
        <w:rPr>
          <w:rFonts w:ascii="Times New Roman" w:hAnsi="Times New Roman" w:cs="Times New Roman"/>
          <w:sz w:val="28"/>
          <w:szCs w:val="28"/>
          <w:lang w:val="es-ES_tradnl"/>
        </w:rPr>
        <w:t>stado</w:t>
      </w:r>
      <w:r w:rsidRPr="003F6DBE">
        <w:rPr>
          <w:rFonts w:ascii="Times New Roman" w:hAnsi="Times New Roman" w:cs="Times New Roman"/>
          <w:sz w:val="28"/>
          <w:szCs w:val="28"/>
          <w:lang w:val="es-ES_tradnl"/>
        </w:rPr>
        <w:t xml:space="preserve"> colombiano </w:t>
      </w:r>
      <w:r w:rsidRPr="003F6DBE">
        <w:rPr>
          <w:rFonts w:ascii="Times New Roman" w:hAnsi="Times New Roman" w:cs="Times New Roman"/>
          <w:sz w:val="28"/>
          <w:szCs w:val="28"/>
          <w:lang w:val="es-ES_tradnl"/>
        </w:rPr>
        <w:t>por</w:t>
      </w:r>
      <w:r w:rsidRPr="003F6DBE">
        <w:rPr>
          <w:rFonts w:ascii="Times New Roman" w:hAnsi="Times New Roman" w:cs="Times New Roman"/>
          <w:sz w:val="28"/>
          <w:szCs w:val="28"/>
          <w:lang w:val="es-ES_tradnl"/>
        </w:rPr>
        <w:t xml:space="preserve"> la </w:t>
      </w:r>
      <w:r w:rsidRPr="003F6DBE">
        <w:rPr>
          <w:rFonts w:ascii="Times New Roman" w:hAnsi="Times New Roman" w:cs="Times New Roman"/>
          <w:sz w:val="28"/>
          <w:szCs w:val="28"/>
          <w:lang w:val="es-ES_tradnl"/>
        </w:rPr>
        <w:t>C</w:t>
      </w:r>
      <w:r w:rsidRPr="003F6DBE">
        <w:rPr>
          <w:rFonts w:ascii="Times New Roman" w:hAnsi="Times New Roman" w:cs="Times New Roman"/>
          <w:sz w:val="28"/>
          <w:szCs w:val="28"/>
          <w:lang w:val="es-ES_tradnl"/>
        </w:rPr>
        <w:t>onstitución P</w:t>
      </w:r>
      <w:r w:rsidRPr="003F6DBE">
        <w:rPr>
          <w:rFonts w:ascii="Times New Roman" w:hAnsi="Times New Roman" w:cs="Times New Roman"/>
          <w:sz w:val="28"/>
          <w:szCs w:val="28"/>
          <w:lang w:val="es-ES_tradnl"/>
        </w:rPr>
        <w:t xml:space="preserve">olítica y </w:t>
      </w:r>
      <w:r w:rsidRPr="003F6DBE">
        <w:rPr>
          <w:rFonts w:ascii="Times New Roman" w:hAnsi="Times New Roman" w:cs="Times New Roman"/>
          <w:sz w:val="28"/>
          <w:szCs w:val="28"/>
          <w:lang w:val="es-ES_tradnl"/>
        </w:rPr>
        <w:t xml:space="preserve">los </w:t>
      </w:r>
      <w:r w:rsidRPr="003F6DBE">
        <w:rPr>
          <w:rFonts w:ascii="Times New Roman" w:hAnsi="Times New Roman" w:cs="Times New Roman"/>
          <w:sz w:val="28"/>
          <w:szCs w:val="28"/>
          <w:lang w:val="es-ES_tradnl"/>
        </w:rPr>
        <w:t>tratados internacionales, como e</w:t>
      </w:r>
      <w:r w:rsidRPr="003F6DBE">
        <w:rPr>
          <w:rFonts w:ascii="Times New Roman" w:hAnsi="Times New Roman" w:cs="Times New Roman"/>
          <w:sz w:val="28"/>
          <w:szCs w:val="28"/>
          <w:lang w:val="es-ES_tradnl"/>
        </w:rPr>
        <w:t xml:space="preserve">l Convenio 169 de la OIT, </w:t>
      </w:r>
      <w:r w:rsidRPr="003F6DBE">
        <w:rPr>
          <w:rFonts w:ascii="Times New Roman" w:hAnsi="Times New Roman" w:cs="Times New Roman"/>
          <w:sz w:val="28"/>
          <w:szCs w:val="28"/>
          <w:lang w:val="es-ES_tradnl"/>
        </w:rPr>
        <w:t xml:space="preserve">que exigen </w:t>
      </w:r>
      <w:r w:rsidRPr="003F6DBE">
        <w:rPr>
          <w:rFonts w:ascii="Times New Roman" w:hAnsi="Times New Roman" w:cs="Times New Roman"/>
          <w:sz w:val="28"/>
          <w:szCs w:val="28"/>
          <w:lang w:val="es-ES_tradnl"/>
        </w:rPr>
        <w:t xml:space="preserve">proteger la identidad y diversidad étnica y cultural de </w:t>
      </w:r>
      <w:r w:rsidRPr="003F6DBE">
        <w:rPr>
          <w:rFonts w:ascii="Times New Roman" w:hAnsi="Times New Roman" w:cs="Times New Roman"/>
          <w:sz w:val="28"/>
          <w:szCs w:val="28"/>
          <w:lang w:val="es-ES_tradnl"/>
        </w:rPr>
        <w:t xml:space="preserve">estas </w:t>
      </w:r>
      <w:r w:rsidRPr="003F6DBE">
        <w:rPr>
          <w:rFonts w:ascii="Times New Roman" w:hAnsi="Times New Roman" w:cs="Times New Roman"/>
          <w:sz w:val="28"/>
          <w:szCs w:val="28"/>
          <w:lang w:val="es-ES_tradnl"/>
        </w:rPr>
        <w:t>comunidades</w:t>
      </w:r>
      <w:r w:rsidRPr="003F6DBE">
        <w:rPr>
          <w:rStyle w:val="Refdenotaalpie"/>
          <w:rFonts w:ascii="Times New Roman" w:hAnsi="Times New Roman"/>
          <w:sz w:val="28"/>
          <w:szCs w:val="28"/>
          <w:lang w:val="es-ES_tradnl"/>
        </w:rPr>
        <w:footnoteReference w:id="23"/>
      </w:r>
      <w:r w:rsidRPr="003F6DBE">
        <w:rPr>
          <w:rFonts w:ascii="Times New Roman" w:hAnsi="Times New Roman" w:cs="Times New Roman"/>
          <w:sz w:val="28"/>
          <w:szCs w:val="28"/>
          <w:lang w:val="es-ES_tradnl"/>
        </w:rPr>
        <w:t>.</w:t>
      </w:r>
    </w:p>
    <w:p w:rsidR="006B5057" w:rsidRPr="003F6DBE" w:rsidRDefault="003F6DBE" w:rsidP="00DA100F">
      <w:pPr>
        <w:spacing w:after="0" w:line="240" w:lineRule="auto"/>
        <w:ind w:right="49"/>
        <w:jc w:val="both"/>
        <w:rPr>
          <w:rFonts w:ascii="Times New Roman" w:hAnsi="Times New Roman" w:cs="Times New Roman"/>
          <w:sz w:val="28"/>
          <w:szCs w:val="28"/>
          <w:lang w:val="es-ES_tradnl"/>
        </w:rPr>
      </w:pPr>
    </w:p>
    <w:p w:rsidR="008321BC" w:rsidRPr="003F6DBE" w:rsidRDefault="003F6DBE" w:rsidP="00DA100F">
      <w:pPr>
        <w:pStyle w:val="Prrafodelista"/>
        <w:numPr>
          <w:ilvl w:val="0"/>
          <w:numId w:val="2"/>
        </w:numPr>
        <w:spacing w:after="0" w:line="240" w:lineRule="auto"/>
        <w:ind w:left="0" w:right="49" w:firstLine="0"/>
        <w:jc w:val="both"/>
        <w:rPr>
          <w:rFonts w:ascii="Times New Roman" w:hAnsi="Times New Roman" w:cs="Times New Roman"/>
          <w:sz w:val="28"/>
          <w:szCs w:val="28"/>
          <w:shd w:val="clear" w:color="auto" w:fill="FFFFFF"/>
        </w:rPr>
      </w:pPr>
      <w:r w:rsidRPr="003F6DBE">
        <w:rPr>
          <w:rFonts w:ascii="Times New Roman" w:hAnsi="Times New Roman" w:cs="Times New Roman"/>
          <w:sz w:val="28"/>
          <w:szCs w:val="28"/>
          <w:lang w:val="es-ES_tradnl"/>
        </w:rPr>
        <w:t>Con sustento</w:t>
      </w:r>
      <w:r w:rsidRPr="003F6DBE">
        <w:rPr>
          <w:rFonts w:ascii="Times New Roman" w:hAnsi="Times New Roman" w:cs="Times New Roman"/>
          <w:sz w:val="28"/>
          <w:szCs w:val="28"/>
          <w:lang w:val="es-ES_tradnl"/>
        </w:rPr>
        <w:t xml:space="preserve"> </w:t>
      </w:r>
      <w:r w:rsidRPr="003F6DBE">
        <w:rPr>
          <w:rFonts w:ascii="Times New Roman" w:hAnsi="Times New Roman" w:cs="Times New Roman"/>
          <w:sz w:val="28"/>
          <w:szCs w:val="28"/>
          <w:lang w:val="es-ES_tradnl"/>
        </w:rPr>
        <w:t>en</w:t>
      </w:r>
      <w:r w:rsidRPr="003F6DBE">
        <w:rPr>
          <w:rFonts w:ascii="Times New Roman" w:hAnsi="Times New Roman" w:cs="Times New Roman"/>
          <w:sz w:val="28"/>
          <w:szCs w:val="28"/>
          <w:lang w:val="es-ES_tradnl"/>
        </w:rPr>
        <w:t xml:space="preserve"> esas razones</w:t>
      </w:r>
      <w:r w:rsidRPr="003F6DBE">
        <w:rPr>
          <w:rFonts w:ascii="Times New Roman" w:hAnsi="Times New Roman" w:cs="Times New Roman"/>
          <w:sz w:val="28"/>
          <w:szCs w:val="28"/>
          <w:lang w:val="es-ES_tradnl"/>
        </w:rPr>
        <w:t xml:space="preserve"> solicitan declarar la exequibilidad condicionada de la expresión “indígenas” contenida en las disposiciones censuradas, </w:t>
      </w:r>
      <w:r w:rsidRPr="003F6DBE">
        <w:rPr>
          <w:rFonts w:ascii="Times New Roman" w:hAnsi="Times New Roman" w:cs="Times New Roman"/>
          <w:sz w:val="28"/>
          <w:szCs w:val="28"/>
          <w:lang w:val="es-ES_tradnl"/>
        </w:rPr>
        <w:t>en el entendido</w:t>
      </w:r>
      <w:r w:rsidRPr="003F6DBE">
        <w:rPr>
          <w:rFonts w:ascii="Times New Roman" w:hAnsi="Times New Roman" w:cs="Times New Roman"/>
          <w:sz w:val="28"/>
          <w:szCs w:val="28"/>
          <w:lang w:val="es-ES_tradnl"/>
        </w:rPr>
        <w:t xml:space="preserve"> que en ese concepto </w:t>
      </w:r>
      <w:r w:rsidRPr="003F6DBE">
        <w:rPr>
          <w:rFonts w:ascii="Times New Roman" w:hAnsi="Times New Roman" w:cs="Times New Roman"/>
          <w:sz w:val="28"/>
          <w:szCs w:val="28"/>
          <w:lang w:val="es-ES_tradnl"/>
        </w:rPr>
        <w:t>deben incluirse</w:t>
      </w:r>
      <w:r w:rsidRPr="003F6DBE">
        <w:rPr>
          <w:rFonts w:ascii="Times New Roman" w:hAnsi="Times New Roman" w:cs="Times New Roman"/>
          <w:sz w:val="28"/>
          <w:szCs w:val="28"/>
          <w:lang w:val="es-ES_tradnl"/>
        </w:rPr>
        <w:t xml:space="preserve"> las comunidades </w:t>
      </w:r>
      <w:r w:rsidRPr="003F6DBE">
        <w:rPr>
          <w:rFonts w:ascii="Times New Roman" w:hAnsi="Times New Roman" w:cs="Times New Roman"/>
          <w:sz w:val="28"/>
          <w:szCs w:val="28"/>
          <w:lang w:val="es-ES_tradnl"/>
        </w:rPr>
        <w:t>negras, afrocolombianas, raizales y palenqueras, lo cual también en</w:t>
      </w:r>
      <w:r w:rsidRPr="003F6DBE">
        <w:rPr>
          <w:rFonts w:ascii="Times New Roman" w:hAnsi="Times New Roman" w:cs="Times New Roman"/>
          <w:sz w:val="28"/>
          <w:szCs w:val="28"/>
          <w:lang w:val="es-ES_tradnl"/>
        </w:rPr>
        <w:t>cuentra sustento en la necesidad de reconocer el pluralismo, así como “</w:t>
      </w:r>
      <w:r w:rsidRPr="003F6DBE">
        <w:rPr>
          <w:rFonts w:ascii="Times New Roman" w:hAnsi="Times New Roman" w:cs="Times New Roman"/>
          <w:i/>
          <w:iCs/>
          <w:sz w:val="28"/>
        </w:rPr>
        <w:t>la diversidad étnica y cultural de la nación, lo que también contiene el mandato de promover los derechos de estos sujetos y su garantía de efectividad, como contrapeso de la marginació</w:t>
      </w:r>
      <w:r w:rsidRPr="003F6DBE">
        <w:rPr>
          <w:rFonts w:ascii="Times New Roman" w:hAnsi="Times New Roman" w:cs="Times New Roman"/>
          <w:i/>
          <w:iCs/>
          <w:sz w:val="28"/>
        </w:rPr>
        <w:t>n a la que han sido sometidos durante mucho tiempo</w:t>
      </w:r>
      <w:r w:rsidRPr="003F6DBE">
        <w:rPr>
          <w:rFonts w:ascii="Times New Roman" w:hAnsi="Times New Roman" w:cs="Times New Roman"/>
          <w:sz w:val="28"/>
        </w:rPr>
        <w:t>”</w:t>
      </w:r>
      <w:r w:rsidRPr="003F6DBE">
        <w:rPr>
          <w:rStyle w:val="Refdenotaalpie"/>
          <w:rFonts w:ascii="Times New Roman" w:hAnsi="Times New Roman"/>
          <w:sz w:val="28"/>
        </w:rPr>
        <w:footnoteReference w:id="24"/>
      </w:r>
      <w:r w:rsidRPr="003F6DBE">
        <w:rPr>
          <w:rFonts w:ascii="Times New Roman" w:hAnsi="Times New Roman" w:cs="Times New Roman"/>
          <w:sz w:val="28"/>
        </w:rPr>
        <w:t>.</w:t>
      </w:r>
      <w:r w:rsidRPr="003F6DBE">
        <w:rPr>
          <w:rFonts w:ascii="Times New Roman" w:hAnsi="Times New Roman" w:cs="Times New Roman"/>
          <w:sz w:val="28"/>
        </w:rPr>
        <w:t xml:space="preserve"> </w:t>
      </w:r>
      <w:r w:rsidRPr="003F6DBE">
        <w:rPr>
          <w:rFonts w:ascii="Times New Roman" w:hAnsi="Times New Roman" w:cs="Times New Roman"/>
          <w:sz w:val="28"/>
          <w:szCs w:val="28"/>
        </w:rPr>
        <w:t xml:space="preserve">En consecuencia, la sentencia C-189 de 2022 que, a su vez, retomó la sentencia C-480 de 2019 </w:t>
      </w:r>
      <w:r w:rsidRPr="003F6DBE">
        <w:rPr>
          <w:rFonts w:ascii="Times New Roman" w:hAnsi="Times New Roman" w:cs="Times New Roman"/>
          <w:sz w:val="28"/>
          <w:szCs w:val="28"/>
        </w:rPr>
        <w:t xml:space="preserve">explica </w:t>
      </w:r>
      <w:r w:rsidRPr="003F6DBE">
        <w:rPr>
          <w:rFonts w:ascii="Times New Roman" w:hAnsi="Times New Roman" w:cs="Times New Roman"/>
          <w:sz w:val="28"/>
          <w:szCs w:val="28"/>
        </w:rPr>
        <w:t xml:space="preserve">que este reconocimiento </w:t>
      </w:r>
      <w:r w:rsidRPr="003F6DBE">
        <w:rPr>
          <w:rFonts w:ascii="Times New Roman" w:hAnsi="Times New Roman" w:cs="Times New Roman"/>
          <w:sz w:val="28"/>
          <w:szCs w:val="28"/>
        </w:rPr>
        <w:t xml:space="preserve">busca </w:t>
      </w:r>
      <w:r w:rsidRPr="003F6DBE">
        <w:rPr>
          <w:rFonts w:ascii="Times New Roman" w:hAnsi="Times New Roman" w:cs="Times New Roman"/>
          <w:sz w:val="28"/>
          <w:szCs w:val="28"/>
        </w:rPr>
        <w:t>“</w:t>
      </w:r>
      <w:r w:rsidRPr="003F6DBE">
        <w:rPr>
          <w:rFonts w:ascii="Times New Roman" w:hAnsi="Times New Roman" w:cs="Times New Roman"/>
          <w:i/>
          <w:iCs/>
          <w:sz w:val="28"/>
          <w:szCs w:val="28"/>
          <w:shd w:val="clear" w:color="auto" w:fill="FFFFFF"/>
        </w:rPr>
        <w:t>romper la división artificiosa en relación con el régimen jurídico cre</w:t>
      </w:r>
      <w:r w:rsidRPr="003F6DBE">
        <w:rPr>
          <w:rFonts w:ascii="Times New Roman" w:hAnsi="Times New Roman" w:cs="Times New Roman"/>
          <w:i/>
          <w:iCs/>
          <w:sz w:val="28"/>
          <w:szCs w:val="28"/>
          <w:shd w:val="clear" w:color="auto" w:fill="FFFFFF"/>
        </w:rPr>
        <w:t>ada desde la época hispánica y que invisibilizó con mayor intensidad el pasado africano</w:t>
      </w:r>
      <w:r w:rsidRPr="003F6DBE">
        <w:rPr>
          <w:rFonts w:ascii="Times New Roman" w:hAnsi="Times New Roman" w:cs="Times New Roman"/>
          <w:sz w:val="28"/>
          <w:szCs w:val="28"/>
          <w:shd w:val="clear" w:color="auto" w:fill="FFFFFF"/>
        </w:rPr>
        <w:t xml:space="preserve">”. Sin embargo, </w:t>
      </w:r>
      <w:r w:rsidRPr="003F6DBE">
        <w:rPr>
          <w:rFonts w:ascii="Times New Roman" w:hAnsi="Times New Roman" w:cs="Times New Roman"/>
          <w:sz w:val="28"/>
          <w:szCs w:val="28"/>
          <w:shd w:val="clear" w:color="auto" w:fill="FFFFFF"/>
        </w:rPr>
        <w:t>advierte</w:t>
      </w:r>
      <w:r w:rsidRPr="003F6DBE">
        <w:rPr>
          <w:rFonts w:ascii="Times New Roman" w:hAnsi="Times New Roman" w:cs="Times New Roman"/>
          <w:sz w:val="28"/>
          <w:szCs w:val="28"/>
          <w:shd w:val="clear" w:color="auto" w:fill="FFFFFF"/>
        </w:rPr>
        <w:t xml:space="preserve"> esta providencia que “</w:t>
      </w:r>
      <w:r w:rsidRPr="003F6DBE">
        <w:rPr>
          <w:rFonts w:ascii="Times New Roman" w:hAnsi="Times New Roman" w:cs="Times New Roman"/>
          <w:i/>
          <w:iCs/>
          <w:sz w:val="28"/>
          <w:szCs w:val="28"/>
          <w:shd w:val="clear" w:color="auto" w:fill="FFFFFF"/>
        </w:rPr>
        <w:t>ese acercamiento no apareja eliminar las diferencias de esos grupos étnicos, pues la Constitución reconoce sus particulare</w:t>
      </w:r>
      <w:r w:rsidRPr="003F6DBE">
        <w:rPr>
          <w:rFonts w:ascii="Times New Roman" w:hAnsi="Times New Roman" w:cs="Times New Roman"/>
          <w:i/>
          <w:iCs/>
          <w:sz w:val="28"/>
          <w:szCs w:val="28"/>
          <w:shd w:val="clear" w:color="auto" w:fill="FFFFFF"/>
        </w:rPr>
        <w:t>s ancestrales, sus historias paralelas y la posibilidad de regímenes normativo específicos en algunos aspectos, como sucede con el sistema de atención en salud y la representación política”.</w:t>
      </w:r>
      <w:r w:rsidRPr="003F6DBE">
        <w:rPr>
          <w:rFonts w:ascii="Times New Roman" w:hAnsi="Times New Roman" w:cs="Times New Roman"/>
          <w:sz w:val="28"/>
          <w:szCs w:val="28"/>
          <w:shd w:val="clear" w:color="auto" w:fill="FFFFFF"/>
        </w:rPr>
        <w:t xml:space="preserve"> </w:t>
      </w:r>
      <w:r w:rsidRPr="003F6DBE">
        <w:rPr>
          <w:rFonts w:ascii="Times New Roman" w:hAnsi="Times New Roman" w:cs="Times New Roman"/>
          <w:sz w:val="28"/>
          <w:szCs w:val="28"/>
          <w:shd w:val="clear" w:color="auto" w:fill="FFFFFF"/>
        </w:rPr>
        <w:t>Por ello, consideran que esta</w:t>
      </w:r>
      <w:r w:rsidRPr="003F6DBE">
        <w:rPr>
          <w:rFonts w:ascii="Times New Roman" w:hAnsi="Times New Roman" w:cs="Times New Roman"/>
          <w:sz w:val="28"/>
          <w:szCs w:val="28"/>
          <w:shd w:val="clear" w:color="auto" w:fill="FFFFFF"/>
        </w:rPr>
        <w:t>s</w:t>
      </w:r>
      <w:r w:rsidRPr="003F6DBE">
        <w:rPr>
          <w:rFonts w:ascii="Times New Roman" w:hAnsi="Times New Roman" w:cs="Times New Roman"/>
          <w:sz w:val="28"/>
          <w:szCs w:val="28"/>
          <w:shd w:val="clear" w:color="auto" w:fill="FFFFFF"/>
        </w:rPr>
        <w:t xml:space="preserve"> disposici</w:t>
      </w:r>
      <w:r w:rsidRPr="003F6DBE">
        <w:rPr>
          <w:rFonts w:ascii="Times New Roman" w:hAnsi="Times New Roman" w:cs="Times New Roman"/>
          <w:sz w:val="28"/>
          <w:szCs w:val="28"/>
          <w:shd w:val="clear" w:color="auto" w:fill="FFFFFF"/>
        </w:rPr>
        <w:t>ones</w:t>
      </w:r>
      <w:r w:rsidRPr="003F6DBE">
        <w:rPr>
          <w:rFonts w:ascii="Times New Roman" w:hAnsi="Times New Roman" w:cs="Times New Roman"/>
          <w:sz w:val="28"/>
          <w:szCs w:val="28"/>
          <w:shd w:val="clear" w:color="auto" w:fill="FFFFFF"/>
        </w:rPr>
        <w:t xml:space="preserve"> afecta</w:t>
      </w:r>
      <w:r w:rsidRPr="003F6DBE">
        <w:rPr>
          <w:rFonts w:ascii="Times New Roman" w:hAnsi="Times New Roman" w:cs="Times New Roman"/>
          <w:sz w:val="28"/>
          <w:szCs w:val="28"/>
          <w:shd w:val="clear" w:color="auto" w:fill="FFFFFF"/>
        </w:rPr>
        <w:t>n</w:t>
      </w:r>
      <w:r w:rsidRPr="003F6DBE">
        <w:rPr>
          <w:rFonts w:ascii="Times New Roman" w:hAnsi="Times New Roman" w:cs="Times New Roman"/>
          <w:sz w:val="28"/>
          <w:szCs w:val="28"/>
          <w:shd w:val="clear" w:color="auto" w:fill="FFFFFF"/>
        </w:rPr>
        <w:t xml:space="preserve">, al menos, </w:t>
      </w:r>
      <w:r w:rsidRPr="003F6DBE">
        <w:rPr>
          <w:rFonts w:ascii="Times New Roman" w:hAnsi="Times New Roman" w:cs="Times New Roman"/>
          <w:sz w:val="28"/>
        </w:rPr>
        <w:t>a</w:t>
      </w:r>
      <w:r w:rsidRPr="003F6DBE">
        <w:rPr>
          <w:rFonts w:ascii="Times New Roman" w:hAnsi="Times New Roman" w:cs="Times New Roman"/>
          <w:sz w:val="28"/>
        </w:rPr>
        <w:t xml:space="preserve"> las comunidades afro ubicadas en geografías como los departamentos de Amazonas, Arauca, Boyacá, Cesar, Chocó, Guainía, La Guajira, Nariño, Norte de Santander, Putumayo, Vaupés y Vichada.</w:t>
      </w:r>
    </w:p>
    <w:p w:rsidR="00994200" w:rsidRPr="003F6DBE" w:rsidRDefault="003F6DBE" w:rsidP="00DA100F">
      <w:pPr>
        <w:spacing w:after="0" w:line="240" w:lineRule="auto"/>
        <w:ind w:right="49"/>
        <w:jc w:val="both"/>
        <w:rPr>
          <w:rFonts w:ascii="Times New Roman" w:hAnsi="Times New Roman" w:cs="Times New Roman"/>
          <w:sz w:val="28"/>
          <w:szCs w:val="28"/>
          <w:lang w:val="es-ES_tradnl"/>
        </w:rPr>
      </w:pPr>
    </w:p>
    <w:p w:rsidR="00994200" w:rsidRPr="003F6DBE" w:rsidRDefault="003F6DBE" w:rsidP="00DA100F">
      <w:pPr>
        <w:pStyle w:val="Prrafodelista"/>
        <w:numPr>
          <w:ilvl w:val="0"/>
          <w:numId w:val="5"/>
        </w:numPr>
        <w:spacing w:after="0" w:line="240" w:lineRule="auto"/>
        <w:ind w:right="49"/>
        <w:jc w:val="both"/>
        <w:rPr>
          <w:rFonts w:ascii="Times New Roman" w:hAnsi="Times New Roman" w:cs="Times New Roman"/>
          <w:b/>
          <w:sz w:val="28"/>
          <w:szCs w:val="28"/>
          <w:lang w:val="es-ES_tradnl"/>
        </w:rPr>
      </w:pPr>
      <w:r w:rsidRPr="003F6DBE">
        <w:rPr>
          <w:rFonts w:ascii="Times New Roman" w:hAnsi="Times New Roman" w:cs="Times New Roman"/>
          <w:b/>
          <w:sz w:val="28"/>
          <w:szCs w:val="28"/>
          <w:lang w:val="es-ES_tradnl"/>
        </w:rPr>
        <w:t>Comisión Colombiana de Juristas.</w:t>
      </w:r>
    </w:p>
    <w:p w:rsidR="00046CBF" w:rsidRPr="003F6DBE" w:rsidRDefault="003F6DBE" w:rsidP="00DA100F">
      <w:pPr>
        <w:spacing w:after="0" w:line="240" w:lineRule="auto"/>
        <w:ind w:right="49"/>
        <w:jc w:val="both"/>
        <w:rPr>
          <w:rFonts w:ascii="Times New Roman" w:hAnsi="Times New Roman" w:cs="Times New Roman"/>
          <w:sz w:val="28"/>
          <w:szCs w:val="28"/>
          <w:lang w:val="es-ES_tradnl"/>
        </w:rPr>
      </w:pPr>
    </w:p>
    <w:p w:rsidR="00994200" w:rsidRPr="003F6DBE" w:rsidRDefault="003F6DBE" w:rsidP="00DA100F">
      <w:pPr>
        <w:pStyle w:val="Prrafodelista"/>
        <w:numPr>
          <w:ilvl w:val="0"/>
          <w:numId w:val="2"/>
        </w:numPr>
        <w:spacing w:after="0" w:line="240" w:lineRule="auto"/>
        <w:ind w:left="0" w:right="49" w:firstLine="0"/>
        <w:jc w:val="both"/>
        <w:rPr>
          <w:rFonts w:ascii="Times New Roman" w:hAnsi="Times New Roman" w:cs="Times New Roman"/>
          <w:sz w:val="28"/>
        </w:rPr>
      </w:pPr>
      <w:r w:rsidRPr="003F6DBE">
        <w:rPr>
          <w:rFonts w:ascii="Times New Roman" w:hAnsi="Times New Roman" w:cs="Times New Roman"/>
          <w:sz w:val="28"/>
        </w:rPr>
        <w:t xml:space="preserve">La directora, </w:t>
      </w:r>
      <w:r w:rsidRPr="003F6DBE">
        <w:rPr>
          <w:rFonts w:ascii="Times New Roman" w:hAnsi="Times New Roman" w:cs="Times New Roman"/>
          <w:sz w:val="28"/>
        </w:rPr>
        <w:t xml:space="preserve">el </w:t>
      </w:r>
      <w:r w:rsidRPr="003F6DBE">
        <w:rPr>
          <w:rFonts w:ascii="Times New Roman" w:hAnsi="Times New Roman" w:cs="Times New Roman"/>
          <w:sz w:val="28"/>
        </w:rPr>
        <w:t xml:space="preserve">coordinador </w:t>
      </w:r>
      <w:r w:rsidRPr="003F6DBE">
        <w:rPr>
          <w:rFonts w:ascii="Times New Roman" w:hAnsi="Times New Roman" w:cs="Times New Roman"/>
          <w:sz w:val="28"/>
        </w:rPr>
        <w:t>y la</w:t>
      </w:r>
      <w:r w:rsidRPr="003F6DBE">
        <w:rPr>
          <w:rFonts w:ascii="Times New Roman" w:hAnsi="Times New Roman" w:cs="Times New Roman"/>
          <w:sz w:val="28"/>
        </w:rPr>
        <w:t xml:space="preserve"> investigadora</w:t>
      </w:r>
      <w:r w:rsidRPr="003F6DBE">
        <w:rPr>
          <w:rStyle w:val="Refdenotaalpie"/>
          <w:rFonts w:ascii="Times New Roman" w:hAnsi="Times New Roman"/>
          <w:sz w:val="28"/>
        </w:rPr>
        <w:footnoteReference w:id="25"/>
      </w:r>
      <w:r w:rsidRPr="003F6DBE">
        <w:rPr>
          <w:rFonts w:ascii="Times New Roman" w:hAnsi="Times New Roman" w:cs="Times New Roman"/>
          <w:sz w:val="28"/>
        </w:rPr>
        <w:t xml:space="preserve"> de la Comisión Colombiana de Juristas </w:t>
      </w:r>
      <w:r w:rsidRPr="003F6DBE">
        <w:rPr>
          <w:rFonts w:ascii="Times New Roman" w:hAnsi="Times New Roman" w:cs="Times New Roman"/>
          <w:sz w:val="28"/>
          <w:szCs w:val="28"/>
          <w:lang w:val="es-ES_tradnl"/>
        </w:rPr>
        <w:t>solicitan la declaratoria de exe</w:t>
      </w:r>
      <w:r w:rsidRPr="003F6DBE">
        <w:rPr>
          <w:rFonts w:ascii="Times New Roman" w:hAnsi="Times New Roman" w:cs="Times New Roman"/>
          <w:sz w:val="28"/>
          <w:szCs w:val="28"/>
          <w:lang w:val="es-ES_tradnl"/>
        </w:rPr>
        <w:t>q</w:t>
      </w:r>
      <w:r w:rsidRPr="003F6DBE">
        <w:rPr>
          <w:rFonts w:ascii="Times New Roman" w:hAnsi="Times New Roman" w:cs="Times New Roman"/>
          <w:sz w:val="28"/>
          <w:szCs w:val="28"/>
          <w:lang w:val="es-ES_tradnl"/>
        </w:rPr>
        <w:t>uibilidad condicionada de la expresión “indígenas”</w:t>
      </w:r>
      <w:r w:rsidRPr="003F6DBE">
        <w:rPr>
          <w:rFonts w:ascii="Times New Roman" w:hAnsi="Times New Roman" w:cs="Times New Roman"/>
          <w:sz w:val="28"/>
          <w:szCs w:val="28"/>
          <w:lang w:val="es-ES_tradnl"/>
        </w:rPr>
        <w:t>,</w:t>
      </w:r>
      <w:r w:rsidRPr="003F6DBE">
        <w:rPr>
          <w:rFonts w:ascii="Times New Roman" w:hAnsi="Times New Roman" w:cs="Times New Roman"/>
          <w:sz w:val="28"/>
          <w:szCs w:val="28"/>
          <w:lang w:val="es-ES_tradnl"/>
        </w:rPr>
        <w:t xml:space="preserve"> contenida en las disposiciones censuradas de la Ley 191 de 1995, al ser evidente que allí se excluyó injustificadamen</w:t>
      </w:r>
      <w:r w:rsidRPr="003F6DBE">
        <w:rPr>
          <w:rFonts w:ascii="Times New Roman" w:hAnsi="Times New Roman" w:cs="Times New Roman"/>
          <w:sz w:val="28"/>
          <w:szCs w:val="28"/>
          <w:lang w:val="es-ES_tradnl"/>
        </w:rPr>
        <w:t>te a las comunidades negras, afrocolombianas, raizales y palenqueras de las regulaciones sobre la protección de los derechos de los pueblos étnicamente diferenciados</w:t>
      </w:r>
      <w:r w:rsidRPr="003F6DBE">
        <w:rPr>
          <w:rFonts w:ascii="Times New Roman" w:hAnsi="Times New Roman" w:cs="Times New Roman"/>
          <w:sz w:val="28"/>
          <w:szCs w:val="28"/>
          <w:lang w:val="es-ES_tradnl"/>
        </w:rPr>
        <w:t>, ubicados en lo</w:t>
      </w:r>
      <w:r w:rsidRPr="003F6DBE">
        <w:rPr>
          <w:rFonts w:ascii="Times New Roman" w:hAnsi="Times New Roman" w:cs="Times New Roman"/>
          <w:sz w:val="28"/>
          <w:szCs w:val="28"/>
          <w:lang w:val="es-ES_tradnl"/>
        </w:rPr>
        <w:t>s</w:t>
      </w:r>
      <w:r w:rsidRPr="003F6DBE">
        <w:rPr>
          <w:rFonts w:ascii="Times New Roman" w:hAnsi="Times New Roman" w:cs="Times New Roman"/>
          <w:sz w:val="28"/>
          <w:szCs w:val="28"/>
          <w:lang w:val="es-ES_tradnl"/>
        </w:rPr>
        <w:t xml:space="preserve"> municipios de frontera.</w:t>
      </w:r>
    </w:p>
    <w:p w:rsidR="003F200E" w:rsidRPr="003F6DBE" w:rsidRDefault="003F6DBE" w:rsidP="00DA100F">
      <w:pPr>
        <w:spacing w:after="0" w:line="240" w:lineRule="auto"/>
        <w:ind w:right="49"/>
        <w:jc w:val="both"/>
        <w:rPr>
          <w:rFonts w:ascii="Times New Roman" w:hAnsi="Times New Roman" w:cs="Times New Roman"/>
          <w:sz w:val="28"/>
          <w:szCs w:val="28"/>
          <w:lang w:val="es-ES_tradnl"/>
        </w:rPr>
      </w:pPr>
    </w:p>
    <w:p w:rsidR="00036CD7" w:rsidRPr="003F6DBE" w:rsidRDefault="003F6DBE" w:rsidP="00DA100F">
      <w:pPr>
        <w:pStyle w:val="Prrafodelista"/>
        <w:numPr>
          <w:ilvl w:val="0"/>
          <w:numId w:val="2"/>
        </w:numPr>
        <w:spacing w:after="0" w:line="240" w:lineRule="auto"/>
        <w:ind w:left="0" w:right="49" w:firstLine="0"/>
        <w:jc w:val="both"/>
        <w:rPr>
          <w:rFonts w:ascii="Times New Roman" w:hAnsi="Times New Roman" w:cs="Times New Roman"/>
          <w:sz w:val="28"/>
          <w:szCs w:val="28"/>
          <w:lang w:val="es-ES_tradnl"/>
        </w:rPr>
      </w:pPr>
      <w:r w:rsidRPr="003F6DBE">
        <w:rPr>
          <w:rFonts w:ascii="Times New Roman" w:hAnsi="Times New Roman" w:cs="Times New Roman"/>
          <w:sz w:val="28"/>
          <w:szCs w:val="28"/>
          <w:lang w:val="es-ES_tradnl"/>
        </w:rPr>
        <w:t xml:space="preserve">Para </w:t>
      </w:r>
      <w:r w:rsidRPr="003F6DBE">
        <w:rPr>
          <w:rFonts w:ascii="Times New Roman" w:hAnsi="Times New Roman" w:cs="Times New Roman"/>
          <w:sz w:val="28"/>
          <w:szCs w:val="28"/>
          <w:lang w:val="es-ES_tradnl"/>
        </w:rPr>
        <w:t xml:space="preserve">respaldar su posición, desarrollan la especial protección de </w:t>
      </w:r>
      <w:r w:rsidRPr="003F6DBE">
        <w:rPr>
          <w:rFonts w:ascii="Times New Roman" w:hAnsi="Times New Roman" w:cs="Times New Roman"/>
          <w:sz w:val="28"/>
          <w:szCs w:val="28"/>
          <w:lang w:val="es-ES_tradnl"/>
        </w:rPr>
        <w:t>estas</w:t>
      </w:r>
      <w:r w:rsidRPr="003F6DBE">
        <w:rPr>
          <w:rFonts w:ascii="Times New Roman" w:hAnsi="Times New Roman" w:cs="Times New Roman"/>
          <w:sz w:val="28"/>
          <w:szCs w:val="28"/>
          <w:lang w:val="es-ES_tradnl"/>
        </w:rPr>
        <w:t xml:space="preserve"> comunidades a partir del imperativo fijado en la Constitución Política, que define al </w:t>
      </w:r>
      <w:r w:rsidRPr="003F6DBE">
        <w:rPr>
          <w:rFonts w:ascii="Times New Roman" w:hAnsi="Times New Roman" w:cs="Times New Roman"/>
          <w:sz w:val="28"/>
          <w:szCs w:val="28"/>
          <w:lang w:val="es-ES_tradnl"/>
        </w:rPr>
        <w:t>Estado colombiano</w:t>
      </w:r>
      <w:r w:rsidRPr="003F6DBE">
        <w:rPr>
          <w:rFonts w:ascii="Times New Roman" w:hAnsi="Times New Roman" w:cs="Times New Roman"/>
          <w:sz w:val="28"/>
          <w:szCs w:val="28"/>
          <w:lang w:val="es-ES_tradnl"/>
        </w:rPr>
        <w:t xml:space="preserve"> como multicultural y pluriétnico</w:t>
      </w:r>
      <w:r w:rsidRPr="003F6DBE">
        <w:rPr>
          <w:rFonts w:ascii="Times New Roman" w:hAnsi="Times New Roman" w:cs="Times New Roman"/>
          <w:sz w:val="28"/>
          <w:szCs w:val="28"/>
          <w:lang w:val="es-ES_tradnl"/>
        </w:rPr>
        <w:t xml:space="preserve">. Esto </w:t>
      </w:r>
      <w:r w:rsidRPr="003F6DBE">
        <w:rPr>
          <w:rFonts w:ascii="Times New Roman" w:hAnsi="Times New Roman" w:cs="Times New Roman"/>
          <w:sz w:val="28"/>
          <w:szCs w:val="28"/>
          <w:lang w:val="es-ES_tradnl"/>
        </w:rPr>
        <w:t>implica que los grupos históricamente discrimi</w:t>
      </w:r>
      <w:r w:rsidRPr="003F6DBE">
        <w:rPr>
          <w:rFonts w:ascii="Times New Roman" w:hAnsi="Times New Roman" w:cs="Times New Roman"/>
          <w:sz w:val="28"/>
          <w:szCs w:val="28"/>
          <w:lang w:val="es-ES_tradnl"/>
        </w:rPr>
        <w:t>nados y excluidos mere</w:t>
      </w:r>
      <w:r w:rsidRPr="003F6DBE">
        <w:rPr>
          <w:rFonts w:ascii="Times New Roman" w:hAnsi="Times New Roman" w:cs="Times New Roman"/>
          <w:sz w:val="28"/>
          <w:szCs w:val="28"/>
          <w:lang w:val="es-ES_tradnl"/>
        </w:rPr>
        <w:t>ce</w:t>
      </w:r>
      <w:r w:rsidRPr="003F6DBE">
        <w:rPr>
          <w:rFonts w:ascii="Times New Roman" w:hAnsi="Times New Roman" w:cs="Times New Roman"/>
          <w:sz w:val="28"/>
          <w:szCs w:val="28"/>
          <w:lang w:val="es-ES_tradnl"/>
        </w:rPr>
        <w:t>n especial protección en sus derechos fundamentales, tal</w:t>
      </w:r>
      <w:r w:rsidRPr="003F6DBE">
        <w:rPr>
          <w:rFonts w:ascii="Times New Roman" w:hAnsi="Times New Roman" w:cs="Times New Roman"/>
          <w:sz w:val="28"/>
          <w:szCs w:val="28"/>
          <w:lang w:val="es-ES_tradnl"/>
        </w:rPr>
        <w:t xml:space="preserve"> es</w:t>
      </w:r>
      <w:r w:rsidRPr="003F6DBE">
        <w:rPr>
          <w:rFonts w:ascii="Times New Roman" w:hAnsi="Times New Roman" w:cs="Times New Roman"/>
          <w:sz w:val="28"/>
          <w:szCs w:val="28"/>
          <w:lang w:val="es-ES_tradnl"/>
        </w:rPr>
        <w:t xml:space="preserve"> el caso de la población</w:t>
      </w:r>
      <w:r w:rsidRPr="003F6DBE">
        <w:rPr>
          <w:rFonts w:ascii="Times New Roman" w:hAnsi="Times New Roman" w:cs="Times New Roman"/>
          <w:sz w:val="28"/>
          <w:szCs w:val="28"/>
          <w:lang w:val="es-ES_tradnl"/>
        </w:rPr>
        <w:t xml:space="preserve"> excluida</w:t>
      </w:r>
      <w:r w:rsidRPr="003F6DBE">
        <w:rPr>
          <w:rFonts w:ascii="Times New Roman" w:hAnsi="Times New Roman" w:cs="Times New Roman"/>
          <w:sz w:val="28"/>
          <w:szCs w:val="28"/>
          <w:lang w:val="es-ES_tradnl"/>
        </w:rPr>
        <w:t xml:space="preserve">. Esta premisa es coherente </w:t>
      </w:r>
      <w:r w:rsidRPr="003F6DBE">
        <w:rPr>
          <w:rFonts w:ascii="Times New Roman" w:hAnsi="Times New Roman" w:cs="Times New Roman"/>
          <w:sz w:val="28"/>
          <w:szCs w:val="28"/>
          <w:lang w:val="es-ES_tradnl"/>
        </w:rPr>
        <w:t xml:space="preserve">con lo estipulado en la Convención Internacional sobra la </w:t>
      </w:r>
      <w:r w:rsidRPr="003F6DBE">
        <w:rPr>
          <w:rFonts w:ascii="Times New Roman" w:hAnsi="Times New Roman" w:cs="Times New Roman"/>
          <w:sz w:val="28"/>
          <w:szCs w:val="28"/>
          <w:lang w:val="es-ES_tradnl"/>
        </w:rPr>
        <w:t>E</w:t>
      </w:r>
      <w:r w:rsidRPr="003F6DBE">
        <w:rPr>
          <w:rFonts w:ascii="Times New Roman" w:hAnsi="Times New Roman" w:cs="Times New Roman"/>
          <w:sz w:val="28"/>
          <w:szCs w:val="28"/>
          <w:lang w:val="es-ES_tradnl"/>
        </w:rPr>
        <w:t xml:space="preserve">liminación de </w:t>
      </w:r>
      <w:r w:rsidRPr="003F6DBE">
        <w:rPr>
          <w:rFonts w:ascii="Times New Roman" w:hAnsi="Times New Roman" w:cs="Times New Roman"/>
          <w:sz w:val="28"/>
          <w:szCs w:val="28"/>
          <w:lang w:val="es-ES_tradnl"/>
        </w:rPr>
        <w:t>T</w:t>
      </w:r>
      <w:r w:rsidRPr="003F6DBE">
        <w:rPr>
          <w:rFonts w:ascii="Times New Roman" w:hAnsi="Times New Roman" w:cs="Times New Roman"/>
          <w:sz w:val="28"/>
          <w:szCs w:val="28"/>
          <w:lang w:val="es-ES_tradnl"/>
        </w:rPr>
        <w:t xml:space="preserve">odas las </w:t>
      </w:r>
      <w:r w:rsidRPr="003F6DBE">
        <w:rPr>
          <w:rFonts w:ascii="Times New Roman" w:hAnsi="Times New Roman" w:cs="Times New Roman"/>
          <w:sz w:val="28"/>
          <w:szCs w:val="28"/>
          <w:lang w:val="es-ES_tradnl"/>
        </w:rPr>
        <w:t>F</w:t>
      </w:r>
      <w:r w:rsidRPr="003F6DBE">
        <w:rPr>
          <w:rFonts w:ascii="Times New Roman" w:hAnsi="Times New Roman" w:cs="Times New Roman"/>
          <w:sz w:val="28"/>
          <w:szCs w:val="28"/>
          <w:lang w:val="es-ES_tradnl"/>
        </w:rPr>
        <w:t xml:space="preserve">ormas de </w:t>
      </w:r>
      <w:r w:rsidRPr="003F6DBE">
        <w:rPr>
          <w:rFonts w:ascii="Times New Roman" w:hAnsi="Times New Roman" w:cs="Times New Roman"/>
          <w:sz w:val="28"/>
          <w:szCs w:val="28"/>
          <w:lang w:val="es-ES_tradnl"/>
        </w:rPr>
        <w:t>D</w:t>
      </w:r>
      <w:r w:rsidRPr="003F6DBE">
        <w:rPr>
          <w:rFonts w:ascii="Times New Roman" w:hAnsi="Times New Roman" w:cs="Times New Roman"/>
          <w:sz w:val="28"/>
          <w:szCs w:val="28"/>
          <w:lang w:val="es-ES_tradnl"/>
        </w:rPr>
        <w:t xml:space="preserve">iscriminación </w:t>
      </w:r>
      <w:r w:rsidRPr="003F6DBE">
        <w:rPr>
          <w:rFonts w:ascii="Times New Roman" w:hAnsi="Times New Roman" w:cs="Times New Roman"/>
          <w:sz w:val="28"/>
          <w:szCs w:val="28"/>
          <w:lang w:val="es-ES_tradnl"/>
        </w:rPr>
        <w:t>R</w:t>
      </w:r>
      <w:r w:rsidRPr="003F6DBE">
        <w:rPr>
          <w:rFonts w:ascii="Times New Roman" w:hAnsi="Times New Roman" w:cs="Times New Roman"/>
          <w:sz w:val="28"/>
          <w:szCs w:val="28"/>
          <w:lang w:val="es-ES_tradnl"/>
        </w:rPr>
        <w:t>aci</w:t>
      </w:r>
      <w:r w:rsidRPr="003F6DBE">
        <w:rPr>
          <w:rFonts w:ascii="Times New Roman" w:hAnsi="Times New Roman" w:cs="Times New Roman"/>
          <w:sz w:val="28"/>
          <w:szCs w:val="28"/>
          <w:lang w:val="es-ES_tradnl"/>
        </w:rPr>
        <w:t>al</w:t>
      </w:r>
      <w:r w:rsidRPr="003F6DBE">
        <w:rPr>
          <w:rStyle w:val="Refdenotaalpie"/>
          <w:rFonts w:ascii="Times New Roman" w:hAnsi="Times New Roman"/>
          <w:sz w:val="28"/>
          <w:szCs w:val="28"/>
          <w:lang w:val="es-ES_tradnl"/>
        </w:rPr>
        <w:footnoteReference w:id="26"/>
      </w:r>
      <w:r w:rsidRPr="003F6DBE">
        <w:rPr>
          <w:rFonts w:ascii="Times New Roman" w:hAnsi="Times New Roman" w:cs="Times New Roman"/>
          <w:sz w:val="28"/>
          <w:szCs w:val="28"/>
          <w:lang w:val="es-ES_tradnl"/>
        </w:rPr>
        <w:t>, que advierte en su artículo 1.1</w:t>
      </w:r>
      <w:r w:rsidRPr="003F6DBE">
        <w:rPr>
          <w:rFonts w:ascii="Times New Roman" w:hAnsi="Times New Roman" w:cs="Times New Roman"/>
          <w:sz w:val="28"/>
          <w:szCs w:val="28"/>
          <w:lang w:val="es-ES_tradnl"/>
        </w:rPr>
        <w:t xml:space="preserve"> </w:t>
      </w:r>
      <w:r w:rsidRPr="003F6DBE">
        <w:rPr>
          <w:rFonts w:ascii="Times New Roman" w:hAnsi="Times New Roman" w:cs="Times New Roman"/>
          <w:sz w:val="28"/>
          <w:szCs w:val="28"/>
          <w:lang w:val="es-ES_tradnl"/>
        </w:rPr>
        <w:t>que se incurre en discriminación cuando normativamente se establece una restricción o exclusión de un derecho, por motivos de racialización de un grupo social</w:t>
      </w:r>
      <w:r w:rsidRPr="003F6DBE">
        <w:rPr>
          <w:rFonts w:ascii="Times New Roman" w:hAnsi="Times New Roman" w:cs="Times New Roman"/>
          <w:sz w:val="28"/>
          <w:szCs w:val="28"/>
          <w:lang w:val="es-ES_tradnl"/>
        </w:rPr>
        <w:t xml:space="preserve"> </w:t>
      </w:r>
      <w:r w:rsidRPr="003F6DBE">
        <w:rPr>
          <w:rFonts w:ascii="Times New Roman" w:hAnsi="Times New Roman" w:cs="Times New Roman"/>
          <w:sz w:val="28"/>
          <w:szCs w:val="28"/>
          <w:lang w:val="es-ES_tradnl"/>
        </w:rPr>
        <w:t>y que t</w:t>
      </w:r>
      <w:r w:rsidRPr="003F6DBE">
        <w:rPr>
          <w:rFonts w:ascii="Times New Roman" w:hAnsi="Times New Roman" w:cs="Times New Roman"/>
          <w:sz w:val="28"/>
          <w:szCs w:val="28"/>
          <w:lang w:val="es-ES_tradnl"/>
        </w:rPr>
        <w:t>iene</w:t>
      </w:r>
      <w:r w:rsidRPr="003F6DBE">
        <w:rPr>
          <w:rFonts w:ascii="Times New Roman" w:hAnsi="Times New Roman" w:cs="Times New Roman"/>
          <w:sz w:val="28"/>
          <w:szCs w:val="28"/>
          <w:lang w:val="es-ES_tradnl"/>
        </w:rPr>
        <w:t xml:space="preserve"> como objeto menoscabar el ejercicio de derechos </w:t>
      </w:r>
      <w:r w:rsidRPr="003F6DBE">
        <w:rPr>
          <w:rFonts w:ascii="Times New Roman" w:hAnsi="Times New Roman" w:cs="Times New Roman"/>
          <w:sz w:val="28"/>
          <w:szCs w:val="28"/>
          <w:lang w:val="es-ES_tradnl"/>
        </w:rPr>
        <w:t>humanos</w:t>
      </w:r>
      <w:r w:rsidRPr="003F6DBE">
        <w:rPr>
          <w:rStyle w:val="Refdenotaalpie"/>
          <w:rFonts w:ascii="Times New Roman" w:hAnsi="Times New Roman"/>
          <w:sz w:val="28"/>
          <w:szCs w:val="28"/>
          <w:lang w:val="es-ES_tradnl"/>
        </w:rPr>
        <w:footnoteReference w:id="27"/>
      </w:r>
      <w:r w:rsidRPr="003F6DBE">
        <w:rPr>
          <w:rFonts w:ascii="Times New Roman" w:hAnsi="Times New Roman" w:cs="Times New Roman"/>
          <w:sz w:val="28"/>
          <w:szCs w:val="28"/>
          <w:lang w:val="es-ES_tradnl"/>
        </w:rPr>
        <w:t>.</w:t>
      </w:r>
    </w:p>
    <w:p w:rsidR="00EE4192" w:rsidRPr="003F6DBE" w:rsidRDefault="003F6DBE" w:rsidP="00DA100F">
      <w:pPr>
        <w:pStyle w:val="Prrafodelista"/>
        <w:ind w:right="49"/>
        <w:rPr>
          <w:rFonts w:ascii="Times New Roman" w:hAnsi="Times New Roman" w:cs="Times New Roman"/>
          <w:sz w:val="28"/>
          <w:szCs w:val="28"/>
          <w:lang w:val="es-ES_tradnl"/>
        </w:rPr>
      </w:pPr>
    </w:p>
    <w:p w:rsidR="0031364E" w:rsidRPr="003F6DBE" w:rsidRDefault="003F6DBE" w:rsidP="00DA100F">
      <w:pPr>
        <w:pStyle w:val="Prrafodelista"/>
        <w:numPr>
          <w:ilvl w:val="0"/>
          <w:numId w:val="2"/>
        </w:numPr>
        <w:spacing w:after="0" w:line="240" w:lineRule="auto"/>
        <w:ind w:left="0" w:right="49" w:firstLine="0"/>
        <w:jc w:val="both"/>
        <w:rPr>
          <w:rFonts w:ascii="Times New Roman" w:hAnsi="Times New Roman" w:cs="Times New Roman"/>
          <w:sz w:val="28"/>
          <w:szCs w:val="28"/>
          <w:lang w:val="es-ES_tradnl"/>
        </w:rPr>
      </w:pPr>
      <w:r w:rsidRPr="003F6DBE">
        <w:rPr>
          <w:rFonts w:ascii="Times New Roman" w:hAnsi="Times New Roman" w:cs="Times New Roman"/>
          <w:sz w:val="28"/>
          <w:szCs w:val="28"/>
          <w:lang w:val="es-ES_tradnl"/>
        </w:rPr>
        <w:t>De otra parte, la</w:t>
      </w:r>
      <w:r w:rsidRPr="003F6DBE">
        <w:rPr>
          <w:rFonts w:ascii="Times New Roman" w:hAnsi="Times New Roman" w:cs="Times New Roman"/>
          <w:sz w:val="28"/>
          <w:szCs w:val="28"/>
          <w:lang w:val="es-ES_tradnl"/>
        </w:rPr>
        <w:t xml:space="preserve"> Ley 70 de 1993</w:t>
      </w:r>
      <w:r w:rsidRPr="003F6DBE">
        <w:rPr>
          <w:rFonts w:ascii="Times New Roman" w:hAnsi="Times New Roman" w:cs="Times New Roman"/>
          <w:sz w:val="28"/>
          <w:szCs w:val="28"/>
          <w:lang w:val="es-ES_tradnl"/>
        </w:rPr>
        <w:t xml:space="preserve"> </w:t>
      </w:r>
      <w:r w:rsidRPr="003F6DBE">
        <w:rPr>
          <w:rFonts w:ascii="Times New Roman" w:hAnsi="Times New Roman" w:cs="Times New Roman"/>
          <w:sz w:val="28"/>
          <w:szCs w:val="28"/>
          <w:lang w:val="es-ES_tradnl"/>
        </w:rPr>
        <w:t>desarrolló el artículo 5 transitorio de la Constitución Política de Colombia,</w:t>
      </w:r>
      <w:r w:rsidRPr="003F6DBE">
        <w:rPr>
          <w:rFonts w:ascii="Times New Roman" w:hAnsi="Times New Roman" w:cs="Times New Roman"/>
          <w:sz w:val="28"/>
          <w:szCs w:val="28"/>
          <w:lang w:val="es-ES_tradnl"/>
        </w:rPr>
        <w:t xml:space="preserve"> lo cual constituye un hito en la protección especial de estas comunidades y en la participación igualitaria de </w:t>
      </w:r>
      <w:r w:rsidRPr="003F6DBE">
        <w:rPr>
          <w:rFonts w:ascii="Times New Roman" w:hAnsi="Times New Roman" w:cs="Times New Roman"/>
          <w:sz w:val="28"/>
        </w:rPr>
        <w:t>sus organizaciones en l</w:t>
      </w:r>
      <w:r w:rsidRPr="003F6DBE">
        <w:rPr>
          <w:rFonts w:ascii="Times New Roman" w:hAnsi="Times New Roman" w:cs="Times New Roman"/>
          <w:sz w:val="28"/>
        </w:rPr>
        <w:t>as decisiones que las afectan, lo cual se ha reforzado por la condición de marginalización en la que han permanecido</w:t>
      </w:r>
      <w:r w:rsidRPr="003F6DBE">
        <w:rPr>
          <w:rStyle w:val="Refdenotaalpie"/>
          <w:rFonts w:ascii="Times New Roman" w:hAnsi="Times New Roman"/>
          <w:sz w:val="28"/>
        </w:rPr>
        <w:footnoteReference w:id="28"/>
      </w:r>
      <w:r w:rsidRPr="003F6DBE">
        <w:rPr>
          <w:rFonts w:ascii="Times New Roman" w:hAnsi="Times New Roman" w:cs="Times New Roman"/>
          <w:sz w:val="28"/>
        </w:rPr>
        <w:t xml:space="preserve">. Pero, además, ha sido clara la jurisprudencia constitucional en señalar que las comunidades afrocolombianas son beneficiarias </w:t>
      </w:r>
      <w:r w:rsidRPr="003F6DBE">
        <w:rPr>
          <w:rFonts w:ascii="Times New Roman" w:hAnsi="Times New Roman" w:cs="Times New Roman"/>
          <w:sz w:val="28"/>
          <w:szCs w:val="28"/>
          <w:lang w:val="es-ES_tradnl"/>
        </w:rPr>
        <w:t xml:space="preserve">de los </w:t>
      </w:r>
      <w:r w:rsidRPr="003F6DBE">
        <w:rPr>
          <w:rFonts w:ascii="Times New Roman" w:hAnsi="Times New Roman" w:cs="Times New Roman"/>
          <w:sz w:val="28"/>
          <w:szCs w:val="28"/>
          <w:lang w:val="es-ES_tradnl"/>
        </w:rPr>
        <w:t>derechos consagrados en el Convenio 169 de la OIT</w:t>
      </w:r>
      <w:r w:rsidRPr="003F6DBE">
        <w:rPr>
          <w:rFonts w:ascii="Times New Roman" w:hAnsi="Times New Roman" w:cs="Times New Roman"/>
          <w:sz w:val="28"/>
          <w:szCs w:val="28"/>
          <w:lang w:val="es-ES_tradnl"/>
        </w:rPr>
        <w:t xml:space="preserve">, siempre que acrediten </w:t>
      </w:r>
      <w:r w:rsidRPr="003F6DBE">
        <w:rPr>
          <w:rFonts w:ascii="Times New Roman" w:hAnsi="Times New Roman" w:cs="Times New Roman"/>
          <w:sz w:val="28"/>
        </w:rPr>
        <w:t>la existencia de rasgos culturales y sociales compartidos por los miembros del grupo</w:t>
      </w:r>
      <w:r w:rsidRPr="003F6DBE">
        <w:rPr>
          <w:rStyle w:val="Refdenotaalpie"/>
          <w:rFonts w:ascii="Times New Roman" w:hAnsi="Times New Roman"/>
          <w:sz w:val="28"/>
          <w:szCs w:val="28"/>
        </w:rPr>
        <w:t xml:space="preserve"> </w:t>
      </w:r>
      <w:r w:rsidRPr="003F6DBE">
        <w:rPr>
          <w:rFonts w:ascii="Times New Roman" w:hAnsi="Times New Roman" w:cs="Times New Roman"/>
          <w:sz w:val="28"/>
        </w:rPr>
        <w:t>e identidad grupal, es decir que se reconozcan como miembros de dicha colectividad</w:t>
      </w:r>
      <w:r w:rsidRPr="003F6DBE">
        <w:rPr>
          <w:rStyle w:val="Refdenotaalpie"/>
          <w:rFonts w:ascii="Times New Roman" w:hAnsi="Times New Roman"/>
          <w:sz w:val="28"/>
          <w:szCs w:val="28"/>
          <w:lang w:val="es-ES_tradnl"/>
        </w:rPr>
        <w:footnoteReference w:id="29"/>
      </w:r>
      <w:r w:rsidRPr="003F6DBE">
        <w:rPr>
          <w:rFonts w:ascii="Times New Roman" w:hAnsi="Times New Roman" w:cs="Times New Roman"/>
          <w:sz w:val="28"/>
          <w:szCs w:val="28"/>
          <w:lang w:val="es-ES_tradnl"/>
        </w:rPr>
        <w:t>.</w:t>
      </w:r>
      <w:r w:rsidRPr="003F6DBE">
        <w:rPr>
          <w:rFonts w:ascii="Times New Roman" w:hAnsi="Times New Roman" w:cs="Times New Roman"/>
          <w:sz w:val="28"/>
          <w:lang w:val="es-ES_tradnl"/>
        </w:rPr>
        <w:t xml:space="preserve"> </w:t>
      </w:r>
      <w:r w:rsidRPr="003F6DBE">
        <w:rPr>
          <w:rFonts w:ascii="Times New Roman" w:hAnsi="Times New Roman" w:cs="Times New Roman"/>
          <w:sz w:val="28"/>
          <w:szCs w:val="28"/>
          <w:lang w:val="es-ES_tradnl"/>
        </w:rPr>
        <w:t>A</w:t>
      </w:r>
      <w:r w:rsidRPr="003F6DBE">
        <w:rPr>
          <w:rFonts w:ascii="Times New Roman" w:hAnsi="Times New Roman" w:cs="Times New Roman"/>
          <w:sz w:val="28"/>
          <w:szCs w:val="28"/>
          <w:lang w:val="es-ES_tradnl"/>
        </w:rPr>
        <w:t xml:space="preserve">sí, </w:t>
      </w:r>
      <w:r w:rsidRPr="003F6DBE">
        <w:rPr>
          <w:rFonts w:ascii="Times New Roman" w:hAnsi="Times New Roman" w:cs="Times New Roman"/>
          <w:sz w:val="28"/>
          <w:szCs w:val="28"/>
          <w:lang w:val="es-ES_tradnl"/>
        </w:rPr>
        <w:t>la omisi</w:t>
      </w:r>
      <w:r w:rsidRPr="003F6DBE">
        <w:rPr>
          <w:rFonts w:ascii="Times New Roman" w:hAnsi="Times New Roman" w:cs="Times New Roman"/>
          <w:sz w:val="28"/>
          <w:szCs w:val="28"/>
          <w:lang w:val="es-ES_tradnl"/>
        </w:rPr>
        <w:t>ón legislativa relativa tiene vocación de prosperar</w:t>
      </w:r>
      <w:r w:rsidRPr="003F6DBE">
        <w:rPr>
          <w:rFonts w:ascii="Times New Roman" w:hAnsi="Times New Roman" w:cs="Times New Roman"/>
          <w:sz w:val="28"/>
          <w:szCs w:val="28"/>
          <w:lang w:val="es-ES_tradnl"/>
        </w:rPr>
        <w:t xml:space="preserve"> conforme a las decisiones que en términos similares ha adoptado este tribunal</w:t>
      </w:r>
      <w:r w:rsidRPr="003F6DBE">
        <w:rPr>
          <w:rStyle w:val="Refdenotaalpie"/>
          <w:rFonts w:ascii="Times New Roman" w:hAnsi="Times New Roman"/>
          <w:sz w:val="28"/>
          <w:szCs w:val="28"/>
          <w:lang w:val="es-ES_tradnl"/>
        </w:rPr>
        <w:footnoteReference w:id="30"/>
      </w:r>
      <w:r w:rsidRPr="003F6DBE">
        <w:rPr>
          <w:rFonts w:ascii="Times New Roman" w:hAnsi="Times New Roman" w:cs="Times New Roman"/>
          <w:sz w:val="28"/>
          <w:szCs w:val="28"/>
          <w:lang w:val="es-ES_tradnl"/>
        </w:rPr>
        <w:t xml:space="preserve">. </w:t>
      </w:r>
    </w:p>
    <w:p w:rsidR="00F65543" w:rsidRPr="003F6DBE" w:rsidRDefault="003F6DBE" w:rsidP="00DA100F">
      <w:pPr>
        <w:spacing w:after="0" w:line="240" w:lineRule="auto"/>
        <w:ind w:right="49"/>
        <w:jc w:val="both"/>
        <w:rPr>
          <w:rFonts w:ascii="Times New Roman" w:hAnsi="Times New Roman" w:cs="Times New Roman"/>
          <w:sz w:val="28"/>
          <w:szCs w:val="28"/>
          <w:lang w:val="es-ES_tradnl"/>
        </w:rPr>
      </w:pPr>
    </w:p>
    <w:p w:rsidR="002A2D4E" w:rsidRPr="003F6DBE" w:rsidRDefault="003F6DBE" w:rsidP="00DA100F">
      <w:pPr>
        <w:pStyle w:val="Prrafodelista"/>
        <w:numPr>
          <w:ilvl w:val="0"/>
          <w:numId w:val="6"/>
        </w:numPr>
        <w:shd w:val="clear" w:color="auto" w:fill="FFFFFF"/>
        <w:spacing w:after="0" w:line="240" w:lineRule="auto"/>
        <w:ind w:right="49"/>
        <w:jc w:val="both"/>
        <w:rPr>
          <w:rFonts w:ascii="Times New Roman" w:eastAsia="Times New Roman" w:hAnsi="Times New Roman" w:cs="Times New Roman"/>
          <w:b/>
          <w:bCs/>
          <w:sz w:val="28"/>
          <w:szCs w:val="28"/>
          <w:lang w:val="es-ES_tradnl"/>
        </w:rPr>
      </w:pPr>
      <w:r w:rsidRPr="003F6DBE">
        <w:rPr>
          <w:rFonts w:ascii="Times New Roman" w:eastAsia="Times New Roman" w:hAnsi="Times New Roman" w:cs="Times New Roman"/>
          <w:b/>
          <w:bCs/>
          <w:sz w:val="28"/>
          <w:szCs w:val="28"/>
          <w:lang w:val="es-ES_tradnl"/>
        </w:rPr>
        <w:t>C</w:t>
      </w:r>
      <w:r w:rsidRPr="003F6DBE">
        <w:rPr>
          <w:rFonts w:ascii="Times New Roman" w:eastAsia="Times New Roman" w:hAnsi="Times New Roman" w:cs="Times New Roman"/>
          <w:b/>
          <w:bCs/>
          <w:sz w:val="28"/>
          <w:szCs w:val="28"/>
          <w:lang w:val="es-ES_tradnl"/>
        </w:rPr>
        <w:t>oncepto de</w:t>
      </w:r>
      <w:r w:rsidRPr="003F6DBE">
        <w:rPr>
          <w:rFonts w:ascii="Times New Roman" w:eastAsia="Times New Roman" w:hAnsi="Times New Roman" w:cs="Times New Roman"/>
          <w:b/>
          <w:bCs/>
          <w:sz w:val="28"/>
          <w:szCs w:val="28"/>
          <w:lang w:val="es-ES_tradnl"/>
        </w:rPr>
        <w:t xml:space="preserve"> la </w:t>
      </w:r>
      <w:r w:rsidRPr="003F6DBE">
        <w:rPr>
          <w:rFonts w:ascii="Times New Roman" w:eastAsia="Times New Roman" w:hAnsi="Times New Roman" w:cs="Times New Roman"/>
          <w:b/>
          <w:bCs/>
          <w:sz w:val="28"/>
          <w:szCs w:val="28"/>
          <w:lang w:val="es-ES_tradnl"/>
        </w:rPr>
        <w:t>Procurador</w:t>
      </w:r>
      <w:r w:rsidRPr="003F6DBE">
        <w:rPr>
          <w:rFonts w:ascii="Times New Roman" w:eastAsia="Times New Roman" w:hAnsi="Times New Roman" w:cs="Times New Roman"/>
          <w:b/>
          <w:bCs/>
          <w:sz w:val="28"/>
          <w:szCs w:val="28"/>
          <w:lang w:val="es-ES_tradnl"/>
        </w:rPr>
        <w:t>a</w:t>
      </w:r>
      <w:r w:rsidRPr="003F6DBE">
        <w:rPr>
          <w:rFonts w:ascii="Times New Roman" w:eastAsia="Times New Roman" w:hAnsi="Times New Roman" w:cs="Times New Roman"/>
          <w:b/>
          <w:bCs/>
          <w:sz w:val="28"/>
          <w:szCs w:val="28"/>
          <w:lang w:val="es-ES_tradnl"/>
        </w:rPr>
        <w:t xml:space="preserve"> General de la Nación</w:t>
      </w:r>
    </w:p>
    <w:p w:rsidR="002A2D4E" w:rsidRPr="003F6DBE" w:rsidRDefault="003F6DBE" w:rsidP="00DA100F">
      <w:pPr>
        <w:spacing w:after="0" w:line="240" w:lineRule="auto"/>
        <w:ind w:right="49"/>
        <w:jc w:val="both"/>
        <w:rPr>
          <w:rFonts w:ascii="Times New Roman" w:hAnsi="Times New Roman" w:cs="Times New Roman"/>
          <w:bCs/>
          <w:sz w:val="28"/>
          <w:szCs w:val="28"/>
          <w:lang w:val="es-ES_tradnl"/>
        </w:rPr>
      </w:pPr>
    </w:p>
    <w:p w:rsidR="00433281" w:rsidRPr="003F6DBE" w:rsidRDefault="003F6DBE" w:rsidP="00DA100F">
      <w:pPr>
        <w:pStyle w:val="Prrafodelista"/>
        <w:numPr>
          <w:ilvl w:val="0"/>
          <w:numId w:val="2"/>
        </w:numPr>
        <w:spacing w:after="0" w:line="240" w:lineRule="auto"/>
        <w:ind w:left="0" w:right="49" w:firstLine="0"/>
        <w:jc w:val="both"/>
        <w:rPr>
          <w:rFonts w:ascii="Times New Roman" w:hAnsi="Times New Roman" w:cs="Times New Roman"/>
          <w:bCs/>
          <w:sz w:val="28"/>
          <w:szCs w:val="28"/>
          <w:lang w:val="es-ES_tradnl"/>
        </w:rPr>
      </w:pPr>
      <w:r w:rsidRPr="003F6DBE">
        <w:rPr>
          <w:rFonts w:ascii="Times New Roman" w:hAnsi="Times New Roman" w:cs="Times New Roman"/>
          <w:bCs/>
          <w:sz w:val="28"/>
          <w:szCs w:val="28"/>
          <w:lang w:val="es-ES_tradnl"/>
        </w:rPr>
        <w:t>La</w:t>
      </w:r>
      <w:r w:rsidRPr="003F6DBE">
        <w:rPr>
          <w:rFonts w:ascii="Times New Roman" w:hAnsi="Times New Roman" w:cs="Times New Roman"/>
          <w:bCs/>
          <w:sz w:val="28"/>
          <w:szCs w:val="28"/>
          <w:lang w:val="es-ES_tradnl"/>
        </w:rPr>
        <w:t xml:space="preserve"> representante del Ministerio Público solicitó la declaratoria de exequibilidad de</w:t>
      </w:r>
      <w:r w:rsidRPr="003F6DBE">
        <w:rPr>
          <w:rFonts w:ascii="Times New Roman" w:hAnsi="Times New Roman" w:cs="Times New Roman"/>
          <w:bCs/>
          <w:sz w:val="28"/>
          <w:szCs w:val="28"/>
          <w:lang w:val="es-ES_tradnl"/>
        </w:rPr>
        <w:t>l término “</w:t>
      </w:r>
      <w:r w:rsidRPr="003F6DBE">
        <w:rPr>
          <w:rFonts w:ascii="Times New Roman" w:hAnsi="Times New Roman" w:cs="Times New Roman"/>
          <w:bCs/>
          <w:i/>
          <w:iCs/>
          <w:sz w:val="28"/>
          <w:szCs w:val="28"/>
          <w:lang w:val="es-ES_tradnl"/>
        </w:rPr>
        <w:t>indígenas</w:t>
      </w:r>
      <w:r w:rsidRPr="003F6DBE">
        <w:rPr>
          <w:rFonts w:ascii="Times New Roman" w:hAnsi="Times New Roman" w:cs="Times New Roman"/>
          <w:bCs/>
          <w:sz w:val="28"/>
          <w:szCs w:val="28"/>
          <w:lang w:val="es-ES_tradnl"/>
        </w:rPr>
        <w:t>”</w:t>
      </w:r>
      <w:r w:rsidRPr="003F6DBE">
        <w:rPr>
          <w:rFonts w:ascii="Times New Roman" w:hAnsi="Times New Roman" w:cs="Times New Roman"/>
          <w:bCs/>
          <w:sz w:val="28"/>
          <w:szCs w:val="28"/>
          <w:lang w:val="es-ES_tradnl"/>
        </w:rPr>
        <w:t xml:space="preserve"> </w:t>
      </w:r>
      <w:r w:rsidRPr="003F6DBE">
        <w:rPr>
          <w:rFonts w:ascii="Times New Roman" w:hAnsi="Times New Roman" w:cs="Times New Roman"/>
          <w:bCs/>
          <w:sz w:val="28"/>
          <w:szCs w:val="28"/>
          <w:lang w:val="es-ES_tradnl"/>
        </w:rPr>
        <w:t>contenido en lo</w:t>
      </w:r>
      <w:r w:rsidRPr="003F6DBE">
        <w:rPr>
          <w:rFonts w:ascii="Times New Roman" w:hAnsi="Times New Roman" w:cs="Times New Roman"/>
          <w:bCs/>
          <w:sz w:val="28"/>
          <w:szCs w:val="28"/>
          <w:lang w:val="es-ES_tradnl"/>
        </w:rPr>
        <w:t>s</w:t>
      </w:r>
      <w:r w:rsidRPr="003F6DBE">
        <w:rPr>
          <w:rFonts w:ascii="Times New Roman" w:hAnsi="Times New Roman" w:cs="Times New Roman"/>
          <w:bCs/>
          <w:sz w:val="28"/>
          <w:szCs w:val="28"/>
          <w:lang w:val="es-ES_tradnl"/>
        </w:rPr>
        <w:t xml:space="preserve"> </w:t>
      </w:r>
      <w:r w:rsidRPr="003F6DBE">
        <w:rPr>
          <w:rFonts w:ascii="Times New Roman" w:hAnsi="Times New Roman" w:cs="Times New Roman"/>
          <w:bCs/>
          <w:sz w:val="28"/>
          <w:szCs w:val="28"/>
          <w:lang w:val="es-ES_tradnl"/>
        </w:rPr>
        <w:t>a</w:t>
      </w:r>
      <w:r w:rsidRPr="003F6DBE">
        <w:rPr>
          <w:rFonts w:ascii="Times New Roman" w:hAnsi="Times New Roman" w:cs="Times New Roman"/>
          <w:bCs/>
          <w:sz w:val="28"/>
          <w:szCs w:val="28"/>
          <w:lang w:val="es-ES_tradnl"/>
        </w:rPr>
        <w:t xml:space="preserve">partes demandados de la Ley 191 de 1995, bajo el entendido que incluye a las agrupaciones de las comunidades </w:t>
      </w:r>
      <w:r w:rsidRPr="003F6DBE">
        <w:rPr>
          <w:rFonts w:ascii="Times New Roman" w:hAnsi="Times New Roman" w:cs="Times New Roman"/>
          <w:bCs/>
          <w:sz w:val="28"/>
          <w:szCs w:val="28"/>
          <w:lang w:val="es-ES_tradnl"/>
        </w:rPr>
        <w:t xml:space="preserve">negras, afrocolombianas, </w:t>
      </w:r>
      <w:r w:rsidRPr="003F6DBE">
        <w:rPr>
          <w:rFonts w:ascii="Times New Roman" w:hAnsi="Times New Roman" w:cs="Times New Roman"/>
          <w:bCs/>
          <w:sz w:val="28"/>
          <w:szCs w:val="28"/>
          <w:lang w:val="es-ES_tradnl"/>
        </w:rPr>
        <w:t xml:space="preserve">raizales y palenqueras. Como punto de partida, explica que </w:t>
      </w:r>
      <w:r w:rsidRPr="003F6DBE">
        <w:rPr>
          <w:rFonts w:ascii="Times New Roman" w:hAnsi="Times New Roman" w:cs="Times New Roman"/>
          <w:bCs/>
          <w:sz w:val="28"/>
          <w:szCs w:val="28"/>
        </w:rPr>
        <w:t>las omisiones legislativas son abstenciones del legislador que consisten en “</w:t>
      </w:r>
      <w:r w:rsidRPr="003F6DBE">
        <w:rPr>
          <w:rFonts w:ascii="Times New Roman" w:hAnsi="Times New Roman" w:cs="Times New Roman"/>
          <w:bCs/>
          <w:i/>
          <w:iCs/>
          <w:sz w:val="28"/>
          <w:szCs w:val="28"/>
        </w:rPr>
        <w:t>no disponer lo prescrito por la Constitución</w:t>
      </w:r>
      <w:r w:rsidRPr="003F6DBE">
        <w:rPr>
          <w:rFonts w:ascii="Times New Roman" w:hAnsi="Times New Roman" w:cs="Times New Roman"/>
          <w:bCs/>
          <w:sz w:val="28"/>
          <w:szCs w:val="28"/>
        </w:rPr>
        <w:t>”</w:t>
      </w:r>
      <w:r w:rsidRPr="003F6DBE">
        <w:rPr>
          <w:rFonts w:ascii="Times New Roman" w:hAnsi="Times New Roman" w:cs="Times New Roman"/>
          <w:bCs/>
          <w:sz w:val="28"/>
          <w:szCs w:val="28"/>
        </w:rPr>
        <w:t>. A partir de una interpretación sistemática de los artículos 4, 6 y 241 de</w:t>
      </w:r>
      <w:r w:rsidRPr="003F6DBE">
        <w:rPr>
          <w:rFonts w:ascii="Times New Roman" w:hAnsi="Times New Roman" w:cs="Times New Roman"/>
          <w:bCs/>
          <w:sz w:val="28"/>
          <w:szCs w:val="28"/>
        </w:rPr>
        <w:t xml:space="preserve"> la Constitución Política de Colombia, la jurisprudencia ha sostenido que pueden ser objeto de control por vía de la acción de inconstitucional</w:t>
      </w:r>
      <w:r w:rsidRPr="003F6DBE">
        <w:rPr>
          <w:rFonts w:ascii="Times New Roman" w:hAnsi="Times New Roman" w:cs="Times New Roman"/>
          <w:bCs/>
          <w:sz w:val="28"/>
          <w:szCs w:val="28"/>
        </w:rPr>
        <w:t>idad</w:t>
      </w:r>
      <w:r w:rsidRPr="003F6DBE">
        <w:rPr>
          <w:rFonts w:ascii="Times New Roman" w:hAnsi="Times New Roman" w:cs="Times New Roman"/>
          <w:bCs/>
          <w:sz w:val="28"/>
          <w:szCs w:val="28"/>
        </w:rPr>
        <w:t xml:space="preserve"> siempre que se demuestren los siguientes elementos: </w:t>
      </w:r>
    </w:p>
    <w:p w:rsidR="005A083A" w:rsidRPr="003F6DBE" w:rsidRDefault="003F6DBE" w:rsidP="00077D5A">
      <w:pPr>
        <w:spacing w:after="0" w:line="240" w:lineRule="auto"/>
        <w:ind w:left="567" w:right="567"/>
        <w:jc w:val="both"/>
        <w:rPr>
          <w:rFonts w:ascii="Times New Roman" w:hAnsi="Times New Roman" w:cs="Times New Roman"/>
          <w:bCs/>
          <w:sz w:val="28"/>
          <w:szCs w:val="24"/>
        </w:rPr>
      </w:pPr>
    </w:p>
    <w:p w:rsidR="005A083A" w:rsidRPr="003F6DBE" w:rsidRDefault="003F6DBE" w:rsidP="00077D5A">
      <w:pPr>
        <w:spacing w:after="0" w:line="240" w:lineRule="auto"/>
        <w:ind w:left="567" w:right="567"/>
        <w:jc w:val="both"/>
        <w:rPr>
          <w:rFonts w:ascii="Times New Roman" w:hAnsi="Times New Roman" w:cs="Times New Roman"/>
          <w:bCs/>
          <w:sz w:val="28"/>
          <w:szCs w:val="24"/>
        </w:rPr>
      </w:pPr>
      <w:r w:rsidRPr="003F6DBE">
        <w:rPr>
          <w:rFonts w:ascii="Times New Roman" w:hAnsi="Times New Roman" w:cs="Times New Roman"/>
          <w:bCs/>
          <w:sz w:val="28"/>
          <w:szCs w:val="24"/>
        </w:rPr>
        <w:t>“(a) La existencia de una norma sobre la cual se predi</w:t>
      </w:r>
      <w:r w:rsidRPr="003F6DBE">
        <w:rPr>
          <w:rFonts w:ascii="Times New Roman" w:hAnsi="Times New Roman" w:cs="Times New Roman"/>
          <w:bCs/>
          <w:sz w:val="28"/>
          <w:szCs w:val="24"/>
        </w:rPr>
        <w:t>que necesariamente el cargo, que presuntamente (i) excluya de sus consecuencias jurídicas aquellos casos equivalentes o asimilables, o (ii) que no incluya determinado elemento o ingrediente normativo;</w:t>
      </w:r>
    </w:p>
    <w:p w:rsidR="005A083A" w:rsidRPr="003F6DBE" w:rsidRDefault="003F6DBE" w:rsidP="00077D5A">
      <w:pPr>
        <w:spacing w:after="0" w:line="240" w:lineRule="auto"/>
        <w:ind w:left="567" w:right="567"/>
        <w:jc w:val="both"/>
        <w:rPr>
          <w:rFonts w:ascii="Times New Roman" w:hAnsi="Times New Roman" w:cs="Times New Roman"/>
          <w:bCs/>
          <w:sz w:val="28"/>
          <w:szCs w:val="24"/>
        </w:rPr>
      </w:pPr>
      <w:r w:rsidRPr="003F6DBE">
        <w:rPr>
          <w:rFonts w:ascii="Times New Roman" w:hAnsi="Times New Roman" w:cs="Times New Roman"/>
          <w:bCs/>
          <w:sz w:val="28"/>
          <w:szCs w:val="24"/>
        </w:rPr>
        <w:t xml:space="preserve">(b) Que exista un deber específico impuesto </w:t>
      </w:r>
      <w:r w:rsidRPr="003F6DBE">
        <w:rPr>
          <w:rFonts w:ascii="Times New Roman" w:hAnsi="Times New Roman" w:cs="Times New Roman"/>
          <w:bCs/>
          <w:sz w:val="28"/>
          <w:szCs w:val="24"/>
        </w:rPr>
        <w:t>directamente por el Constituyente al legislador que resulta omitido por los casos excluidos o por la no inclusión del elemento o ingrediente normativo del que carece la norma;</w:t>
      </w:r>
    </w:p>
    <w:p w:rsidR="005A083A" w:rsidRPr="003F6DBE" w:rsidRDefault="003F6DBE" w:rsidP="00077D5A">
      <w:pPr>
        <w:spacing w:after="0" w:line="240" w:lineRule="auto"/>
        <w:ind w:left="567" w:right="567"/>
        <w:jc w:val="both"/>
        <w:rPr>
          <w:rFonts w:ascii="Times New Roman" w:hAnsi="Times New Roman" w:cs="Times New Roman"/>
          <w:bCs/>
          <w:sz w:val="28"/>
          <w:szCs w:val="24"/>
        </w:rPr>
      </w:pPr>
      <w:r w:rsidRPr="003F6DBE">
        <w:rPr>
          <w:rFonts w:ascii="Times New Roman" w:hAnsi="Times New Roman" w:cs="Times New Roman"/>
          <w:bCs/>
          <w:sz w:val="28"/>
          <w:szCs w:val="24"/>
        </w:rPr>
        <w:t>(c) Que la exclusión de los casos o ingredientes carezca de un principio de razó</w:t>
      </w:r>
      <w:r w:rsidRPr="003F6DBE">
        <w:rPr>
          <w:rFonts w:ascii="Times New Roman" w:hAnsi="Times New Roman" w:cs="Times New Roman"/>
          <w:bCs/>
          <w:sz w:val="28"/>
          <w:szCs w:val="24"/>
        </w:rPr>
        <w:t>n suficiente; y</w:t>
      </w:r>
    </w:p>
    <w:p w:rsidR="00433281" w:rsidRPr="003F6DBE" w:rsidRDefault="003F6DBE" w:rsidP="00077D5A">
      <w:pPr>
        <w:spacing w:after="0" w:line="240" w:lineRule="auto"/>
        <w:ind w:left="567" w:right="567"/>
        <w:jc w:val="both"/>
        <w:rPr>
          <w:rFonts w:ascii="Times New Roman" w:hAnsi="Times New Roman" w:cs="Times New Roman"/>
          <w:bCs/>
          <w:sz w:val="28"/>
          <w:szCs w:val="24"/>
        </w:rPr>
      </w:pPr>
      <w:r w:rsidRPr="003F6DBE">
        <w:rPr>
          <w:rFonts w:ascii="Times New Roman" w:hAnsi="Times New Roman" w:cs="Times New Roman"/>
          <w:bCs/>
          <w:sz w:val="28"/>
          <w:szCs w:val="24"/>
        </w:rPr>
        <w:t>(d) Que en los casos de</w:t>
      </w:r>
      <w:r w:rsidRPr="003F6DBE">
        <w:rPr>
          <w:rFonts w:ascii="Times New Roman" w:hAnsi="Times New Roman" w:cs="Times New Roman"/>
          <w:bCs/>
          <w:sz w:val="28"/>
          <w:szCs w:val="24"/>
        </w:rPr>
        <w:t xml:space="preserve"> exclusión, la falta de justificación y objetividad genere una desigualdad negativa frente a los que se encuentran amparados por las consecuencias de la norma</w:t>
      </w:r>
      <w:r w:rsidRPr="003F6DBE">
        <w:rPr>
          <w:rFonts w:ascii="Times New Roman" w:hAnsi="Times New Roman" w:cs="Times New Roman"/>
          <w:bCs/>
          <w:sz w:val="28"/>
          <w:szCs w:val="24"/>
        </w:rPr>
        <w:t>”</w:t>
      </w:r>
      <w:r w:rsidRPr="003F6DBE">
        <w:rPr>
          <w:rStyle w:val="Refdenotaalpie"/>
          <w:rFonts w:ascii="Times New Roman" w:hAnsi="Times New Roman"/>
          <w:bCs/>
          <w:sz w:val="28"/>
          <w:szCs w:val="24"/>
        </w:rPr>
        <w:footnoteReference w:id="31"/>
      </w:r>
      <w:r w:rsidRPr="003F6DBE">
        <w:rPr>
          <w:rFonts w:ascii="Times New Roman" w:hAnsi="Times New Roman" w:cs="Times New Roman"/>
          <w:bCs/>
          <w:sz w:val="28"/>
          <w:szCs w:val="24"/>
        </w:rPr>
        <w:t>.</w:t>
      </w:r>
    </w:p>
    <w:p w:rsidR="00692E86" w:rsidRPr="003F6DBE" w:rsidRDefault="003F6DBE" w:rsidP="00DE38C0">
      <w:pPr>
        <w:spacing w:after="0" w:line="240" w:lineRule="auto"/>
        <w:ind w:left="567" w:right="191"/>
        <w:jc w:val="both"/>
        <w:rPr>
          <w:rFonts w:ascii="Times New Roman" w:hAnsi="Times New Roman" w:cs="Times New Roman"/>
          <w:bCs/>
          <w:sz w:val="28"/>
          <w:szCs w:val="24"/>
        </w:rPr>
      </w:pPr>
    </w:p>
    <w:p w:rsidR="00D04F4F" w:rsidRPr="003F6DBE" w:rsidRDefault="003F6DBE" w:rsidP="00890D82">
      <w:pPr>
        <w:pStyle w:val="Prrafodelista"/>
        <w:numPr>
          <w:ilvl w:val="0"/>
          <w:numId w:val="2"/>
        </w:numPr>
        <w:spacing w:after="0" w:line="240" w:lineRule="auto"/>
        <w:ind w:left="0" w:right="49" w:firstLine="0"/>
        <w:jc w:val="both"/>
        <w:rPr>
          <w:rFonts w:ascii="Times New Roman" w:hAnsi="Times New Roman" w:cs="Times New Roman"/>
          <w:bCs/>
          <w:sz w:val="28"/>
          <w:szCs w:val="28"/>
        </w:rPr>
      </w:pPr>
      <w:r w:rsidRPr="003F6DBE">
        <w:rPr>
          <w:rFonts w:ascii="Times New Roman" w:hAnsi="Times New Roman" w:cs="Times New Roman"/>
          <w:bCs/>
          <w:sz w:val="28"/>
          <w:szCs w:val="28"/>
        </w:rPr>
        <w:t>E</w:t>
      </w:r>
      <w:r w:rsidRPr="003F6DBE">
        <w:rPr>
          <w:rFonts w:ascii="Times New Roman" w:hAnsi="Times New Roman" w:cs="Times New Roman"/>
          <w:bCs/>
          <w:sz w:val="28"/>
          <w:szCs w:val="28"/>
        </w:rPr>
        <w:t xml:space="preserve">n aquellos casos donde se ha verificado la concurrencia de esas exigencias para que se configure la omisión legislativa relativa, esta Corporación ha </w:t>
      </w:r>
      <w:r w:rsidRPr="003F6DBE">
        <w:rPr>
          <w:rFonts w:ascii="Times New Roman" w:hAnsi="Times New Roman" w:cs="Times New Roman"/>
          <w:bCs/>
          <w:sz w:val="28"/>
          <w:szCs w:val="28"/>
        </w:rPr>
        <w:t xml:space="preserve">concluido </w:t>
      </w:r>
      <w:r w:rsidRPr="003F6DBE">
        <w:rPr>
          <w:rFonts w:ascii="Times New Roman" w:hAnsi="Times New Roman" w:cs="Times New Roman"/>
          <w:bCs/>
          <w:sz w:val="28"/>
          <w:szCs w:val="28"/>
        </w:rPr>
        <w:t xml:space="preserve">que el remedio judicial idóneo es </w:t>
      </w:r>
      <w:r w:rsidRPr="003F6DBE">
        <w:rPr>
          <w:rFonts w:ascii="Times New Roman" w:hAnsi="Times New Roman" w:cs="Times New Roman"/>
          <w:bCs/>
          <w:i/>
          <w:sz w:val="28"/>
          <w:szCs w:val="28"/>
        </w:rPr>
        <w:t xml:space="preserve">“una sentencia que extienda sus consecuencias a los supuestos </w:t>
      </w:r>
      <w:r w:rsidRPr="003F6DBE">
        <w:rPr>
          <w:rFonts w:ascii="Times New Roman" w:hAnsi="Times New Roman" w:cs="Times New Roman"/>
          <w:bCs/>
          <w:i/>
          <w:sz w:val="28"/>
          <w:szCs w:val="28"/>
        </w:rPr>
        <w:t>excluidos de manera injustificada”</w:t>
      </w:r>
      <w:r w:rsidRPr="003F6DBE">
        <w:rPr>
          <w:rStyle w:val="Refdenotaalpie"/>
          <w:rFonts w:ascii="Times New Roman" w:hAnsi="Times New Roman"/>
          <w:bCs/>
          <w:sz w:val="28"/>
          <w:szCs w:val="28"/>
        </w:rPr>
        <w:footnoteReference w:id="32"/>
      </w:r>
      <w:r w:rsidRPr="003F6DBE">
        <w:rPr>
          <w:rFonts w:ascii="Times New Roman" w:hAnsi="Times New Roman" w:cs="Times New Roman"/>
          <w:bCs/>
          <w:i/>
          <w:sz w:val="28"/>
          <w:szCs w:val="28"/>
        </w:rPr>
        <w:t>,</w:t>
      </w:r>
      <w:r w:rsidRPr="003F6DBE">
        <w:rPr>
          <w:rFonts w:ascii="Times New Roman" w:hAnsi="Times New Roman" w:cs="Times New Roman"/>
          <w:bCs/>
          <w:i/>
          <w:sz w:val="28"/>
          <w:szCs w:val="28"/>
        </w:rPr>
        <w:t xml:space="preserve"> </w:t>
      </w:r>
      <w:r w:rsidRPr="003F6DBE">
        <w:rPr>
          <w:rFonts w:ascii="Times New Roman" w:hAnsi="Times New Roman" w:cs="Times New Roman"/>
          <w:bCs/>
          <w:sz w:val="28"/>
          <w:szCs w:val="28"/>
        </w:rPr>
        <w:t>a efectos de mantener “</w:t>
      </w:r>
      <w:r w:rsidRPr="003F6DBE">
        <w:rPr>
          <w:rFonts w:ascii="Times New Roman" w:hAnsi="Times New Roman" w:cs="Times New Roman"/>
          <w:bCs/>
          <w:i/>
          <w:sz w:val="28"/>
          <w:szCs w:val="28"/>
        </w:rPr>
        <w:t>en el o</w:t>
      </w:r>
      <w:r w:rsidRPr="003F6DBE">
        <w:rPr>
          <w:rFonts w:ascii="Times New Roman" w:hAnsi="Times New Roman" w:cs="Times New Roman"/>
          <w:bCs/>
          <w:i/>
          <w:sz w:val="28"/>
          <w:szCs w:val="28"/>
        </w:rPr>
        <w:t>r</w:t>
      </w:r>
      <w:r w:rsidRPr="003F6DBE">
        <w:rPr>
          <w:rFonts w:ascii="Times New Roman" w:hAnsi="Times New Roman" w:cs="Times New Roman"/>
          <w:bCs/>
          <w:i/>
          <w:sz w:val="28"/>
          <w:szCs w:val="28"/>
        </w:rPr>
        <w:t>denamiento el contenido que, en sí mismo, no resulta contrario a la Carta, pero incorporando al mismo aquel aspecto omitido, sin el cual la disposición es incompatible con la Constitución”</w:t>
      </w:r>
      <w:r w:rsidRPr="003F6DBE">
        <w:rPr>
          <w:rStyle w:val="Refdenotaalpie"/>
          <w:rFonts w:ascii="Times New Roman" w:hAnsi="Times New Roman"/>
          <w:bCs/>
          <w:sz w:val="28"/>
          <w:szCs w:val="28"/>
        </w:rPr>
        <w:footnoteReference w:id="33"/>
      </w:r>
      <w:r w:rsidRPr="003F6DBE">
        <w:rPr>
          <w:rFonts w:ascii="Times New Roman" w:hAnsi="Times New Roman" w:cs="Times New Roman"/>
          <w:bCs/>
          <w:i/>
          <w:sz w:val="28"/>
          <w:szCs w:val="28"/>
        </w:rPr>
        <w:t>.</w:t>
      </w:r>
      <w:r w:rsidRPr="003F6DBE">
        <w:rPr>
          <w:rFonts w:ascii="Times New Roman" w:hAnsi="Times New Roman" w:cs="Times New Roman"/>
          <w:bCs/>
          <w:sz w:val="28"/>
          <w:szCs w:val="28"/>
        </w:rPr>
        <w:t xml:space="preserve"> </w:t>
      </w:r>
    </w:p>
    <w:p w:rsidR="00036CD7" w:rsidRPr="003F6DBE" w:rsidRDefault="003F6DBE" w:rsidP="00890D82">
      <w:pPr>
        <w:pStyle w:val="Prrafodelista"/>
        <w:spacing w:after="0" w:line="240" w:lineRule="auto"/>
        <w:ind w:left="0" w:right="49"/>
        <w:jc w:val="both"/>
        <w:rPr>
          <w:rFonts w:ascii="Times New Roman" w:hAnsi="Times New Roman" w:cs="Times New Roman"/>
          <w:bCs/>
          <w:sz w:val="28"/>
          <w:szCs w:val="28"/>
        </w:rPr>
      </w:pPr>
    </w:p>
    <w:p w:rsidR="001B61DE" w:rsidRPr="003F6DBE" w:rsidRDefault="003F6DBE" w:rsidP="00890D82">
      <w:pPr>
        <w:pStyle w:val="Prrafodelista"/>
        <w:numPr>
          <w:ilvl w:val="0"/>
          <w:numId w:val="2"/>
        </w:numPr>
        <w:spacing w:after="0" w:line="240" w:lineRule="auto"/>
        <w:ind w:left="0" w:right="49" w:firstLine="0"/>
        <w:jc w:val="both"/>
        <w:rPr>
          <w:rFonts w:ascii="Times New Roman" w:hAnsi="Times New Roman" w:cs="Times New Roman"/>
          <w:bCs/>
          <w:sz w:val="28"/>
          <w:szCs w:val="28"/>
        </w:rPr>
      </w:pPr>
      <w:r w:rsidRPr="003F6DBE">
        <w:rPr>
          <w:rFonts w:ascii="Times New Roman" w:hAnsi="Times New Roman" w:cs="Times New Roman"/>
          <w:bCs/>
          <w:sz w:val="28"/>
          <w:szCs w:val="28"/>
        </w:rPr>
        <w:t xml:space="preserve">Así, concluye que en el caso estudiado concurren las exigencias jurisprudenciales descritas. En primer lugar, (i) </w:t>
      </w:r>
      <w:r w:rsidRPr="003F6DBE">
        <w:rPr>
          <w:rFonts w:ascii="Times New Roman" w:hAnsi="Times New Roman" w:cs="Times New Roman"/>
          <w:bCs/>
          <w:sz w:val="28"/>
          <w:szCs w:val="28"/>
        </w:rPr>
        <w:t>los apartes censurados, al regular algunos aspectos de las zonas de frontera no hicieron referencia, además de las comunidades indígenas,</w:t>
      </w:r>
      <w:r w:rsidRPr="003F6DBE">
        <w:rPr>
          <w:rFonts w:ascii="Times New Roman" w:hAnsi="Times New Roman" w:cs="Times New Roman"/>
          <w:bCs/>
          <w:sz w:val="28"/>
          <w:szCs w:val="28"/>
        </w:rPr>
        <w:t xml:space="preserve"> a las negras, afrocolombianas, raizales y palenqueras</w:t>
      </w:r>
      <w:r w:rsidRPr="003F6DBE">
        <w:rPr>
          <w:rFonts w:ascii="Times New Roman" w:hAnsi="Times New Roman" w:cs="Times New Roman"/>
          <w:bCs/>
          <w:sz w:val="28"/>
          <w:szCs w:val="28"/>
        </w:rPr>
        <w:t xml:space="preserve">. En segundo lugar, (ii) esto puede terminar por </w:t>
      </w:r>
      <w:r w:rsidRPr="003F6DBE">
        <w:rPr>
          <w:rFonts w:ascii="Times New Roman" w:hAnsi="Times New Roman" w:cs="Times New Roman"/>
          <w:bCs/>
          <w:sz w:val="28"/>
          <w:szCs w:val="28"/>
        </w:rPr>
        <w:t>desconoc</w:t>
      </w:r>
      <w:r w:rsidRPr="003F6DBE">
        <w:rPr>
          <w:rFonts w:ascii="Times New Roman" w:hAnsi="Times New Roman" w:cs="Times New Roman"/>
          <w:bCs/>
          <w:sz w:val="28"/>
          <w:szCs w:val="28"/>
        </w:rPr>
        <w:t>er</w:t>
      </w:r>
      <w:r w:rsidRPr="003F6DBE">
        <w:rPr>
          <w:rFonts w:ascii="Times New Roman" w:hAnsi="Times New Roman" w:cs="Times New Roman"/>
          <w:bCs/>
          <w:sz w:val="28"/>
          <w:szCs w:val="28"/>
        </w:rPr>
        <w:t xml:space="preserve"> </w:t>
      </w:r>
      <w:r w:rsidRPr="003F6DBE">
        <w:rPr>
          <w:rFonts w:ascii="Times New Roman" w:hAnsi="Times New Roman" w:cs="Times New Roman"/>
          <w:bCs/>
          <w:sz w:val="28"/>
          <w:szCs w:val="28"/>
        </w:rPr>
        <w:t>lo dispuesto en los artículos 1, 13, 70 y 55 transitorio de la Carta Política</w:t>
      </w:r>
      <w:r w:rsidRPr="003F6DBE">
        <w:rPr>
          <w:rFonts w:ascii="Times New Roman" w:hAnsi="Times New Roman" w:cs="Times New Roman"/>
          <w:bCs/>
          <w:sz w:val="28"/>
          <w:szCs w:val="28"/>
        </w:rPr>
        <w:t>. Es decir que se desconoce el deber de conceder igual reconocimi</w:t>
      </w:r>
      <w:r w:rsidRPr="003F6DBE">
        <w:rPr>
          <w:rFonts w:ascii="Times New Roman" w:hAnsi="Times New Roman" w:cs="Times New Roman"/>
          <w:bCs/>
          <w:sz w:val="28"/>
          <w:szCs w:val="28"/>
        </w:rPr>
        <w:t>ento y respeto a los diferentes grupos étnicos del país, pese que se encuentra proscrita cualquier discriminación normativa fundada en la raza</w:t>
      </w:r>
      <w:r w:rsidRPr="003F6DBE">
        <w:rPr>
          <w:rStyle w:val="Refdenotaalpie"/>
          <w:rFonts w:ascii="Times New Roman" w:hAnsi="Times New Roman"/>
          <w:bCs/>
          <w:sz w:val="28"/>
          <w:szCs w:val="28"/>
        </w:rPr>
        <w:footnoteReference w:id="34"/>
      </w:r>
      <w:r w:rsidRPr="003F6DBE">
        <w:rPr>
          <w:rFonts w:ascii="Times New Roman" w:hAnsi="Times New Roman" w:cs="Times New Roman"/>
          <w:bCs/>
          <w:sz w:val="28"/>
          <w:szCs w:val="28"/>
        </w:rPr>
        <w:t>. En tercer lugar, (iii) tal exclusión es injustificada por cuenta de que en otros artículos de la Ley 191 de 199</w:t>
      </w:r>
      <w:r w:rsidRPr="003F6DBE">
        <w:rPr>
          <w:rFonts w:ascii="Times New Roman" w:hAnsi="Times New Roman" w:cs="Times New Roman"/>
          <w:bCs/>
          <w:sz w:val="28"/>
          <w:szCs w:val="28"/>
        </w:rPr>
        <w:t>5 sí se hizo referencia a los colectivos étnicos</w:t>
      </w:r>
      <w:r w:rsidRPr="003F6DBE">
        <w:rPr>
          <w:rFonts w:ascii="Times New Roman" w:hAnsi="Times New Roman" w:cs="Times New Roman"/>
          <w:bCs/>
          <w:sz w:val="28"/>
          <w:szCs w:val="28"/>
        </w:rPr>
        <w:t xml:space="preserve"> (artículos 3, 9, 12, 15 y 40)</w:t>
      </w:r>
      <w:r w:rsidRPr="003F6DBE">
        <w:rPr>
          <w:rFonts w:ascii="Times New Roman" w:hAnsi="Times New Roman" w:cs="Times New Roman"/>
          <w:bCs/>
          <w:sz w:val="28"/>
          <w:szCs w:val="28"/>
        </w:rPr>
        <w:t xml:space="preserve">. </w:t>
      </w:r>
      <w:r w:rsidRPr="003F6DBE">
        <w:rPr>
          <w:rFonts w:ascii="Times New Roman" w:hAnsi="Times New Roman" w:cs="Times New Roman"/>
          <w:bCs/>
          <w:sz w:val="28"/>
          <w:szCs w:val="28"/>
        </w:rPr>
        <w:t xml:space="preserve">De modo que, aunque no parece que la intención inicial del legislador fuera </w:t>
      </w:r>
      <w:r w:rsidRPr="003F6DBE">
        <w:rPr>
          <w:rFonts w:ascii="Times New Roman" w:hAnsi="Times New Roman" w:cs="Times New Roman"/>
          <w:bCs/>
          <w:sz w:val="28"/>
          <w:szCs w:val="28"/>
        </w:rPr>
        <w:t xml:space="preserve">la </w:t>
      </w:r>
      <w:r w:rsidRPr="003F6DBE">
        <w:rPr>
          <w:rFonts w:ascii="Times New Roman" w:hAnsi="Times New Roman" w:cs="Times New Roman"/>
          <w:bCs/>
          <w:sz w:val="28"/>
          <w:szCs w:val="28"/>
        </w:rPr>
        <w:t xml:space="preserve">de generar un trato diferenciado termina incurriendo en una discriminación. Por ello, garantizar </w:t>
      </w:r>
      <w:r w:rsidRPr="003F6DBE">
        <w:rPr>
          <w:rFonts w:ascii="Times New Roman" w:hAnsi="Times New Roman" w:cs="Times New Roman"/>
          <w:bCs/>
          <w:sz w:val="28"/>
          <w:szCs w:val="28"/>
        </w:rPr>
        <w:t>la igualdad de trato en favor de los grupos étnicos busca “</w:t>
      </w:r>
      <w:r w:rsidRPr="003F6DBE">
        <w:rPr>
          <w:rFonts w:ascii="Times New Roman" w:hAnsi="Times New Roman" w:cs="Times New Roman"/>
          <w:i/>
          <w:iCs/>
          <w:sz w:val="28"/>
          <w:szCs w:val="28"/>
          <w:shd w:val="clear" w:color="auto" w:fill="FFFFFF"/>
        </w:rPr>
        <w:t>romper la división artificiosa en relación con el régimen jurídico creada desde la época hispánica y que invisibilizó con mayor intensidad el pasado africano</w:t>
      </w:r>
      <w:r w:rsidRPr="003F6DBE">
        <w:rPr>
          <w:rFonts w:ascii="Times New Roman" w:hAnsi="Times New Roman" w:cs="Times New Roman"/>
          <w:sz w:val="28"/>
          <w:szCs w:val="28"/>
          <w:shd w:val="clear" w:color="auto" w:fill="FFFFFF"/>
        </w:rPr>
        <w:t>”</w:t>
      </w:r>
      <w:r w:rsidRPr="003F6DBE">
        <w:rPr>
          <w:rStyle w:val="Refdenotaalpie"/>
          <w:rFonts w:ascii="Times New Roman" w:hAnsi="Times New Roman"/>
          <w:sz w:val="28"/>
          <w:szCs w:val="28"/>
          <w:shd w:val="clear" w:color="auto" w:fill="FFFFFF"/>
        </w:rPr>
        <w:footnoteReference w:id="35"/>
      </w:r>
      <w:r w:rsidRPr="003F6DBE">
        <w:rPr>
          <w:rFonts w:ascii="Times New Roman" w:hAnsi="Times New Roman" w:cs="Times New Roman"/>
          <w:sz w:val="28"/>
          <w:szCs w:val="28"/>
          <w:shd w:val="clear" w:color="auto" w:fill="FFFFFF"/>
        </w:rPr>
        <w:t>.</w:t>
      </w:r>
      <w:r w:rsidRPr="003F6DBE">
        <w:rPr>
          <w:rFonts w:ascii="Times New Roman" w:hAnsi="Times New Roman" w:cs="Times New Roman"/>
          <w:sz w:val="28"/>
          <w:szCs w:val="28"/>
          <w:shd w:val="clear" w:color="auto" w:fill="FFFFFF"/>
        </w:rPr>
        <w:t xml:space="preserve"> En cuarto lugar, (iv) la falta de justificación de la desigualdad negativa afecta a estas comunidades pues, a diferencia de las comunidades indígenas, ellas no deben ser tenidas en consideración para la determinación de las </w:t>
      </w:r>
      <w:r w:rsidRPr="003F6DBE">
        <w:rPr>
          <w:rFonts w:ascii="Times New Roman" w:hAnsi="Times New Roman" w:cs="Times New Roman"/>
          <w:sz w:val="28"/>
          <w:szCs w:val="28"/>
          <w:shd w:val="clear" w:color="auto" w:fill="FFFFFF"/>
        </w:rPr>
        <w:t>z</w:t>
      </w:r>
      <w:r w:rsidRPr="003F6DBE">
        <w:rPr>
          <w:rFonts w:ascii="Times New Roman" w:hAnsi="Times New Roman" w:cs="Times New Roman"/>
          <w:sz w:val="28"/>
          <w:szCs w:val="28"/>
          <w:shd w:val="clear" w:color="auto" w:fill="FFFFFF"/>
        </w:rPr>
        <w:t xml:space="preserve">onas de </w:t>
      </w:r>
      <w:r w:rsidRPr="003F6DBE">
        <w:rPr>
          <w:rFonts w:ascii="Times New Roman" w:hAnsi="Times New Roman" w:cs="Times New Roman"/>
          <w:sz w:val="28"/>
          <w:szCs w:val="28"/>
          <w:shd w:val="clear" w:color="auto" w:fill="FFFFFF"/>
        </w:rPr>
        <w:t>f</w:t>
      </w:r>
      <w:r w:rsidRPr="003F6DBE">
        <w:rPr>
          <w:rFonts w:ascii="Times New Roman" w:hAnsi="Times New Roman" w:cs="Times New Roman"/>
          <w:sz w:val="28"/>
          <w:szCs w:val="28"/>
          <w:shd w:val="clear" w:color="auto" w:fill="FFFFFF"/>
        </w:rPr>
        <w:t>rontera, en la priori</w:t>
      </w:r>
      <w:r w:rsidRPr="003F6DBE">
        <w:rPr>
          <w:rFonts w:ascii="Times New Roman" w:hAnsi="Times New Roman" w:cs="Times New Roman"/>
          <w:sz w:val="28"/>
          <w:szCs w:val="28"/>
          <w:shd w:val="clear" w:color="auto" w:fill="FFFFFF"/>
        </w:rPr>
        <w:t>zación en los convenios de integración y en la protección del conocimiento ancestral asociado a los recursos genéticos desarrollados en esos espacios.</w:t>
      </w:r>
    </w:p>
    <w:p w:rsidR="00A25AE6" w:rsidRPr="003F6DBE" w:rsidRDefault="003F6DBE" w:rsidP="00890D82">
      <w:pPr>
        <w:spacing w:after="0" w:line="240" w:lineRule="auto"/>
        <w:ind w:right="49"/>
        <w:jc w:val="both"/>
        <w:rPr>
          <w:rFonts w:ascii="Times New Roman" w:hAnsi="Times New Roman" w:cs="Times New Roman"/>
          <w:bCs/>
          <w:sz w:val="28"/>
          <w:szCs w:val="28"/>
        </w:rPr>
      </w:pPr>
    </w:p>
    <w:p w:rsidR="00A25AE6" w:rsidRPr="003F6DBE" w:rsidRDefault="003F6DBE" w:rsidP="00DE38C0">
      <w:pPr>
        <w:pStyle w:val="Prrafodelista"/>
        <w:numPr>
          <w:ilvl w:val="0"/>
          <w:numId w:val="1"/>
        </w:numPr>
        <w:spacing w:after="0" w:line="240" w:lineRule="auto"/>
        <w:ind w:right="191"/>
        <w:jc w:val="both"/>
        <w:rPr>
          <w:rFonts w:ascii="Times New Roman" w:hAnsi="Times New Roman" w:cs="Times New Roman"/>
          <w:b/>
          <w:sz w:val="28"/>
        </w:rPr>
      </w:pPr>
      <w:r w:rsidRPr="003F6DBE">
        <w:rPr>
          <w:rFonts w:ascii="Times New Roman" w:hAnsi="Times New Roman" w:cs="Times New Roman"/>
          <w:b/>
          <w:sz w:val="28"/>
        </w:rPr>
        <w:t>CONSIDERACIONES</w:t>
      </w:r>
    </w:p>
    <w:p w:rsidR="00A25AE6" w:rsidRPr="003F6DBE" w:rsidRDefault="003F6DBE" w:rsidP="00DE38C0">
      <w:pPr>
        <w:pStyle w:val="Prrafodelista"/>
        <w:spacing w:after="0" w:line="240" w:lineRule="auto"/>
        <w:ind w:left="0" w:right="191"/>
        <w:jc w:val="both"/>
        <w:rPr>
          <w:rFonts w:ascii="Times New Roman" w:hAnsi="Times New Roman" w:cs="Times New Roman"/>
          <w:b/>
          <w:sz w:val="28"/>
        </w:rPr>
      </w:pPr>
    </w:p>
    <w:p w:rsidR="00A25AE6" w:rsidRPr="003F6DBE" w:rsidRDefault="003F6DBE" w:rsidP="00DE38C0">
      <w:pPr>
        <w:pStyle w:val="Prrafodelista"/>
        <w:numPr>
          <w:ilvl w:val="0"/>
          <w:numId w:val="7"/>
        </w:numPr>
        <w:tabs>
          <w:tab w:val="left" w:pos="1134"/>
        </w:tabs>
        <w:spacing w:after="0" w:line="240" w:lineRule="auto"/>
        <w:ind w:left="1134" w:right="191" w:hanging="567"/>
        <w:jc w:val="both"/>
        <w:rPr>
          <w:rFonts w:ascii="Times New Roman" w:hAnsi="Times New Roman" w:cs="Times New Roman"/>
          <w:b/>
          <w:sz w:val="28"/>
        </w:rPr>
      </w:pPr>
      <w:r w:rsidRPr="003F6DBE">
        <w:rPr>
          <w:rFonts w:ascii="Times New Roman" w:hAnsi="Times New Roman" w:cs="Times New Roman"/>
          <w:b/>
          <w:sz w:val="28"/>
        </w:rPr>
        <w:t>C</w:t>
      </w:r>
      <w:r w:rsidRPr="003F6DBE">
        <w:rPr>
          <w:rFonts w:ascii="Times New Roman" w:hAnsi="Times New Roman" w:cs="Times New Roman"/>
          <w:b/>
          <w:sz w:val="28"/>
        </w:rPr>
        <w:t>ompetencia</w:t>
      </w:r>
    </w:p>
    <w:p w:rsidR="00B449C8" w:rsidRPr="003F6DBE" w:rsidRDefault="003F6DBE" w:rsidP="00DE38C0">
      <w:pPr>
        <w:tabs>
          <w:tab w:val="left" w:pos="1134"/>
        </w:tabs>
        <w:spacing w:after="0" w:line="240" w:lineRule="auto"/>
        <w:ind w:right="191"/>
        <w:jc w:val="both"/>
        <w:rPr>
          <w:rFonts w:ascii="Times New Roman" w:hAnsi="Times New Roman" w:cs="Times New Roman"/>
          <w:b/>
          <w:sz w:val="28"/>
        </w:rPr>
      </w:pPr>
    </w:p>
    <w:p w:rsidR="00A25AE6" w:rsidRPr="003F6DBE" w:rsidRDefault="003F6DBE" w:rsidP="00890D82">
      <w:pPr>
        <w:pStyle w:val="Prrafodelista"/>
        <w:numPr>
          <w:ilvl w:val="0"/>
          <w:numId w:val="2"/>
        </w:numPr>
        <w:spacing w:after="0" w:line="240" w:lineRule="auto"/>
        <w:ind w:left="0" w:right="49" w:firstLine="0"/>
        <w:jc w:val="both"/>
        <w:rPr>
          <w:rFonts w:ascii="Times New Roman" w:hAnsi="Times New Roman" w:cs="Times New Roman"/>
          <w:bCs/>
          <w:sz w:val="28"/>
          <w:szCs w:val="28"/>
        </w:rPr>
      </w:pPr>
      <w:r w:rsidRPr="003F6DBE">
        <w:rPr>
          <w:rFonts w:ascii="Times New Roman" w:hAnsi="Times New Roman" w:cs="Times New Roman"/>
          <w:sz w:val="28"/>
        </w:rPr>
        <w:t>De conformidad con lo dispuesto en el artículo 241, numeral 4° de la Const</w:t>
      </w:r>
      <w:r w:rsidRPr="003F6DBE">
        <w:rPr>
          <w:rFonts w:ascii="Times New Roman" w:hAnsi="Times New Roman" w:cs="Times New Roman"/>
          <w:sz w:val="28"/>
        </w:rPr>
        <w:t xml:space="preserve">itución, la Corte es competente para conocer y decidir definitivamente sobre la demanda de inconstitucionalidad </w:t>
      </w:r>
      <w:r w:rsidRPr="003F6DBE">
        <w:rPr>
          <w:rFonts w:ascii="Times New Roman" w:hAnsi="Times New Roman" w:cs="Times New Roman"/>
          <w:sz w:val="28"/>
        </w:rPr>
        <w:t xml:space="preserve">propuesta </w:t>
      </w:r>
      <w:r w:rsidRPr="003F6DBE">
        <w:rPr>
          <w:rFonts w:ascii="Times New Roman" w:hAnsi="Times New Roman" w:cs="Times New Roman"/>
          <w:sz w:val="28"/>
        </w:rPr>
        <w:t xml:space="preserve">al dirigirse contra una ley por su contenido material. </w:t>
      </w:r>
    </w:p>
    <w:p w:rsidR="00A25AE6" w:rsidRPr="003F6DBE" w:rsidRDefault="003F6DBE" w:rsidP="00DE38C0">
      <w:pPr>
        <w:pStyle w:val="Prrafodelista"/>
        <w:spacing w:after="0" w:line="240" w:lineRule="auto"/>
        <w:ind w:left="0" w:right="191"/>
        <w:jc w:val="both"/>
        <w:rPr>
          <w:rFonts w:ascii="Times New Roman" w:hAnsi="Times New Roman" w:cs="Times New Roman"/>
          <w:b/>
          <w:sz w:val="28"/>
          <w:szCs w:val="28"/>
        </w:rPr>
      </w:pPr>
    </w:p>
    <w:p w:rsidR="00A25AE6" w:rsidRPr="003F6DBE" w:rsidRDefault="003F6DBE" w:rsidP="00DE38C0">
      <w:pPr>
        <w:pStyle w:val="Prrafodelista"/>
        <w:numPr>
          <w:ilvl w:val="0"/>
          <w:numId w:val="7"/>
        </w:numPr>
        <w:spacing w:after="0" w:line="240" w:lineRule="auto"/>
        <w:ind w:left="1134" w:right="191" w:hanging="567"/>
        <w:jc w:val="both"/>
        <w:rPr>
          <w:rFonts w:ascii="Times New Roman" w:hAnsi="Times New Roman" w:cs="Times New Roman"/>
          <w:b/>
          <w:sz w:val="28"/>
          <w:szCs w:val="28"/>
          <w:bdr w:val="none" w:sz="0" w:space="0" w:color="auto" w:frame="1"/>
          <w:shd w:val="clear" w:color="auto" w:fill="FFFFFF"/>
        </w:rPr>
      </w:pPr>
      <w:r w:rsidRPr="003F6DBE">
        <w:rPr>
          <w:rFonts w:ascii="Times New Roman" w:hAnsi="Times New Roman" w:cs="Times New Roman"/>
          <w:b/>
          <w:sz w:val="28"/>
        </w:rPr>
        <w:t>Planteamiento del problema jurídico, método y estructura de la decisión</w:t>
      </w:r>
    </w:p>
    <w:p w:rsidR="00692E86" w:rsidRPr="003F6DBE" w:rsidRDefault="003F6DBE" w:rsidP="00DE38C0">
      <w:pPr>
        <w:pStyle w:val="Prrafodelista"/>
        <w:spacing w:after="0" w:line="240" w:lineRule="auto"/>
        <w:ind w:left="1134" w:right="191"/>
        <w:jc w:val="both"/>
        <w:rPr>
          <w:rFonts w:ascii="Times New Roman" w:hAnsi="Times New Roman" w:cs="Times New Roman"/>
          <w:sz w:val="28"/>
          <w:szCs w:val="28"/>
          <w:bdr w:val="none" w:sz="0" w:space="0" w:color="auto" w:frame="1"/>
          <w:shd w:val="clear" w:color="auto" w:fill="FFFFFF"/>
        </w:rPr>
      </w:pPr>
    </w:p>
    <w:p w:rsidR="00E510F4" w:rsidRPr="003F6DBE" w:rsidRDefault="003F6DBE" w:rsidP="00890D82">
      <w:pPr>
        <w:pStyle w:val="Prrafodelista"/>
        <w:numPr>
          <w:ilvl w:val="0"/>
          <w:numId w:val="2"/>
        </w:numPr>
        <w:spacing w:after="0" w:line="240" w:lineRule="auto"/>
        <w:ind w:left="0" w:right="49" w:firstLine="0"/>
        <w:jc w:val="both"/>
        <w:rPr>
          <w:rFonts w:ascii="Times New Roman" w:hAnsi="Times New Roman" w:cs="Times New Roman"/>
          <w:sz w:val="28"/>
          <w:szCs w:val="28"/>
          <w:bdr w:val="none" w:sz="0" w:space="0" w:color="auto" w:frame="1"/>
          <w:shd w:val="clear" w:color="auto" w:fill="FFFFFF"/>
        </w:rPr>
      </w:pPr>
      <w:r w:rsidRPr="003F6DBE">
        <w:rPr>
          <w:rFonts w:ascii="Times New Roman" w:hAnsi="Times New Roman" w:cs="Times New Roman"/>
          <w:sz w:val="28"/>
          <w:szCs w:val="28"/>
          <w:bdr w:val="none" w:sz="0" w:space="0" w:color="auto" w:frame="1"/>
          <w:shd w:val="clear" w:color="auto" w:fill="FFFFFF"/>
        </w:rPr>
        <w:t xml:space="preserve">En </w:t>
      </w:r>
      <w:r w:rsidRPr="003F6DBE">
        <w:rPr>
          <w:rFonts w:ascii="Times New Roman" w:hAnsi="Times New Roman" w:cs="Times New Roman"/>
          <w:sz w:val="28"/>
          <w:szCs w:val="28"/>
          <w:bdr w:val="none" w:sz="0" w:space="0" w:color="auto" w:frame="1"/>
          <w:shd w:val="clear" w:color="auto" w:fill="FFFFFF"/>
        </w:rPr>
        <w:t>virtud de lo anterior, le corresponde a este tribunal resolver el siguiente problema jurídico</w:t>
      </w:r>
      <w:r w:rsidRPr="003F6DBE">
        <w:rPr>
          <w:rFonts w:ascii="Times New Roman" w:hAnsi="Times New Roman" w:cs="Times New Roman"/>
          <w:sz w:val="28"/>
          <w:szCs w:val="28"/>
          <w:bdr w:val="none" w:sz="0" w:space="0" w:color="auto" w:frame="1"/>
          <w:shd w:val="clear" w:color="auto" w:fill="FFFFFF"/>
        </w:rPr>
        <w:t xml:space="preserve">: </w:t>
      </w:r>
      <w:bookmarkStart w:id="8" w:name="_Hlk161825966"/>
      <w:r w:rsidRPr="003F6DBE">
        <w:rPr>
          <w:rFonts w:ascii="Times New Roman" w:hAnsi="Times New Roman" w:cs="Times New Roman"/>
          <w:sz w:val="28"/>
          <w:szCs w:val="28"/>
          <w:bdr w:val="none" w:sz="0" w:space="0" w:color="auto" w:frame="1"/>
          <w:shd w:val="clear" w:color="auto" w:fill="FFFFFF"/>
        </w:rPr>
        <w:t>¿</w:t>
      </w:r>
      <w:r w:rsidRPr="003F6DBE">
        <w:rPr>
          <w:rFonts w:ascii="Times New Roman" w:hAnsi="Times New Roman" w:cs="Times New Roman"/>
          <w:sz w:val="28"/>
          <w:szCs w:val="28"/>
          <w:bdr w:val="none" w:sz="0" w:space="0" w:color="auto" w:frame="1"/>
          <w:shd w:val="clear" w:color="auto" w:fill="FFFFFF"/>
        </w:rPr>
        <w:t>e</w:t>
      </w:r>
      <w:r w:rsidRPr="003F6DBE">
        <w:rPr>
          <w:rFonts w:ascii="Times New Roman" w:hAnsi="Times New Roman" w:cs="Times New Roman"/>
          <w:sz w:val="28"/>
          <w:szCs w:val="28"/>
          <w:bdr w:val="none" w:sz="0" w:space="0" w:color="auto" w:frame="1"/>
          <w:shd w:val="clear" w:color="auto" w:fill="FFFFFF"/>
        </w:rPr>
        <w:t>l legislador vulneró</w:t>
      </w:r>
      <w:r w:rsidRPr="003F6DBE">
        <w:rPr>
          <w:rFonts w:ascii="Times New Roman" w:hAnsi="Times New Roman" w:cs="Times New Roman"/>
          <w:sz w:val="28"/>
          <w:szCs w:val="28"/>
          <w:bdr w:val="none" w:sz="0" w:space="0" w:color="auto" w:frame="1"/>
          <w:shd w:val="clear" w:color="auto" w:fill="FFFFFF"/>
        </w:rPr>
        <w:t xml:space="preserve"> con la expedición de las disposiciones demandadas</w:t>
      </w:r>
      <w:r w:rsidRPr="003F6DBE">
        <w:rPr>
          <w:rStyle w:val="Refdenotaalpie"/>
          <w:rFonts w:ascii="Times New Roman" w:hAnsi="Times New Roman"/>
          <w:sz w:val="28"/>
          <w:szCs w:val="28"/>
          <w:bdr w:val="none" w:sz="0" w:space="0" w:color="auto" w:frame="1"/>
          <w:shd w:val="clear" w:color="auto" w:fill="FFFFFF"/>
        </w:rPr>
        <w:footnoteReference w:id="36"/>
      </w:r>
      <w:r w:rsidRPr="003F6DBE">
        <w:rPr>
          <w:rFonts w:ascii="Times New Roman" w:hAnsi="Times New Roman" w:cs="Times New Roman"/>
          <w:b/>
          <w:sz w:val="28"/>
        </w:rPr>
        <w:t xml:space="preserve"> </w:t>
      </w:r>
      <w:r w:rsidRPr="003F6DBE">
        <w:rPr>
          <w:rFonts w:ascii="Times New Roman" w:hAnsi="Times New Roman" w:cs="Times New Roman"/>
          <w:sz w:val="28"/>
          <w:szCs w:val="28"/>
          <w:bdr w:val="none" w:sz="0" w:space="0" w:color="auto" w:frame="1"/>
          <w:shd w:val="clear" w:color="auto" w:fill="FFFFFF"/>
        </w:rPr>
        <w:t>los artículos 1, 2, 7, 13, 70, 93, 310 y 55 transitorio de la Constitución Política, as</w:t>
      </w:r>
      <w:r w:rsidRPr="003F6DBE">
        <w:rPr>
          <w:rFonts w:ascii="Times New Roman" w:hAnsi="Times New Roman" w:cs="Times New Roman"/>
          <w:sz w:val="28"/>
          <w:szCs w:val="28"/>
          <w:bdr w:val="none" w:sz="0" w:space="0" w:color="auto" w:frame="1"/>
          <w:shd w:val="clear" w:color="auto" w:fill="FFFFFF"/>
        </w:rPr>
        <w:t xml:space="preserve">í como también los artículos </w:t>
      </w:r>
      <w:r w:rsidRPr="003F6DBE">
        <w:rPr>
          <w:rFonts w:ascii="Times New Roman" w:hAnsi="Times New Roman" w:cs="Times New Roman"/>
          <w:sz w:val="28"/>
          <w:szCs w:val="28"/>
          <w:bdr w:val="none" w:sz="0" w:space="0" w:color="auto" w:frame="1"/>
          <w:shd w:val="clear" w:color="auto" w:fill="FFFFFF"/>
        </w:rPr>
        <w:t xml:space="preserve">1.1, </w:t>
      </w:r>
      <w:r w:rsidRPr="003F6DBE">
        <w:rPr>
          <w:rFonts w:ascii="Times New Roman" w:hAnsi="Times New Roman" w:cs="Times New Roman"/>
          <w:sz w:val="28"/>
          <w:szCs w:val="28"/>
          <w:bdr w:val="none" w:sz="0" w:space="0" w:color="auto" w:frame="1"/>
          <w:shd w:val="clear" w:color="auto" w:fill="FFFFFF"/>
        </w:rPr>
        <w:t>2</w:t>
      </w:r>
      <w:r w:rsidRPr="003F6DBE">
        <w:rPr>
          <w:rFonts w:ascii="Times New Roman" w:hAnsi="Times New Roman" w:cs="Times New Roman"/>
          <w:sz w:val="28"/>
          <w:szCs w:val="28"/>
          <w:bdr w:val="none" w:sz="0" w:space="0" w:color="auto" w:frame="1"/>
          <w:shd w:val="clear" w:color="auto" w:fill="FFFFFF"/>
        </w:rPr>
        <w:t>.2</w:t>
      </w:r>
      <w:r w:rsidRPr="003F6DBE">
        <w:rPr>
          <w:rFonts w:ascii="Times New Roman" w:hAnsi="Times New Roman" w:cs="Times New Roman"/>
          <w:sz w:val="28"/>
          <w:szCs w:val="28"/>
          <w:bdr w:val="none" w:sz="0" w:space="0" w:color="auto" w:frame="1"/>
          <w:shd w:val="clear" w:color="auto" w:fill="FFFFFF"/>
        </w:rPr>
        <w:t xml:space="preserve"> y 5</w:t>
      </w:r>
      <w:r w:rsidRPr="003F6DBE">
        <w:rPr>
          <w:rFonts w:ascii="Times New Roman" w:hAnsi="Times New Roman" w:cs="Times New Roman"/>
          <w:sz w:val="28"/>
          <w:szCs w:val="28"/>
          <w:bdr w:val="none" w:sz="0" w:space="0" w:color="auto" w:frame="1"/>
          <w:shd w:val="clear" w:color="auto" w:fill="FFFFFF"/>
        </w:rPr>
        <w:t>a</w:t>
      </w:r>
      <w:r w:rsidRPr="003F6DBE">
        <w:rPr>
          <w:rFonts w:ascii="Times New Roman" w:hAnsi="Times New Roman" w:cs="Times New Roman"/>
          <w:sz w:val="28"/>
          <w:szCs w:val="28"/>
          <w:bdr w:val="none" w:sz="0" w:space="0" w:color="auto" w:frame="1"/>
          <w:shd w:val="clear" w:color="auto" w:fill="FFFFFF"/>
        </w:rPr>
        <w:t xml:space="preserve"> del Convenio 169 de la Organización Internacional del Trabajo (en adelante OIT) que hacen parte del bloque de constitucionalidad en sentido estricto, al establecer que tales disposiciones aplicarían a las comunida</w:t>
      </w:r>
      <w:r w:rsidRPr="003F6DBE">
        <w:rPr>
          <w:rFonts w:ascii="Times New Roman" w:hAnsi="Times New Roman" w:cs="Times New Roman"/>
          <w:sz w:val="28"/>
          <w:szCs w:val="28"/>
          <w:bdr w:val="none" w:sz="0" w:space="0" w:color="auto" w:frame="1"/>
          <w:shd w:val="clear" w:color="auto" w:fill="FFFFFF"/>
        </w:rPr>
        <w:t>des indígenas, sin referir de manera específica a las comunidades negras, afrodescendientes, raizales y palenqueras</w:t>
      </w:r>
      <w:r w:rsidRPr="003F6DBE">
        <w:rPr>
          <w:rFonts w:ascii="Times New Roman" w:hAnsi="Times New Roman" w:cs="Times New Roman"/>
          <w:sz w:val="28"/>
          <w:szCs w:val="28"/>
          <w:bdr w:val="none" w:sz="0" w:space="0" w:color="auto" w:frame="1"/>
          <w:shd w:val="clear" w:color="auto" w:fill="FFFFFF"/>
        </w:rPr>
        <w:t>, con lo cual a juicio de los demandantes se incurrió en una omisión legislativa relativa?</w:t>
      </w:r>
    </w:p>
    <w:p w:rsidR="00250A9E" w:rsidRPr="003F6DBE" w:rsidRDefault="003F6DBE" w:rsidP="00890D82">
      <w:pPr>
        <w:pStyle w:val="Prrafodelista"/>
        <w:spacing w:after="0" w:line="240" w:lineRule="auto"/>
        <w:ind w:left="0" w:right="49"/>
        <w:jc w:val="both"/>
        <w:rPr>
          <w:rFonts w:ascii="Times New Roman" w:hAnsi="Times New Roman" w:cs="Times New Roman"/>
          <w:sz w:val="28"/>
          <w:szCs w:val="28"/>
          <w:bdr w:val="none" w:sz="0" w:space="0" w:color="auto" w:frame="1"/>
          <w:shd w:val="clear" w:color="auto" w:fill="FFFFFF"/>
        </w:rPr>
      </w:pPr>
    </w:p>
    <w:p w:rsidR="00810C27" w:rsidRPr="003F6DBE" w:rsidRDefault="003F6DBE" w:rsidP="00890D82">
      <w:pPr>
        <w:pStyle w:val="Prrafodelista"/>
        <w:numPr>
          <w:ilvl w:val="0"/>
          <w:numId w:val="2"/>
        </w:numPr>
        <w:spacing w:after="0" w:line="240" w:lineRule="auto"/>
        <w:ind w:left="0" w:right="49" w:firstLine="0"/>
        <w:jc w:val="both"/>
        <w:rPr>
          <w:rFonts w:ascii="Times New Roman" w:hAnsi="Times New Roman" w:cs="Times New Roman"/>
          <w:sz w:val="28"/>
          <w:szCs w:val="28"/>
          <w:bdr w:val="none" w:sz="0" w:space="0" w:color="auto" w:frame="1"/>
          <w:shd w:val="clear" w:color="auto" w:fill="FFFFFF"/>
        </w:rPr>
      </w:pPr>
      <w:r w:rsidRPr="003F6DBE">
        <w:rPr>
          <w:rFonts w:ascii="Times New Roman" w:hAnsi="Times New Roman" w:cs="Times New Roman"/>
          <w:sz w:val="28"/>
          <w:szCs w:val="28"/>
          <w:bdr w:val="none" w:sz="0" w:space="0" w:color="auto" w:frame="1"/>
          <w:shd w:val="clear" w:color="auto" w:fill="FFFFFF"/>
        </w:rPr>
        <w:t>P</w:t>
      </w:r>
      <w:r w:rsidRPr="003F6DBE">
        <w:rPr>
          <w:rFonts w:ascii="Times New Roman" w:hAnsi="Times New Roman" w:cs="Times New Roman"/>
          <w:sz w:val="28"/>
          <w:szCs w:val="28"/>
          <w:bdr w:val="none" w:sz="0" w:space="0" w:color="auto" w:frame="1"/>
          <w:shd w:val="clear" w:color="auto" w:fill="FFFFFF"/>
        </w:rPr>
        <w:t>revio a resolver el asunto de fondo</w:t>
      </w:r>
      <w:r w:rsidRPr="003F6DBE">
        <w:rPr>
          <w:rFonts w:ascii="Times New Roman" w:hAnsi="Times New Roman" w:cs="Times New Roman"/>
          <w:sz w:val="28"/>
          <w:szCs w:val="28"/>
          <w:bdr w:val="none" w:sz="0" w:space="0" w:color="auto" w:frame="1"/>
          <w:shd w:val="clear" w:color="auto" w:fill="FFFFFF"/>
        </w:rPr>
        <w:t xml:space="preserve"> y no obstante que no se propuso</w:t>
      </w:r>
      <w:r w:rsidRPr="003F6DBE">
        <w:rPr>
          <w:rFonts w:ascii="Times New Roman" w:hAnsi="Times New Roman" w:cs="Times New Roman"/>
          <w:sz w:val="28"/>
          <w:szCs w:val="28"/>
          <w:bdr w:val="none" w:sz="0" w:space="0" w:color="auto" w:frame="1"/>
          <w:shd w:val="clear" w:color="auto" w:fill="FFFFFF"/>
        </w:rPr>
        <w:t xml:space="preserve"> un cuestionamiento puntual</w:t>
      </w:r>
      <w:r w:rsidRPr="003F6DBE">
        <w:rPr>
          <w:rFonts w:ascii="Times New Roman" w:hAnsi="Times New Roman" w:cs="Times New Roman"/>
          <w:sz w:val="28"/>
          <w:szCs w:val="28"/>
          <w:bdr w:val="none" w:sz="0" w:space="0" w:color="auto" w:frame="1"/>
          <w:shd w:val="clear" w:color="auto" w:fill="FFFFFF"/>
        </w:rPr>
        <w:t xml:space="preserve"> por ningún interviniente</w:t>
      </w:r>
      <w:r w:rsidRPr="003F6DBE">
        <w:rPr>
          <w:rFonts w:ascii="Times New Roman" w:hAnsi="Times New Roman" w:cs="Times New Roman"/>
          <w:sz w:val="28"/>
          <w:szCs w:val="28"/>
          <w:bdr w:val="none" w:sz="0" w:space="0" w:color="auto" w:frame="1"/>
          <w:shd w:val="clear" w:color="auto" w:fill="FFFFFF"/>
        </w:rPr>
        <w:t xml:space="preserve"> sobre la aptitud sustantiva de la demanda</w:t>
      </w:r>
      <w:r w:rsidRPr="003F6DBE">
        <w:rPr>
          <w:rFonts w:ascii="Times New Roman" w:hAnsi="Times New Roman" w:cs="Times New Roman"/>
          <w:sz w:val="28"/>
          <w:szCs w:val="28"/>
          <w:bdr w:val="none" w:sz="0" w:space="0" w:color="auto" w:frame="1"/>
          <w:shd w:val="clear" w:color="auto" w:fill="FFFFFF"/>
        </w:rPr>
        <w:t xml:space="preserve">, la Sala Plena considera que es necesario </w:t>
      </w:r>
      <w:r w:rsidRPr="003F6DBE">
        <w:rPr>
          <w:rFonts w:ascii="Times New Roman" w:hAnsi="Times New Roman" w:cs="Times New Roman"/>
          <w:sz w:val="28"/>
          <w:szCs w:val="28"/>
          <w:bdr w:val="none" w:sz="0" w:space="0" w:color="auto" w:frame="1"/>
          <w:shd w:val="clear" w:color="auto" w:fill="FFFFFF"/>
        </w:rPr>
        <w:t>estudiar</w:t>
      </w:r>
      <w:r w:rsidRPr="003F6DBE">
        <w:rPr>
          <w:rFonts w:ascii="Times New Roman" w:hAnsi="Times New Roman" w:cs="Times New Roman"/>
          <w:sz w:val="28"/>
          <w:szCs w:val="28"/>
          <w:bdr w:val="none" w:sz="0" w:space="0" w:color="auto" w:frame="1"/>
          <w:shd w:val="clear" w:color="auto" w:fill="FFFFFF"/>
        </w:rPr>
        <w:t xml:space="preserve"> este asunto con fundamento en dos razones. </w:t>
      </w:r>
      <w:r w:rsidRPr="003F6DBE">
        <w:rPr>
          <w:rFonts w:ascii="Times New Roman" w:hAnsi="Times New Roman" w:cs="Times New Roman"/>
          <w:sz w:val="28"/>
          <w:szCs w:val="28"/>
          <w:bdr w:val="none" w:sz="0" w:space="0" w:color="auto" w:frame="1"/>
          <w:shd w:val="clear" w:color="auto" w:fill="FFFFFF"/>
        </w:rPr>
        <w:t>Primero, tras el hecho de comprobar</w:t>
      </w:r>
      <w:r w:rsidRPr="003F6DBE">
        <w:rPr>
          <w:rFonts w:ascii="Times New Roman" w:hAnsi="Times New Roman" w:cs="Times New Roman"/>
          <w:sz w:val="28"/>
          <w:szCs w:val="28"/>
          <w:bdr w:val="none" w:sz="0" w:space="0" w:color="auto" w:frame="1"/>
          <w:shd w:val="clear" w:color="auto" w:fill="FFFFFF"/>
        </w:rPr>
        <w:t xml:space="preserve"> que</w:t>
      </w:r>
      <w:r w:rsidRPr="003F6DBE">
        <w:rPr>
          <w:rFonts w:ascii="Times New Roman" w:hAnsi="Times New Roman" w:cs="Times New Roman"/>
          <w:sz w:val="28"/>
          <w:szCs w:val="28"/>
          <w:bdr w:val="none" w:sz="0" w:space="0" w:color="auto" w:frame="1"/>
          <w:shd w:val="clear" w:color="auto" w:fill="FFFFFF"/>
        </w:rPr>
        <w:t xml:space="preserve"> (i) los demandantes </w:t>
      </w:r>
      <w:r w:rsidRPr="003F6DBE">
        <w:rPr>
          <w:rFonts w:ascii="Times New Roman" w:hAnsi="Times New Roman" w:cs="Times New Roman"/>
          <w:sz w:val="28"/>
        </w:rPr>
        <w:t>no integraron la proposición jurídica completa y de que, en realidad, la expresión demandada, esto es la palabra “</w:t>
      </w:r>
      <w:r w:rsidRPr="003F6DBE">
        <w:rPr>
          <w:rFonts w:ascii="Times New Roman" w:hAnsi="Times New Roman" w:cs="Times New Roman"/>
          <w:i/>
          <w:iCs/>
          <w:sz w:val="28"/>
        </w:rPr>
        <w:t>indígenas</w:t>
      </w:r>
      <w:r w:rsidRPr="003F6DBE">
        <w:rPr>
          <w:rFonts w:ascii="Times New Roman" w:hAnsi="Times New Roman" w:cs="Times New Roman"/>
          <w:sz w:val="28"/>
        </w:rPr>
        <w:t>”, no cont</w:t>
      </w:r>
      <w:r w:rsidRPr="003F6DBE">
        <w:rPr>
          <w:rFonts w:ascii="Times New Roman" w:hAnsi="Times New Roman" w:cs="Times New Roman"/>
          <w:sz w:val="28"/>
        </w:rPr>
        <w:t>iene</w:t>
      </w:r>
      <w:r w:rsidRPr="003F6DBE">
        <w:rPr>
          <w:rFonts w:ascii="Times New Roman" w:hAnsi="Times New Roman" w:cs="Times New Roman"/>
          <w:sz w:val="28"/>
        </w:rPr>
        <w:t xml:space="preserve"> una regla de derecho susceptible de ser controlada mediante la acción pública de inconstituci</w:t>
      </w:r>
      <w:r w:rsidRPr="003F6DBE">
        <w:rPr>
          <w:rFonts w:ascii="Times New Roman" w:hAnsi="Times New Roman" w:cs="Times New Roman"/>
          <w:sz w:val="28"/>
        </w:rPr>
        <w:t xml:space="preserve">onalidad. En segundo lugar, </w:t>
      </w:r>
      <w:r w:rsidRPr="003F6DBE">
        <w:rPr>
          <w:rFonts w:ascii="Times New Roman" w:hAnsi="Times New Roman" w:cs="Times New Roman"/>
          <w:sz w:val="28"/>
        </w:rPr>
        <w:t>se debe</w:t>
      </w:r>
      <w:r w:rsidRPr="003F6DBE">
        <w:rPr>
          <w:rFonts w:ascii="Times New Roman" w:hAnsi="Times New Roman" w:cs="Times New Roman"/>
          <w:sz w:val="28"/>
        </w:rPr>
        <w:t xml:space="preserve"> explorar si, a su vez, </w:t>
      </w:r>
      <w:r w:rsidRPr="003F6DBE">
        <w:rPr>
          <w:rFonts w:ascii="Times New Roman" w:hAnsi="Times New Roman" w:cs="Times New Roman"/>
          <w:sz w:val="28"/>
        </w:rPr>
        <w:t xml:space="preserve">(ii) </w:t>
      </w:r>
      <w:r w:rsidRPr="003F6DBE">
        <w:rPr>
          <w:rFonts w:ascii="Times New Roman" w:hAnsi="Times New Roman" w:cs="Times New Roman"/>
          <w:sz w:val="28"/>
        </w:rPr>
        <w:t>la demanda e</w:t>
      </w:r>
      <w:r w:rsidRPr="003F6DBE">
        <w:rPr>
          <w:rFonts w:ascii="Times New Roman" w:hAnsi="Times New Roman" w:cs="Times New Roman"/>
          <w:sz w:val="28"/>
        </w:rPr>
        <w:t>s</w:t>
      </w:r>
      <w:r w:rsidRPr="003F6DBE">
        <w:rPr>
          <w:rFonts w:ascii="Times New Roman" w:hAnsi="Times New Roman" w:cs="Times New Roman"/>
          <w:sz w:val="28"/>
        </w:rPr>
        <w:t xml:space="preserve"> apta respecto de la comunidad raizal de San Andrés, Providencia y Santa Catalina</w:t>
      </w:r>
      <w:r w:rsidRPr="003F6DBE">
        <w:rPr>
          <w:rFonts w:ascii="Times New Roman" w:hAnsi="Times New Roman" w:cs="Times New Roman"/>
          <w:sz w:val="28"/>
        </w:rPr>
        <w:t>. E</w:t>
      </w:r>
      <w:r w:rsidRPr="003F6DBE">
        <w:rPr>
          <w:rFonts w:ascii="Times New Roman" w:hAnsi="Times New Roman" w:cs="Times New Roman"/>
          <w:sz w:val="28"/>
        </w:rPr>
        <w:t xml:space="preserve">n caso de que la respuesta a ello </w:t>
      </w:r>
      <w:r w:rsidRPr="003F6DBE">
        <w:rPr>
          <w:rFonts w:ascii="Times New Roman" w:hAnsi="Times New Roman" w:cs="Times New Roman"/>
          <w:sz w:val="28"/>
        </w:rPr>
        <w:t xml:space="preserve">sea </w:t>
      </w:r>
      <w:r w:rsidRPr="003F6DBE">
        <w:rPr>
          <w:rFonts w:ascii="Times New Roman" w:hAnsi="Times New Roman" w:cs="Times New Roman"/>
          <w:sz w:val="28"/>
        </w:rPr>
        <w:t xml:space="preserve">negativa, </w:t>
      </w:r>
      <w:r w:rsidRPr="003F6DBE">
        <w:rPr>
          <w:rFonts w:ascii="Times New Roman" w:hAnsi="Times New Roman" w:cs="Times New Roman"/>
          <w:sz w:val="28"/>
        </w:rPr>
        <w:t xml:space="preserve">se debe </w:t>
      </w:r>
      <w:r w:rsidRPr="003F6DBE">
        <w:rPr>
          <w:rFonts w:ascii="Times New Roman" w:hAnsi="Times New Roman" w:cs="Times New Roman"/>
          <w:sz w:val="28"/>
        </w:rPr>
        <w:t>analizar si</w:t>
      </w:r>
      <w:r w:rsidRPr="003F6DBE">
        <w:rPr>
          <w:rFonts w:ascii="Times New Roman" w:hAnsi="Times New Roman" w:cs="Times New Roman"/>
          <w:sz w:val="28"/>
        </w:rPr>
        <w:t>, en dicho contexto, es posi</w:t>
      </w:r>
      <w:r w:rsidRPr="003F6DBE">
        <w:rPr>
          <w:rFonts w:ascii="Times New Roman" w:hAnsi="Times New Roman" w:cs="Times New Roman"/>
          <w:sz w:val="28"/>
        </w:rPr>
        <w:t>ble proferir una sentencia de fondo, pese a que</w:t>
      </w:r>
      <w:r w:rsidRPr="003F6DBE">
        <w:rPr>
          <w:rFonts w:ascii="Times New Roman" w:hAnsi="Times New Roman" w:cs="Times New Roman"/>
          <w:sz w:val="28"/>
          <w:szCs w:val="28"/>
          <w:bdr w:val="none" w:sz="0" w:space="0" w:color="auto" w:frame="1"/>
          <w:shd w:val="clear" w:color="auto" w:fill="FFFFFF"/>
        </w:rPr>
        <w:t xml:space="preserve"> </w:t>
      </w:r>
      <w:r w:rsidRPr="003F6DBE">
        <w:rPr>
          <w:rFonts w:ascii="Times New Roman" w:hAnsi="Times New Roman" w:cs="Times New Roman"/>
          <w:sz w:val="28"/>
        </w:rPr>
        <w:t xml:space="preserve">podría </w:t>
      </w:r>
      <w:r w:rsidRPr="003F6DBE">
        <w:rPr>
          <w:rFonts w:ascii="Times New Roman" w:hAnsi="Times New Roman" w:cs="Times New Roman"/>
          <w:sz w:val="28"/>
        </w:rPr>
        <w:t>exclu</w:t>
      </w:r>
      <w:r w:rsidRPr="003F6DBE">
        <w:rPr>
          <w:rFonts w:ascii="Times New Roman" w:hAnsi="Times New Roman" w:cs="Times New Roman"/>
          <w:sz w:val="28"/>
        </w:rPr>
        <w:t>ir</w:t>
      </w:r>
      <w:r w:rsidRPr="003F6DBE">
        <w:rPr>
          <w:rFonts w:ascii="Times New Roman" w:hAnsi="Times New Roman" w:cs="Times New Roman"/>
          <w:sz w:val="28"/>
        </w:rPr>
        <w:t xml:space="preserve"> a una parte de la comunidad </w:t>
      </w:r>
      <w:r w:rsidRPr="003F6DBE">
        <w:rPr>
          <w:rFonts w:ascii="Times New Roman" w:hAnsi="Times New Roman" w:cs="Times New Roman"/>
          <w:sz w:val="28"/>
        </w:rPr>
        <w:t xml:space="preserve">afrocolombiana de una </w:t>
      </w:r>
      <w:r w:rsidRPr="003F6DBE">
        <w:rPr>
          <w:rFonts w:ascii="Times New Roman" w:hAnsi="Times New Roman" w:cs="Times New Roman"/>
          <w:sz w:val="28"/>
        </w:rPr>
        <w:t>demanda</w:t>
      </w:r>
      <w:r w:rsidRPr="003F6DBE">
        <w:rPr>
          <w:rFonts w:ascii="Times New Roman" w:hAnsi="Times New Roman" w:cs="Times New Roman"/>
          <w:sz w:val="28"/>
        </w:rPr>
        <w:t xml:space="preserve"> que solicita declarar una omisión legislativa relativa</w:t>
      </w:r>
      <w:r w:rsidRPr="003F6DBE">
        <w:rPr>
          <w:rFonts w:ascii="Times New Roman" w:hAnsi="Times New Roman" w:cs="Times New Roman"/>
          <w:sz w:val="28"/>
        </w:rPr>
        <w:t xml:space="preserve"> frente a la integridad de esta comunidad</w:t>
      </w:r>
      <w:r w:rsidRPr="003F6DBE">
        <w:rPr>
          <w:rFonts w:ascii="Times New Roman" w:hAnsi="Times New Roman" w:cs="Times New Roman"/>
          <w:sz w:val="28"/>
        </w:rPr>
        <w:t xml:space="preserve"> étnica. En otras palabras, deberá deter</w:t>
      </w:r>
      <w:r w:rsidRPr="003F6DBE">
        <w:rPr>
          <w:rFonts w:ascii="Times New Roman" w:hAnsi="Times New Roman" w:cs="Times New Roman"/>
          <w:sz w:val="28"/>
        </w:rPr>
        <w:t>minarse si es posible superar la contradicción aparente que podría existir entre una demanda que solicita declarar una omisión legislativa relativa para que las disposiciones contempladas en favor de las comunidades indígenas se hicieren extensivas en favo</w:t>
      </w:r>
      <w:r w:rsidRPr="003F6DBE">
        <w:rPr>
          <w:rFonts w:ascii="Times New Roman" w:hAnsi="Times New Roman" w:cs="Times New Roman"/>
          <w:sz w:val="28"/>
        </w:rPr>
        <w:t>r de las comunidades afrocolombianas, negras, raizales y palenqueras frente a una decisión que podría llevar a un pronunciamiento parcial,</w:t>
      </w:r>
      <w:r w:rsidRPr="003F6DBE">
        <w:rPr>
          <w:rFonts w:ascii="Times New Roman" w:hAnsi="Times New Roman" w:cs="Times New Roman"/>
          <w:sz w:val="28"/>
        </w:rPr>
        <w:t xml:space="preserve"> al excluir parte de ella, con lo cual se podría</w:t>
      </w:r>
      <w:r w:rsidRPr="003F6DBE">
        <w:rPr>
          <w:rFonts w:ascii="Times New Roman" w:hAnsi="Times New Roman" w:cs="Times New Roman"/>
          <w:sz w:val="28"/>
        </w:rPr>
        <w:t>n</w:t>
      </w:r>
      <w:r w:rsidRPr="003F6DBE">
        <w:rPr>
          <w:rFonts w:ascii="Times New Roman" w:hAnsi="Times New Roman" w:cs="Times New Roman"/>
          <w:sz w:val="28"/>
        </w:rPr>
        <w:t xml:space="preserve"> desconocer los fundamentos y la pretensión de la demanda </w:t>
      </w:r>
      <w:r w:rsidRPr="003F6DBE">
        <w:rPr>
          <w:rFonts w:ascii="Times New Roman" w:hAnsi="Times New Roman" w:cs="Times New Roman"/>
          <w:sz w:val="28"/>
        </w:rPr>
        <w:t xml:space="preserve">en un caso en donde lo </w:t>
      </w:r>
      <w:r w:rsidRPr="003F6DBE">
        <w:rPr>
          <w:rFonts w:ascii="Times New Roman" w:hAnsi="Times New Roman" w:cs="Times New Roman"/>
          <w:sz w:val="28"/>
        </w:rPr>
        <w:t xml:space="preserve">solicitado </w:t>
      </w:r>
      <w:r w:rsidRPr="003F6DBE">
        <w:rPr>
          <w:rFonts w:ascii="Times New Roman" w:hAnsi="Times New Roman" w:cs="Times New Roman"/>
          <w:sz w:val="28"/>
        </w:rPr>
        <w:t>es maximizar la participación</w:t>
      </w:r>
      <w:r w:rsidRPr="003F6DBE">
        <w:rPr>
          <w:rFonts w:ascii="Times New Roman" w:hAnsi="Times New Roman" w:cs="Times New Roman"/>
          <w:sz w:val="28"/>
        </w:rPr>
        <w:t xml:space="preserve"> de las comunidades afro y no restringirla.</w:t>
      </w:r>
    </w:p>
    <w:p w:rsidR="00810C27" w:rsidRPr="003F6DBE" w:rsidRDefault="003F6DBE" w:rsidP="00890D82">
      <w:pPr>
        <w:pStyle w:val="Prrafodelista"/>
        <w:spacing w:after="0" w:line="240" w:lineRule="auto"/>
        <w:ind w:left="0" w:right="49"/>
        <w:jc w:val="both"/>
        <w:rPr>
          <w:rFonts w:ascii="Times New Roman" w:hAnsi="Times New Roman" w:cs="Times New Roman"/>
          <w:sz w:val="28"/>
          <w:szCs w:val="28"/>
          <w:bdr w:val="none" w:sz="0" w:space="0" w:color="auto" w:frame="1"/>
          <w:shd w:val="clear" w:color="auto" w:fill="FFFFFF"/>
        </w:rPr>
      </w:pPr>
    </w:p>
    <w:p w:rsidR="00161F79" w:rsidRPr="003F6DBE" w:rsidRDefault="003F6DBE" w:rsidP="00890D82">
      <w:pPr>
        <w:pStyle w:val="Prrafodelista"/>
        <w:numPr>
          <w:ilvl w:val="0"/>
          <w:numId w:val="2"/>
        </w:numPr>
        <w:spacing w:after="0" w:line="240" w:lineRule="auto"/>
        <w:ind w:left="0" w:right="49" w:firstLine="0"/>
        <w:jc w:val="both"/>
        <w:rPr>
          <w:rFonts w:ascii="Times New Roman" w:hAnsi="Times New Roman" w:cs="Times New Roman"/>
          <w:sz w:val="28"/>
          <w:szCs w:val="28"/>
          <w:bdr w:val="none" w:sz="0" w:space="0" w:color="auto" w:frame="1"/>
          <w:shd w:val="clear" w:color="auto" w:fill="FFFFFF"/>
        </w:rPr>
      </w:pPr>
      <w:r w:rsidRPr="003F6DBE">
        <w:rPr>
          <w:rFonts w:ascii="Times New Roman" w:hAnsi="Times New Roman" w:cs="Times New Roman"/>
          <w:sz w:val="28"/>
        </w:rPr>
        <w:t xml:space="preserve"> Para resolver, en primer lugar esta situación procesal</w:t>
      </w:r>
      <w:r w:rsidRPr="003F6DBE">
        <w:rPr>
          <w:rFonts w:ascii="Times New Roman" w:hAnsi="Times New Roman" w:cs="Times New Roman"/>
          <w:sz w:val="28"/>
        </w:rPr>
        <w:t>,</w:t>
      </w:r>
      <w:r w:rsidRPr="003F6DBE">
        <w:rPr>
          <w:rFonts w:ascii="Times New Roman" w:hAnsi="Times New Roman" w:cs="Times New Roman"/>
          <w:sz w:val="28"/>
        </w:rPr>
        <w:t xml:space="preserve"> la Sala Plena estudiará</w:t>
      </w:r>
      <w:r w:rsidRPr="003F6DBE">
        <w:rPr>
          <w:rFonts w:ascii="Times New Roman" w:hAnsi="Times New Roman" w:cs="Times New Roman"/>
          <w:sz w:val="28"/>
        </w:rPr>
        <w:t>:</w:t>
      </w:r>
      <w:r w:rsidRPr="003F6DBE">
        <w:rPr>
          <w:rFonts w:ascii="Times New Roman" w:hAnsi="Times New Roman" w:cs="Times New Roman"/>
          <w:sz w:val="28"/>
        </w:rPr>
        <w:t xml:space="preserve"> (</w:t>
      </w:r>
      <w:r w:rsidRPr="003F6DBE">
        <w:rPr>
          <w:rFonts w:ascii="Times New Roman" w:hAnsi="Times New Roman" w:cs="Times New Roman"/>
          <w:sz w:val="28"/>
        </w:rPr>
        <w:t>a</w:t>
      </w:r>
      <w:r w:rsidRPr="003F6DBE">
        <w:rPr>
          <w:rFonts w:ascii="Times New Roman" w:hAnsi="Times New Roman" w:cs="Times New Roman"/>
          <w:sz w:val="28"/>
        </w:rPr>
        <w:t xml:space="preserve">) </w:t>
      </w:r>
      <w:r w:rsidRPr="003F6DBE">
        <w:rPr>
          <w:rFonts w:ascii="Times New Roman" w:hAnsi="Times New Roman" w:cs="Times New Roman"/>
          <w:sz w:val="28"/>
        </w:rPr>
        <w:t>las exigencias de la carga argumentativa para determinar en ca</w:t>
      </w:r>
      <w:r w:rsidRPr="003F6DBE">
        <w:rPr>
          <w:rFonts w:ascii="Times New Roman" w:hAnsi="Times New Roman" w:cs="Times New Roman"/>
          <w:sz w:val="28"/>
        </w:rPr>
        <w:t>da caso la aptitud sustantiva de la demanda</w:t>
      </w:r>
      <w:r w:rsidRPr="003F6DBE">
        <w:rPr>
          <w:rFonts w:ascii="Times New Roman" w:hAnsi="Times New Roman" w:cs="Times New Roman"/>
          <w:sz w:val="28"/>
        </w:rPr>
        <w:t xml:space="preserve"> frente a los cargos de omisión legislativa relativa</w:t>
      </w:r>
      <w:r w:rsidRPr="003F6DBE">
        <w:rPr>
          <w:rFonts w:ascii="Times New Roman" w:hAnsi="Times New Roman" w:cs="Times New Roman"/>
          <w:sz w:val="28"/>
        </w:rPr>
        <w:t xml:space="preserve"> y la posibilidad de </w:t>
      </w:r>
      <w:r w:rsidRPr="003F6DBE">
        <w:rPr>
          <w:rFonts w:ascii="Times New Roman" w:hAnsi="Times New Roman" w:cs="Times New Roman"/>
          <w:sz w:val="28"/>
        </w:rPr>
        <w:t>efectuar dicho</w:t>
      </w:r>
      <w:r w:rsidRPr="003F6DBE">
        <w:rPr>
          <w:rFonts w:ascii="Times New Roman" w:hAnsi="Times New Roman" w:cs="Times New Roman"/>
          <w:sz w:val="28"/>
        </w:rPr>
        <w:t xml:space="preserve"> estudio al momento de decidir el caso</w:t>
      </w:r>
      <w:r w:rsidRPr="003F6DBE">
        <w:rPr>
          <w:rFonts w:ascii="Times New Roman" w:hAnsi="Times New Roman" w:cs="Times New Roman"/>
          <w:sz w:val="28"/>
        </w:rPr>
        <w:t xml:space="preserve"> </w:t>
      </w:r>
      <w:r w:rsidRPr="003F6DBE">
        <w:rPr>
          <w:rFonts w:ascii="Times New Roman" w:hAnsi="Times New Roman" w:cs="Times New Roman"/>
          <w:sz w:val="28"/>
        </w:rPr>
        <w:t>y; (b) los fundamentos de la demanda y la pretensión respecto a la jurisprudencia const</w:t>
      </w:r>
      <w:r w:rsidRPr="003F6DBE">
        <w:rPr>
          <w:rFonts w:ascii="Times New Roman" w:hAnsi="Times New Roman" w:cs="Times New Roman"/>
          <w:sz w:val="28"/>
        </w:rPr>
        <w:t>itucional sobre la protección a la diversidad étnica y cultural de las comunidades afrodescendientes</w:t>
      </w:r>
      <w:r w:rsidRPr="003F6DBE">
        <w:rPr>
          <w:rFonts w:ascii="Times New Roman" w:hAnsi="Times New Roman" w:cs="Times New Roman"/>
          <w:sz w:val="28"/>
        </w:rPr>
        <w:t xml:space="preserve">, en aras de </w:t>
      </w:r>
      <w:r w:rsidRPr="003F6DBE">
        <w:rPr>
          <w:rFonts w:ascii="Times New Roman" w:hAnsi="Times New Roman" w:cs="Times New Roman"/>
          <w:sz w:val="28"/>
        </w:rPr>
        <w:t>determinar</w:t>
      </w:r>
      <w:r w:rsidRPr="003F6DBE">
        <w:rPr>
          <w:rFonts w:ascii="Times New Roman" w:hAnsi="Times New Roman" w:cs="Times New Roman"/>
          <w:sz w:val="28"/>
        </w:rPr>
        <w:t xml:space="preserve"> si es posible declarar </w:t>
      </w:r>
      <w:r w:rsidRPr="003F6DBE">
        <w:rPr>
          <w:rFonts w:ascii="Times New Roman" w:hAnsi="Times New Roman" w:cs="Times New Roman"/>
          <w:sz w:val="28"/>
        </w:rPr>
        <w:t>la</w:t>
      </w:r>
      <w:r w:rsidRPr="003F6DBE">
        <w:rPr>
          <w:rFonts w:ascii="Times New Roman" w:hAnsi="Times New Roman" w:cs="Times New Roman"/>
          <w:sz w:val="28"/>
        </w:rPr>
        <w:t xml:space="preserve"> ineptitud sustantiva de la demanda de forma parcial</w:t>
      </w:r>
      <w:r w:rsidRPr="003F6DBE">
        <w:rPr>
          <w:rFonts w:ascii="Times New Roman" w:hAnsi="Times New Roman" w:cs="Times New Roman"/>
          <w:sz w:val="28"/>
        </w:rPr>
        <w:t>, en consideración a la existencia de distintas comunid</w:t>
      </w:r>
      <w:r w:rsidRPr="003F6DBE">
        <w:rPr>
          <w:rFonts w:ascii="Times New Roman" w:hAnsi="Times New Roman" w:cs="Times New Roman"/>
          <w:sz w:val="28"/>
        </w:rPr>
        <w:t>ades étnicas dentro de los afrocolombianos</w:t>
      </w:r>
      <w:r w:rsidRPr="003F6DBE">
        <w:rPr>
          <w:rFonts w:ascii="Times New Roman" w:hAnsi="Times New Roman" w:cs="Times New Roman"/>
          <w:sz w:val="28"/>
        </w:rPr>
        <w:t xml:space="preserve">. </w:t>
      </w:r>
      <w:bookmarkEnd w:id="8"/>
      <w:r w:rsidRPr="003F6DBE">
        <w:rPr>
          <w:rFonts w:ascii="Times New Roman" w:hAnsi="Times New Roman" w:cs="Times New Roman"/>
          <w:sz w:val="28"/>
        </w:rPr>
        <w:t xml:space="preserve">Por </w:t>
      </w:r>
      <w:r w:rsidRPr="003F6DBE">
        <w:rPr>
          <w:rFonts w:ascii="Times New Roman" w:hAnsi="Times New Roman" w:cs="Times New Roman"/>
          <w:sz w:val="28"/>
          <w:szCs w:val="28"/>
          <w:bdr w:val="none" w:sz="0" w:space="0" w:color="auto" w:frame="1"/>
          <w:shd w:val="clear" w:color="auto" w:fill="FFFFFF"/>
        </w:rPr>
        <w:t>último,</w:t>
      </w:r>
      <w:r w:rsidRPr="003F6DBE">
        <w:rPr>
          <w:rFonts w:ascii="Times New Roman" w:hAnsi="Times New Roman" w:cs="Times New Roman"/>
          <w:sz w:val="28"/>
          <w:szCs w:val="28"/>
          <w:bdr w:val="none" w:sz="0" w:space="0" w:color="auto" w:frame="1"/>
          <w:shd w:val="clear" w:color="auto" w:fill="FFFFFF"/>
        </w:rPr>
        <w:t xml:space="preserve"> (</w:t>
      </w:r>
      <w:r w:rsidRPr="003F6DBE">
        <w:rPr>
          <w:rFonts w:ascii="Times New Roman" w:hAnsi="Times New Roman" w:cs="Times New Roman"/>
          <w:sz w:val="28"/>
          <w:szCs w:val="28"/>
          <w:bdr w:val="none" w:sz="0" w:space="0" w:color="auto" w:frame="1"/>
          <w:shd w:val="clear" w:color="auto" w:fill="FFFFFF"/>
        </w:rPr>
        <w:t>c</w:t>
      </w:r>
      <w:r w:rsidRPr="003F6DBE">
        <w:rPr>
          <w:rFonts w:ascii="Times New Roman" w:hAnsi="Times New Roman" w:cs="Times New Roman"/>
          <w:sz w:val="28"/>
          <w:szCs w:val="28"/>
          <w:bdr w:val="none" w:sz="0" w:space="0" w:color="auto" w:frame="1"/>
          <w:shd w:val="clear" w:color="auto" w:fill="FFFFFF"/>
        </w:rPr>
        <w:t>) con base en las anteriores conclusiones, se procederá a resolver el caso concreto</w:t>
      </w:r>
      <w:r w:rsidRPr="003F6DBE">
        <w:rPr>
          <w:rFonts w:ascii="Times New Roman" w:hAnsi="Times New Roman" w:cs="Times New Roman"/>
          <w:sz w:val="28"/>
          <w:szCs w:val="28"/>
          <w:bdr w:val="none" w:sz="0" w:space="0" w:color="auto" w:frame="1"/>
          <w:shd w:val="clear" w:color="auto" w:fill="FFFFFF"/>
        </w:rPr>
        <w:t>.</w:t>
      </w:r>
    </w:p>
    <w:p w:rsidR="00B72EBF" w:rsidRPr="003F6DBE" w:rsidRDefault="003F6DBE" w:rsidP="00DE38C0">
      <w:pPr>
        <w:pStyle w:val="Prrafodelista"/>
        <w:spacing w:after="0" w:line="240" w:lineRule="auto"/>
        <w:ind w:left="0" w:right="191"/>
        <w:jc w:val="both"/>
        <w:rPr>
          <w:rFonts w:ascii="Times New Roman" w:hAnsi="Times New Roman" w:cs="Times New Roman"/>
          <w:sz w:val="28"/>
          <w:szCs w:val="28"/>
          <w:bdr w:val="none" w:sz="0" w:space="0" w:color="auto" w:frame="1"/>
          <w:shd w:val="clear" w:color="auto" w:fill="FFFFFF"/>
        </w:rPr>
      </w:pPr>
    </w:p>
    <w:p w:rsidR="00400439" w:rsidRPr="003F6DBE" w:rsidRDefault="003F6DBE" w:rsidP="00DA100F">
      <w:pPr>
        <w:pStyle w:val="Prrafodelista"/>
        <w:numPr>
          <w:ilvl w:val="0"/>
          <w:numId w:val="7"/>
        </w:numPr>
        <w:spacing w:after="0" w:line="240" w:lineRule="auto"/>
        <w:ind w:right="49"/>
        <w:jc w:val="both"/>
        <w:rPr>
          <w:rFonts w:ascii="Times New Roman" w:hAnsi="Times New Roman" w:cs="Times New Roman"/>
          <w:b/>
          <w:bCs/>
          <w:sz w:val="28"/>
          <w:szCs w:val="28"/>
          <w:bdr w:val="none" w:sz="0" w:space="0" w:color="auto" w:frame="1"/>
          <w:shd w:val="clear" w:color="auto" w:fill="FFFFFF"/>
        </w:rPr>
      </w:pPr>
      <w:r w:rsidRPr="003F6DBE">
        <w:rPr>
          <w:rFonts w:ascii="Times New Roman" w:hAnsi="Times New Roman" w:cs="Times New Roman"/>
          <w:b/>
          <w:bCs/>
          <w:sz w:val="28"/>
          <w:szCs w:val="28"/>
          <w:bdr w:val="none" w:sz="0" w:space="0" w:color="auto" w:frame="1"/>
          <w:shd w:val="clear" w:color="auto" w:fill="FFFFFF"/>
        </w:rPr>
        <w:t xml:space="preserve">Carga argumentativa </w:t>
      </w:r>
      <w:r w:rsidRPr="003F6DBE">
        <w:rPr>
          <w:rFonts w:ascii="Times New Roman" w:hAnsi="Times New Roman" w:cs="Times New Roman"/>
          <w:b/>
          <w:bCs/>
          <w:sz w:val="28"/>
          <w:szCs w:val="28"/>
          <w:bdr w:val="none" w:sz="0" w:space="0" w:color="auto" w:frame="1"/>
          <w:shd w:val="clear" w:color="auto" w:fill="FFFFFF"/>
        </w:rPr>
        <w:t>de las demandas de inconstitucionalidad</w:t>
      </w:r>
      <w:r w:rsidRPr="003F6DBE">
        <w:rPr>
          <w:rFonts w:ascii="Times New Roman" w:hAnsi="Times New Roman" w:cs="Times New Roman"/>
          <w:b/>
          <w:bCs/>
          <w:sz w:val="28"/>
          <w:szCs w:val="28"/>
          <w:bdr w:val="none" w:sz="0" w:space="0" w:color="auto" w:frame="1"/>
          <w:shd w:val="clear" w:color="auto" w:fill="FFFFFF"/>
        </w:rPr>
        <w:t>:</w:t>
      </w:r>
      <w:r w:rsidRPr="003F6DBE">
        <w:rPr>
          <w:rFonts w:ascii="Times New Roman" w:hAnsi="Times New Roman" w:cs="Times New Roman"/>
          <w:b/>
          <w:bCs/>
          <w:sz w:val="28"/>
          <w:szCs w:val="28"/>
          <w:bdr w:val="none" w:sz="0" w:space="0" w:color="auto" w:frame="1"/>
          <w:shd w:val="clear" w:color="auto" w:fill="FFFFFF"/>
        </w:rPr>
        <w:t xml:space="preserve"> las </w:t>
      </w:r>
      <w:r w:rsidRPr="003F6DBE">
        <w:rPr>
          <w:rFonts w:ascii="Times New Roman" w:hAnsi="Times New Roman" w:cs="Times New Roman"/>
          <w:b/>
          <w:bCs/>
          <w:sz w:val="28"/>
          <w:szCs w:val="28"/>
          <w:bdr w:val="none" w:sz="0" w:space="0" w:color="auto" w:frame="1"/>
          <w:shd w:val="clear" w:color="auto" w:fill="FFFFFF"/>
        </w:rPr>
        <w:t>exigencias</w:t>
      </w:r>
      <w:r w:rsidRPr="003F6DBE">
        <w:rPr>
          <w:rFonts w:ascii="Times New Roman" w:hAnsi="Times New Roman" w:cs="Times New Roman"/>
          <w:b/>
          <w:bCs/>
          <w:sz w:val="28"/>
          <w:szCs w:val="28"/>
          <w:bdr w:val="none" w:sz="0" w:space="0" w:color="auto" w:frame="1"/>
          <w:shd w:val="clear" w:color="auto" w:fill="FFFFFF"/>
        </w:rPr>
        <w:t xml:space="preserve"> particulares del </w:t>
      </w:r>
      <w:r w:rsidRPr="003F6DBE">
        <w:rPr>
          <w:rFonts w:ascii="Times New Roman" w:hAnsi="Times New Roman" w:cs="Times New Roman"/>
          <w:b/>
          <w:bCs/>
          <w:sz w:val="28"/>
          <w:szCs w:val="28"/>
          <w:bdr w:val="none" w:sz="0" w:space="0" w:color="auto" w:frame="1"/>
          <w:shd w:val="clear" w:color="auto" w:fill="FFFFFF"/>
        </w:rPr>
        <w:t xml:space="preserve">juicio omisión </w:t>
      </w:r>
      <w:r w:rsidRPr="003F6DBE">
        <w:rPr>
          <w:rFonts w:ascii="Times New Roman" w:hAnsi="Times New Roman" w:cs="Times New Roman"/>
          <w:b/>
          <w:bCs/>
          <w:sz w:val="28"/>
          <w:szCs w:val="28"/>
          <w:bdr w:val="none" w:sz="0" w:space="0" w:color="auto" w:frame="1"/>
          <w:shd w:val="clear" w:color="auto" w:fill="FFFFFF"/>
        </w:rPr>
        <w:t>legislativa relativa</w:t>
      </w:r>
      <w:r w:rsidRPr="003F6DBE">
        <w:rPr>
          <w:rFonts w:ascii="Times New Roman" w:hAnsi="Times New Roman" w:cs="Times New Roman"/>
          <w:b/>
          <w:bCs/>
          <w:sz w:val="28"/>
          <w:szCs w:val="28"/>
          <w:bdr w:val="none" w:sz="0" w:space="0" w:color="auto" w:frame="1"/>
          <w:shd w:val="clear" w:color="auto" w:fill="FFFFFF"/>
        </w:rPr>
        <w:t xml:space="preserve"> y la posibilidad excepcional de verificar este asunto al momento de decidir el asunto</w:t>
      </w:r>
      <w:r w:rsidRPr="003F6DBE">
        <w:rPr>
          <w:rFonts w:ascii="Times New Roman" w:hAnsi="Times New Roman" w:cs="Times New Roman"/>
          <w:b/>
          <w:bCs/>
          <w:sz w:val="28"/>
          <w:szCs w:val="28"/>
          <w:bdr w:val="none" w:sz="0" w:space="0" w:color="auto" w:frame="1"/>
          <w:shd w:val="clear" w:color="auto" w:fill="FFFFFF"/>
        </w:rPr>
        <w:t>. Reiteración de jurisprudencia.</w:t>
      </w:r>
    </w:p>
    <w:p w:rsidR="00400439" w:rsidRPr="003F6DBE" w:rsidRDefault="003F6DBE" w:rsidP="00DA100F">
      <w:pPr>
        <w:spacing w:after="0" w:line="240" w:lineRule="auto"/>
        <w:ind w:left="360" w:right="49"/>
        <w:jc w:val="both"/>
        <w:rPr>
          <w:rFonts w:ascii="Times New Roman" w:hAnsi="Times New Roman" w:cs="Times New Roman"/>
          <w:b/>
          <w:bCs/>
          <w:sz w:val="28"/>
          <w:szCs w:val="28"/>
          <w:highlight w:val="cyan"/>
          <w:bdr w:val="none" w:sz="0" w:space="0" w:color="auto" w:frame="1"/>
          <w:shd w:val="clear" w:color="auto" w:fill="FFFFFF"/>
        </w:rPr>
      </w:pPr>
    </w:p>
    <w:p w:rsidR="00B9593F" w:rsidRPr="003F6DBE" w:rsidRDefault="003F6DBE" w:rsidP="00DA100F">
      <w:pPr>
        <w:pStyle w:val="Prrafodelista"/>
        <w:numPr>
          <w:ilvl w:val="0"/>
          <w:numId w:val="2"/>
        </w:numPr>
        <w:spacing w:after="0" w:line="240" w:lineRule="auto"/>
        <w:ind w:left="0" w:right="49" w:firstLine="0"/>
        <w:jc w:val="both"/>
        <w:rPr>
          <w:rFonts w:ascii="Times New Roman" w:hAnsi="Times New Roman" w:cs="Times New Roman"/>
          <w:b/>
          <w:bCs/>
          <w:sz w:val="28"/>
          <w:szCs w:val="28"/>
          <w:bdr w:val="none" w:sz="0" w:space="0" w:color="auto" w:frame="1"/>
          <w:shd w:val="clear" w:color="auto" w:fill="FFFFFF"/>
        </w:rPr>
      </w:pPr>
      <w:r w:rsidRPr="003F6DBE">
        <w:rPr>
          <w:rFonts w:ascii="Times New Roman" w:hAnsi="Times New Roman" w:cs="Times New Roman"/>
          <w:sz w:val="28"/>
          <w:szCs w:val="28"/>
          <w:bdr w:val="none" w:sz="0" w:space="0" w:color="auto" w:frame="1"/>
          <w:shd w:val="clear" w:color="auto" w:fill="FFFFFF"/>
        </w:rPr>
        <w:t xml:space="preserve">El Decreto 2067 de 1991, en su artículo 2°, establece los elementos que debe contener la demanda en los procesos de </w:t>
      </w:r>
      <w:r w:rsidRPr="003F6DBE">
        <w:rPr>
          <w:rFonts w:ascii="Times New Roman" w:hAnsi="Times New Roman" w:cs="Times New Roman"/>
          <w:sz w:val="28"/>
          <w:szCs w:val="28"/>
          <w:bdr w:val="none" w:sz="0" w:space="0" w:color="auto" w:frame="1"/>
          <w:shd w:val="clear" w:color="auto" w:fill="FFFFFF"/>
        </w:rPr>
        <w:t>control abstracto de constitucionalidad. En particular, la norma precisa que las demandas de inconstitucionalidad deben presentarse por escrito y deben cumplir con los siguientes requisitos: (i) señalar las normas cuya inconstitucionalidad se demanda y tra</w:t>
      </w:r>
      <w:r w:rsidRPr="003F6DBE">
        <w:rPr>
          <w:rFonts w:ascii="Times New Roman" w:hAnsi="Times New Roman" w:cs="Times New Roman"/>
          <w:sz w:val="28"/>
          <w:szCs w:val="28"/>
          <w:bdr w:val="none" w:sz="0" w:space="0" w:color="auto" w:frame="1"/>
          <w:shd w:val="clear" w:color="auto" w:fill="FFFFFF"/>
        </w:rPr>
        <w:t>nscribir literalmente su contenido o aportar un ejemplar de su publicación oficial;</w:t>
      </w:r>
      <w:r w:rsidRPr="003F6DBE">
        <w:rPr>
          <w:rFonts w:ascii="Times New Roman" w:hAnsi="Times New Roman" w:cs="Times New Roman"/>
          <w:sz w:val="28"/>
          <w:szCs w:val="28"/>
          <w:bdr w:val="none" w:sz="0" w:space="0" w:color="auto" w:frame="1"/>
          <w:shd w:val="clear" w:color="auto" w:fill="FFFFFF"/>
        </w:rPr>
        <w:t xml:space="preserve"> </w:t>
      </w:r>
      <w:r w:rsidRPr="003F6DBE">
        <w:rPr>
          <w:rFonts w:ascii="Times New Roman" w:hAnsi="Times New Roman" w:cs="Times New Roman"/>
          <w:sz w:val="28"/>
          <w:szCs w:val="28"/>
          <w:bdr w:val="none" w:sz="0" w:space="0" w:color="auto" w:frame="1"/>
          <w:shd w:val="clear" w:color="auto" w:fill="FFFFFF"/>
        </w:rPr>
        <w:t xml:space="preserve">(ii) </w:t>
      </w:r>
      <w:r w:rsidRPr="003F6DBE">
        <w:rPr>
          <w:rFonts w:ascii="Times New Roman" w:hAnsi="Times New Roman" w:cs="Times New Roman"/>
          <w:sz w:val="28"/>
          <w:szCs w:val="28"/>
          <w:bdr w:val="none" w:sz="0" w:space="0" w:color="auto" w:frame="1"/>
          <w:shd w:val="clear" w:color="auto" w:fill="FFFFFF"/>
        </w:rPr>
        <w:t xml:space="preserve">precisar </w:t>
      </w:r>
      <w:r w:rsidRPr="003F6DBE">
        <w:rPr>
          <w:rFonts w:ascii="Times New Roman" w:hAnsi="Times New Roman" w:cs="Times New Roman"/>
          <w:sz w:val="28"/>
          <w:szCs w:val="28"/>
          <w:bdr w:val="none" w:sz="0" w:space="0" w:color="auto" w:frame="1"/>
          <w:shd w:val="clear" w:color="auto" w:fill="FFFFFF"/>
        </w:rPr>
        <w:t>las normas constitucionales que se consideran infringidas; (iii) presentar las razones por las cuales dichos textos se estiman violados; (iv) si la demanda se</w:t>
      </w:r>
      <w:r w:rsidRPr="003F6DBE">
        <w:rPr>
          <w:rFonts w:ascii="Times New Roman" w:hAnsi="Times New Roman" w:cs="Times New Roman"/>
          <w:sz w:val="28"/>
          <w:szCs w:val="28"/>
          <w:bdr w:val="none" w:sz="0" w:space="0" w:color="auto" w:frame="1"/>
          <w:shd w:val="clear" w:color="auto" w:fill="FFFFFF"/>
        </w:rPr>
        <w:t xml:space="preserve"> basa en un vicio en el proceso de formación de la norma demandada, se debe señalar el trámite fijado en la Constitución para expedirlo así como la forma en que éste fue quebrantado; y (v) la razón por la cual la Corte es competente para conocer de la dema</w:t>
      </w:r>
      <w:r w:rsidRPr="003F6DBE">
        <w:rPr>
          <w:rFonts w:ascii="Times New Roman" w:hAnsi="Times New Roman" w:cs="Times New Roman"/>
          <w:sz w:val="28"/>
          <w:szCs w:val="28"/>
          <w:bdr w:val="none" w:sz="0" w:space="0" w:color="auto" w:frame="1"/>
          <w:shd w:val="clear" w:color="auto" w:fill="FFFFFF"/>
        </w:rPr>
        <w:t>nda</w:t>
      </w:r>
      <w:r w:rsidRPr="003F6DBE">
        <w:rPr>
          <w:rStyle w:val="Refdenotaalpie"/>
          <w:rFonts w:ascii="Times New Roman" w:hAnsi="Times New Roman"/>
          <w:sz w:val="28"/>
          <w:szCs w:val="28"/>
          <w:bdr w:val="none" w:sz="0" w:space="0" w:color="auto" w:frame="1"/>
          <w:shd w:val="clear" w:color="auto" w:fill="FFFFFF"/>
        </w:rPr>
        <w:footnoteReference w:id="37"/>
      </w:r>
      <w:r w:rsidRPr="003F6DBE">
        <w:rPr>
          <w:rFonts w:ascii="Times New Roman" w:hAnsi="Times New Roman" w:cs="Times New Roman"/>
          <w:sz w:val="28"/>
          <w:szCs w:val="28"/>
          <w:bdr w:val="none" w:sz="0" w:space="0" w:color="auto" w:frame="1"/>
          <w:shd w:val="clear" w:color="auto" w:fill="FFFFFF"/>
        </w:rPr>
        <w:t xml:space="preserve">. </w:t>
      </w:r>
    </w:p>
    <w:p w:rsidR="00B9593F" w:rsidRPr="003F6DBE" w:rsidRDefault="003F6DBE" w:rsidP="00DA100F">
      <w:pPr>
        <w:pStyle w:val="Prrafodelista"/>
        <w:spacing w:after="0" w:line="240" w:lineRule="auto"/>
        <w:ind w:left="0" w:right="49"/>
        <w:jc w:val="both"/>
        <w:rPr>
          <w:rFonts w:ascii="Times New Roman" w:hAnsi="Times New Roman" w:cs="Times New Roman"/>
          <w:b/>
          <w:bCs/>
          <w:sz w:val="28"/>
          <w:szCs w:val="28"/>
          <w:bdr w:val="none" w:sz="0" w:space="0" w:color="auto" w:frame="1"/>
          <w:shd w:val="clear" w:color="auto" w:fill="FFFFFF"/>
        </w:rPr>
      </w:pPr>
    </w:p>
    <w:p w:rsidR="00857B2F" w:rsidRPr="003F6DBE" w:rsidRDefault="003F6DBE" w:rsidP="00DA100F">
      <w:pPr>
        <w:pStyle w:val="Prrafodelista"/>
        <w:numPr>
          <w:ilvl w:val="0"/>
          <w:numId w:val="2"/>
        </w:numPr>
        <w:spacing w:after="0" w:line="240" w:lineRule="auto"/>
        <w:ind w:left="0" w:right="49" w:firstLine="0"/>
        <w:jc w:val="both"/>
        <w:rPr>
          <w:rFonts w:ascii="Times New Roman" w:hAnsi="Times New Roman" w:cs="Times New Roman"/>
          <w:b/>
          <w:bCs/>
          <w:sz w:val="28"/>
          <w:szCs w:val="28"/>
          <w:bdr w:val="none" w:sz="0" w:space="0" w:color="auto" w:frame="1"/>
          <w:shd w:val="clear" w:color="auto" w:fill="FFFFFF"/>
        </w:rPr>
      </w:pPr>
      <w:r w:rsidRPr="003F6DBE">
        <w:rPr>
          <w:rFonts w:ascii="Times New Roman" w:hAnsi="Times New Roman" w:cs="Times New Roman"/>
          <w:sz w:val="28"/>
          <w:szCs w:val="28"/>
          <w:bdr w:val="none" w:sz="0" w:space="0" w:color="auto" w:frame="1"/>
          <w:shd w:val="clear" w:color="auto" w:fill="FFFFFF"/>
        </w:rPr>
        <w:t>Este tribunal ha reiterado que el tercero de los requisitos se conoce como “</w:t>
      </w:r>
      <w:r w:rsidRPr="003F6DBE">
        <w:rPr>
          <w:rFonts w:ascii="Times New Roman" w:hAnsi="Times New Roman" w:cs="Times New Roman"/>
          <w:i/>
          <w:sz w:val="28"/>
          <w:szCs w:val="28"/>
          <w:bdr w:val="none" w:sz="0" w:space="0" w:color="auto" w:frame="1"/>
          <w:shd w:val="clear" w:color="auto" w:fill="FFFFFF"/>
        </w:rPr>
        <w:t>concepto de la violación</w:t>
      </w:r>
      <w:r w:rsidRPr="003F6DBE">
        <w:rPr>
          <w:rFonts w:ascii="Times New Roman" w:hAnsi="Times New Roman" w:cs="Times New Roman"/>
          <w:sz w:val="28"/>
          <w:szCs w:val="28"/>
          <w:bdr w:val="none" w:sz="0" w:space="0" w:color="auto" w:frame="1"/>
          <w:shd w:val="clear" w:color="auto" w:fill="FFFFFF"/>
        </w:rPr>
        <w:t>”</w:t>
      </w:r>
      <w:r w:rsidRPr="003F6DBE">
        <w:rPr>
          <w:rStyle w:val="Refdenotaalpie"/>
          <w:rFonts w:ascii="Times New Roman" w:hAnsi="Times New Roman"/>
          <w:sz w:val="28"/>
          <w:szCs w:val="28"/>
          <w:bdr w:val="none" w:sz="0" w:space="0" w:color="auto" w:frame="1"/>
          <w:shd w:val="clear" w:color="auto" w:fill="FFFFFF"/>
        </w:rPr>
        <w:footnoteReference w:id="38"/>
      </w:r>
      <w:r w:rsidRPr="003F6DBE">
        <w:rPr>
          <w:rFonts w:ascii="Times New Roman" w:hAnsi="Times New Roman" w:cs="Times New Roman"/>
          <w:sz w:val="28"/>
          <w:szCs w:val="28"/>
          <w:bdr w:val="none" w:sz="0" w:space="0" w:color="auto" w:frame="1"/>
          <w:shd w:val="clear" w:color="auto" w:fill="FFFFFF"/>
        </w:rPr>
        <w:t>. Tal requiere del demandante una carga material y no</w:t>
      </w:r>
      <w:r w:rsidRPr="003F6DBE">
        <w:rPr>
          <w:rFonts w:ascii="Times New Roman" w:hAnsi="Times New Roman" w:cs="Times New Roman"/>
          <w:sz w:val="28"/>
          <w:szCs w:val="28"/>
          <w:bdr w:val="none" w:sz="0" w:space="0" w:color="auto" w:frame="1"/>
          <w:shd w:val="clear" w:color="auto" w:fill="FFFFFF"/>
        </w:rPr>
        <w:t xml:space="preserve"> sólo</w:t>
      </w:r>
      <w:r w:rsidRPr="003F6DBE">
        <w:rPr>
          <w:rFonts w:ascii="Times New Roman" w:hAnsi="Times New Roman" w:cs="Times New Roman"/>
          <w:sz w:val="28"/>
          <w:szCs w:val="28"/>
          <w:bdr w:val="none" w:sz="0" w:space="0" w:color="auto" w:frame="1"/>
          <w:shd w:val="clear" w:color="auto" w:fill="FFFFFF"/>
        </w:rPr>
        <w:t xml:space="preserve"> formal, que no se satisface con la presentación de cualquier tipo de razones o motivos</w:t>
      </w:r>
      <w:r w:rsidRPr="003F6DBE">
        <w:rPr>
          <w:rFonts w:ascii="Times New Roman" w:hAnsi="Times New Roman" w:cs="Times New Roman"/>
          <w:sz w:val="28"/>
          <w:szCs w:val="28"/>
          <w:bdr w:val="none" w:sz="0" w:space="0" w:color="auto" w:frame="1"/>
          <w:shd w:val="clear" w:color="auto" w:fill="FFFFFF"/>
        </w:rPr>
        <w:t>;</w:t>
      </w:r>
      <w:r w:rsidRPr="003F6DBE">
        <w:rPr>
          <w:rFonts w:ascii="Times New Roman" w:hAnsi="Times New Roman" w:cs="Times New Roman"/>
          <w:sz w:val="28"/>
          <w:szCs w:val="28"/>
          <w:bdr w:val="none" w:sz="0" w:space="0" w:color="auto" w:frame="1"/>
          <w:shd w:val="clear" w:color="auto" w:fill="FFFFFF"/>
        </w:rPr>
        <w:t xml:space="preserve"> sino que exige unos mínimos argumentativos</w:t>
      </w:r>
      <w:r w:rsidRPr="003F6DBE">
        <w:rPr>
          <w:rFonts w:ascii="Times New Roman" w:hAnsi="Times New Roman" w:cs="Times New Roman"/>
          <w:sz w:val="28"/>
          <w:szCs w:val="28"/>
          <w:bdr w:val="none" w:sz="0" w:space="0" w:color="auto" w:frame="1"/>
          <w:shd w:val="clear" w:color="auto" w:fill="FFFFFF"/>
        </w:rPr>
        <w:t>,</w:t>
      </w:r>
      <w:r w:rsidRPr="003F6DBE">
        <w:rPr>
          <w:rFonts w:ascii="Times New Roman" w:hAnsi="Times New Roman" w:cs="Times New Roman"/>
          <w:sz w:val="28"/>
          <w:szCs w:val="28"/>
          <w:bdr w:val="none" w:sz="0" w:space="0" w:color="auto" w:frame="1"/>
          <w:shd w:val="clear" w:color="auto" w:fill="FFFFFF"/>
        </w:rPr>
        <w:t xml:space="preserve"> de tal suerte que dichas razones o motivos no sean vagos, abstractos, imprecisos o globales, al punto de impedir que surja una verdadera controversia constitucional</w:t>
      </w:r>
      <w:r w:rsidRPr="003F6DBE">
        <w:rPr>
          <w:rStyle w:val="Refdenotaalpie"/>
          <w:rFonts w:ascii="Times New Roman" w:hAnsi="Times New Roman"/>
          <w:sz w:val="28"/>
          <w:szCs w:val="28"/>
          <w:bdr w:val="none" w:sz="0" w:space="0" w:color="auto" w:frame="1"/>
          <w:shd w:val="clear" w:color="auto" w:fill="FFFFFF"/>
        </w:rPr>
        <w:footnoteReference w:id="39"/>
      </w:r>
      <w:r w:rsidRPr="003F6DBE">
        <w:rPr>
          <w:rFonts w:ascii="Times New Roman" w:hAnsi="Times New Roman" w:cs="Times New Roman"/>
          <w:sz w:val="28"/>
          <w:szCs w:val="28"/>
          <w:bdr w:val="none" w:sz="0" w:space="0" w:color="auto" w:frame="1"/>
          <w:shd w:val="clear" w:color="auto" w:fill="FFFFFF"/>
        </w:rPr>
        <w:t>.</w:t>
      </w:r>
    </w:p>
    <w:p w:rsidR="00857B2F" w:rsidRPr="003F6DBE" w:rsidRDefault="003F6DBE" w:rsidP="00DA100F">
      <w:pPr>
        <w:pStyle w:val="Prrafodelista"/>
        <w:ind w:right="49"/>
        <w:rPr>
          <w:rFonts w:ascii="Times New Roman" w:hAnsi="Times New Roman" w:cs="Times New Roman"/>
          <w:sz w:val="28"/>
          <w:szCs w:val="28"/>
          <w:bdr w:val="none" w:sz="0" w:space="0" w:color="auto" w:frame="1"/>
          <w:shd w:val="clear" w:color="auto" w:fill="FFFFFF"/>
        </w:rPr>
      </w:pPr>
    </w:p>
    <w:p w:rsidR="00B9593F" w:rsidRPr="003F6DBE" w:rsidRDefault="003F6DBE" w:rsidP="00DA100F">
      <w:pPr>
        <w:pStyle w:val="Prrafodelista"/>
        <w:numPr>
          <w:ilvl w:val="0"/>
          <w:numId w:val="2"/>
        </w:numPr>
        <w:spacing w:after="0" w:line="240" w:lineRule="auto"/>
        <w:ind w:left="0" w:right="49" w:firstLine="0"/>
        <w:jc w:val="both"/>
        <w:rPr>
          <w:rFonts w:ascii="Times New Roman" w:hAnsi="Times New Roman" w:cs="Times New Roman"/>
          <w:b/>
          <w:bCs/>
          <w:sz w:val="28"/>
          <w:szCs w:val="28"/>
          <w:bdr w:val="none" w:sz="0" w:space="0" w:color="auto" w:frame="1"/>
          <w:shd w:val="clear" w:color="auto" w:fill="FFFFFF"/>
        </w:rPr>
      </w:pPr>
      <w:r w:rsidRPr="003F6DBE">
        <w:rPr>
          <w:rFonts w:ascii="Times New Roman" w:hAnsi="Times New Roman" w:cs="Times New Roman"/>
          <w:sz w:val="28"/>
          <w:szCs w:val="28"/>
          <w:bdr w:val="none" w:sz="0" w:space="0" w:color="auto" w:frame="1"/>
          <w:shd w:val="clear" w:color="auto" w:fill="FFFFFF"/>
        </w:rPr>
        <w:t xml:space="preserve"> Conforme a lo dispuesto por la Corte en las sentencias C-1052 de 2001</w:t>
      </w:r>
      <w:r w:rsidRPr="003F6DBE">
        <w:rPr>
          <w:rStyle w:val="Refdenotaalpie"/>
          <w:rFonts w:ascii="Times New Roman" w:hAnsi="Times New Roman"/>
          <w:sz w:val="28"/>
          <w:szCs w:val="28"/>
          <w:bdr w:val="none" w:sz="0" w:space="0" w:color="auto" w:frame="1"/>
          <w:shd w:val="clear" w:color="auto" w:fill="FFFFFF"/>
        </w:rPr>
        <w:footnoteReference w:id="40"/>
      </w:r>
      <w:r w:rsidRPr="003F6DBE">
        <w:rPr>
          <w:rFonts w:ascii="Times New Roman" w:hAnsi="Times New Roman" w:cs="Times New Roman"/>
          <w:sz w:val="28"/>
          <w:szCs w:val="28"/>
          <w:bdr w:val="none" w:sz="0" w:space="0" w:color="auto" w:frame="1"/>
          <w:shd w:val="clear" w:color="auto" w:fill="FFFFFF"/>
        </w:rPr>
        <w:t xml:space="preserve"> y C-856 de 2005</w:t>
      </w:r>
      <w:r w:rsidRPr="003F6DBE">
        <w:rPr>
          <w:rStyle w:val="Refdenotaalpie"/>
          <w:rFonts w:ascii="Times New Roman" w:hAnsi="Times New Roman"/>
          <w:sz w:val="28"/>
          <w:szCs w:val="28"/>
          <w:bdr w:val="none" w:sz="0" w:space="0" w:color="auto" w:frame="1"/>
          <w:shd w:val="clear" w:color="auto" w:fill="FFFFFF"/>
        </w:rPr>
        <w:footnoteReference w:id="41"/>
      </w:r>
      <w:r w:rsidRPr="003F6DBE">
        <w:rPr>
          <w:rFonts w:ascii="Times New Roman" w:hAnsi="Times New Roman" w:cs="Times New Roman"/>
          <w:sz w:val="28"/>
          <w:szCs w:val="28"/>
          <w:bdr w:val="none" w:sz="0" w:space="0" w:color="auto" w:frame="1"/>
          <w:shd w:val="clear" w:color="auto" w:fill="FFFFFF"/>
        </w:rPr>
        <w:t>, los siguientes son los mínimos argumentativos que comprenden el “</w:t>
      </w:r>
      <w:r w:rsidRPr="003F6DBE">
        <w:rPr>
          <w:rFonts w:ascii="Times New Roman" w:hAnsi="Times New Roman" w:cs="Times New Roman"/>
          <w:i/>
          <w:sz w:val="28"/>
          <w:szCs w:val="28"/>
          <w:bdr w:val="none" w:sz="0" w:space="0" w:color="auto" w:frame="1"/>
          <w:shd w:val="clear" w:color="auto" w:fill="FFFFFF"/>
        </w:rPr>
        <w:t>concepto de la violación”</w:t>
      </w:r>
      <w:r w:rsidRPr="003F6DBE">
        <w:rPr>
          <w:rFonts w:ascii="Times New Roman" w:hAnsi="Times New Roman" w:cs="Times New Roman"/>
          <w:sz w:val="28"/>
          <w:szCs w:val="28"/>
          <w:bdr w:val="none" w:sz="0" w:space="0" w:color="auto" w:frame="1"/>
          <w:shd w:val="clear" w:color="auto" w:fill="FFFFFF"/>
        </w:rPr>
        <w:t xml:space="preserve">: </w:t>
      </w:r>
      <w:r w:rsidRPr="003F6DBE">
        <w:rPr>
          <w:rFonts w:ascii="Times New Roman" w:hAnsi="Times New Roman" w:cs="Times New Roman"/>
          <w:i/>
          <w:sz w:val="28"/>
          <w:szCs w:val="28"/>
          <w:bdr w:val="none" w:sz="0" w:space="0" w:color="auto" w:frame="1"/>
          <w:shd w:val="clear" w:color="auto" w:fill="FFFFFF"/>
        </w:rPr>
        <w:t>claridad</w:t>
      </w:r>
      <w:r w:rsidRPr="003F6DBE">
        <w:rPr>
          <w:rFonts w:ascii="Times New Roman" w:hAnsi="Times New Roman" w:cs="Times New Roman"/>
          <w:sz w:val="28"/>
          <w:szCs w:val="28"/>
          <w:bdr w:val="none" w:sz="0" w:space="0" w:color="auto" w:frame="1"/>
          <w:shd w:val="clear" w:color="auto" w:fill="FFFFFF"/>
        </w:rPr>
        <w:t xml:space="preserve">, cuando existe un hilo conductor de la argumentación que permite </w:t>
      </w:r>
      <w:r w:rsidRPr="003F6DBE">
        <w:rPr>
          <w:rFonts w:ascii="Times New Roman" w:hAnsi="Times New Roman" w:cs="Times New Roman"/>
          <w:sz w:val="28"/>
          <w:szCs w:val="28"/>
          <w:bdr w:val="none" w:sz="0" w:space="0" w:color="auto" w:frame="1"/>
          <w:shd w:val="clear" w:color="auto" w:fill="FFFFFF"/>
        </w:rPr>
        <w:t xml:space="preserve">comprender el contenido de la demanda y las justificaciones en las cuales se soporta; </w:t>
      </w:r>
      <w:r w:rsidRPr="003F6DBE">
        <w:rPr>
          <w:rFonts w:ascii="Times New Roman" w:hAnsi="Times New Roman" w:cs="Times New Roman"/>
          <w:i/>
          <w:sz w:val="28"/>
          <w:szCs w:val="28"/>
          <w:bdr w:val="none" w:sz="0" w:space="0" w:color="auto" w:frame="1"/>
          <w:shd w:val="clear" w:color="auto" w:fill="FFFFFF"/>
        </w:rPr>
        <w:t>certeza</w:t>
      </w:r>
      <w:r w:rsidRPr="003F6DBE">
        <w:rPr>
          <w:rFonts w:ascii="Times New Roman" w:hAnsi="Times New Roman" w:cs="Times New Roman"/>
          <w:sz w:val="28"/>
          <w:szCs w:val="28"/>
          <w:bdr w:val="none" w:sz="0" w:space="0" w:color="auto" w:frame="1"/>
          <w:shd w:val="clear" w:color="auto" w:fill="FFFFFF"/>
        </w:rPr>
        <w:t xml:space="preserve">, cuando la demanda recae sobre una proposición jurídica real y existente y no en una que el actor deduce de manera subjetiva; </w:t>
      </w:r>
      <w:r w:rsidRPr="003F6DBE">
        <w:rPr>
          <w:rFonts w:ascii="Times New Roman" w:hAnsi="Times New Roman" w:cs="Times New Roman"/>
          <w:i/>
          <w:sz w:val="28"/>
          <w:szCs w:val="28"/>
          <w:bdr w:val="none" w:sz="0" w:space="0" w:color="auto" w:frame="1"/>
          <w:shd w:val="clear" w:color="auto" w:fill="FFFFFF"/>
        </w:rPr>
        <w:t>especificidad</w:t>
      </w:r>
      <w:r w:rsidRPr="003F6DBE">
        <w:rPr>
          <w:rFonts w:ascii="Times New Roman" w:hAnsi="Times New Roman" w:cs="Times New Roman"/>
          <w:sz w:val="28"/>
          <w:szCs w:val="28"/>
          <w:bdr w:val="none" w:sz="0" w:space="0" w:color="auto" w:frame="1"/>
          <w:shd w:val="clear" w:color="auto" w:fill="FFFFFF"/>
        </w:rPr>
        <w:t>, cuando se define o se</w:t>
      </w:r>
      <w:r w:rsidRPr="003F6DBE">
        <w:rPr>
          <w:rFonts w:ascii="Times New Roman" w:hAnsi="Times New Roman" w:cs="Times New Roman"/>
          <w:sz w:val="28"/>
          <w:szCs w:val="28"/>
          <w:bdr w:val="none" w:sz="0" w:space="0" w:color="auto" w:frame="1"/>
          <w:shd w:val="clear" w:color="auto" w:fill="FFFFFF"/>
        </w:rPr>
        <w:t xml:space="preserve"> muestra cómo la norma demandada vulnera la Carta Política; </w:t>
      </w:r>
      <w:r w:rsidRPr="003F6DBE">
        <w:rPr>
          <w:rFonts w:ascii="Times New Roman" w:hAnsi="Times New Roman" w:cs="Times New Roman"/>
          <w:i/>
          <w:sz w:val="28"/>
          <w:szCs w:val="28"/>
          <w:bdr w:val="none" w:sz="0" w:space="0" w:color="auto" w:frame="1"/>
          <w:shd w:val="clear" w:color="auto" w:fill="FFFFFF"/>
        </w:rPr>
        <w:t>pertinencia</w:t>
      </w:r>
      <w:r w:rsidRPr="003F6DBE">
        <w:rPr>
          <w:rFonts w:ascii="Times New Roman" w:hAnsi="Times New Roman" w:cs="Times New Roman"/>
          <w:sz w:val="28"/>
          <w:szCs w:val="28"/>
          <w:bdr w:val="none" w:sz="0" w:space="0" w:color="auto" w:frame="1"/>
          <w:shd w:val="clear" w:color="auto" w:fill="FFFFFF"/>
        </w:rPr>
        <w:t xml:space="preserve">, cuando se emplean argumentos de naturaleza estrictamente constitucional y no estirpe legal, doctrinal o de mera conveniencia; y </w:t>
      </w:r>
      <w:r w:rsidRPr="003F6DBE">
        <w:rPr>
          <w:rFonts w:ascii="Times New Roman" w:hAnsi="Times New Roman" w:cs="Times New Roman"/>
          <w:i/>
          <w:sz w:val="28"/>
          <w:szCs w:val="28"/>
          <w:bdr w:val="none" w:sz="0" w:space="0" w:color="auto" w:frame="1"/>
          <w:shd w:val="clear" w:color="auto" w:fill="FFFFFF"/>
        </w:rPr>
        <w:t>suficiencia</w:t>
      </w:r>
      <w:r w:rsidRPr="003F6DBE">
        <w:rPr>
          <w:rFonts w:ascii="Times New Roman" w:hAnsi="Times New Roman" w:cs="Times New Roman"/>
          <w:sz w:val="28"/>
          <w:szCs w:val="28"/>
          <w:bdr w:val="none" w:sz="0" w:space="0" w:color="auto" w:frame="1"/>
          <w:shd w:val="clear" w:color="auto" w:fill="FFFFFF"/>
        </w:rPr>
        <w:t>, cuando la demanda tiene alcance persuasivo</w:t>
      </w:r>
      <w:r w:rsidRPr="003F6DBE">
        <w:rPr>
          <w:rFonts w:ascii="Times New Roman" w:hAnsi="Times New Roman" w:cs="Times New Roman"/>
          <w:sz w:val="28"/>
          <w:szCs w:val="28"/>
          <w:bdr w:val="none" w:sz="0" w:space="0" w:color="auto" w:frame="1"/>
          <w:shd w:val="clear" w:color="auto" w:fill="FFFFFF"/>
        </w:rPr>
        <w:t>, esto es, cuando es capaz de despertar siquiera una duda mínima sobre la exequibilidad de la norma demandada.</w:t>
      </w:r>
    </w:p>
    <w:p w:rsidR="00B9593F" w:rsidRPr="003F6DBE" w:rsidRDefault="003F6DBE" w:rsidP="00DA100F">
      <w:pPr>
        <w:pStyle w:val="Prrafodelista"/>
        <w:spacing w:after="0" w:line="240" w:lineRule="auto"/>
        <w:ind w:left="0" w:right="49"/>
        <w:jc w:val="both"/>
        <w:rPr>
          <w:rFonts w:ascii="Times New Roman" w:hAnsi="Times New Roman" w:cs="Times New Roman"/>
          <w:b/>
          <w:bCs/>
          <w:sz w:val="28"/>
          <w:szCs w:val="28"/>
          <w:bdr w:val="none" w:sz="0" w:space="0" w:color="auto" w:frame="1"/>
          <w:shd w:val="clear" w:color="auto" w:fill="FFFFFF"/>
        </w:rPr>
      </w:pPr>
    </w:p>
    <w:p w:rsidR="00E208F4" w:rsidRPr="003F6DBE" w:rsidRDefault="003F6DBE" w:rsidP="00DA100F">
      <w:pPr>
        <w:pStyle w:val="Prrafodelista"/>
        <w:numPr>
          <w:ilvl w:val="0"/>
          <w:numId w:val="2"/>
        </w:numPr>
        <w:spacing w:after="0" w:line="240" w:lineRule="auto"/>
        <w:ind w:left="0" w:right="49" w:firstLine="0"/>
        <w:jc w:val="both"/>
        <w:rPr>
          <w:rFonts w:ascii="Times New Roman" w:hAnsi="Times New Roman" w:cs="Times New Roman"/>
          <w:sz w:val="28"/>
          <w:szCs w:val="28"/>
          <w:bdr w:val="none" w:sz="0" w:space="0" w:color="auto" w:frame="1"/>
          <w:shd w:val="clear" w:color="auto" w:fill="FFFFFF"/>
        </w:rPr>
      </w:pPr>
      <w:r w:rsidRPr="003F6DBE">
        <w:rPr>
          <w:rFonts w:ascii="Times New Roman" w:hAnsi="Times New Roman" w:cs="Times New Roman"/>
          <w:sz w:val="28"/>
          <w:szCs w:val="28"/>
          <w:bdr w:val="none" w:sz="0" w:space="0" w:color="auto" w:frame="1"/>
          <w:shd w:val="clear" w:color="auto" w:fill="FFFFFF"/>
        </w:rPr>
        <w:t xml:space="preserve">A su vez, ha explicado la jurisprudencia de la Corte Constitucional que en los </w:t>
      </w:r>
      <w:r w:rsidRPr="003F6DBE">
        <w:rPr>
          <w:rFonts w:ascii="Times New Roman" w:hAnsi="Times New Roman" w:cs="Times New Roman"/>
          <w:sz w:val="28"/>
          <w:szCs w:val="28"/>
          <w:bdr w:val="none" w:sz="0" w:space="0" w:color="auto" w:frame="1"/>
          <w:shd w:val="clear" w:color="auto" w:fill="FFFFFF"/>
        </w:rPr>
        <w:t xml:space="preserve">eventos </w:t>
      </w:r>
      <w:r w:rsidRPr="003F6DBE">
        <w:rPr>
          <w:rFonts w:ascii="Times New Roman" w:hAnsi="Times New Roman" w:cs="Times New Roman"/>
          <w:sz w:val="28"/>
          <w:szCs w:val="28"/>
          <w:bdr w:val="none" w:sz="0" w:space="0" w:color="auto" w:frame="1"/>
          <w:shd w:val="clear" w:color="auto" w:fill="FFFFFF"/>
        </w:rPr>
        <w:t>en lo</w:t>
      </w:r>
      <w:r w:rsidRPr="003F6DBE">
        <w:rPr>
          <w:rFonts w:ascii="Times New Roman" w:hAnsi="Times New Roman" w:cs="Times New Roman"/>
          <w:sz w:val="28"/>
          <w:szCs w:val="28"/>
          <w:bdr w:val="none" w:sz="0" w:space="0" w:color="auto" w:frame="1"/>
          <w:shd w:val="clear" w:color="auto" w:fill="FFFFFF"/>
        </w:rPr>
        <w:t>s</w:t>
      </w:r>
      <w:r w:rsidRPr="003F6DBE">
        <w:rPr>
          <w:rFonts w:ascii="Times New Roman" w:hAnsi="Times New Roman" w:cs="Times New Roman"/>
          <w:sz w:val="28"/>
          <w:szCs w:val="28"/>
          <w:bdr w:val="none" w:sz="0" w:space="0" w:color="auto" w:frame="1"/>
          <w:shd w:val="clear" w:color="auto" w:fill="FFFFFF"/>
        </w:rPr>
        <w:t xml:space="preserve"> que lo cuestionado </w:t>
      </w:r>
      <w:r w:rsidRPr="003F6DBE">
        <w:rPr>
          <w:rFonts w:ascii="Times New Roman" w:hAnsi="Times New Roman" w:cs="Times New Roman"/>
          <w:sz w:val="28"/>
          <w:szCs w:val="28"/>
          <w:bdr w:val="none" w:sz="0" w:space="0" w:color="auto" w:frame="1"/>
          <w:shd w:val="clear" w:color="auto" w:fill="FFFFFF"/>
        </w:rPr>
        <w:t>es</w:t>
      </w:r>
      <w:r w:rsidRPr="003F6DBE">
        <w:rPr>
          <w:rFonts w:ascii="Times New Roman" w:hAnsi="Times New Roman" w:cs="Times New Roman"/>
          <w:sz w:val="28"/>
          <w:szCs w:val="28"/>
          <w:bdr w:val="none" w:sz="0" w:space="0" w:color="auto" w:frame="1"/>
          <w:shd w:val="clear" w:color="auto" w:fill="FFFFFF"/>
        </w:rPr>
        <w:t xml:space="preserve"> un cargo por omisión legislativa relativa, es necesario que l</w:t>
      </w:r>
      <w:r w:rsidRPr="003F6DBE">
        <w:rPr>
          <w:rFonts w:ascii="Times New Roman" w:hAnsi="Times New Roman" w:cs="Times New Roman"/>
          <w:sz w:val="28"/>
          <w:szCs w:val="28"/>
          <w:bdr w:val="none" w:sz="0" w:space="0" w:color="auto" w:frame="1"/>
          <w:shd w:val="clear" w:color="auto" w:fill="FFFFFF"/>
        </w:rPr>
        <w:t>a argumentación de la demanda se</w:t>
      </w:r>
      <w:r w:rsidRPr="003F6DBE">
        <w:rPr>
          <w:rFonts w:ascii="Times New Roman" w:hAnsi="Times New Roman" w:cs="Times New Roman"/>
          <w:sz w:val="28"/>
          <w:szCs w:val="28"/>
          <w:bdr w:val="none" w:sz="0" w:space="0" w:color="auto" w:frame="1"/>
          <w:shd w:val="clear" w:color="auto" w:fill="FFFFFF"/>
        </w:rPr>
        <w:t xml:space="preserve"> </w:t>
      </w:r>
      <w:r w:rsidRPr="003F6DBE">
        <w:rPr>
          <w:rFonts w:ascii="Times New Roman" w:hAnsi="Times New Roman" w:cs="Times New Roman"/>
          <w:sz w:val="28"/>
          <w:szCs w:val="28"/>
          <w:bdr w:val="none" w:sz="0" w:space="0" w:color="auto" w:frame="1"/>
          <w:shd w:val="clear" w:color="auto" w:fill="FFFFFF"/>
        </w:rPr>
        <w:t>oriente</w:t>
      </w:r>
      <w:r w:rsidRPr="003F6DBE">
        <w:rPr>
          <w:rFonts w:ascii="Times New Roman" w:hAnsi="Times New Roman" w:cs="Times New Roman"/>
          <w:sz w:val="28"/>
          <w:szCs w:val="28"/>
          <w:bdr w:val="none" w:sz="0" w:space="0" w:color="auto" w:frame="1"/>
          <w:shd w:val="clear" w:color="auto" w:fill="FFFFFF"/>
        </w:rPr>
        <w:t xml:space="preserve"> a demostrarla </w:t>
      </w:r>
      <w:r w:rsidRPr="003F6DBE">
        <w:rPr>
          <w:rFonts w:ascii="Times New Roman" w:hAnsi="Times New Roman" w:cs="Times New Roman"/>
          <w:sz w:val="28"/>
          <w:szCs w:val="28"/>
          <w:bdr w:val="none" w:sz="0" w:space="0" w:color="auto" w:frame="1"/>
          <w:shd w:val="clear" w:color="auto" w:fill="FFFFFF"/>
        </w:rPr>
        <w:t xml:space="preserve">conforme a </w:t>
      </w:r>
      <w:r w:rsidRPr="003F6DBE">
        <w:rPr>
          <w:rFonts w:ascii="Times New Roman" w:hAnsi="Times New Roman" w:cs="Times New Roman"/>
          <w:sz w:val="28"/>
          <w:szCs w:val="28"/>
          <w:bdr w:val="none" w:sz="0" w:space="0" w:color="auto" w:frame="1"/>
          <w:shd w:val="clear" w:color="auto" w:fill="FFFFFF"/>
        </w:rPr>
        <w:t>la estructura necesaria para agotar este juicio:</w:t>
      </w:r>
    </w:p>
    <w:p w:rsidR="00E208F4" w:rsidRPr="003F6DBE" w:rsidRDefault="003F6DBE" w:rsidP="00DE38C0">
      <w:pPr>
        <w:pStyle w:val="Prrafodelista"/>
        <w:spacing w:after="0" w:line="240" w:lineRule="auto"/>
        <w:ind w:left="0" w:right="191"/>
        <w:jc w:val="both"/>
        <w:rPr>
          <w:rFonts w:ascii="Times New Roman" w:hAnsi="Times New Roman" w:cs="Times New Roman"/>
          <w:sz w:val="28"/>
          <w:szCs w:val="28"/>
          <w:bdr w:val="none" w:sz="0" w:space="0" w:color="auto" w:frame="1"/>
          <w:shd w:val="clear" w:color="auto" w:fill="FFFFFF"/>
        </w:rPr>
      </w:pPr>
    </w:p>
    <w:p w:rsidR="00E208F4" w:rsidRPr="003F6DBE" w:rsidRDefault="003F6DBE" w:rsidP="00890D82">
      <w:pPr>
        <w:shd w:val="clear" w:color="auto" w:fill="FFFFFF"/>
        <w:spacing w:after="0" w:line="240" w:lineRule="auto"/>
        <w:ind w:left="567" w:right="567"/>
        <w:jc w:val="both"/>
        <w:textAlignment w:val="baseline"/>
        <w:rPr>
          <w:rFonts w:ascii="Times New Roman" w:eastAsia="Times New Roman" w:hAnsi="Times New Roman" w:cs="Times New Roman"/>
          <w:sz w:val="28"/>
          <w:szCs w:val="24"/>
          <w:bdr w:val="none" w:sz="0" w:space="0" w:color="auto" w:frame="1"/>
          <w:lang w:val="es-ES_tradnl"/>
        </w:rPr>
      </w:pPr>
      <w:r w:rsidRPr="003F6DBE">
        <w:rPr>
          <w:rFonts w:ascii="Times New Roman" w:hAnsi="Times New Roman" w:cs="Times New Roman"/>
          <w:sz w:val="28"/>
          <w:szCs w:val="20"/>
          <w:shd w:val="clear" w:color="auto" w:fill="FFFFFF"/>
        </w:rPr>
        <w:t>“</w:t>
      </w:r>
      <w:r w:rsidRPr="003F6DBE">
        <w:rPr>
          <w:rFonts w:ascii="Times New Roman" w:eastAsia="Times New Roman" w:hAnsi="Times New Roman" w:cs="Times New Roman"/>
          <w:i/>
          <w:iCs/>
          <w:sz w:val="28"/>
          <w:szCs w:val="24"/>
          <w:bdr w:val="none" w:sz="0" w:space="0" w:color="auto" w:frame="1"/>
        </w:rPr>
        <w:t>(i</w:t>
      </w:r>
      <w:r w:rsidRPr="003F6DBE">
        <w:rPr>
          <w:rFonts w:ascii="Times New Roman" w:eastAsia="Times New Roman" w:hAnsi="Times New Roman" w:cs="Times New Roman"/>
          <w:i/>
          <w:iCs/>
          <w:sz w:val="28"/>
          <w:szCs w:val="24"/>
          <w:bdr w:val="none" w:sz="0" w:space="0" w:color="auto" w:frame="1"/>
          <w:lang w:val="es-ES_tradnl"/>
        </w:rPr>
        <w:t>) Exista una norma sobre la cual se predique </w:t>
      </w:r>
      <w:r w:rsidRPr="003F6DBE">
        <w:rPr>
          <w:rFonts w:ascii="Times New Roman" w:eastAsia="Times New Roman" w:hAnsi="Times New Roman" w:cs="Times New Roman"/>
          <w:i/>
          <w:iCs/>
          <w:sz w:val="28"/>
          <w:szCs w:val="24"/>
          <w:bdr w:val="none" w:sz="0" w:space="0" w:color="auto" w:frame="1"/>
        </w:rPr>
        <w:t>necesariamente el cargo y que</w:t>
      </w:r>
      <w:r w:rsidRPr="003F6DBE">
        <w:rPr>
          <w:rFonts w:ascii="Times New Roman" w:eastAsia="Times New Roman" w:hAnsi="Times New Roman" w:cs="Times New Roman"/>
          <w:sz w:val="28"/>
          <w:szCs w:val="24"/>
          <w:bdr w:val="none" w:sz="0" w:space="0" w:color="auto" w:frame="1"/>
        </w:rPr>
        <w:t> </w:t>
      </w:r>
      <w:r w:rsidRPr="003F6DBE">
        <w:rPr>
          <w:rFonts w:ascii="Times New Roman" w:eastAsia="Times New Roman" w:hAnsi="Times New Roman" w:cs="Times New Roman"/>
          <w:sz w:val="28"/>
          <w:szCs w:val="24"/>
          <w:bdr w:val="none" w:sz="0" w:space="0" w:color="auto" w:frame="1"/>
        </w:rPr>
        <w:t>‘</w:t>
      </w:r>
      <w:r w:rsidRPr="003F6DBE">
        <w:rPr>
          <w:rFonts w:ascii="Times New Roman" w:eastAsia="Times New Roman" w:hAnsi="Times New Roman" w:cs="Times New Roman"/>
          <w:i/>
          <w:iCs/>
          <w:sz w:val="28"/>
          <w:szCs w:val="24"/>
          <w:bdr w:val="none" w:sz="0" w:space="0" w:color="auto" w:frame="1"/>
        </w:rPr>
        <w:t>(a</w:t>
      </w:r>
      <w:r w:rsidRPr="003F6DBE">
        <w:rPr>
          <w:rFonts w:ascii="Times New Roman" w:eastAsia="Times New Roman" w:hAnsi="Times New Roman" w:cs="Times New Roman"/>
          <w:i/>
          <w:iCs/>
          <w:sz w:val="28"/>
          <w:szCs w:val="24"/>
          <w:bdr w:val="none" w:sz="0" w:space="0" w:color="auto" w:frame="1"/>
          <w:lang w:val="es-ES_tradnl"/>
        </w:rPr>
        <w:t>) excluya de sus consecuencias jurídicas aquellos casos equivalentes o a</w:t>
      </w:r>
      <w:r w:rsidRPr="003F6DBE">
        <w:rPr>
          <w:rFonts w:ascii="Times New Roman" w:eastAsia="Times New Roman" w:hAnsi="Times New Roman" w:cs="Times New Roman"/>
          <w:i/>
          <w:iCs/>
          <w:sz w:val="28"/>
          <w:szCs w:val="24"/>
          <w:bdr w:val="none" w:sz="0" w:space="0" w:color="auto" w:frame="1"/>
        </w:rPr>
        <w:t>similables o, en su defecto, (b</w:t>
      </w:r>
      <w:r w:rsidRPr="003F6DBE">
        <w:rPr>
          <w:rFonts w:ascii="Times New Roman" w:eastAsia="Times New Roman" w:hAnsi="Times New Roman" w:cs="Times New Roman"/>
          <w:i/>
          <w:iCs/>
          <w:sz w:val="28"/>
          <w:szCs w:val="24"/>
          <w:bdr w:val="none" w:sz="0" w:space="0" w:color="auto" w:frame="1"/>
          <w:lang w:val="es-ES_tradnl"/>
        </w:rPr>
        <w:t>) que no incluya determinado elemento o ingrediente normativo</w:t>
      </w:r>
      <w:r w:rsidRPr="003F6DBE">
        <w:rPr>
          <w:rFonts w:ascii="Times New Roman" w:eastAsia="Times New Roman" w:hAnsi="Times New Roman" w:cs="Times New Roman"/>
          <w:sz w:val="28"/>
          <w:szCs w:val="24"/>
          <w:bdr w:val="none" w:sz="0" w:space="0" w:color="auto" w:frame="1"/>
          <w:lang w:val="es-ES_tradnl"/>
        </w:rPr>
        <w:t>’.</w:t>
      </w:r>
    </w:p>
    <w:p w:rsidR="00E208F4" w:rsidRPr="003F6DBE" w:rsidRDefault="003F6DBE" w:rsidP="00890D82">
      <w:pPr>
        <w:shd w:val="clear" w:color="auto" w:fill="FFFFFF"/>
        <w:spacing w:after="0" w:line="240" w:lineRule="auto"/>
        <w:ind w:left="567" w:right="567"/>
        <w:jc w:val="both"/>
        <w:textAlignment w:val="baseline"/>
        <w:rPr>
          <w:rFonts w:ascii="Times New Roman" w:eastAsia="Times New Roman" w:hAnsi="Times New Roman" w:cs="Times New Roman"/>
          <w:sz w:val="28"/>
          <w:szCs w:val="24"/>
        </w:rPr>
      </w:pPr>
      <w:r w:rsidRPr="003F6DBE">
        <w:rPr>
          <w:rFonts w:ascii="Times New Roman" w:eastAsia="Times New Roman" w:hAnsi="Times New Roman" w:cs="Times New Roman"/>
          <w:sz w:val="28"/>
          <w:szCs w:val="24"/>
        </w:rPr>
        <w:t xml:space="preserve"> </w:t>
      </w:r>
    </w:p>
    <w:p w:rsidR="00E208F4" w:rsidRPr="003F6DBE" w:rsidRDefault="003F6DBE" w:rsidP="00890D82">
      <w:pPr>
        <w:shd w:val="clear" w:color="auto" w:fill="FFFFFF"/>
        <w:spacing w:after="0" w:line="240" w:lineRule="auto"/>
        <w:ind w:left="567" w:right="567"/>
        <w:jc w:val="both"/>
        <w:textAlignment w:val="baseline"/>
        <w:rPr>
          <w:rFonts w:ascii="Times New Roman" w:eastAsia="Times New Roman" w:hAnsi="Times New Roman" w:cs="Times New Roman"/>
          <w:sz w:val="28"/>
          <w:szCs w:val="24"/>
        </w:rPr>
      </w:pPr>
      <w:r w:rsidRPr="003F6DBE">
        <w:rPr>
          <w:rFonts w:ascii="Times New Roman" w:eastAsia="Times New Roman" w:hAnsi="Times New Roman" w:cs="Times New Roman"/>
          <w:i/>
          <w:iCs/>
          <w:sz w:val="28"/>
          <w:szCs w:val="24"/>
          <w:bdr w:val="none" w:sz="0" w:space="0" w:color="auto" w:frame="1"/>
        </w:rPr>
        <w:t>(ii</w:t>
      </w:r>
      <w:r w:rsidRPr="003F6DBE">
        <w:rPr>
          <w:rFonts w:ascii="Times New Roman" w:eastAsia="Times New Roman" w:hAnsi="Times New Roman" w:cs="Times New Roman"/>
          <w:i/>
          <w:iCs/>
          <w:sz w:val="28"/>
          <w:szCs w:val="24"/>
          <w:bdr w:val="none" w:sz="0" w:space="0" w:color="auto" w:frame="1"/>
          <w:lang w:val="es-ES_tradnl"/>
        </w:rPr>
        <w:t>) </w:t>
      </w:r>
      <w:r w:rsidRPr="003F6DBE">
        <w:rPr>
          <w:rFonts w:ascii="Times New Roman" w:eastAsia="Times New Roman" w:hAnsi="Times New Roman" w:cs="Times New Roman"/>
          <w:sz w:val="28"/>
          <w:szCs w:val="24"/>
          <w:bdr w:val="none" w:sz="0" w:space="0" w:color="auto" w:frame="1"/>
          <w:lang w:val="es-ES_tradnl"/>
        </w:rPr>
        <w:t>Exista un deber específico impuesto directamente por el Constituyente al legisl</w:t>
      </w:r>
      <w:r w:rsidRPr="003F6DBE">
        <w:rPr>
          <w:rFonts w:ascii="Times New Roman" w:eastAsia="Times New Roman" w:hAnsi="Times New Roman" w:cs="Times New Roman"/>
          <w:sz w:val="28"/>
          <w:szCs w:val="24"/>
          <w:bdr w:val="none" w:sz="0" w:space="0" w:color="auto" w:frame="1"/>
        </w:rPr>
        <w:t>ador que resulta omitido,</w:t>
      </w:r>
      <w:r w:rsidRPr="003F6DBE">
        <w:rPr>
          <w:rFonts w:ascii="Times New Roman" w:eastAsia="Times New Roman" w:hAnsi="Times New Roman" w:cs="Times New Roman"/>
          <w:i/>
          <w:iCs/>
          <w:sz w:val="28"/>
          <w:szCs w:val="24"/>
          <w:bdr w:val="none" w:sz="0" w:space="0" w:color="auto" w:frame="1"/>
        </w:rPr>
        <w:t> ‘por (a) los casos excluidos o (b</w:t>
      </w:r>
      <w:r w:rsidRPr="003F6DBE">
        <w:rPr>
          <w:rFonts w:ascii="Times New Roman" w:eastAsia="Times New Roman" w:hAnsi="Times New Roman" w:cs="Times New Roman"/>
          <w:i/>
          <w:iCs/>
          <w:sz w:val="28"/>
          <w:szCs w:val="24"/>
          <w:bdr w:val="none" w:sz="0" w:space="0" w:color="auto" w:frame="1"/>
          <w:lang w:val="es-ES_tradnl"/>
        </w:rPr>
        <w:t>) por la no inclusión del elemento o ingrediente normativo del que carece la norma”.</w:t>
      </w:r>
      <w:r w:rsidRPr="003F6DBE">
        <w:rPr>
          <w:rFonts w:ascii="Times New Roman" w:eastAsia="Times New Roman" w:hAnsi="Times New Roman" w:cs="Times New Roman"/>
          <w:sz w:val="28"/>
          <w:szCs w:val="24"/>
          <w:bdr w:val="none" w:sz="0" w:space="0" w:color="auto" w:frame="1"/>
          <w:lang w:val="es-ES_tradnl"/>
        </w:rPr>
        <w:t> </w:t>
      </w:r>
      <w:r w:rsidRPr="003F6DBE">
        <w:rPr>
          <w:rFonts w:ascii="Times New Roman" w:eastAsia="Times New Roman" w:hAnsi="Times New Roman" w:cs="Times New Roman"/>
          <w:i/>
          <w:iCs/>
          <w:sz w:val="28"/>
          <w:szCs w:val="24"/>
          <w:bdr w:val="none" w:sz="0" w:space="0" w:color="auto" w:frame="1"/>
          <w:lang w:val="es-ES_tradnl"/>
        </w:rPr>
        <w:t>Esto, por cuanto solo se configura la omisión legislativa relativa siempre que el legislador desconozca una conc</w:t>
      </w:r>
      <w:r w:rsidRPr="003F6DBE">
        <w:rPr>
          <w:rFonts w:ascii="Times New Roman" w:eastAsia="Times New Roman" w:hAnsi="Times New Roman" w:cs="Times New Roman"/>
          <w:i/>
          <w:iCs/>
          <w:sz w:val="28"/>
          <w:szCs w:val="24"/>
          <w:bdr w:val="none" w:sz="0" w:space="0" w:color="auto" w:frame="1"/>
          <w:lang w:val="es-ES_tradnl"/>
        </w:rPr>
        <w:t>reta “obligación de hacer</w:t>
      </w:r>
      <w:r w:rsidRPr="003F6DBE">
        <w:rPr>
          <w:rFonts w:ascii="Times New Roman" w:eastAsia="Times New Roman" w:hAnsi="Times New Roman" w:cs="Times New Roman"/>
          <w:i/>
          <w:iCs/>
          <w:sz w:val="28"/>
          <w:szCs w:val="24"/>
          <w:bdr w:val="none" w:sz="0" w:space="0" w:color="auto" w:frame="1"/>
        </w:rPr>
        <w:t>” prevista por la Constitución Política</w:t>
      </w:r>
      <w:r w:rsidRPr="003F6DBE">
        <w:rPr>
          <w:rFonts w:ascii="Times New Roman" w:eastAsia="Times New Roman" w:hAnsi="Times New Roman" w:cs="Times New Roman"/>
          <w:i/>
          <w:iCs/>
          <w:sz w:val="28"/>
          <w:szCs w:val="24"/>
          <w:bdr w:val="none" w:sz="0" w:space="0" w:color="auto" w:frame="1"/>
          <w:lang w:val="es-ES_tradnl"/>
        </w:rPr>
        <w:t>.</w:t>
      </w:r>
    </w:p>
    <w:p w:rsidR="00E208F4" w:rsidRPr="003F6DBE" w:rsidRDefault="003F6DBE" w:rsidP="00890D82">
      <w:pPr>
        <w:shd w:val="clear" w:color="auto" w:fill="FFFFFF"/>
        <w:spacing w:after="0" w:line="240" w:lineRule="auto"/>
        <w:ind w:left="567" w:right="567"/>
        <w:jc w:val="both"/>
        <w:textAlignment w:val="baseline"/>
        <w:rPr>
          <w:rFonts w:ascii="Times New Roman" w:eastAsia="Times New Roman" w:hAnsi="Times New Roman" w:cs="Times New Roman"/>
          <w:sz w:val="28"/>
          <w:szCs w:val="24"/>
        </w:rPr>
      </w:pPr>
    </w:p>
    <w:p w:rsidR="00E208F4" w:rsidRPr="003F6DBE" w:rsidRDefault="003F6DBE" w:rsidP="00890D82">
      <w:pPr>
        <w:shd w:val="clear" w:color="auto" w:fill="FFFFFF"/>
        <w:spacing w:after="0" w:line="240" w:lineRule="auto"/>
        <w:ind w:left="567" w:right="567"/>
        <w:jc w:val="both"/>
        <w:textAlignment w:val="baseline"/>
        <w:rPr>
          <w:rFonts w:ascii="Times New Roman" w:eastAsia="Times New Roman" w:hAnsi="Times New Roman" w:cs="Times New Roman"/>
          <w:sz w:val="28"/>
          <w:szCs w:val="24"/>
        </w:rPr>
      </w:pPr>
      <w:r w:rsidRPr="003F6DBE">
        <w:rPr>
          <w:rFonts w:ascii="Times New Roman" w:eastAsia="Times New Roman" w:hAnsi="Times New Roman" w:cs="Times New Roman"/>
          <w:i/>
          <w:iCs/>
          <w:sz w:val="28"/>
          <w:szCs w:val="24"/>
          <w:bdr w:val="none" w:sz="0" w:space="0" w:color="auto" w:frame="1"/>
        </w:rPr>
        <w:t>(iii</w:t>
      </w:r>
      <w:r w:rsidRPr="003F6DBE">
        <w:rPr>
          <w:rFonts w:ascii="Times New Roman" w:eastAsia="Times New Roman" w:hAnsi="Times New Roman" w:cs="Times New Roman"/>
          <w:i/>
          <w:iCs/>
          <w:sz w:val="28"/>
          <w:szCs w:val="24"/>
          <w:bdr w:val="none" w:sz="0" w:space="0" w:color="auto" w:frame="1"/>
          <w:lang w:val="es-ES_tradnl"/>
        </w:rPr>
        <w:t>) </w:t>
      </w:r>
      <w:r w:rsidRPr="003F6DBE">
        <w:rPr>
          <w:rFonts w:ascii="Times New Roman" w:eastAsia="Times New Roman" w:hAnsi="Times New Roman" w:cs="Times New Roman"/>
          <w:sz w:val="28"/>
          <w:szCs w:val="24"/>
          <w:bdr w:val="none" w:sz="0" w:space="0" w:color="auto" w:frame="1"/>
          <w:lang w:val="es-ES_tradnl"/>
        </w:rPr>
        <w:t>La exclusión o la no inclusión de los casos o ingredientes carezca de un principio de razón suficiente.</w:t>
      </w:r>
      <w:r w:rsidRPr="003F6DBE">
        <w:rPr>
          <w:rFonts w:ascii="Times New Roman" w:eastAsia="Times New Roman" w:hAnsi="Times New Roman" w:cs="Times New Roman"/>
          <w:i/>
          <w:iCs/>
          <w:sz w:val="28"/>
          <w:szCs w:val="24"/>
          <w:bdr w:val="none" w:sz="0" w:space="0" w:color="auto" w:frame="1"/>
          <w:lang w:val="es-ES_tradnl"/>
        </w:rPr>
        <w:t> </w:t>
      </w:r>
      <w:r w:rsidRPr="003F6DBE">
        <w:rPr>
          <w:rFonts w:ascii="Times New Roman" w:eastAsia="Times New Roman" w:hAnsi="Times New Roman" w:cs="Times New Roman"/>
          <w:sz w:val="28"/>
          <w:szCs w:val="24"/>
          <w:bdr w:val="none" w:sz="0" w:space="0" w:color="auto" w:frame="1"/>
        </w:rPr>
        <w:t>Esto implica verificar “</w:t>
      </w:r>
      <w:r w:rsidRPr="003F6DBE">
        <w:rPr>
          <w:rFonts w:ascii="Times New Roman" w:eastAsia="Times New Roman" w:hAnsi="Times New Roman" w:cs="Times New Roman"/>
          <w:i/>
          <w:iCs/>
          <w:sz w:val="28"/>
          <w:szCs w:val="24"/>
          <w:bdr w:val="none" w:sz="0" w:space="0" w:color="auto" w:frame="1"/>
          <w:lang w:val="es-ES_tradnl"/>
        </w:rPr>
        <w:t>si el Legislador, cuando desconoció el deber, contó con</w:t>
      </w:r>
      <w:r w:rsidRPr="003F6DBE">
        <w:rPr>
          <w:rFonts w:ascii="Times New Roman" w:eastAsia="Times New Roman" w:hAnsi="Times New Roman" w:cs="Times New Roman"/>
          <w:i/>
          <w:iCs/>
          <w:sz w:val="28"/>
          <w:szCs w:val="24"/>
          <w:bdr w:val="none" w:sz="0" w:space="0" w:color="auto" w:frame="1"/>
          <w:lang w:val="es-ES_tradnl"/>
        </w:rPr>
        <w:t xml:space="preserve"> una razón suficiente, esto es, que el hecho de omitir algún elemento al momento de proferir la norma no hizo parte de un ejercicio caprichoso, sino, por el contrario, ello estuvo fundado en causas claras y precisas que lo llevaron a considerar la necesida</w:t>
      </w:r>
      <w:r w:rsidRPr="003F6DBE">
        <w:rPr>
          <w:rFonts w:ascii="Times New Roman" w:eastAsia="Times New Roman" w:hAnsi="Times New Roman" w:cs="Times New Roman"/>
          <w:i/>
          <w:iCs/>
          <w:sz w:val="28"/>
          <w:szCs w:val="24"/>
          <w:bdr w:val="none" w:sz="0" w:space="0" w:color="auto" w:frame="1"/>
          <w:lang w:val="es-ES_tradnl"/>
        </w:rPr>
        <w:t>d de obviar el aspecto ech</w:t>
      </w:r>
      <w:r w:rsidRPr="003F6DBE">
        <w:rPr>
          <w:rFonts w:ascii="Times New Roman" w:eastAsia="Times New Roman" w:hAnsi="Times New Roman" w:cs="Times New Roman"/>
          <w:i/>
          <w:iCs/>
          <w:sz w:val="28"/>
          <w:szCs w:val="24"/>
          <w:bdr w:val="none" w:sz="0" w:space="0" w:color="auto" w:frame="1"/>
        </w:rPr>
        <w:t>ado de menos por los demandantes</w:t>
      </w:r>
      <w:r w:rsidRPr="003F6DBE">
        <w:rPr>
          <w:rFonts w:ascii="Times New Roman" w:eastAsia="Times New Roman" w:hAnsi="Times New Roman" w:cs="Times New Roman"/>
          <w:sz w:val="28"/>
          <w:szCs w:val="24"/>
          <w:bdr w:val="none" w:sz="0" w:space="0" w:color="auto" w:frame="1"/>
        </w:rPr>
        <w:t>”</w:t>
      </w:r>
      <w:r w:rsidRPr="003F6DBE">
        <w:rPr>
          <w:rFonts w:ascii="Times New Roman" w:eastAsia="Times New Roman" w:hAnsi="Times New Roman" w:cs="Times New Roman"/>
          <w:sz w:val="28"/>
          <w:szCs w:val="24"/>
          <w:bdr w:val="none" w:sz="0" w:space="0" w:color="auto" w:frame="1"/>
          <w:lang w:val="es-ES_tradnl"/>
        </w:rPr>
        <w:t>.</w:t>
      </w:r>
      <w:r w:rsidRPr="003F6DBE">
        <w:rPr>
          <w:rFonts w:ascii="Times New Roman" w:eastAsia="Times New Roman" w:hAnsi="Times New Roman" w:cs="Times New Roman"/>
          <w:sz w:val="28"/>
          <w:szCs w:val="24"/>
        </w:rPr>
        <w:t xml:space="preserve"> </w:t>
      </w:r>
    </w:p>
    <w:p w:rsidR="00E208F4" w:rsidRPr="003F6DBE" w:rsidRDefault="003F6DBE" w:rsidP="00890D82">
      <w:pPr>
        <w:shd w:val="clear" w:color="auto" w:fill="FFFFFF"/>
        <w:spacing w:after="0" w:line="240" w:lineRule="auto"/>
        <w:ind w:left="567" w:right="567"/>
        <w:jc w:val="both"/>
        <w:textAlignment w:val="baseline"/>
        <w:rPr>
          <w:rFonts w:ascii="Times New Roman" w:eastAsia="Times New Roman" w:hAnsi="Times New Roman" w:cs="Times New Roman"/>
          <w:sz w:val="28"/>
          <w:szCs w:val="24"/>
        </w:rPr>
      </w:pPr>
    </w:p>
    <w:p w:rsidR="00E208F4" w:rsidRPr="003F6DBE" w:rsidRDefault="003F6DBE" w:rsidP="00890D82">
      <w:pPr>
        <w:shd w:val="clear" w:color="auto" w:fill="FFFFFF"/>
        <w:spacing w:after="0" w:line="240" w:lineRule="auto"/>
        <w:ind w:left="567" w:right="567"/>
        <w:jc w:val="both"/>
        <w:textAlignment w:val="baseline"/>
        <w:rPr>
          <w:rFonts w:ascii="Times New Roman" w:eastAsia="Times New Roman" w:hAnsi="Times New Roman" w:cs="Times New Roman"/>
          <w:sz w:val="28"/>
          <w:szCs w:val="24"/>
          <w:bdr w:val="none" w:sz="0" w:space="0" w:color="auto" w:frame="1"/>
        </w:rPr>
      </w:pPr>
      <w:r w:rsidRPr="003F6DBE">
        <w:rPr>
          <w:rFonts w:ascii="Times New Roman" w:eastAsia="Times New Roman" w:hAnsi="Times New Roman" w:cs="Times New Roman"/>
          <w:i/>
          <w:iCs/>
          <w:sz w:val="28"/>
          <w:szCs w:val="24"/>
          <w:bdr w:val="none" w:sz="0" w:space="0" w:color="auto" w:frame="1"/>
        </w:rPr>
        <w:t>(iv</w:t>
      </w:r>
      <w:r w:rsidRPr="003F6DBE">
        <w:rPr>
          <w:rFonts w:ascii="Times New Roman" w:eastAsia="Times New Roman" w:hAnsi="Times New Roman" w:cs="Times New Roman"/>
          <w:i/>
          <w:iCs/>
          <w:sz w:val="28"/>
          <w:szCs w:val="24"/>
          <w:bdr w:val="none" w:sz="0" w:space="0" w:color="auto" w:frame="1"/>
          <w:lang w:val="es-ES_tradnl"/>
        </w:rPr>
        <w:t>) En los casos de exclusión o no inclusión, la falta de justificación y objetividad genere una desigualdad negativa frente a los que se encuentran amparados por las consecuencias de la norma</w:t>
      </w:r>
      <w:r w:rsidRPr="003F6DBE">
        <w:rPr>
          <w:rFonts w:ascii="Times New Roman" w:eastAsia="Times New Roman" w:hAnsi="Times New Roman" w:cs="Times New Roman"/>
          <w:sz w:val="28"/>
          <w:szCs w:val="24"/>
          <w:bdr w:val="none" w:sz="0" w:space="0" w:color="auto" w:frame="1"/>
          <w:lang w:val="es-ES_tradnl"/>
        </w:rPr>
        <w:t>. </w:t>
      </w:r>
      <w:r w:rsidRPr="003F6DBE">
        <w:rPr>
          <w:rFonts w:ascii="Times New Roman" w:eastAsia="Times New Roman" w:hAnsi="Times New Roman" w:cs="Times New Roman"/>
          <w:sz w:val="28"/>
          <w:szCs w:val="24"/>
          <w:bdr w:val="none" w:sz="0" w:space="0" w:color="auto" w:frame="1"/>
        </w:rPr>
        <w:t>Este presupuesto es </w:t>
      </w:r>
      <w:r w:rsidRPr="003F6DBE">
        <w:rPr>
          <w:rFonts w:ascii="Times New Roman" w:eastAsia="Times New Roman" w:hAnsi="Times New Roman" w:cs="Times New Roman"/>
          <w:sz w:val="28"/>
          <w:szCs w:val="24"/>
          <w:bdr w:val="none" w:sz="0" w:space="0" w:color="auto" w:frame="1"/>
          <w:lang w:val="es-ES_tradnl"/>
        </w:rPr>
        <w:t>aplicable solo en </w:t>
      </w:r>
      <w:r w:rsidRPr="003F6DBE">
        <w:rPr>
          <w:rFonts w:ascii="Times New Roman" w:eastAsia="Times New Roman" w:hAnsi="Times New Roman" w:cs="Times New Roman"/>
          <w:sz w:val="28"/>
          <w:szCs w:val="24"/>
          <w:bdr w:val="none" w:sz="0" w:space="0" w:color="auto" w:frame="1"/>
        </w:rPr>
        <w:t>aquellos casos en que se afecte </w:t>
      </w:r>
      <w:r w:rsidRPr="003F6DBE">
        <w:rPr>
          <w:rFonts w:ascii="Times New Roman" w:eastAsia="Times New Roman" w:hAnsi="Times New Roman" w:cs="Times New Roman"/>
          <w:sz w:val="28"/>
          <w:szCs w:val="24"/>
          <w:bdr w:val="none" w:sz="0" w:space="0" w:color="auto" w:frame="1"/>
          <w:lang w:val="es-ES_tradnl"/>
        </w:rPr>
        <w:t>el principio de igualdad, es decir, </w:t>
      </w:r>
      <w:r w:rsidRPr="003F6DBE">
        <w:rPr>
          <w:rFonts w:ascii="Times New Roman" w:eastAsia="Times New Roman" w:hAnsi="Times New Roman" w:cs="Times New Roman"/>
          <w:sz w:val="28"/>
          <w:szCs w:val="24"/>
          <w:bdr w:val="none" w:sz="0" w:space="0" w:color="auto" w:frame="1"/>
        </w:rPr>
        <w:t>“</w:t>
      </w:r>
      <w:r w:rsidRPr="003F6DBE">
        <w:rPr>
          <w:rFonts w:ascii="Times New Roman" w:eastAsia="Times New Roman" w:hAnsi="Times New Roman" w:cs="Times New Roman"/>
          <w:i/>
          <w:iCs/>
          <w:sz w:val="28"/>
          <w:szCs w:val="24"/>
          <w:bdr w:val="none" w:sz="0" w:space="0" w:color="auto" w:frame="1"/>
          <w:lang w:val="es-ES_tradnl"/>
        </w:rPr>
        <w:t>cuando la norma incompleta se evidencia discriminatoria al no contemplar todas las situaciones idénticas a la regulada, o, dicho en otras palabras,</w:t>
      </w:r>
      <w:r w:rsidRPr="003F6DBE">
        <w:rPr>
          <w:rFonts w:ascii="Times New Roman" w:eastAsia="Times New Roman" w:hAnsi="Times New Roman" w:cs="Times New Roman"/>
          <w:i/>
          <w:iCs/>
          <w:sz w:val="28"/>
          <w:szCs w:val="24"/>
          <w:bdr w:val="none" w:sz="0" w:space="0" w:color="auto" w:frame="1"/>
          <w:lang w:val="es-ES_tradnl"/>
        </w:rPr>
        <w:t xml:space="preserve"> cuando no se extiende un determinado régimen legal a una hipótesis material semejante a la que termina por ser única beneficiaria del mismo</w:t>
      </w:r>
      <w:r w:rsidRPr="003F6DBE">
        <w:rPr>
          <w:rFonts w:ascii="Times New Roman" w:eastAsia="Times New Roman" w:hAnsi="Times New Roman" w:cs="Times New Roman"/>
          <w:sz w:val="28"/>
          <w:szCs w:val="24"/>
          <w:bdr w:val="none" w:sz="0" w:space="0" w:color="auto" w:frame="1"/>
          <w:lang w:val="es-ES_tradnl"/>
        </w:rPr>
        <w:t>”</w:t>
      </w:r>
      <w:bookmarkStart w:id="9" w:name="_ftnref29"/>
      <w:bookmarkEnd w:id="9"/>
      <w:r w:rsidRPr="003F6DBE">
        <w:rPr>
          <w:rFonts w:ascii="Times New Roman" w:eastAsia="Times New Roman" w:hAnsi="Times New Roman" w:cs="Times New Roman"/>
          <w:sz w:val="28"/>
          <w:szCs w:val="24"/>
          <w:bdr w:val="none" w:sz="0" w:space="0" w:color="auto" w:frame="1"/>
          <w:lang w:val="es-ES_tradnl"/>
        </w:rPr>
        <w:t>.</w:t>
      </w:r>
      <w:r w:rsidRPr="003F6DBE">
        <w:rPr>
          <w:rFonts w:ascii="Times New Roman" w:eastAsia="Times New Roman" w:hAnsi="Times New Roman" w:cs="Times New Roman"/>
          <w:i/>
          <w:iCs/>
          <w:sz w:val="28"/>
          <w:szCs w:val="24"/>
          <w:bdr w:val="none" w:sz="0" w:space="0" w:color="auto" w:frame="1"/>
          <w:lang w:val="es-ES_tradnl"/>
        </w:rPr>
        <w:t> </w:t>
      </w:r>
      <w:r w:rsidRPr="003F6DBE">
        <w:rPr>
          <w:rFonts w:ascii="Times New Roman" w:eastAsia="Times New Roman" w:hAnsi="Times New Roman" w:cs="Times New Roman"/>
          <w:i/>
          <w:iCs/>
          <w:sz w:val="28"/>
          <w:szCs w:val="24"/>
          <w:bdr w:val="none" w:sz="0" w:space="0" w:color="auto" w:frame="1"/>
        </w:rPr>
        <w:t>Para estos efectos, según la jurisprudencia constitucional, es necesario verificar</w:t>
      </w:r>
      <w:r w:rsidRPr="003F6DBE">
        <w:rPr>
          <w:rFonts w:ascii="Times New Roman" w:eastAsia="Times New Roman" w:hAnsi="Times New Roman" w:cs="Times New Roman"/>
          <w:i/>
          <w:iCs/>
          <w:sz w:val="28"/>
          <w:szCs w:val="24"/>
          <w:bdr w:val="none" w:sz="0" w:space="0" w:color="auto" w:frame="1"/>
          <w:lang w:val="es-ES_tradnl"/>
        </w:rPr>
        <w:t> la razonabilidad de la diferen</w:t>
      </w:r>
      <w:r w:rsidRPr="003F6DBE">
        <w:rPr>
          <w:rFonts w:ascii="Times New Roman" w:eastAsia="Times New Roman" w:hAnsi="Times New Roman" w:cs="Times New Roman"/>
          <w:i/>
          <w:iCs/>
          <w:sz w:val="28"/>
          <w:szCs w:val="24"/>
          <w:bdr w:val="none" w:sz="0" w:space="0" w:color="auto" w:frame="1"/>
          <w:lang w:val="es-ES_tradnl"/>
        </w:rPr>
        <w:t>cia de trato, </w:t>
      </w:r>
      <w:r w:rsidRPr="003F6DBE">
        <w:rPr>
          <w:rFonts w:ascii="Times New Roman" w:eastAsia="Times New Roman" w:hAnsi="Times New Roman" w:cs="Times New Roman"/>
          <w:i/>
          <w:iCs/>
          <w:sz w:val="28"/>
          <w:szCs w:val="24"/>
          <w:bdr w:val="none" w:sz="0" w:space="0" w:color="auto" w:frame="1"/>
        </w:rPr>
        <w:t>esto es,</w:t>
      </w:r>
      <w:r w:rsidRPr="003F6DBE">
        <w:rPr>
          <w:rFonts w:ascii="Times New Roman" w:eastAsia="Times New Roman" w:hAnsi="Times New Roman" w:cs="Times New Roman"/>
          <w:i/>
          <w:iCs/>
          <w:sz w:val="28"/>
          <w:szCs w:val="24"/>
          <w:bdr w:val="none" w:sz="0" w:space="0" w:color="auto" w:frame="1"/>
          <w:lang w:val="es-ES_tradnl"/>
        </w:rPr>
        <w:t> valorar</w:t>
      </w:r>
      <w:r w:rsidRPr="003F6DBE">
        <w:rPr>
          <w:rFonts w:ascii="Times New Roman" w:eastAsia="Times New Roman" w:hAnsi="Times New Roman" w:cs="Times New Roman"/>
          <w:sz w:val="28"/>
          <w:szCs w:val="24"/>
          <w:bdr w:val="none" w:sz="0" w:space="0" w:color="auto" w:frame="1"/>
          <w:lang w:val="es-ES_tradnl"/>
        </w:rPr>
        <w:t> </w:t>
      </w:r>
      <w:r w:rsidRPr="003F6DBE">
        <w:rPr>
          <w:rFonts w:ascii="Times New Roman" w:eastAsia="Times New Roman" w:hAnsi="Times New Roman" w:cs="Times New Roman"/>
          <w:sz w:val="28"/>
          <w:szCs w:val="24"/>
          <w:bdr w:val="none" w:sz="0" w:space="0" w:color="auto" w:frame="1"/>
        </w:rPr>
        <w:t>“</w:t>
      </w:r>
      <w:r w:rsidRPr="003F6DBE">
        <w:rPr>
          <w:rFonts w:ascii="Times New Roman" w:eastAsia="Times New Roman" w:hAnsi="Times New Roman" w:cs="Times New Roman"/>
          <w:i/>
          <w:iCs/>
          <w:sz w:val="28"/>
          <w:szCs w:val="24"/>
          <w:bdr w:val="none" w:sz="0" w:space="0" w:color="auto" w:frame="1"/>
          <w:lang w:val="es-ES_tradnl"/>
        </w:rPr>
        <w:t>a) si los supuestos de hecho en que se encuentran los sujetos excluidos del contenido normativo son asimilables a aquellos en que se hallan quienes sí fueron incluidos, y, b) si adoptar ese tratamiento distinto deviene neces</w:t>
      </w:r>
      <w:r w:rsidRPr="003F6DBE">
        <w:rPr>
          <w:rFonts w:ascii="Times New Roman" w:eastAsia="Times New Roman" w:hAnsi="Times New Roman" w:cs="Times New Roman"/>
          <w:i/>
          <w:iCs/>
          <w:sz w:val="28"/>
          <w:szCs w:val="24"/>
          <w:bdr w:val="none" w:sz="0" w:space="0" w:color="auto" w:frame="1"/>
          <w:lang w:val="es-ES_tradnl"/>
        </w:rPr>
        <w:t>ario y proporcionado con miras a obtener un fin legítimo</w:t>
      </w:r>
      <w:r w:rsidRPr="003F6DBE">
        <w:rPr>
          <w:rFonts w:ascii="Times New Roman" w:eastAsia="Times New Roman" w:hAnsi="Times New Roman" w:cs="Times New Roman"/>
          <w:sz w:val="28"/>
          <w:szCs w:val="24"/>
          <w:bdr w:val="none" w:sz="0" w:space="0" w:color="auto" w:frame="1"/>
        </w:rPr>
        <w:t>”</w:t>
      </w:r>
      <w:r w:rsidRPr="003F6DBE">
        <w:rPr>
          <w:rStyle w:val="Refdenotaalpie"/>
          <w:rFonts w:ascii="Times New Roman" w:eastAsia="Times New Roman" w:hAnsi="Times New Roman"/>
          <w:sz w:val="28"/>
          <w:szCs w:val="24"/>
          <w:bdr w:val="none" w:sz="0" w:space="0" w:color="auto" w:frame="1"/>
        </w:rPr>
        <w:footnoteReference w:id="42"/>
      </w:r>
      <w:r w:rsidRPr="003F6DBE">
        <w:rPr>
          <w:rFonts w:ascii="Times New Roman" w:eastAsia="Times New Roman" w:hAnsi="Times New Roman" w:cs="Times New Roman"/>
          <w:sz w:val="28"/>
          <w:szCs w:val="24"/>
          <w:bdr w:val="none" w:sz="0" w:space="0" w:color="auto" w:frame="1"/>
        </w:rPr>
        <w:t>.</w:t>
      </w:r>
    </w:p>
    <w:p w:rsidR="00E208F4" w:rsidRPr="003F6DBE" w:rsidRDefault="003F6DBE" w:rsidP="00DE38C0">
      <w:pPr>
        <w:shd w:val="clear" w:color="auto" w:fill="FFFFFF"/>
        <w:spacing w:after="0" w:line="240" w:lineRule="auto"/>
        <w:ind w:right="191"/>
        <w:jc w:val="both"/>
        <w:textAlignment w:val="baseline"/>
        <w:rPr>
          <w:rFonts w:ascii="Times New Roman" w:eastAsia="Times New Roman" w:hAnsi="Times New Roman" w:cs="Times New Roman"/>
          <w:sz w:val="28"/>
          <w:szCs w:val="24"/>
        </w:rPr>
      </w:pPr>
    </w:p>
    <w:p w:rsidR="00E208F4" w:rsidRPr="003F6DBE" w:rsidRDefault="003F6DBE" w:rsidP="00DA100F">
      <w:pPr>
        <w:pStyle w:val="Prrafodelista"/>
        <w:numPr>
          <w:ilvl w:val="0"/>
          <w:numId w:val="2"/>
        </w:numPr>
        <w:shd w:val="clear" w:color="auto" w:fill="FFFFFF"/>
        <w:spacing w:after="0" w:line="240" w:lineRule="auto"/>
        <w:ind w:left="0" w:right="49" w:firstLine="0"/>
        <w:jc w:val="both"/>
        <w:textAlignment w:val="baseline"/>
        <w:rPr>
          <w:rFonts w:ascii="Times New Roman" w:hAnsi="Times New Roman" w:cs="Times New Roman"/>
          <w:b/>
          <w:bCs/>
          <w:sz w:val="28"/>
          <w:szCs w:val="28"/>
          <w:bdr w:val="none" w:sz="0" w:space="0" w:color="auto" w:frame="1"/>
          <w:shd w:val="clear" w:color="auto" w:fill="FFFFFF"/>
        </w:rPr>
      </w:pPr>
      <w:r w:rsidRPr="003F6DBE">
        <w:rPr>
          <w:rFonts w:ascii="Times New Roman" w:eastAsia="Times New Roman" w:hAnsi="Times New Roman" w:cs="Times New Roman"/>
          <w:sz w:val="28"/>
          <w:szCs w:val="28"/>
        </w:rPr>
        <w:t>R</w:t>
      </w:r>
      <w:r w:rsidRPr="003F6DBE">
        <w:rPr>
          <w:rFonts w:ascii="Times New Roman" w:eastAsia="Times New Roman" w:hAnsi="Times New Roman" w:cs="Times New Roman"/>
          <w:sz w:val="28"/>
          <w:szCs w:val="28"/>
        </w:rPr>
        <w:t xml:space="preserve">especto a la exigencia de certeza en la carga argumentativa, ha explicado este tribunal que </w:t>
      </w:r>
      <w:r w:rsidRPr="003F6DBE">
        <w:rPr>
          <w:rFonts w:ascii="Times New Roman" w:eastAsia="Times New Roman" w:hAnsi="Times New Roman" w:cs="Times New Roman"/>
          <w:sz w:val="28"/>
          <w:szCs w:val="28"/>
        </w:rPr>
        <w:t>“</w:t>
      </w:r>
      <w:r w:rsidRPr="003F6DBE">
        <w:rPr>
          <w:rFonts w:ascii="Times New Roman" w:eastAsia="Times New Roman" w:hAnsi="Times New Roman" w:cs="Times New Roman"/>
          <w:i/>
          <w:sz w:val="28"/>
          <w:szCs w:val="28"/>
        </w:rPr>
        <w:t xml:space="preserve">por tratarse de una acusación que se dirige contra un vacío parcial, el demandante tiene la carga de </w:t>
      </w:r>
      <w:r w:rsidRPr="003F6DBE">
        <w:rPr>
          <w:rFonts w:ascii="Times New Roman" w:eastAsia="Times New Roman" w:hAnsi="Times New Roman" w:cs="Times New Roman"/>
          <w:i/>
          <w:sz w:val="28"/>
          <w:szCs w:val="28"/>
        </w:rPr>
        <w:t>demostrar mínimamente que, en efecto, esa indefinición existe</w:t>
      </w:r>
      <w:r w:rsidRPr="003F6DBE">
        <w:rPr>
          <w:rFonts w:ascii="Times New Roman" w:eastAsia="Times New Roman" w:hAnsi="Times New Roman" w:cs="Times New Roman"/>
          <w:i/>
          <w:sz w:val="28"/>
          <w:szCs w:val="28"/>
        </w:rPr>
        <w:t>” o</w:t>
      </w:r>
      <w:r w:rsidRPr="003F6DBE">
        <w:rPr>
          <w:rFonts w:ascii="Times New Roman" w:eastAsia="Times New Roman" w:hAnsi="Times New Roman" w:cs="Times New Roman"/>
          <w:i/>
          <w:sz w:val="28"/>
          <w:szCs w:val="28"/>
        </w:rPr>
        <w:t xml:space="preserve"> </w:t>
      </w:r>
      <w:r w:rsidRPr="003F6DBE">
        <w:rPr>
          <w:rFonts w:ascii="Times New Roman" w:eastAsia="Times New Roman" w:hAnsi="Times New Roman" w:cs="Times New Roman"/>
          <w:i/>
          <w:sz w:val="28"/>
          <w:szCs w:val="28"/>
        </w:rPr>
        <w:t>“l</w:t>
      </w:r>
      <w:r w:rsidRPr="003F6DBE">
        <w:rPr>
          <w:rFonts w:ascii="Times New Roman" w:eastAsia="Times New Roman" w:hAnsi="Times New Roman" w:cs="Times New Roman"/>
          <w:i/>
          <w:sz w:val="28"/>
          <w:szCs w:val="28"/>
        </w:rPr>
        <w:t>o contrario, llevaría a la Corte a que, por vía de este tipo de censuras, concentrara su actividad en definir las interpretaciones legales del ordenamiento jurídico y no a examinar si el Le</w:t>
      </w:r>
      <w:r w:rsidRPr="003F6DBE">
        <w:rPr>
          <w:rFonts w:ascii="Times New Roman" w:eastAsia="Times New Roman" w:hAnsi="Times New Roman" w:cs="Times New Roman"/>
          <w:i/>
          <w:sz w:val="28"/>
          <w:szCs w:val="28"/>
        </w:rPr>
        <w:t>gislador vulneró la Carta Política</w:t>
      </w:r>
      <w:r w:rsidRPr="003F6DBE">
        <w:rPr>
          <w:rFonts w:ascii="Times New Roman" w:eastAsia="Times New Roman" w:hAnsi="Times New Roman" w:cs="Times New Roman"/>
          <w:sz w:val="28"/>
          <w:szCs w:val="28"/>
        </w:rPr>
        <w:t>”</w:t>
      </w:r>
      <w:r w:rsidRPr="003F6DBE">
        <w:rPr>
          <w:rStyle w:val="Refdenotaalpie"/>
          <w:rFonts w:ascii="Times New Roman" w:eastAsia="Times New Roman" w:hAnsi="Times New Roman"/>
          <w:sz w:val="28"/>
          <w:szCs w:val="28"/>
        </w:rPr>
        <w:footnoteReference w:id="43"/>
      </w:r>
      <w:r w:rsidRPr="003F6DBE">
        <w:rPr>
          <w:rFonts w:ascii="Times New Roman" w:eastAsia="Times New Roman" w:hAnsi="Times New Roman" w:cs="Times New Roman"/>
          <w:sz w:val="28"/>
          <w:szCs w:val="28"/>
        </w:rPr>
        <w:t xml:space="preserve">. En consecuencia, explicó esta providencia que en </w:t>
      </w:r>
      <w:r w:rsidRPr="003F6DBE">
        <w:rPr>
          <w:rFonts w:ascii="Times New Roman" w:eastAsia="Times New Roman" w:hAnsi="Times New Roman" w:cs="Times New Roman"/>
          <w:sz w:val="28"/>
          <w:szCs w:val="28"/>
        </w:rPr>
        <w:t xml:space="preserve">tales </w:t>
      </w:r>
      <w:r w:rsidRPr="003F6DBE">
        <w:rPr>
          <w:rFonts w:ascii="Times New Roman" w:eastAsia="Times New Roman" w:hAnsi="Times New Roman" w:cs="Times New Roman"/>
          <w:sz w:val="28"/>
          <w:szCs w:val="28"/>
        </w:rPr>
        <w:t>casos no basta con cuestionar de forma aislada una norma, sino que es necesario que el demandante cumpla una carga mínima dirigida a justificar la existencia del v</w:t>
      </w:r>
      <w:r w:rsidRPr="003F6DBE">
        <w:rPr>
          <w:rFonts w:ascii="Times New Roman" w:eastAsia="Times New Roman" w:hAnsi="Times New Roman" w:cs="Times New Roman"/>
          <w:sz w:val="28"/>
          <w:szCs w:val="28"/>
        </w:rPr>
        <w:t xml:space="preserve">acío que cuestiona. En esa dirección, </w:t>
      </w:r>
      <w:r w:rsidRPr="003F6DBE">
        <w:rPr>
          <w:rFonts w:ascii="Times New Roman" w:hAnsi="Times New Roman" w:cs="Times New Roman"/>
          <w:iCs/>
          <w:sz w:val="28"/>
          <w:szCs w:val="28"/>
        </w:rPr>
        <w:t>la sentencia C-122 de 2020</w:t>
      </w:r>
      <w:r w:rsidRPr="003F6DBE">
        <w:rPr>
          <w:rStyle w:val="Refdenotaalpie"/>
          <w:rFonts w:ascii="Times New Roman" w:hAnsi="Times New Roman"/>
          <w:iCs/>
          <w:sz w:val="28"/>
          <w:szCs w:val="28"/>
        </w:rPr>
        <w:footnoteReference w:id="44"/>
      </w:r>
      <w:r w:rsidRPr="003F6DBE">
        <w:rPr>
          <w:rFonts w:ascii="Times New Roman" w:hAnsi="Times New Roman" w:cs="Times New Roman"/>
          <w:iCs/>
          <w:sz w:val="28"/>
          <w:szCs w:val="28"/>
        </w:rPr>
        <w:t xml:space="preserve"> </w:t>
      </w:r>
      <w:r w:rsidRPr="003F6DBE">
        <w:rPr>
          <w:rFonts w:ascii="Times New Roman" w:hAnsi="Times New Roman" w:cs="Times New Roman"/>
          <w:iCs/>
          <w:sz w:val="28"/>
          <w:szCs w:val="28"/>
        </w:rPr>
        <w:t>indic</w:t>
      </w:r>
      <w:r w:rsidRPr="003F6DBE">
        <w:rPr>
          <w:rFonts w:ascii="Times New Roman" w:hAnsi="Times New Roman" w:cs="Times New Roman"/>
          <w:iCs/>
          <w:sz w:val="28"/>
          <w:szCs w:val="28"/>
        </w:rPr>
        <w:t xml:space="preserve">ó que </w:t>
      </w:r>
      <w:r w:rsidRPr="003F6DBE">
        <w:rPr>
          <w:rFonts w:ascii="Times New Roman" w:hAnsi="Times New Roman" w:cs="Times New Roman"/>
          <w:sz w:val="28"/>
          <w:szCs w:val="28"/>
          <w:shd w:val="clear" w:color="auto" w:fill="FFFFFF"/>
        </w:rPr>
        <w:t>“</w:t>
      </w:r>
      <w:r w:rsidRPr="003F6DBE">
        <w:rPr>
          <w:rFonts w:ascii="Times New Roman" w:hAnsi="Times New Roman" w:cs="Times New Roman"/>
          <w:i/>
          <w:sz w:val="28"/>
          <w:szCs w:val="28"/>
          <w:shd w:val="clear" w:color="auto" w:fill="FFFFFF"/>
        </w:rPr>
        <w:t xml:space="preserve">la exigencia argumentativa es mayor cuando se cuestiona una omisión legislativa relativa, como una medida de respeto de la competencia legislativa y en aras de mantener la </w:t>
      </w:r>
      <w:r w:rsidRPr="003F6DBE">
        <w:rPr>
          <w:rFonts w:ascii="Times New Roman" w:hAnsi="Times New Roman" w:cs="Times New Roman"/>
          <w:i/>
          <w:sz w:val="28"/>
          <w:szCs w:val="28"/>
          <w:shd w:val="clear" w:color="auto" w:fill="FFFFFF"/>
        </w:rPr>
        <w:t>separación de poderes</w:t>
      </w:r>
      <w:r w:rsidRPr="003F6DBE">
        <w:rPr>
          <w:rFonts w:ascii="Times New Roman" w:hAnsi="Times New Roman" w:cs="Times New Roman"/>
          <w:sz w:val="28"/>
        </w:rPr>
        <w:t>”</w:t>
      </w:r>
      <w:r w:rsidRPr="003F6DBE">
        <w:rPr>
          <w:rFonts w:ascii="Times New Roman" w:hAnsi="Times New Roman" w:cs="Times New Roman"/>
          <w:sz w:val="28"/>
          <w:szCs w:val="28"/>
          <w:shd w:val="clear" w:color="auto" w:fill="FFFFFF"/>
        </w:rPr>
        <w:t xml:space="preserve">. </w:t>
      </w:r>
    </w:p>
    <w:p w:rsidR="00F93A9C" w:rsidRPr="003F6DBE" w:rsidRDefault="003F6DBE" w:rsidP="00DE38C0">
      <w:pPr>
        <w:pStyle w:val="Prrafodelista"/>
        <w:shd w:val="clear" w:color="auto" w:fill="FFFFFF"/>
        <w:spacing w:after="0" w:line="240" w:lineRule="auto"/>
        <w:ind w:left="0" w:right="191"/>
        <w:jc w:val="both"/>
        <w:textAlignment w:val="baseline"/>
        <w:rPr>
          <w:rFonts w:ascii="Times New Roman" w:hAnsi="Times New Roman" w:cs="Times New Roman"/>
          <w:b/>
          <w:bCs/>
          <w:sz w:val="28"/>
          <w:szCs w:val="28"/>
          <w:bdr w:val="none" w:sz="0" w:space="0" w:color="auto" w:frame="1"/>
          <w:shd w:val="clear" w:color="auto" w:fill="FFFFFF"/>
        </w:rPr>
      </w:pPr>
    </w:p>
    <w:p w:rsidR="00E06B69" w:rsidRPr="003F6DBE" w:rsidRDefault="003F6DBE" w:rsidP="00DA100F">
      <w:pPr>
        <w:pStyle w:val="Prrafodelista"/>
        <w:numPr>
          <w:ilvl w:val="0"/>
          <w:numId w:val="2"/>
        </w:numPr>
        <w:shd w:val="clear" w:color="auto" w:fill="FFFFFF"/>
        <w:spacing w:after="0" w:line="240" w:lineRule="auto"/>
        <w:ind w:left="0" w:right="49" w:firstLine="0"/>
        <w:jc w:val="both"/>
        <w:textAlignment w:val="baseline"/>
        <w:rPr>
          <w:rFonts w:ascii="Times New Roman" w:hAnsi="Times New Roman" w:cs="Times New Roman"/>
          <w:sz w:val="28"/>
          <w:szCs w:val="28"/>
          <w:bdr w:val="none" w:sz="0" w:space="0" w:color="auto" w:frame="1"/>
          <w:shd w:val="clear" w:color="auto" w:fill="FFFFFF"/>
        </w:rPr>
      </w:pPr>
      <w:r w:rsidRPr="003F6DBE">
        <w:rPr>
          <w:rFonts w:ascii="Times New Roman" w:hAnsi="Times New Roman" w:cs="Times New Roman"/>
          <w:sz w:val="28"/>
          <w:szCs w:val="28"/>
          <w:bdr w:val="none" w:sz="0" w:space="0" w:color="auto" w:frame="1"/>
          <w:shd w:val="clear" w:color="auto" w:fill="FFFFFF"/>
        </w:rPr>
        <w:t>Así, conforme ha sido explicado</w:t>
      </w:r>
      <w:r w:rsidRPr="003F6DBE">
        <w:rPr>
          <w:rFonts w:ascii="Times New Roman" w:hAnsi="Times New Roman" w:cs="Times New Roman"/>
          <w:sz w:val="28"/>
          <w:szCs w:val="28"/>
          <w:bdr w:val="none" w:sz="0" w:space="0" w:color="auto" w:frame="1"/>
          <w:shd w:val="clear" w:color="auto" w:fill="FFFFFF"/>
        </w:rPr>
        <w:t xml:space="preserve"> por la jurisprudencia</w:t>
      </w:r>
      <w:r w:rsidRPr="003F6DBE">
        <w:rPr>
          <w:rFonts w:ascii="Times New Roman" w:hAnsi="Times New Roman" w:cs="Times New Roman"/>
          <w:sz w:val="28"/>
          <w:szCs w:val="28"/>
          <w:bdr w:val="none" w:sz="0" w:space="0" w:color="auto" w:frame="1"/>
          <w:shd w:val="clear" w:color="auto" w:fill="FFFFFF"/>
        </w:rPr>
        <w:t>, tales requisitos se analizan</w:t>
      </w:r>
      <w:r w:rsidRPr="003F6DBE">
        <w:rPr>
          <w:rFonts w:ascii="Times New Roman" w:hAnsi="Times New Roman" w:cs="Times New Roman"/>
          <w:sz w:val="28"/>
          <w:szCs w:val="28"/>
          <w:bdr w:val="none" w:sz="0" w:space="0" w:color="auto" w:frame="1"/>
          <w:shd w:val="clear" w:color="auto" w:fill="FFFFFF"/>
        </w:rPr>
        <w:t>, en principio,</w:t>
      </w:r>
      <w:r w:rsidRPr="003F6DBE">
        <w:rPr>
          <w:rFonts w:ascii="Times New Roman" w:hAnsi="Times New Roman" w:cs="Times New Roman"/>
          <w:sz w:val="28"/>
          <w:szCs w:val="28"/>
          <w:bdr w:val="none" w:sz="0" w:space="0" w:color="auto" w:frame="1"/>
          <w:shd w:val="clear" w:color="auto" w:fill="FFFFFF"/>
        </w:rPr>
        <w:t xml:space="preserve"> al momento de admitir la demanda. No obstante, la sentencia C-189 de 2021</w:t>
      </w:r>
      <w:r w:rsidRPr="003F6DBE">
        <w:rPr>
          <w:rStyle w:val="Refdenotaalpie"/>
          <w:rFonts w:ascii="Times New Roman" w:hAnsi="Times New Roman"/>
          <w:sz w:val="28"/>
          <w:szCs w:val="28"/>
          <w:bdr w:val="none" w:sz="0" w:space="0" w:color="auto" w:frame="1"/>
          <w:shd w:val="clear" w:color="auto" w:fill="FFFFFF"/>
        </w:rPr>
        <w:footnoteReference w:id="45"/>
      </w:r>
      <w:r w:rsidRPr="003F6DBE">
        <w:rPr>
          <w:rFonts w:ascii="Times New Roman" w:hAnsi="Times New Roman" w:cs="Times New Roman"/>
          <w:sz w:val="28"/>
          <w:szCs w:val="28"/>
          <w:bdr w:val="none" w:sz="0" w:space="0" w:color="auto" w:frame="1"/>
          <w:shd w:val="clear" w:color="auto" w:fill="FFFFFF"/>
        </w:rPr>
        <w:t>, en la cual este tribunal decidió inhibirse por un cargo</w:t>
      </w:r>
      <w:r w:rsidRPr="003F6DBE">
        <w:rPr>
          <w:rFonts w:ascii="Times New Roman" w:hAnsi="Times New Roman" w:cs="Times New Roman"/>
          <w:sz w:val="28"/>
          <w:szCs w:val="28"/>
          <w:bdr w:val="none" w:sz="0" w:space="0" w:color="auto" w:frame="1"/>
          <w:shd w:val="clear" w:color="auto" w:fill="FFFFFF"/>
        </w:rPr>
        <w:t xml:space="preserve"> sustentado en una omisión legislativa relativa, </w:t>
      </w:r>
      <w:r w:rsidRPr="003F6DBE">
        <w:rPr>
          <w:rFonts w:ascii="Times New Roman" w:hAnsi="Times New Roman" w:cs="Times New Roman"/>
          <w:sz w:val="28"/>
          <w:szCs w:val="28"/>
          <w:bdr w:val="none" w:sz="0" w:space="0" w:color="auto" w:frame="1"/>
          <w:shd w:val="clear" w:color="auto" w:fill="FFFFFF"/>
        </w:rPr>
        <w:t xml:space="preserve">indicó que </w:t>
      </w:r>
      <w:r w:rsidRPr="003F6DBE">
        <w:rPr>
          <w:rFonts w:ascii="Times New Roman" w:hAnsi="Times New Roman" w:cs="Times New Roman"/>
          <w:sz w:val="28"/>
          <w:szCs w:val="28"/>
          <w:bdr w:val="none" w:sz="0" w:space="0" w:color="auto" w:frame="1"/>
          <w:shd w:val="clear" w:color="auto" w:fill="FFFFFF"/>
        </w:rPr>
        <w:t>“</w:t>
      </w:r>
      <w:r w:rsidRPr="003F6DBE">
        <w:rPr>
          <w:rFonts w:ascii="Times New Roman" w:hAnsi="Times New Roman" w:cs="Times New Roman"/>
          <w:i/>
          <w:iCs/>
          <w:sz w:val="28"/>
          <w:szCs w:val="28"/>
          <w:shd w:val="clear" w:color="auto" w:fill="FFFFFF"/>
        </w:rPr>
        <w:t xml:space="preserve">la Corte ha señalado que la superación de la fase de admisión no impide que la Sala Plena analice con mayor detenimiento y profundidad los cargos propuestos”. </w:t>
      </w:r>
      <w:r w:rsidRPr="003F6DBE">
        <w:rPr>
          <w:rFonts w:ascii="Times New Roman" w:hAnsi="Times New Roman" w:cs="Times New Roman"/>
          <w:sz w:val="28"/>
          <w:szCs w:val="28"/>
          <w:shd w:val="clear" w:color="auto" w:fill="FFFFFF"/>
        </w:rPr>
        <w:t xml:space="preserve">En efecto, la admisión de la </w:t>
      </w:r>
      <w:r w:rsidRPr="003F6DBE">
        <w:rPr>
          <w:rFonts w:ascii="Times New Roman" w:hAnsi="Times New Roman" w:cs="Times New Roman"/>
          <w:sz w:val="28"/>
          <w:szCs w:val="28"/>
          <w:shd w:val="clear" w:color="auto" w:fill="FFFFFF"/>
        </w:rPr>
        <w:t>demanda </w:t>
      </w:r>
      <w:r w:rsidRPr="003F6DBE">
        <w:rPr>
          <w:rFonts w:ascii="Times New Roman" w:hAnsi="Times New Roman" w:cs="Times New Roman"/>
          <w:i/>
          <w:iCs/>
          <w:sz w:val="28"/>
          <w:szCs w:val="28"/>
          <w:shd w:val="clear" w:color="auto" w:fill="FFFFFF"/>
        </w:rPr>
        <w:t>“responde a una valoración apenas sumaria de la acción que no compromete ni define la competencia del pleno de la Corte”</w:t>
      </w:r>
      <w:r w:rsidRPr="003F6DBE">
        <w:rPr>
          <w:rStyle w:val="Refdenotaalpie"/>
          <w:rFonts w:ascii="Times New Roman" w:hAnsi="Times New Roman"/>
          <w:i/>
          <w:iCs/>
          <w:sz w:val="28"/>
          <w:szCs w:val="28"/>
          <w:shd w:val="clear" w:color="auto" w:fill="FFFFFF"/>
        </w:rPr>
        <w:footnoteReference w:id="46"/>
      </w:r>
      <w:r w:rsidRPr="003F6DBE">
        <w:rPr>
          <w:rFonts w:ascii="Times New Roman" w:hAnsi="Times New Roman" w:cs="Times New Roman"/>
          <w:i/>
          <w:iCs/>
          <w:sz w:val="28"/>
          <w:szCs w:val="28"/>
          <w:shd w:val="clear" w:color="auto" w:fill="FFFFFF"/>
        </w:rPr>
        <w:t>.</w:t>
      </w:r>
      <w:r w:rsidRPr="003F6DBE">
        <w:rPr>
          <w:rFonts w:ascii="Times New Roman" w:hAnsi="Times New Roman" w:cs="Times New Roman"/>
          <w:sz w:val="28"/>
          <w:szCs w:val="28"/>
          <w:shd w:val="clear" w:color="auto" w:fill="FFFFFF"/>
        </w:rPr>
        <w:t xml:space="preserve"> En consecuencia, se advierte desde ya que si bien el magistrado sustanciador, en su momento, decidió admitir la demanda de </w:t>
      </w:r>
      <w:r w:rsidRPr="003F6DBE">
        <w:rPr>
          <w:rFonts w:ascii="Times New Roman" w:hAnsi="Times New Roman" w:cs="Times New Roman"/>
          <w:sz w:val="28"/>
          <w:szCs w:val="28"/>
          <w:shd w:val="clear" w:color="auto" w:fill="FFFFFF"/>
        </w:rPr>
        <w:t>la</w:t>
      </w:r>
      <w:r w:rsidRPr="003F6DBE">
        <w:rPr>
          <w:rFonts w:ascii="Times New Roman" w:hAnsi="Times New Roman" w:cs="Times New Roman"/>
          <w:sz w:val="28"/>
          <w:szCs w:val="28"/>
          <w:shd w:val="clear" w:color="auto" w:fill="FFFFFF"/>
        </w:rPr>
        <w:t xml:space="preserve"> </w:t>
      </w:r>
      <w:r w:rsidRPr="003F6DBE">
        <w:rPr>
          <w:rFonts w:ascii="Times New Roman" w:hAnsi="Times New Roman" w:cs="Times New Roman"/>
          <w:sz w:val="28"/>
          <w:szCs w:val="28"/>
          <w:shd w:val="clear" w:color="auto" w:fill="FFFFFF"/>
        </w:rPr>
        <w:t>referencia con fundamento</w:t>
      </w:r>
      <w:r w:rsidRPr="003F6DBE">
        <w:rPr>
          <w:rFonts w:ascii="Times New Roman" w:hAnsi="Times New Roman" w:cs="Times New Roman"/>
          <w:sz w:val="28"/>
          <w:szCs w:val="28"/>
          <w:shd w:val="clear" w:color="auto" w:fill="FFFFFF"/>
        </w:rPr>
        <w:t xml:space="preserve"> en que, después de ser corregida, </w:t>
      </w:r>
      <w:r w:rsidRPr="003F6DBE">
        <w:rPr>
          <w:rFonts w:ascii="Times New Roman" w:hAnsi="Times New Roman" w:cs="Times New Roman"/>
          <w:sz w:val="28"/>
          <w:szCs w:val="28"/>
          <w:shd w:val="clear" w:color="auto" w:fill="FFFFFF"/>
        </w:rPr>
        <w:t xml:space="preserve">se concluyó que </w:t>
      </w:r>
      <w:r w:rsidRPr="003F6DBE">
        <w:rPr>
          <w:rFonts w:ascii="Times New Roman" w:hAnsi="Times New Roman" w:cs="Times New Roman"/>
          <w:sz w:val="28"/>
          <w:szCs w:val="28"/>
          <w:shd w:val="clear" w:color="auto" w:fill="FFFFFF"/>
        </w:rPr>
        <w:t xml:space="preserve">se </w:t>
      </w:r>
      <w:r w:rsidRPr="003F6DBE">
        <w:rPr>
          <w:rFonts w:ascii="Times New Roman" w:hAnsi="Times New Roman" w:cs="Times New Roman"/>
          <w:sz w:val="28"/>
          <w:szCs w:val="28"/>
          <w:shd w:val="clear" w:color="auto" w:fill="FFFFFF"/>
        </w:rPr>
        <w:t>había</w:t>
      </w:r>
      <w:r w:rsidRPr="003F6DBE">
        <w:rPr>
          <w:rFonts w:ascii="Times New Roman" w:hAnsi="Times New Roman" w:cs="Times New Roman"/>
          <w:sz w:val="28"/>
          <w:szCs w:val="28"/>
          <w:shd w:val="clear" w:color="auto" w:fill="FFFFFF"/>
        </w:rPr>
        <w:t>n</w:t>
      </w:r>
      <w:r w:rsidRPr="003F6DBE">
        <w:rPr>
          <w:rFonts w:ascii="Times New Roman" w:hAnsi="Times New Roman" w:cs="Times New Roman"/>
          <w:sz w:val="28"/>
          <w:szCs w:val="28"/>
          <w:shd w:val="clear" w:color="auto" w:fill="FFFFFF"/>
        </w:rPr>
        <w:t xml:space="preserve"> </w:t>
      </w:r>
      <w:r w:rsidRPr="003F6DBE">
        <w:rPr>
          <w:rFonts w:ascii="Times New Roman" w:hAnsi="Times New Roman" w:cs="Times New Roman"/>
          <w:sz w:val="28"/>
          <w:szCs w:val="28"/>
          <w:shd w:val="clear" w:color="auto" w:fill="FFFFFF"/>
        </w:rPr>
        <w:t>estructur</w:t>
      </w:r>
      <w:r w:rsidRPr="003F6DBE">
        <w:rPr>
          <w:rFonts w:ascii="Times New Roman" w:hAnsi="Times New Roman" w:cs="Times New Roman"/>
          <w:sz w:val="28"/>
          <w:szCs w:val="28"/>
          <w:shd w:val="clear" w:color="auto" w:fill="FFFFFF"/>
        </w:rPr>
        <w:t>ado</w:t>
      </w:r>
      <w:r w:rsidRPr="003F6DBE">
        <w:rPr>
          <w:rFonts w:ascii="Times New Roman" w:hAnsi="Times New Roman" w:cs="Times New Roman"/>
          <w:sz w:val="28"/>
          <w:szCs w:val="28"/>
          <w:shd w:val="clear" w:color="auto" w:fill="FFFFFF"/>
        </w:rPr>
        <w:t xml:space="preserve"> los elementos </w:t>
      </w:r>
      <w:r w:rsidRPr="003F6DBE">
        <w:rPr>
          <w:rFonts w:ascii="Times New Roman" w:hAnsi="Times New Roman" w:cs="Times New Roman"/>
          <w:sz w:val="28"/>
          <w:szCs w:val="28"/>
          <w:shd w:val="clear" w:color="auto" w:fill="FFFFFF"/>
        </w:rPr>
        <w:t xml:space="preserve">suficientes para </w:t>
      </w:r>
      <w:r w:rsidRPr="003F6DBE">
        <w:rPr>
          <w:rFonts w:ascii="Times New Roman" w:hAnsi="Times New Roman" w:cs="Times New Roman"/>
          <w:sz w:val="28"/>
          <w:szCs w:val="28"/>
          <w:shd w:val="clear" w:color="auto" w:fill="FFFFFF"/>
        </w:rPr>
        <w:t xml:space="preserve">adelantar </w:t>
      </w:r>
      <w:r w:rsidRPr="003F6DBE">
        <w:rPr>
          <w:rFonts w:ascii="Times New Roman" w:hAnsi="Times New Roman" w:cs="Times New Roman"/>
          <w:sz w:val="28"/>
          <w:szCs w:val="28"/>
          <w:shd w:val="clear" w:color="auto" w:fill="FFFFFF"/>
        </w:rPr>
        <w:t xml:space="preserve">un juicio de omisión legislativa relativa, esta calificación es provisional y está sujeta al estudio que en dicho </w:t>
      </w:r>
      <w:r w:rsidRPr="003F6DBE">
        <w:rPr>
          <w:rFonts w:ascii="Times New Roman" w:hAnsi="Times New Roman" w:cs="Times New Roman"/>
          <w:sz w:val="28"/>
          <w:szCs w:val="28"/>
          <w:shd w:val="clear" w:color="auto" w:fill="FFFFFF"/>
        </w:rPr>
        <w:t>sentido realiza la Sala Plena.</w:t>
      </w:r>
    </w:p>
    <w:p w:rsidR="00161F79" w:rsidRPr="003F6DBE" w:rsidRDefault="003F6DBE" w:rsidP="00DE38C0">
      <w:pPr>
        <w:spacing w:after="0" w:line="240" w:lineRule="auto"/>
        <w:ind w:right="191"/>
        <w:jc w:val="both"/>
        <w:rPr>
          <w:rFonts w:ascii="Times New Roman" w:hAnsi="Times New Roman" w:cs="Times New Roman"/>
          <w:b/>
          <w:bCs/>
          <w:sz w:val="28"/>
          <w:szCs w:val="28"/>
          <w:highlight w:val="cyan"/>
          <w:bdr w:val="none" w:sz="0" w:space="0" w:color="auto" w:frame="1"/>
          <w:shd w:val="clear" w:color="auto" w:fill="FFFFFF"/>
        </w:rPr>
      </w:pPr>
    </w:p>
    <w:p w:rsidR="00855C34" w:rsidRPr="003F6DBE" w:rsidRDefault="003F6DBE" w:rsidP="00DA100F">
      <w:pPr>
        <w:pStyle w:val="Prrafodelista"/>
        <w:numPr>
          <w:ilvl w:val="0"/>
          <w:numId w:val="7"/>
        </w:numPr>
        <w:spacing w:after="0" w:line="240" w:lineRule="auto"/>
        <w:ind w:left="1134" w:right="49"/>
        <w:jc w:val="both"/>
        <w:rPr>
          <w:rFonts w:ascii="Times New Roman" w:hAnsi="Times New Roman" w:cs="Times New Roman"/>
          <w:b/>
          <w:sz w:val="28"/>
        </w:rPr>
      </w:pPr>
      <w:r w:rsidRPr="003F6DBE">
        <w:rPr>
          <w:rFonts w:ascii="Times New Roman" w:hAnsi="Times New Roman" w:cs="Times New Roman"/>
          <w:b/>
          <w:sz w:val="28"/>
        </w:rPr>
        <w:t>El fundamento constitucional del derecho a la diversidad étnica y cultural en favor de las comunidades negras, afrodescendientes, raizales y palenqueras</w:t>
      </w:r>
      <w:r w:rsidRPr="003F6DBE">
        <w:rPr>
          <w:rFonts w:ascii="Times New Roman" w:hAnsi="Times New Roman" w:cs="Times New Roman"/>
          <w:b/>
          <w:sz w:val="28"/>
        </w:rPr>
        <w:t xml:space="preserve"> </w:t>
      </w:r>
      <w:r w:rsidRPr="003F6DBE">
        <w:rPr>
          <w:rFonts w:ascii="Times New Roman" w:hAnsi="Times New Roman" w:cs="Times New Roman"/>
          <w:b/>
          <w:sz w:val="28"/>
        </w:rPr>
        <w:t>dificulta</w:t>
      </w:r>
      <w:r w:rsidRPr="003F6DBE">
        <w:rPr>
          <w:rFonts w:ascii="Times New Roman" w:hAnsi="Times New Roman" w:cs="Times New Roman"/>
          <w:b/>
          <w:sz w:val="28"/>
        </w:rPr>
        <w:t xml:space="preserve"> fraccionar un cargo de omisión legislativa relativa</w:t>
      </w:r>
      <w:r w:rsidRPr="003F6DBE">
        <w:rPr>
          <w:rFonts w:ascii="Times New Roman" w:hAnsi="Times New Roman" w:cs="Times New Roman"/>
          <w:b/>
          <w:sz w:val="28"/>
        </w:rPr>
        <w:t xml:space="preserve"> fundado e</w:t>
      </w:r>
      <w:r w:rsidRPr="003F6DBE">
        <w:rPr>
          <w:rFonts w:ascii="Times New Roman" w:hAnsi="Times New Roman" w:cs="Times New Roman"/>
          <w:b/>
          <w:sz w:val="28"/>
        </w:rPr>
        <w:t>n la comprensión integral de ellas</w:t>
      </w:r>
      <w:r w:rsidRPr="003F6DBE">
        <w:rPr>
          <w:rFonts w:ascii="Times New Roman" w:hAnsi="Times New Roman" w:cs="Times New Roman"/>
          <w:b/>
          <w:sz w:val="28"/>
        </w:rPr>
        <w:t>, como así se planteó en la demanda</w:t>
      </w:r>
    </w:p>
    <w:p w:rsidR="00667A14" w:rsidRPr="003F6DBE" w:rsidRDefault="003F6DBE" w:rsidP="00DA100F">
      <w:pPr>
        <w:spacing w:after="0" w:line="240" w:lineRule="auto"/>
        <w:ind w:right="49"/>
        <w:jc w:val="both"/>
        <w:rPr>
          <w:rFonts w:ascii="Times New Roman" w:hAnsi="Times New Roman" w:cs="Times New Roman"/>
          <w:b/>
          <w:sz w:val="28"/>
        </w:rPr>
      </w:pPr>
    </w:p>
    <w:p w:rsidR="00667A14" w:rsidRPr="003F6DBE" w:rsidRDefault="003F6DBE" w:rsidP="00DA100F">
      <w:pPr>
        <w:pStyle w:val="Prrafodelista"/>
        <w:numPr>
          <w:ilvl w:val="0"/>
          <w:numId w:val="2"/>
        </w:numPr>
        <w:spacing w:line="240" w:lineRule="auto"/>
        <w:ind w:left="0" w:right="49" w:firstLine="0"/>
        <w:jc w:val="both"/>
        <w:rPr>
          <w:rFonts w:ascii="Times New Roman" w:eastAsia="Aptos" w:hAnsi="Times New Roman" w:cs="Times New Roman"/>
          <w:kern w:val="2"/>
          <w:sz w:val="28"/>
          <w:szCs w:val="28"/>
        </w:rPr>
      </w:pPr>
      <w:r w:rsidRPr="003F6DBE">
        <w:rPr>
          <w:rFonts w:ascii="Times New Roman" w:eastAsia="Aptos" w:hAnsi="Times New Roman" w:cs="Times New Roman"/>
          <w:kern w:val="2"/>
          <w:sz w:val="28"/>
          <w:szCs w:val="28"/>
        </w:rPr>
        <w:t xml:space="preserve">La identidad afrodescendiente responde a un proceso histórico de reivindicación, a partir de la diferencia y de los orígenes no siempre coincidentes de las distintas comunidades que la </w:t>
      </w:r>
      <w:r w:rsidRPr="003F6DBE">
        <w:rPr>
          <w:rFonts w:ascii="Times New Roman" w:eastAsia="Aptos" w:hAnsi="Times New Roman" w:cs="Times New Roman"/>
          <w:kern w:val="2"/>
          <w:sz w:val="28"/>
          <w:szCs w:val="28"/>
        </w:rPr>
        <w:t xml:space="preserve">componen. En simultáneo, esto se ha reflejado en su reconocimiento jurídico que, en los términos de la jurisprudencia, se trata de un proceso aún en construcción que no es ajeno a innumerables complejidades. </w:t>
      </w:r>
      <w:r w:rsidRPr="003F6DBE">
        <w:rPr>
          <w:rFonts w:ascii="Times New Roman" w:eastAsia="Aptos" w:hAnsi="Times New Roman" w:cs="Times New Roman"/>
          <w:kern w:val="2"/>
          <w:sz w:val="28"/>
          <w:szCs w:val="28"/>
        </w:rPr>
        <w:t xml:space="preserve">Sin embargo, el fundamento constitucional de la </w:t>
      </w:r>
      <w:r w:rsidRPr="003F6DBE">
        <w:rPr>
          <w:rFonts w:ascii="Times New Roman" w:eastAsia="Aptos" w:hAnsi="Times New Roman" w:cs="Times New Roman"/>
          <w:kern w:val="2"/>
          <w:sz w:val="28"/>
          <w:szCs w:val="28"/>
        </w:rPr>
        <w:t>diversidad étnica y cultural, así como el reconocimiento de la intensa relación con el territorio imponen visibilizar la pluralidad</w:t>
      </w:r>
      <w:r w:rsidRPr="003F6DBE">
        <w:rPr>
          <w:rFonts w:ascii="Times New Roman" w:eastAsia="Aptos" w:hAnsi="Times New Roman" w:cs="Times New Roman"/>
          <w:kern w:val="2"/>
          <w:sz w:val="28"/>
          <w:szCs w:val="28"/>
        </w:rPr>
        <w:t xml:space="preserve">. Esto, a su vez, como se verá al final de este capítulo, </w:t>
      </w:r>
      <w:r w:rsidRPr="003F6DBE">
        <w:rPr>
          <w:rFonts w:ascii="Times New Roman" w:eastAsia="Aptos" w:hAnsi="Times New Roman" w:cs="Times New Roman"/>
          <w:kern w:val="2"/>
          <w:sz w:val="28"/>
          <w:szCs w:val="28"/>
        </w:rPr>
        <w:t xml:space="preserve">dificulta la posibilidad de fraccionar un cargo </w:t>
      </w:r>
      <w:r w:rsidRPr="003F6DBE">
        <w:rPr>
          <w:rFonts w:ascii="Times New Roman" w:eastAsia="Aptos" w:hAnsi="Times New Roman" w:cs="Times New Roman"/>
          <w:kern w:val="2"/>
          <w:sz w:val="28"/>
          <w:szCs w:val="28"/>
        </w:rPr>
        <w:t>respecto a las</w:t>
      </w:r>
      <w:r w:rsidRPr="003F6DBE">
        <w:rPr>
          <w:rFonts w:ascii="Times New Roman" w:eastAsia="Aptos" w:hAnsi="Times New Roman" w:cs="Times New Roman"/>
          <w:kern w:val="2"/>
          <w:sz w:val="28"/>
          <w:szCs w:val="28"/>
        </w:rPr>
        <w:t xml:space="preserve"> comu</w:t>
      </w:r>
      <w:r w:rsidRPr="003F6DBE">
        <w:rPr>
          <w:rFonts w:ascii="Times New Roman" w:eastAsia="Aptos" w:hAnsi="Times New Roman" w:cs="Times New Roman"/>
          <w:kern w:val="2"/>
          <w:sz w:val="28"/>
          <w:szCs w:val="28"/>
        </w:rPr>
        <w:t>nidades afrodescendientes</w:t>
      </w:r>
      <w:r w:rsidRPr="003F6DBE">
        <w:rPr>
          <w:rFonts w:ascii="Times New Roman" w:eastAsia="Aptos" w:hAnsi="Times New Roman" w:cs="Times New Roman"/>
          <w:kern w:val="2"/>
          <w:sz w:val="28"/>
          <w:szCs w:val="28"/>
        </w:rPr>
        <w:t xml:space="preserve"> consideradas de forma independiente, ante su interrelación de derechos y </w:t>
      </w:r>
      <w:r w:rsidRPr="003F6DBE">
        <w:rPr>
          <w:rFonts w:ascii="Times New Roman" w:eastAsia="Aptos" w:hAnsi="Times New Roman" w:cs="Times New Roman"/>
          <w:kern w:val="2"/>
          <w:sz w:val="28"/>
          <w:szCs w:val="28"/>
        </w:rPr>
        <w:t xml:space="preserve">la </w:t>
      </w:r>
      <w:r w:rsidRPr="003F6DBE">
        <w:rPr>
          <w:rFonts w:ascii="Times New Roman" w:eastAsia="Aptos" w:hAnsi="Times New Roman" w:cs="Times New Roman"/>
          <w:kern w:val="2"/>
          <w:sz w:val="28"/>
          <w:szCs w:val="28"/>
        </w:rPr>
        <w:t>búsqueda de participac</w:t>
      </w:r>
      <w:r w:rsidRPr="003F6DBE">
        <w:rPr>
          <w:rFonts w:ascii="Times New Roman" w:eastAsia="Aptos" w:hAnsi="Times New Roman" w:cs="Times New Roman"/>
          <w:kern w:val="2"/>
          <w:sz w:val="28"/>
          <w:szCs w:val="28"/>
        </w:rPr>
        <w:t>ión</w:t>
      </w:r>
      <w:r w:rsidRPr="003F6DBE">
        <w:rPr>
          <w:rFonts w:ascii="Times New Roman" w:eastAsia="Aptos" w:hAnsi="Times New Roman" w:cs="Times New Roman"/>
          <w:kern w:val="2"/>
          <w:sz w:val="28"/>
          <w:szCs w:val="28"/>
        </w:rPr>
        <w:t xml:space="preserve"> como un todo</w:t>
      </w:r>
      <w:r w:rsidRPr="003F6DBE">
        <w:rPr>
          <w:rFonts w:ascii="Times New Roman" w:eastAsia="Aptos" w:hAnsi="Times New Roman" w:cs="Times New Roman"/>
          <w:kern w:val="2"/>
          <w:sz w:val="28"/>
          <w:szCs w:val="28"/>
        </w:rPr>
        <w:t>.</w:t>
      </w:r>
      <w:r w:rsidRPr="003F6DBE">
        <w:rPr>
          <w:rFonts w:ascii="Times New Roman" w:eastAsia="Aptos" w:hAnsi="Times New Roman" w:cs="Times New Roman"/>
          <w:kern w:val="2"/>
          <w:sz w:val="28"/>
          <w:szCs w:val="28"/>
        </w:rPr>
        <w:t xml:space="preserve"> </w:t>
      </w:r>
      <w:r w:rsidRPr="003F6DBE">
        <w:rPr>
          <w:rFonts w:ascii="Times New Roman" w:eastAsia="Aptos" w:hAnsi="Times New Roman" w:cs="Times New Roman"/>
          <w:kern w:val="2"/>
          <w:sz w:val="28"/>
          <w:szCs w:val="28"/>
        </w:rPr>
        <w:t>Tampoco</w:t>
      </w:r>
      <w:r w:rsidRPr="003F6DBE">
        <w:rPr>
          <w:rFonts w:ascii="Times New Roman" w:eastAsia="Aptos" w:hAnsi="Times New Roman" w:cs="Times New Roman"/>
          <w:kern w:val="2"/>
          <w:sz w:val="28"/>
          <w:szCs w:val="28"/>
        </w:rPr>
        <w:t xml:space="preserve"> existe ningún precedente que</w:t>
      </w:r>
      <w:r w:rsidRPr="003F6DBE">
        <w:rPr>
          <w:rFonts w:ascii="Times New Roman" w:eastAsia="Aptos" w:hAnsi="Times New Roman" w:cs="Times New Roman"/>
          <w:kern w:val="2"/>
          <w:sz w:val="28"/>
          <w:szCs w:val="28"/>
        </w:rPr>
        <w:t>, en el marco de una omisión legislativa relativa cuestionada</w:t>
      </w:r>
      <w:r w:rsidRPr="003F6DBE">
        <w:rPr>
          <w:rFonts w:ascii="Times New Roman" w:eastAsia="Aptos" w:hAnsi="Times New Roman" w:cs="Times New Roman"/>
          <w:kern w:val="2"/>
          <w:sz w:val="28"/>
          <w:szCs w:val="28"/>
        </w:rPr>
        <w:t xml:space="preserve"> </w:t>
      </w:r>
      <w:r w:rsidRPr="003F6DBE">
        <w:rPr>
          <w:rFonts w:ascii="Times New Roman" w:eastAsia="Aptos" w:hAnsi="Times New Roman" w:cs="Times New Roman"/>
          <w:kern w:val="2"/>
          <w:sz w:val="28"/>
          <w:szCs w:val="28"/>
        </w:rPr>
        <w:t>para el caso</w:t>
      </w:r>
      <w:r w:rsidRPr="003F6DBE">
        <w:rPr>
          <w:rFonts w:ascii="Times New Roman" w:eastAsia="Aptos" w:hAnsi="Times New Roman" w:cs="Times New Roman"/>
          <w:kern w:val="2"/>
          <w:sz w:val="28"/>
          <w:szCs w:val="28"/>
        </w:rPr>
        <w:t xml:space="preserve"> comunidades afrocolombianas</w:t>
      </w:r>
      <w:r w:rsidRPr="003F6DBE">
        <w:rPr>
          <w:rFonts w:ascii="Times New Roman" w:eastAsia="Aptos" w:hAnsi="Times New Roman" w:cs="Times New Roman"/>
          <w:kern w:val="2"/>
          <w:sz w:val="28"/>
          <w:szCs w:val="28"/>
        </w:rPr>
        <w:t>,</w:t>
      </w:r>
      <w:r w:rsidRPr="003F6DBE">
        <w:rPr>
          <w:rFonts w:ascii="Times New Roman" w:eastAsia="Aptos" w:hAnsi="Times New Roman" w:cs="Times New Roman"/>
          <w:kern w:val="2"/>
          <w:sz w:val="28"/>
          <w:szCs w:val="28"/>
        </w:rPr>
        <w:t xml:space="preserve"> así lo permita</w:t>
      </w:r>
      <w:r w:rsidRPr="003F6DBE">
        <w:rPr>
          <w:rFonts w:ascii="Times New Roman" w:eastAsia="Aptos" w:hAnsi="Times New Roman" w:cs="Times New Roman"/>
          <w:kern w:val="2"/>
          <w:sz w:val="28"/>
          <w:szCs w:val="28"/>
        </w:rPr>
        <w:t>. Por último, como así se explicará,</w:t>
      </w:r>
      <w:r w:rsidRPr="003F6DBE">
        <w:rPr>
          <w:rFonts w:ascii="Times New Roman" w:eastAsia="Aptos" w:hAnsi="Times New Roman" w:cs="Times New Roman"/>
          <w:kern w:val="2"/>
          <w:sz w:val="28"/>
          <w:szCs w:val="28"/>
        </w:rPr>
        <w:t xml:space="preserve"> ello iría en contra del fundamento mismo de la demanda y de la corrección. </w:t>
      </w:r>
    </w:p>
    <w:p w:rsidR="00667A14" w:rsidRPr="003F6DBE" w:rsidRDefault="003F6DBE" w:rsidP="00DA100F">
      <w:pPr>
        <w:pStyle w:val="Prrafodelista"/>
        <w:spacing w:line="240" w:lineRule="auto"/>
        <w:ind w:left="0" w:right="49"/>
        <w:jc w:val="both"/>
        <w:rPr>
          <w:rFonts w:ascii="Times New Roman" w:eastAsia="Aptos" w:hAnsi="Times New Roman" w:cs="Times New Roman"/>
          <w:kern w:val="2"/>
          <w:sz w:val="28"/>
          <w:szCs w:val="28"/>
        </w:rPr>
      </w:pPr>
    </w:p>
    <w:p w:rsidR="009141A7" w:rsidRPr="003F6DBE" w:rsidRDefault="003F6DBE" w:rsidP="00DA100F">
      <w:pPr>
        <w:pStyle w:val="Prrafodelista"/>
        <w:numPr>
          <w:ilvl w:val="0"/>
          <w:numId w:val="2"/>
        </w:numPr>
        <w:spacing w:line="240" w:lineRule="auto"/>
        <w:ind w:left="0" w:right="49" w:firstLine="0"/>
        <w:jc w:val="both"/>
        <w:rPr>
          <w:rFonts w:ascii="Times New Roman" w:eastAsia="Aptos" w:hAnsi="Times New Roman" w:cs="Times New Roman"/>
          <w:kern w:val="2"/>
          <w:sz w:val="28"/>
          <w:szCs w:val="28"/>
        </w:rPr>
      </w:pPr>
      <w:bookmarkStart w:id="10" w:name="_Hlk161826987"/>
      <w:r w:rsidRPr="003F6DBE">
        <w:rPr>
          <w:rFonts w:ascii="Times New Roman" w:eastAsia="Aptos" w:hAnsi="Times New Roman" w:cs="Times New Roman"/>
          <w:kern w:val="2"/>
          <w:sz w:val="28"/>
          <w:szCs w:val="28"/>
        </w:rPr>
        <w:t>En efecto,</w:t>
      </w:r>
      <w:r w:rsidRPr="003F6DBE">
        <w:rPr>
          <w:rFonts w:ascii="Times New Roman" w:eastAsia="Aptos" w:hAnsi="Times New Roman" w:cs="Times New Roman"/>
          <w:b/>
          <w:bCs/>
          <w:kern w:val="2"/>
          <w:sz w:val="28"/>
          <w:szCs w:val="28"/>
        </w:rPr>
        <w:t xml:space="preserve"> </w:t>
      </w:r>
      <w:r w:rsidRPr="003F6DBE">
        <w:rPr>
          <w:rFonts w:ascii="Times New Roman" w:eastAsia="Aptos" w:hAnsi="Times New Roman" w:cs="Times New Roman"/>
          <w:kern w:val="2"/>
          <w:sz w:val="28"/>
          <w:szCs w:val="28"/>
        </w:rPr>
        <w:t>e</w:t>
      </w:r>
      <w:r w:rsidRPr="003F6DBE">
        <w:rPr>
          <w:rFonts w:ascii="Times New Roman" w:eastAsia="Aptos" w:hAnsi="Times New Roman" w:cs="Times New Roman"/>
          <w:kern w:val="2"/>
          <w:sz w:val="28"/>
          <w:szCs w:val="28"/>
        </w:rPr>
        <w:t>l artículo 7 de la Constitución afirma que “[e]</w:t>
      </w:r>
      <w:r w:rsidRPr="003F6DBE">
        <w:rPr>
          <w:rFonts w:ascii="Times New Roman" w:eastAsia="Aptos" w:hAnsi="Times New Roman" w:cs="Times New Roman"/>
          <w:i/>
          <w:iCs/>
          <w:kern w:val="2"/>
          <w:sz w:val="28"/>
          <w:szCs w:val="28"/>
        </w:rPr>
        <w:t xml:space="preserve">l Estado reconoce y protege la </w:t>
      </w:r>
      <w:r w:rsidRPr="003F6DBE">
        <w:rPr>
          <w:rFonts w:ascii="Times New Roman" w:eastAsia="Aptos" w:hAnsi="Times New Roman" w:cs="Times New Roman"/>
          <w:i/>
          <w:iCs/>
          <w:kern w:val="2"/>
          <w:sz w:val="28"/>
          <w:szCs w:val="28"/>
        </w:rPr>
        <w:t>diversidad étnica y cultural de la Nación colombiana”.</w:t>
      </w:r>
      <w:r w:rsidRPr="003F6DBE">
        <w:rPr>
          <w:rFonts w:ascii="Times New Roman" w:eastAsia="Aptos" w:hAnsi="Times New Roman" w:cs="Times New Roman"/>
          <w:kern w:val="2"/>
          <w:sz w:val="28"/>
          <w:szCs w:val="28"/>
        </w:rPr>
        <w:t xml:space="preserve"> Sin embargo, como materialización expresa del reconocimiento de la comunidad afrodescendiente, el artículo 310 de la </w:t>
      </w:r>
      <w:bookmarkEnd w:id="10"/>
      <w:r w:rsidRPr="003F6DBE">
        <w:rPr>
          <w:rFonts w:ascii="Times New Roman" w:eastAsia="Aptos" w:hAnsi="Times New Roman" w:cs="Times New Roman"/>
          <w:kern w:val="2"/>
          <w:sz w:val="28"/>
          <w:szCs w:val="28"/>
        </w:rPr>
        <w:t>Constitución resalta que el Departamento Archipiélago de San Andrés, Providencia y S</w:t>
      </w:r>
      <w:r w:rsidRPr="003F6DBE">
        <w:rPr>
          <w:rFonts w:ascii="Times New Roman" w:eastAsia="Aptos" w:hAnsi="Times New Roman" w:cs="Times New Roman"/>
          <w:kern w:val="2"/>
          <w:sz w:val="28"/>
          <w:szCs w:val="28"/>
        </w:rPr>
        <w:t>anta Catalina se regirá por norma</w:t>
      </w:r>
      <w:r w:rsidRPr="003F6DBE">
        <w:rPr>
          <w:rFonts w:ascii="Times New Roman" w:eastAsia="Aptos" w:hAnsi="Times New Roman" w:cs="Times New Roman"/>
          <w:kern w:val="2"/>
          <w:sz w:val="28"/>
          <w:szCs w:val="28"/>
        </w:rPr>
        <w:t>s</w:t>
      </w:r>
      <w:r w:rsidRPr="003F6DBE">
        <w:rPr>
          <w:rFonts w:ascii="Times New Roman" w:eastAsia="Aptos" w:hAnsi="Times New Roman" w:cs="Times New Roman"/>
          <w:kern w:val="2"/>
          <w:sz w:val="28"/>
          <w:szCs w:val="28"/>
        </w:rPr>
        <w:t xml:space="preserve"> especiales dirigidas – entre otras – a proteger “</w:t>
      </w:r>
      <w:r w:rsidRPr="003F6DBE">
        <w:rPr>
          <w:rFonts w:ascii="Times New Roman" w:eastAsia="Aptos" w:hAnsi="Times New Roman" w:cs="Times New Roman"/>
          <w:i/>
          <w:iCs/>
          <w:kern w:val="2"/>
          <w:sz w:val="28"/>
          <w:szCs w:val="28"/>
        </w:rPr>
        <w:t>la identidad cultural de las comunidades nativas y preservar el ambiente y los recursos naturales del Archipiélago</w:t>
      </w:r>
      <w:r w:rsidRPr="003F6DBE">
        <w:rPr>
          <w:rFonts w:ascii="Times New Roman" w:eastAsia="Aptos" w:hAnsi="Times New Roman" w:cs="Times New Roman"/>
          <w:kern w:val="2"/>
          <w:sz w:val="28"/>
          <w:szCs w:val="28"/>
        </w:rPr>
        <w:t>”. A su vez, el inciso final de este artículo advierte que</w:t>
      </w:r>
      <w:r w:rsidRPr="003F6DBE">
        <w:rPr>
          <w:rFonts w:ascii="Times New Roman" w:eastAsia="Aptos" w:hAnsi="Times New Roman" w:cs="Times New Roman"/>
          <w:kern w:val="2"/>
          <w:sz w:val="28"/>
          <w:szCs w:val="28"/>
        </w:rPr>
        <w:t xml:space="preserve"> se garantiza la expresión institucional de las comunidades raizales. Mientras que </w:t>
      </w:r>
      <w:bookmarkStart w:id="11" w:name="_Hlk161827009"/>
      <w:r w:rsidRPr="003F6DBE">
        <w:rPr>
          <w:rFonts w:ascii="Times New Roman" w:eastAsia="Aptos" w:hAnsi="Times New Roman" w:cs="Times New Roman"/>
          <w:kern w:val="2"/>
          <w:sz w:val="28"/>
          <w:szCs w:val="28"/>
        </w:rPr>
        <w:t xml:space="preserve">el artículo transitorio 55 de la Constitución </w:t>
      </w:r>
      <w:bookmarkEnd w:id="11"/>
      <w:r w:rsidRPr="003F6DBE">
        <w:rPr>
          <w:rFonts w:ascii="Times New Roman" w:eastAsia="Aptos" w:hAnsi="Times New Roman" w:cs="Times New Roman"/>
          <w:kern w:val="2"/>
          <w:sz w:val="28"/>
          <w:szCs w:val="28"/>
        </w:rPr>
        <w:t>ordenó que el Congreso debía proferir una ley para que se “</w:t>
      </w:r>
      <w:r w:rsidRPr="003F6DBE">
        <w:rPr>
          <w:rFonts w:ascii="Times New Roman" w:eastAsia="Aptos" w:hAnsi="Times New Roman" w:cs="Times New Roman"/>
          <w:i/>
          <w:iCs/>
          <w:kern w:val="2"/>
          <w:sz w:val="28"/>
          <w:szCs w:val="28"/>
        </w:rPr>
        <w:t>reconozca a las comunidades negras que han venido ocupando tierras b</w:t>
      </w:r>
      <w:r w:rsidRPr="003F6DBE">
        <w:rPr>
          <w:rFonts w:ascii="Times New Roman" w:eastAsia="Aptos" w:hAnsi="Times New Roman" w:cs="Times New Roman"/>
          <w:i/>
          <w:iCs/>
          <w:kern w:val="2"/>
          <w:sz w:val="28"/>
          <w:szCs w:val="28"/>
        </w:rPr>
        <w:t xml:space="preserve">aldías en las zonas rurales ribereñas de los ríos de la Cuenca del Pacífico, de acuerdo con sus prácticas tradicionales de producción, el derecho a la propiedad colectiva sobre las áreas que habrá de demarcar la misma ley”. </w:t>
      </w:r>
      <w:r w:rsidRPr="003F6DBE">
        <w:rPr>
          <w:rFonts w:ascii="Times New Roman" w:eastAsia="Aptos" w:hAnsi="Times New Roman" w:cs="Times New Roman"/>
          <w:kern w:val="2"/>
          <w:sz w:val="28"/>
          <w:szCs w:val="28"/>
        </w:rPr>
        <w:t>No obstante, la referencia conju</w:t>
      </w:r>
      <w:r w:rsidRPr="003F6DBE">
        <w:rPr>
          <w:rFonts w:ascii="Times New Roman" w:eastAsia="Aptos" w:hAnsi="Times New Roman" w:cs="Times New Roman"/>
          <w:kern w:val="2"/>
          <w:sz w:val="28"/>
          <w:szCs w:val="28"/>
        </w:rPr>
        <w:t>nta a la comunidad de Palenque y a los demás sujetos afrodescendientes sólo vino a concretarse mediante el Acto Legislativo 0</w:t>
      </w:r>
      <w:r w:rsidRPr="003F6DBE">
        <w:rPr>
          <w:rFonts w:ascii="Times New Roman" w:eastAsia="Aptos" w:hAnsi="Times New Roman" w:cs="Times New Roman"/>
          <w:kern w:val="2"/>
          <w:sz w:val="28"/>
          <w:szCs w:val="28"/>
        </w:rPr>
        <w:t>3</w:t>
      </w:r>
      <w:r w:rsidRPr="003F6DBE">
        <w:rPr>
          <w:rFonts w:ascii="Times New Roman" w:eastAsia="Aptos" w:hAnsi="Times New Roman" w:cs="Times New Roman"/>
          <w:kern w:val="2"/>
          <w:sz w:val="28"/>
          <w:szCs w:val="28"/>
        </w:rPr>
        <w:t xml:space="preserve"> de 2023, que creó la jurisdicción agraria y rural e incluyó entre los grupos étnicos </w:t>
      </w:r>
      <w:r w:rsidRPr="003F6DBE">
        <w:rPr>
          <w:rFonts w:ascii="Times New Roman" w:eastAsia="Aptos" w:hAnsi="Times New Roman" w:cs="Times New Roman"/>
          <w:kern w:val="2"/>
          <w:sz w:val="28"/>
          <w:szCs w:val="28"/>
          <w:shd w:val="clear" w:color="auto" w:fill="FFFFFF"/>
        </w:rPr>
        <w:t>a las comunidades negras</w:t>
      </w:r>
      <w:r w:rsidRPr="003F6DBE">
        <w:rPr>
          <w:rFonts w:ascii="Times New Roman" w:eastAsia="Aptos" w:hAnsi="Times New Roman" w:cs="Times New Roman"/>
          <w:kern w:val="2"/>
          <w:sz w:val="28"/>
          <w:szCs w:val="28"/>
          <w:shd w:val="clear" w:color="auto" w:fill="FFFFFF"/>
        </w:rPr>
        <w:t>,</w:t>
      </w:r>
      <w:r w:rsidRPr="003F6DBE">
        <w:rPr>
          <w:rFonts w:ascii="Times New Roman" w:eastAsia="Aptos" w:hAnsi="Times New Roman" w:cs="Times New Roman"/>
          <w:kern w:val="2"/>
          <w:sz w:val="28"/>
          <w:szCs w:val="28"/>
          <w:shd w:val="clear" w:color="auto" w:fill="FFFFFF"/>
        </w:rPr>
        <w:t xml:space="preserve"> afrocolombianas, palenqueras y raizales. </w:t>
      </w:r>
    </w:p>
    <w:p w:rsidR="009141A7" w:rsidRPr="003F6DBE" w:rsidRDefault="003F6DBE" w:rsidP="00DA100F">
      <w:pPr>
        <w:pStyle w:val="Prrafodelista"/>
        <w:spacing w:line="240" w:lineRule="auto"/>
        <w:ind w:left="0" w:right="49"/>
        <w:jc w:val="both"/>
        <w:rPr>
          <w:rFonts w:ascii="Times New Roman" w:eastAsia="Aptos" w:hAnsi="Times New Roman" w:cs="Times New Roman"/>
          <w:kern w:val="2"/>
          <w:sz w:val="28"/>
          <w:szCs w:val="28"/>
        </w:rPr>
      </w:pPr>
    </w:p>
    <w:p w:rsidR="00FD3E73" w:rsidRPr="003F6DBE" w:rsidRDefault="003F6DBE" w:rsidP="00DA100F">
      <w:pPr>
        <w:pStyle w:val="Prrafodelista"/>
        <w:numPr>
          <w:ilvl w:val="0"/>
          <w:numId w:val="2"/>
        </w:numPr>
        <w:spacing w:line="240" w:lineRule="auto"/>
        <w:ind w:left="0" w:right="49" w:firstLine="0"/>
        <w:jc w:val="both"/>
        <w:rPr>
          <w:rFonts w:ascii="Times New Roman" w:eastAsia="Aptos" w:hAnsi="Times New Roman" w:cs="Times New Roman"/>
          <w:kern w:val="2"/>
          <w:sz w:val="28"/>
          <w:szCs w:val="28"/>
        </w:rPr>
      </w:pPr>
      <w:r w:rsidRPr="003F6DBE">
        <w:rPr>
          <w:rFonts w:ascii="Times New Roman" w:eastAsia="Aptos" w:hAnsi="Times New Roman" w:cs="Times New Roman"/>
          <w:kern w:val="2"/>
          <w:sz w:val="28"/>
          <w:szCs w:val="28"/>
          <w:shd w:val="clear" w:color="auto" w:fill="FFFFFF"/>
        </w:rPr>
        <w:t>Del estudio conjunto de las anteriores disposiciones</w:t>
      </w:r>
      <w:r w:rsidRPr="003F6DBE">
        <w:rPr>
          <w:rFonts w:ascii="Times New Roman" w:eastAsia="Aptos" w:hAnsi="Times New Roman" w:cs="Times New Roman"/>
          <w:kern w:val="2"/>
          <w:sz w:val="28"/>
          <w:szCs w:val="28"/>
          <w:shd w:val="clear" w:color="auto" w:fill="FFFFFF"/>
        </w:rPr>
        <w:t>,</w:t>
      </w:r>
      <w:r w:rsidRPr="003F6DBE">
        <w:rPr>
          <w:rFonts w:ascii="Times New Roman" w:eastAsia="Aptos" w:hAnsi="Times New Roman" w:cs="Times New Roman"/>
          <w:kern w:val="2"/>
          <w:sz w:val="28"/>
          <w:szCs w:val="28"/>
          <w:shd w:val="clear" w:color="auto" w:fill="FFFFFF"/>
        </w:rPr>
        <w:t xml:space="preserve"> es posible advertir que es la propia Constitución la que reconoce la importancia particular del territorio para estas comunidades en la construcción de las fo</w:t>
      </w:r>
      <w:r w:rsidRPr="003F6DBE">
        <w:rPr>
          <w:rFonts w:ascii="Times New Roman" w:eastAsia="Aptos" w:hAnsi="Times New Roman" w:cs="Times New Roman"/>
          <w:kern w:val="2"/>
          <w:sz w:val="28"/>
          <w:szCs w:val="28"/>
          <w:shd w:val="clear" w:color="auto" w:fill="FFFFFF"/>
        </w:rPr>
        <w:t>rmas particulares de “</w:t>
      </w:r>
      <w:r w:rsidRPr="003F6DBE">
        <w:rPr>
          <w:rFonts w:ascii="Times New Roman" w:eastAsia="Times New Roman" w:hAnsi="Times New Roman" w:cs="Times New Roman"/>
          <w:i/>
          <w:iCs/>
          <w:sz w:val="28"/>
          <w:szCs w:val="28"/>
          <w:lang w:val="es-ES"/>
        </w:rPr>
        <w:t>percibir el mundo y la vida”</w:t>
      </w:r>
      <w:r w:rsidRPr="003F6DBE">
        <w:rPr>
          <w:rFonts w:ascii="Times New Roman" w:hAnsi="Times New Roman" w:cs="Times New Roman"/>
          <w:sz w:val="28"/>
          <w:shd w:val="clear" w:color="auto" w:fill="FFFFFF"/>
          <w:vertAlign w:val="superscript"/>
        </w:rPr>
        <w:footnoteReference w:id="47"/>
      </w:r>
      <w:r w:rsidRPr="003F6DBE">
        <w:rPr>
          <w:rFonts w:ascii="Times New Roman" w:eastAsia="Aptos" w:hAnsi="Times New Roman" w:cs="Times New Roman"/>
          <w:kern w:val="2"/>
          <w:sz w:val="28"/>
          <w:szCs w:val="28"/>
          <w:shd w:val="clear" w:color="auto" w:fill="FFFFFF"/>
        </w:rPr>
        <w:t xml:space="preserve"> que, en los términos de </w:t>
      </w:r>
      <w:bookmarkStart w:id="12" w:name="_Hlk161827042"/>
      <w:r w:rsidRPr="003F6DBE">
        <w:rPr>
          <w:rFonts w:ascii="Times New Roman" w:eastAsia="Aptos" w:hAnsi="Times New Roman" w:cs="Times New Roman"/>
          <w:kern w:val="2"/>
          <w:sz w:val="28"/>
          <w:szCs w:val="28"/>
          <w:shd w:val="clear" w:color="auto" w:fill="FFFFFF"/>
        </w:rPr>
        <w:t>los artículos 1 y 2 de la Constitución</w:t>
      </w:r>
      <w:bookmarkEnd w:id="12"/>
      <w:r w:rsidRPr="003F6DBE">
        <w:rPr>
          <w:rFonts w:ascii="Times New Roman" w:eastAsia="Aptos" w:hAnsi="Times New Roman" w:cs="Times New Roman"/>
          <w:kern w:val="2"/>
          <w:sz w:val="28"/>
          <w:szCs w:val="28"/>
          <w:shd w:val="clear" w:color="auto" w:fill="FFFFFF"/>
        </w:rPr>
        <w:t xml:space="preserve">, enriquecen la democracia y el pluralismo. </w:t>
      </w:r>
    </w:p>
    <w:p w:rsidR="00FD3E73" w:rsidRPr="003F6DBE" w:rsidRDefault="003F6DBE" w:rsidP="00DA100F">
      <w:pPr>
        <w:pStyle w:val="Prrafodelista"/>
        <w:ind w:right="49"/>
        <w:rPr>
          <w:rFonts w:ascii="Times New Roman" w:eastAsia="Aptos" w:hAnsi="Times New Roman" w:cs="Times New Roman"/>
          <w:kern w:val="2"/>
          <w:sz w:val="28"/>
          <w:szCs w:val="28"/>
          <w:shd w:val="clear" w:color="auto" w:fill="FFFFFF"/>
        </w:rPr>
      </w:pPr>
    </w:p>
    <w:p w:rsidR="00667A14" w:rsidRPr="003F6DBE" w:rsidRDefault="003F6DBE" w:rsidP="00DA100F">
      <w:pPr>
        <w:pStyle w:val="Prrafodelista"/>
        <w:numPr>
          <w:ilvl w:val="0"/>
          <w:numId w:val="2"/>
        </w:numPr>
        <w:spacing w:line="240" w:lineRule="auto"/>
        <w:ind w:left="0" w:right="49" w:firstLine="0"/>
        <w:jc w:val="both"/>
        <w:rPr>
          <w:rFonts w:ascii="Times New Roman" w:eastAsia="Aptos" w:hAnsi="Times New Roman" w:cs="Times New Roman"/>
          <w:kern w:val="2"/>
          <w:sz w:val="28"/>
          <w:szCs w:val="28"/>
        </w:rPr>
      </w:pPr>
      <w:r w:rsidRPr="003F6DBE">
        <w:rPr>
          <w:rFonts w:ascii="Times New Roman" w:eastAsia="Aptos" w:hAnsi="Times New Roman" w:cs="Times New Roman"/>
          <w:kern w:val="2"/>
          <w:sz w:val="28"/>
          <w:szCs w:val="28"/>
          <w:shd w:val="clear" w:color="auto" w:fill="FFFFFF"/>
        </w:rPr>
        <w:t>Para garantizar el reconocimiento de la diversidad étnica y cultural de las comunidades afrodesc</w:t>
      </w:r>
      <w:r w:rsidRPr="003F6DBE">
        <w:rPr>
          <w:rFonts w:ascii="Times New Roman" w:eastAsia="Aptos" w:hAnsi="Times New Roman" w:cs="Times New Roman"/>
          <w:kern w:val="2"/>
          <w:sz w:val="28"/>
          <w:szCs w:val="28"/>
          <w:shd w:val="clear" w:color="auto" w:fill="FFFFFF"/>
        </w:rPr>
        <w:t>endientes</w:t>
      </w:r>
      <w:r w:rsidRPr="003F6DBE">
        <w:rPr>
          <w:rFonts w:ascii="Times New Roman" w:eastAsia="Aptos" w:hAnsi="Times New Roman" w:cs="Times New Roman"/>
          <w:kern w:val="2"/>
          <w:sz w:val="28"/>
          <w:szCs w:val="28"/>
          <w:shd w:val="clear" w:color="auto" w:fill="FFFFFF"/>
        </w:rPr>
        <w:t>,</w:t>
      </w:r>
      <w:r w:rsidRPr="003F6DBE">
        <w:rPr>
          <w:rFonts w:ascii="Times New Roman" w:eastAsia="Aptos" w:hAnsi="Times New Roman" w:cs="Times New Roman"/>
          <w:kern w:val="2"/>
          <w:sz w:val="28"/>
          <w:szCs w:val="28"/>
          <w:shd w:val="clear" w:color="auto" w:fill="FFFFFF"/>
        </w:rPr>
        <w:t xml:space="preserve"> el artículo 55 transitorio constitucional y la Ley 70 de 1993</w:t>
      </w:r>
      <w:r w:rsidRPr="003F6DBE">
        <w:rPr>
          <w:rFonts w:ascii="Times New Roman" w:hAnsi="Times New Roman" w:cs="Times New Roman"/>
          <w:sz w:val="28"/>
          <w:shd w:val="clear" w:color="auto" w:fill="FFFFFF"/>
          <w:vertAlign w:val="superscript"/>
        </w:rPr>
        <w:footnoteReference w:id="48"/>
      </w:r>
      <w:r w:rsidRPr="003F6DBE">
        <w:rPr>
          <w:rFonts w:ascii="Times New Roman" w:eastAsia="Aptos" w:hAnsi="Times New Roman" w:cs="Times New Roman"/>
          <w:kern w:val="2"/>
          <w:sz w:val="28"/>
          <w:szCs w:val="28"/>
          <w:shd w:val="clear" w:color="auto" w:fill="FFFFFF"/>
        </w:rPr>
        <w:t xml:space="preserve"> se refirieron a las comunidades negras que han ocupado zonas rurales ribereñas del Pacífico</w:t>
      </w:r>
      <w:r w:rsidRPr="003F6DBE">
        <w:rPr>
          <w:rFonts w:ascii="Times New Roman" w:eastAsia="Aptos" w:hAnsi="Times New Roman" w:cs="Times New Roman"/>
          <w:kern w:val="2"/>
          <w:sz w:val="28"/>
          <w:szCs w:val="28"/>
          <w:shd w:val="clear" w:color="auto" w:fill="FFFFFF"/>
        </w:rPr>
        <w:t xml:space="preserve"> y </w:t>
      </w:r>
      <w:r w:rsidRPr="003F6DBE">
        <w:rPr>
          <w:rFonts w:ascii="Times New Roman" w:eastAsia="Aptos" w:hAnsi="Times New Roman" w:cs="Times New Roman"/>
          <w:kern w:val="2"/>
          <w:sz w:val="28"/>
          <w:szCs w:val="28"/>
          <w:shd w:val="clear" w:color="auto" w:fill="FFFFFF"/>
        </w:rPr>
        <w:t>reconoc</w:t>
      </w:r>
      <w:r w:rsidRPr="003F6DBE">
        <w:rPr>
          <w:rFonts w:ascii="Times New Roman" w:eastAsia="Aptos" w:hAnsi="Times New Roman" w:cs="Times New Roman"/>
          <w:kern w:val="2"/>
          <w:sz w:val="28"/>
          <w:szCs w:val="28"/>
          <w:shd w:val="clear" w:color="auto" w:fill="FFFFFF"/>
        </w:rPr>
        <w:t>ieron</w:t>
      </w:r>
      <w:r w:rsidRPr="003F6DBE">
        <w:rPr>
          <w:rFonts w:ascii="Times New Roman" w:eastAsia="Aptos" w:hAnsi="Times New Roman" w:cs="Times New Roman"/>
          <w:kern w:val="2"/>
          <w:sz w:val="28"/>
          <w:szCs w:val="28"/>
          <w:shd w:val="clear" w:color="auto" w:fill="FFFFFF"/>
        </w:rPr>
        <w:t xml:space="preserve"> la propiedad colectiva de acuerdo con sus prácticas tradicionales de produc</w:t>
      </w:r>
      <w:r w:rsidRPr="003F6DBE">
        <w:rPr>
          <w:rFonts w:ascii="Times New Roman" w:eastAsia="Aptos" w:hAnsi="Times New Roman" w:cs="Times New Roman"/>
          <w:kern w:val="2"/>
          <w:sz w:val="28"/>
          <w:szCs w:val="28"/>
          <w:shd w:val="clear" w:color="auto" w:fill="FFFFFF"/>
        </w:rPr>
        <w:t>ción</w:t>
      </w:r>
      <w:r w:rsidRPr="003F6DBE">
        <w:rPr>
          <w:rFonts w:ascii="Times New Roman" w:hAnsi="Times New Roman" w:cs="Times New Roman"/>
          <w:sz w:val="28"/>
          <w:shd w:val="clear" w:color="auto" w:fill="FFFFFF"/>
          <w:vertAlign w:val="superscript"/>
        </w:rPr>
        <w:footnoteReference w:id="49"/>
      </w:r>
      <w:r w:rsidRPr="003F6DBE">
        <w:rPr>
          <w:rFonts w:ascii="Times New Roman" w:eastAsia="Aptos" w:hAnsi="Times New Roman" w:cs="Times New Roman"/>
          <w:kern w:val="2"/>
          <w:sz w:val="28"/>
          <w:szCs w:val="28"/>
          <w:shd w:val="clear" w:color="auto" w:fill="FFFFFF"/>
        </w:rPr>
        <w:t xml:space="preserve">. En ese contexto, </w:t>
      </w:r>
      <w:r w:rsidRPr="003F6DBE">
        <w:rPr>
          <w:rFonts w:ascii="Times New Roman" w:eastAsia="Aptos" w:hAnsi="Times New Roman" w:cs="Times New Roman"/>
          <w:kern w:val="2"/>
          <w:sz w:val="28"/>
          <w:szCs w:val="28"/>
          <w:shd w:val="clear" w:color="auto" w:fill="FFFFFF"/>
        </w:rPr>
        <w:t>ha explicado</w:t>
      </w:r>
      <w:r w:rsidRPr="003F6DBE">
        <w:rPr>
          <w:rFonts w:ascii="Times New Roman" w:eastAsia="Aptos" w:hAnsi="Times New Roman" w:cs="Times New Roman"/>
          <w:kern w:val="2"/>
          <w:sz w:val="28"/>
          <w:szCs w:val="28"/>
          <w:shd w:val="clear" w:color="auto" w:fill="FFFFFF"/>
        </w:rPr>
        <w:t xml:space="preserve"> la jurisprudencia constitucional que esto fue necesario para canalizar una realidad social que, en los primeros años de la República, estuvo dada “</w:t>
      </w:r>
      <w:r w:rsidRPr="003F6DBE">
        <w:rPr>
          <w:rFonts w:ascii="Times New Roman" w:eastAsia="Aptos" w:hAnsi="Times New Roman" w:cs="Times New Roman"/>
          <w:i/>
          <w:iCs/>
          <w:kern w:val="2"/>
          <w:sz w:val="28"/>
          <w:szCs w:val="28"/>
          <w:shd w:val="clear" w:color="auto" w:fill="FFFFFF"/>
        </w:rPr>
        <w:t>por la persistencia de organizaciones conformadas por descendientes de e</w:t>
      </w:r>
      <w:r w:rsidRPr="003F6DBE">
        <w:rPr>
          <w:rFonts w:ascii="Times New Roman" w:eastAsia="Aptos" w:hAnsi="Times New Roman" w:cs="Times New Roman"/>
          <w:i/>
          <w:iCs/>
          <w:kern w:val="2"/>
          <w:sz w:val="28"/>
          <w:szCs w:val="28"/>
          <w:shd w:val="clear" w:color="auto" w:fill="FFFFFF"/>
        </w:rPr>
        <w:t>sclavos originarios de África quienes buscaron organizarse mediante figuras como los palenques</w:t>
      </w:r>
      <w:r w:rsidRPr="003F6DBE">
        <w:rPr>
          <w:rFonts w:ascii="Times New Roman" w:eastAsia="Aptos" w:hAnsi="Times New Roman" w:cs="Times New Roman"/>
          <w:kern w:val="2"/>
          <w:sz w:val="28"/>
          <w:szCs w:val="28"/>
          <w:shd w:val="clear" w:color="auto" w:fill="FFFFFF"/>
        </w:rPr>
        <w:t xml:space="preserve">, las rochelas y </w:t>
      </w:r>
      <w:r w:rsidRPr="003F6DBE">
        <w:rPr>
          <w:rFonts w:ascii="Times New Roman" w:eastAsia="Aptos" w:hAnsi="Times New Roman" w:cs="Times New Roman"/>
          <w:i/>
          <w:iCs/>
          <w:kern w:val="2"/>
          <w:sz w:val="28"/>
          <w:szCs w:val="28"/>
          <w:shd w:val="clear" w:color="auto" w:fill="FFFFFF"/>
        </w:rPr>
        <w:t>los quilombos que surgieron en Colombia </w:t>
      </w:r>
      <w:r w:rsidRPr="003F6DBE">
        <w:rPr>
          <w:rFonts w:ascii="Times New Roman" w:eastAsia="Aptos" w:hAnsi="Times New Roman" w:cs="Times New Roman"/>
          <w:kern w:val="2"/>
          <w:sz w:val="28"/>
          <w:szCs w:val="28"/>
          <w:shd w:val="clear" w:color="auto" w:fill="FFFFFF"/>
        </w:rPr>
        <w:t>(…)”, como respuesta a la búsqueda de un territorio y de la libertad</w:t>
      </w:r>
      <w:r w:rsidRPr="003F6DBE">
        <w:rPr>
          <w:rFonts w:ascii="Times New Roman" w:hAnsi="Times New Roman" w:cs="Times New Roman"/>
          <w:sz w:val="28"/>
          <w:shd w:val="clear" w:color="auto" w:fill="FFFFFF"/>
          <w:vertAlign w:val="superscript"/>
        </w:rPr>
        <w:footnoteReference w:id="50"/>
      </w:r>
      <w:r w:rsidRPr="003F6DBE">
        <w:rPr>
          <w:rFonts w:ascii="Times New Roman" w:eastAsia="Aptos" w:hAnsi="Times New Roman" w:cs="Times New Roman"/>
          <w:kern w:val="2"/>
          <w:sz w:val="28"/>
          <w:szCs w:val="28"/>
          <w:shd w:val="clear" w:color="auto" w:fill="FFFFFF"/>
        </w:rPr>
        <w:t xml:space="preserve">. De allí que se explicara que, pese a la abolición de la esclavitud el 24 de mayo de 1851, </w:t>
      </w:r>
      <w:r w:rsidRPr="003F6DBE">
        <w:rPr>
          <w:rFonts w:ascii="Times New Roman" w:eastAsia="Aptos" w:hAnsi="Times New Roman" w:cs="Times New Roman"/>
          <w:kern w:val="2"/>
          <w:sz w:val="28"/>
          <w:szCs w:val="28"/>
          <w:shd w:val="clear" w:color="auto" w:fill="FFFFFF"/>
        </w:rPr>
        <w:t xml:space="preserve">el país </w:t>
      </w:r>
      <w:r w:rsidRPr="003F6DBE">
        <w:rPr>
          <w:rFonts w:ascii="Times New Roman" w:eastAsia="Aptos" w:hAnsi="Times New Roman" w:cs="Times New Roman"/>
          <w:kern w:val="2"/>
          <w:sz w:val="28"/>
          <w:szCs w:val="28"/>
          <w:shd w:val="clear" w:color="auto" w:fill="FFFFFF"/>
        </w:rPr>
        <w:t>“</w:t>
      </w:r>
      <w:r w:rsidRPr="003F6DBE">
        <w:rPr>
          <w:rFonts w:ascii="Times New Roman" w:eastAsia="Aptos" w:hAnsi="Times New Roman" w:cs="Times New Roman"/>
          <w:i/>
          <w:iCs/>
          <w:kern w:val="2"/>
          <w:sz w:val="28"/>
          <w:szCs w:val="28"/>
          <w:shd w:val="clear" w:color="auto" w:fill="FFFFFF"/>
        </w:rPr>
        <w:t xml:space="preserve">no ha podido resolver la situación de discriminación que persiste en la actualidad ni ha logrado solventar las angustias de un grupo étnico que aún hoy se </w:t>
      </w:r>
      <w:r w:rsidRPr="003F6DBE">
        <w:rPr>
          <w:rFonts w:ascii="Times New Roman" w:eastAsia="Aptos" w:hAnsi="Times New Roman" w:cs="Times New Roman"/>
          <w:i/>
          <w:iCs/>
          <w:kern w:val="2"/>
          <w:sz w:val="28"/>
          <w:szCs w:val="28"/>
          <w:shd w:val="clear" w:color="auto" w:fill="FFFFFF"/>
        </w:rPr>
        <w:t>moviliza de manera decidida, constante y ordenada para exigir, por las vías que abrió la Constitución de 1991, la protección de sus derechos constitucionales fundamentales”</w:t>
      </w:r>
      <w:r w:rsidRPr="003F6DBE">
        <w:rPr>
          <w:rFonts w:ascii="Times New Roman" w:hAnsi="Times New Roman" w:cs="Times New Roman"/>
          <w:i/>
          <w:iCs/>
          <w:sz w:val="28"/>
          <w:shd w:val="clear" w:color="auto" w:fill="FFFFFF"/>
          <w:vertAlign w:val="superscript"/>
        </w:rPr>
        <w:footnoteReference w:id="51"/>
      </w:r>
      <w:r w:rsidRPr="003F6DBE">
        <w:rPr>
          <w:rFonts w:ascii="Times New Roman" w:eastAsia="Aptos" w:hAnsi="Times New Roman" w:cs="Times New Roman"/>
          <w:i/>
          <w:iCs/>
          <w:kern w:val="2"/>
          <w:sz w:val="28"/>
          <w:szCs w:val="28"/>
          <w:shd w:val="clear" w:color="auto" w:fill="FFFFFF"/>
        </w:rPr>
        <w:t>.</w:t>
      </w:r>
    </w:p>
    <w:p w:rsidR="00667A14" w:rsidRPr="003F6DBE" w:rsidRDefault="003F6DBE" w:rsidP="00DA100F">
      <w:pPr>
        <w:pStyle w:val="Prrafodelista"/>
        <w:spacing w:line="240" w:lineRule="auto"/>
        <w:ind w:left="0" w:right="49"/>
        <w:jc w:val="both"/>
        <w:rPr>
          <w:rFonts w:ascii="Times New Roman" w:eastAsia="Aptos" w:hAnsi="Times New Roman" w:cs="Times New Roman"/>
          <w:kern w:val="2"/>
          <w:sz w:val="28"/>
          <w:szCs w:val="28"/>
        </w:rPr>
      </w:pPr>
    </w:p>
    <w:p w:rsidR="003B4592" w:rsidRPr="003F6DBE" w:rsidRDefault="003F6DBE" w:rsidP="00DA100F">
      <w:pPr>
        <w:pStyle w:val="Prrafodelista"/>
        <w:numPr>
          <w:ilvl w:val="0"/>
          <w:numId w:val="2"/>
        </w:numPr>
        <w:spacing w:line="240" w:lineRule="auto"/>
        <w:ind w:left="0" w:right="49" w:firstLine="0"/>
        <w:jc w:val="both"/>
        <w:rPr>
          <w:rFonts w:ascii="Times New Roman" w:eastAsia="Aptos" w:hAnsi="Times New Roman" w:cs="Times New Roman"/>
          <w:kern w:val="2"/>
          <w:sz w:val="28"/>
          <w:szCs w:val="28"/>
        </w:rPr>
      </w:pPr>
      <w:r w:rsidRPr="003F6DBE">
        <w:rPr>
          <w:rFonts w:ascii="Times New Roman" w:eastAsia="Aptos" w:hAnsi="Times New Roman" w:cs="Times New Roman"/>
          <w:kern w:val="2"/>
          <w:sz w:val="28"/>
          <w:szCs w:val="28"/>
        </w:rPr>
        <w:t>En particular, l</w:t>
      </w:r>
      <w:r w:rsidRPr="003F6DBE">
        <w:rPr>
          <w:rFonts w:ascii="Times New Roman" w:eastAsia="Aptos" w:hAnsi="Times New Roman" w:cs="Times New Roman"/>
          <w:kern w:val="2"/>
          <w:sz w:val="28"/>
          <w:szCs w:val="28"/>
        </w:rPr>
        <w:t>a comunidad raizal</w:t>
      </w:r>
      <w:r w:rsidRPr="003F6DBE">
        <w:rPr>
          <w:rFonts w:ascii="Times New Roman" w:eastAsia="Aptos" w:hAnsi="Times New Roman" w:cs="Times New Roman"/>
          <w:kern w:val="2"/>
          <w:sz w:val="28"/>
          <w:szCs w:val="28"/>
        </w:rPr>
        <w:t xml:space="preserve"> de San Andrés, Providencia y Santa Catalina</w:t>
      </w:r>
      <w:r w:rsidRPr="003F6DBE">
        <w:rPr>
          <w:rFonts w:ascii="Times New Roman" w:eastAsia="Aptos" w:hAnsi="Times New Roman" w:cs="Times New Roman"/>
          <w:kern w:val="2"/>
          <w:sz w:val="28"/>
          <w:szCs w:val="28"/>
        </w:rPr>
        <w:t xml:space="preserve"> h</w:t>
      </w:r>
      <w:r w:rsidRPr="003F6DBE">
        <w:rPr>
          <w:rFonts w:ascii="Times New Roman" w:eastAsia="Aptos" w:hAnsi="Times New Roman" w:cs="Times New Roman"/>
          <w:kern w:val="2"/>
          <w:sz w:val="28"/>
          <w:szCs w:val="28"/>
        </w:rPr>
        <w:t xml:space="preserve">a visto como sus derechos de reconocimiento han </w:t>
      </w:r>
      <w:r w:rsidRPr="003F6DBE">
        <w:rPr>
          <w:rFonts w:ascii="Times New Roman" w:eastAsia="Aptos" w:hAnsi="Times New Roman" w:cs="Times New Roman"/>
          <w:kern w:val="2"/>
          <w:sz w:val="28"/>
          <w:szCs w:val="28"/>
        </w:rPr>
        <w:t xml:space="preserve">estado </w:t>
      </w:r>
      <w:r w:rsidRPr="003F6DBE">
        <w:rPr>
          <w:rFonts w:ascii="Times New Roman" w:eastAsia="Aptos" w:hAnsi="Times New Roman" w:cs="Times New Roman"/>
          <w:kern w:val="2"/>
          <w:sz w:val="28"/>
          <w:szCs w:val="28"/>
        </w:rPr>
        <w:t>atado</w:t>
      </w:r>
      <w:r w:rsidRPr="003F6DBE">
        <w:rPr>
          <w:rFonts w:ascii="Times New Roman" w:eastAsia="Aptos" w:hAnsi="Times New Roman" w:cs="Times New Roman"/>
          <w:kern w:val="2"/>
          <w:sz w:val="28"/>
          <w:szCs w:val="28"/>
        </w:rPr>
        <w:t>s</w:t>
      </w:r>
      <w:r w:rsidRPr="003F6DBE">
        <w:rPr>
          <w:rFonts w:ascii="Times New Roman" w:eastAsia="Aptos" w:hAnsi="Times New Roman" w:cs="Times New Roman"/>
          <w:kern w:val="2"/>
          <w:sz w:val="28"/>
          <w:szCs w:val="28"/>
        </w:rPr>
        <w:t xml:space="preserve"> en gran parte a l</w:t>
      </w:r>
      <w:r w:rsidRPr="003F6DBE">
        <w:rPr>
          <w:rFonts w:ascii="Times New Roman" w:eastAsia="Aptos" w:hAnsi="Times New Roman" w:cs="Times New Roman"/>
          <w:kern w:val="2"/>
          <w:sz w:val="28"/>
          <w:szCs w:val="28"/>
        </w:rPr>
        <w:t>os propios</w:t>
      </w:r>
      <w:r w:rsidRPr="003F6DBE">
        <w:rPr>
          <w:rFonts w:ascii="Times New Roman" w:eastAsia="Aptos" w:hAnsi="Times New Roman" w:cs="Times New Roman"/>
          <w:kern w:val="2"/>
          <w:sz w:val="28"/>
          <w:szCs w:val="28"/>
        </w:rPr>
        <w:t xml:space="preserve"> de las demás comunidades afro, pero</w:t>
      </w:r>
      <w:r w:rsidRPr="003F6DBE">
        <w:rPr>
          <w:rFonts w:ascii="Times New Roman" w:eastAsia="Aptos" w:hAnsi="Times New Roman" w:cs="Times New Roman"/>
          <w:kern w:val="2"/>
          <w:sz w:val="28"/>
          <w:szCs w:val="28"/>
        </w:rPr>
        <w:t xml:space="preserve"> sin que ello impida desconocer el origen diferenciado de su régimen</w:t>
      </w:r>
      <w:r w:rsidRPr="003F6DBE">
        <w:rPr>
          <w:rStyle w:val="Refdenotaalpie"/>
          <w:rFonts w:ascii="Times New Roman" w:eastAsia="Aptos" w:hAnsi="Times New Roman"/>
          <w:kern w:val="2"/>
          <w:sz w:val="28"/>
          <w:szCs w:val="28"/>
        </w:rPr>
        <w:footnoteReference w:id="52"/>
      </w:r>
      <w:r w:rsidRPr="003F6DBE">
        <w:rPr>
          <w:rFonts w:ascii="Times New Roman" w:eastAsia="Aptos" w:hAnsi="Times New Roman" w:cs="Times New Roman"/>
          <w:kern w:val="2"/>
          <w:sz w:val="28"/>
          <w:szCs w:val="28"/>
          <w:shd w:val="clear" w:color="auto" w:fill="FFFFFF"/>
        </w:rPr>
        <w:t>. En este último contexto, se pronunció la Corte Constituciona</w:t>
      </w:r>
      <w:r w:rsidRPr="003F6DBE">
        <w:rPr>
          <w:rFonts w:ascii="Times New Roman" w:eastAsia="Aptos" w:hAnsi="Times New Roman" w:cs="Times New Roman"/>
          <w:kern w:val="2"/>
          <w:sz w:val="28"/>
          <w:szCs w:val="28"/>
          <w:shd w:val="clear" w:color="auto" w:fill="FFFFFF"/>
        </w:rPr>
        <w:t>l en la sentencia C-530 de 1993</w:t>
      </w:r>
      <w:r w:rsidRPr="003F6DBE">
        <w:rPr>
          <w:rFonts w:ascii="Times New Roman" w:hAnsi="Times New Roman" w:cs="Times New Roman"/>
          <w:sz w:val="28"/>
          <w:shd w:val="clear" w:color="auto" w:fill="FFFFFF"/>
          <w:vertAlign w:val="superscript"/>
        </w:rPr>
        <w:footnoteReference w:id="53"/>
      </w:r>
      <w:r w:rsidRPr="003F6DBE">
        <w:rPr>
          <w:rFonts w:ascii="Times New Roman" w:eastAsia="Aptos" w:hAnsi="Times New Roman" w:cs="Times New Roman"/>
          <w:kern w:val="2"/>
          <w:sz w:val="28"/>
          <w:szCs w:val="28"/>
          <w:shd w:val="clear" w:color="auto" w:fill="FFFFFF"/>
        </w:rPr>
        <w:t>, que avaló el control que efectuó el Gobierno Nacional para garantizar la supervivencia humana y cultural, de donde destacó que en caso de no hacerlo el daño se daría en detrimento de los raizales, quienes poseen una cultur</w:t>
      </w:r>
      <w:r w:rsidRPr="003F6DBE">
        <w:rPr>
          <w:rFonts w:ascii="Times New Roman" w:eastAsia="Aptos" w:hAnsi="Times New Roman" w:cs="Times New Roman"/>
          <w:kern w:val="2"/>
          <w:sz w:val="28"/>
          <w:szCs w:val="28"/>
          <w:shd w:val="clear" w:color="auto" w:fill="FFFFFF"/>
        </w:rPr>
        <w:t>a</w:t>
      </w:r>
      <w:r w:rsidRPr="003F6DBE">
        <w:rPr>
          <w:rFonts w:ascii="Times New Roman" w:eastAsia="Aptos" w:hAnsi="Times New Roman" w:cs="Times New Roman"/>
          <w:kern w:val="2"/>
          <w:sz w:val="28"/>
          <w:szCs w:val="28"/>
          <w:shd w:val="clear" w:color="auto" w:fill="FFFFFF"/>
        </w:rPr>
        <w:t xml:space="preserve"> </w:t>
      </w:r>
      <w:r w:rsidRPr="003F6DBE">
        <w:rPr>
          <w:rFonts w:ascii="Times New Roman" w:eastAsia="Times New Roman" w:hAnsi="Times New Roman" w:cs="Times New Roman"/>
          <w:i/>
          <w:iCs/>
          <w:sz w:val="28"/>
          <w:szCs w:val="28"/>
        </w:rPr>
        <w:t xml:space="preserve">“diferente de la cultura del resto de los colombianos, particularmente en materia de lengua, religión y costumbres, que le confieren al raizal una cierta identidad. Tal diversidad es reconocida y protegida por el Estado (art. 7°) y tiene la calidad de </w:t>
      </w:r>
      <w:r w:rsidRPr="003F6DBE">
        <w:rPr>
          <w:rFonts w:ascii="Times New Roman" w:eastAsia="Times New Roman" w:hAnsi="Times New Roman" w:cs="Times New Roman"/>
          <w:i/>
          <w:iCs/>
          <w:sz w:val="28"/>
          <w:szCs w:val="28"/>
        </w:rPr>
        <w:t>riqueza de la Nación (art. 8°)</w:t>
      </w:r>
      <w:r w:rsidRPr="003F6DBE">
        <w:rPr>
          <w:rFonts w:ascii="Times New Roman" w:eastAsia="Times New Roman" w:hAnsi="Times New Roman" w:cs="Times New Roman"/>
          <w:sz w:val="28"/>
          <w:szCs w:val="28"/>
        </w:rPr>
        <w:t xml:space="preserve">”. </w:t>
      </w:r>
      <w:r w:rsidRPr="003F6DBE">
        <w:rPr>
          <w:rFonts w:ascii="Times New Roman" w:eastAsia="Times New Roman" w:hAnsi="Times New Roman" w:cs="Times New Roman"/>
          <w:sz w:val="28"/>
          <w:szCs w:val="28"/>
        </w:rPr>
        <w:t>Así, s</w:t>
      </w:r>
      <w:r w:rsidRPr="003F6DBE">
        <w:rPr>
          <w:rFonts w:ascii="Times New Roman" w:eastAsia="Times New Roman" w:hAnsi="Times New Roman" w:cs="Times New Roman"/>
          <w:sz w:val="28"/>
          <w:szCs w:val="28"/>
        </w:rPr>
        <w:t xml:space="preserve">i bien </w:t>
      </w:r>
      <w:r w:rsidRPr="003F6DBE">
        <w:rPr>
          <w:rFonts w:ascii="Times New Roman" w:eastAsia="Times New Roman" w:hAnsi="Times New Roman" w:cs="Times New Roman"/>
          <w:sz w:val="28"/>
          <w:szCs w:val="28"/>
        </w:rPr>
        <w:t>la protección cultural de las comunidades étnicas diferenciadas se dio, en un principio, de manera conjunta, de forma reciente se ha llamado la atención sobre la necesidad de no homogenizarlas y considerarlas d</w:t>
      </w:r>
      <w:r w:rsidRPr="003F6DBE">
        <w:rPr>
          <w:rFonts w:ascii="Times New Roman" w:eastAsia="Times New Roman" w:hAnsi="Times New Roman" w:cs="Times New Roman"/>
          <w:sz w:val="28"/>
          <w:szCs w:val="28"/>
        </w:rPr>
        <w:t xml:space="preserve">e manera individual. </w:t>
      </w:r>
      <w:r w:rsidRPr="003F6DBE">
        <w:rPr>
          <w:rFonts w:ascii="Times New Roman" w:hAnsi="Times New Roman" w:cs="Times New Roman"/>
          <w:sz w:val="28"/>
          <w:szCs w:val="28"/>
        </w:rPr>
        <w:t>Al respecto, la sentencia SU-097 de 2017 adujo lo siguiente:</w:t>
      </w:r>
    </w:p>
    <w:p w:rsidR="003B4592" w:rsidRPr="003F6DBE" w:rsidRDefault="003F6DBE" w:rsidP="00DA100F">
      <w:pPr>
        <w:shd w:val="clear" w:color="auto" w:fill="FFFFFF"/>
        <w:tabs>
          <w:tab w:val="left" w:pos="8222"/>
        </w:tabs>
        <w:spacing w:after="0" w:line="240" w:lineRule="auto"/>
        <w:ind w:left="567" w:right="567"/>
        <w:jc w:val="both"/>
        <w:rPr>
          <w:rFonts w:ascii="Times New Roman" w:eastAsia="Times New Roman" w:hAnsi="Times New Roman" w:cs="Times New Roman"/>
          <w:sz w:val="28"/>
          <w:szCs w:val="24"/>
        </w:rPr>
      </w:pPr>
      <w:r w:rsidRPr="003F6DBE">
        <w:rPr>
          <w:rFonts w:ascii="Times New Roman" w:hAnsi="Times New Roman" w:cs="Times New Roman"/>
          <w:sz w:val="28"/>
          <w:szCs w:val="24"/>
        </w:rPr>
        <w:t xml:space="preserve"> “</w:t>
      </w:r>
      <w:r w:rsidRPr="003F6DBE">
        <w:rPr>
          <w:rFonts w:ascii="Times New Roman" w:eastAsia="Times New Roman" w:hAnsi="Times New Roman" w:cs="Times New Roman"/>
          <w:i/>
          <w:iCs/>
          <w:sz w:val="28"/>
          <w:szCs w:val="24"/>
        </w:rPr>
        <w:t xml:space="preserve">Esta situación se torna paradójica, pues, con el ánimo de asegurar un conjunto de derechos especiales a todas las poblaciones diversas desde el punto de vista cultural, el </w:t>
      </w:r>
      <w:r w:rsidRPr="003F6DBE">
        <w:rPr>
          <w:rFonts w:ascii="Times New Roman" w:eastAsia="Times New Roman" w:hAnsi="Times New Roman" w:cs="Times New Roman"/>
          <w:i/>
          <w:iCs/>
          <w:sz w:val="28"/>
          <w:szCs w:val="24"/>
        </w:rPr>
        <w:t>Estado podría terminar por homogenizarlas; y es una paradoja que puede acarrear consecuencias jurídicas indeseables, pues un presupuesto esencial de la defensa de estos derechos es el diálogo entre culturas, en el que se parta de la igual dignidad de todas</w:t>
      </w:r>
      <w:r w:rsidRPr="003F6DBE">
        <w:rPr>
          <w:rFonts w:ascii="Times New Roman" w:eastAsia="Times New Roman" w:hAnsi="Times New Roman" w:cs="Times New Roman"/>
          <w:i/>
          <w:iCs/>
          <w:sz w:val="28"/>
          <w:szCs w:val="24"/>
        </w:rPr>
        <w:t xml:space="preserve"> las culturas</w:t>
      </w:r>
      <w:r w:rsidRPr="003F6DBE">
        <w:rPr>
          <w:rFonts w:ascii="Times New Roman" w:eastAsia="Times New Roman" w:hAnsi="Times New Roman" w:cs="Times New Roman"/>
          <w:i/>
          <w:iCs/>
          <w:sz w:val="28"/>
          <w:szCs w:val="24"/>
        </w:rPr>
        <w:t>,</w:t>
      </w:r>
      <w:r w:rsidRPr="003F6DBE">
        <w:rPr>
          <w:rFonts w:ascii="Times New Roman" w:eastAsia="Times New Roman" w:hAnsi="Times New Roman" w:cs="Times New Roman"/>
          <w:i/>
          <w:iCs/>
          <w:sz w:val="28"/>
          <w:szCs w:val="24"/>
        </w:rPr>
        <w:t xml:space="preserve"> pero también de la base de sus diferencias</w:t>
      </w:r>
      <w:r w:rsidRPr="003F6DBE">
        <w:rPr>
          <w:rFonts w:ascii="Times New Roman" w:eastAsia="Times New Roman" w:hAnsi="Times New Roman" w:cs="Times New Roman"/>
          <w:sz w:val="28"/>
          <w:szCs w:val="24"/>
        </w:rPr>
        <w:t xml:space="preserve">. </w:t>
      </w:r>
    </w:p>
    <w:p w:rsidR="003B4592" w:rsidRPr="003F6DBE" w:rsidRDefault="003F6DBE" w:rsidP="00DA100F">
      <w:pPr>
        <w:shd w:val="clear" w:color="auto" w:fill="FFFFFF"/>
        <w:tabs>
          <w:tab w:val="left" w:pos="8222"/>
        </w:tabs>
        <w:spacing w:after="0" w:line="240" w:lineRule="auto"/>
        <w:ind w:left="567" w:right="567"/>
        <w:jc w:val="both"/>
        <w:rPr>
          <w:rFonts w:ascii="Times New Roman" w:eastAsia="Times New Roman" w:hAnsi="Times New Roman" w:cs="Times New Roman"/>
          <w:sz w:val="28"/>
          <w:szCs w:val="24"/>
        </w:rPr>
      </w:pPr>
    </w:p>
    <w:p w:rsidR="003B4592" w:rsidRPr="003F6DBE" w:rsidRDefault="003F6DBE" w:rsidP="00DA100F">
      <w:pPr>
        <w:shd w:val="clear" w:color="auto" w:fill="FFFFFF"/>
        <w:tabs>
          <w:tab w:val="left" w:pos="8222"/>
        </w:tabs>
        <w:spacing w:after="0" w:line="240" w:lineRule="auto"/>
        <w:ind w:left="567" w:right="567"/>
        <w:jc w:val="both"/>
        <w:rPr>
          <w:rFonts w:ascii="Times New Roman" w:eastAsia="Times New Roman" w:hAnsi="Times New Roman" w:cs="Times New Roman"/>
          <w:sz w:val="28"/>
          <w:szCs w:val="24"/>
        </w:rPr>
      </w:pPr>
      <w:r w:rsidRPr="003F6DBE">
        <w:rPr>
          <w:rFonts w:ascii="Times New Roman" w:eastAsia="Times New Roman" w:hAnsi="Times New Roman" w:cs="Times New Roman"/>
          <w:i/>
          <w:iCs/>
          <w:sz w:val="28"/>
          <w:szCs w:val="24"/>
        </w:rPr>
        <w:t>En ese contexto, las comunidades negras o afrocolombianas, que constituyen un conjunto poblacional particularmente amplio, enfrentaron un enorme desafío para ser escuchados con voz propia en el á</w:t>
      </w:r>
      <w:r w:rsidRPr="003F6DBE">
        <w:rPr>
          <w:rFonts w:ascii="Times New Roman" w:eastAsia="Times New Roman" w:hAnsi="Times New Roman" w:cs="Times New Roman"/>
          <w:i/>
          <w:iCs/>
          <w:sz w:val="28"/>
          <w:szCs w:val="24"/>
        </w:rPr>
        <w:t>mbito constitucional. Si la comprensión y, en esa medida, el destino de los derechos de las comunidades negras o afrocolombianas estuvieron atados al devenir de los derechos de los pueblos indígenas, una segunda dependencia, menos conocida, surgió entre lo</w:t>
      </w:r>
      <w:r w:rsidRPr="003F6DBE">
        <w:rPr>
          <w:rFonts w:ascii="Times New Roman" w:eastAsia="Times New Roman" w:hAnsi="Times New Roman" w:cs="Times New Roman"/>
          <w:i/>
          <w:iCs/>
          <w:sz w:val="28"/>
          <w:szCs w:val="24"/>
        </w:rPr>
        <w:t>s derechos de las demás comunidades étnicamente diferenciadas y los de las comunidades afrodescendientes, como ocurre en el caso del pueblo raizal</w:t>
      </w:r>
      <w:r w:rsidRPr="003F6DBE">
        <w:rPr>
          <w:rFonts w:ascii="Times New Roman" w:eastAsia="Times New Roman" w:hAnsi="Times New Roman" w:cs="Times New Roman"/>
          <w:sz w:val="28"/>
          <w:szCs w:val="24"/>
        </w:rPr>
        <w:t xml:space="preserve">. </w:t>
      </w:r>
    </w:p>
    <w:p w:rsidR="003B4592" w:rsidRPr="003F6DBE" w:rsidRDefault="003F6DBE" w:rsidP="00DA100F">
      <w:pPr>
        <w:shd w:val="clear" w:color="auto" w:fill="FFFFFF"/>
        <w:tabs>
          <w:tab w:val="left" w:pos="8222"/>
        </w:tabs>
        <w:spacing w:after="0" w:line="240" w:lineRule="auto"/>
        <w:ind w:left="567" w:right="567"/>
        <w:jc w:val="both"/>
        <w:rPr>
          <w:rFonts w:ascii="Times New Roman" w:eastAsia="Times New Roman" w:hAnsi="Times New Roman" w:cs="Times New Roman"/>
          <w:sz w:val="28"/>
          <w:szCs w:val="24"/>
        </w:rPr>
      </w:pPr>
    </w:p>
    <w:p w:rsidR="003B4592" w:rsidRPr="003F6DBE" w:rsidRDefault="003F6DBE" w:rsidP="00DA100F">
      <w:pPr>
        <w:shd w:val="clear" w:color="auto" w:fill="FFFFFF"/>
        <w:tabs>
          <w:tab w:val="left" w:pos="8222"/>
        </w:tabs>
        <w:spacing w:after="0" w:line="240" w:lineRule="auto"/>
        <w:ind w:left="567" w:right="567"/>
        <w:jc w:val="both"/>
        <w:rPr>
          <w:rFonts w:ascii="Times New Roman" w:eastAsia="Times New Roman" w:hAnsi="Times New Roman" w:cs="Times New Roman"/>
          <w:sz w:val="28"/>
          <w:szCs w:val="24"/>
        </w:rPr>
      </w:pPr>
      <w:r w:rsidRPr="003F6DBE">
        <w:rPr>
          <w:rFonts w:ascii="Times New Roman" w:eastAsia="Times New Roman" w:hAnsi="Times New Roman" w:cs="Times New Roman"/>
          <w:i/>
          <w:iCs/>
          <w:sz w:val="28"/>
          <w:szCs w:val="24"/>
        </w:rPr>
        <w:t>Así las cosas, si la jurisprudencia sobre los derechos de las comunidades negras se inició en una relación</w:t>
      </w:r>
      <w:r w:rsidRPr="003F6DBE">
        <w:rPr>
          <w:rFonts w:ascii="Times New Roman" w:eastAsia="Times New Roman" w:hAnsi="Times New Roman" w:cs="Times New Roman"/>
          <w:i/>
          <w:iCs/>
          <w:sz w:val="28"/>
          <w:szCs w:val="24"/>
        </w:rPr>
        <w:t xml:space="preserve"> de dependencia a los derechos de los pueblos indígenas, la que se refiere al pueblo raizal sufre de una doble dependencia, en tanto se ató, sin mayores consideraciones, a la de las comunidades negras</w:t>
      </w:r>
      <w:r w:rsidRPr="003F6DBE">
        <w:rPr>
          <w:rFonts w:ascii="Times New Roman" w:eastAsia="Times New Roman" w:hAnsi="Times New Roman" w:cs="Times New Roman"/>
          <w:sz w:val="28"/>
          <w:szCs w:val="24"/>
        </w:rPr>
        <w:t>”</w:t>
      </w:r>
      <w:r w:rsidRPr="003F6DBE">
        <w:rPr>
          <w:rStyle w:val="Refdenotaalpie"/>
          <w:rFonts w:ascii="Times New Roman" w:eastAsia="Times New Roman" w:hAnsi="Times New Roman"/>
          <w:sz w:val="28"/>
          <w:szCs w:val="24"/>
        </w:rPr>
        <w:footnoteReference w:id="54"/>
      </w:r>
      <w:r w:rsidRPr="003F6DBE">
        <w:rPr>
          <w:rFonts w:ascii="Times New Roman" w:eastAsia="Times New Roman" w:hAnsi="Times New Roman" w:cs="Times New Roman"/>
          <w:sz w:val="28"/>
          <w:szCs w:val="24"/>
        </w:rPr>
        <w:t>.</w:t>
      </w:r>
    </w:p>
    <w:p w:rsidR="00E71E80" w:rsidRPr="003F6DBE" w:rsidRDefault="003F6DBE" w:rsidP="00DA100F">
      <w:pPr>
        <w:pStyle w:val="Prrafodelista"/>
        <w:numPr>
          <w:ilvl w:val="0"/>
          <w:numId w:val="2"/>
        </w:numPr>
        <w:spacing w:line="240" w:lineRule="auto"/>
        <w:ind w:left="0" w:right="49" w:firstLine="0"/>
        <w:jc w:val="both"/>
        <w:rPr>
          <w:rFonts w:ascii="Times New Roman" w:eastAsia="Times New Roman" w:hAnsi="Times New Roman" w:cs="Times New Roman"/>
          <w:sz w:val="28"/>
          <w:szCs w:val="28"/>
          <w:lang w:val="es-ES_tradnl"/>
        </w:rPr>
      </w:pPr>
      <w:r w:rsidRPr="003F6DBE">
        <w:rPr>
          <w:rFonts w:ascii="Times New Roman" w:eastAsia="Aptos" w:hAnsi="Times New Roman" w:cs="Times New Roman"/>
          <w:kern w:val="2"/>
          <w:sz w:val="28"/>
          <w:szCs w:val="28"/>
          <w:shd w:val="clear" w:color="auto" w:fill="FFFFFF"/>
        </w:rPr>
        <w:t xml:space="preserve"> </w:t>
      </w:r>
      <w:r w:rsidRPr="003F6DBE">
        <w:rPr>
          <w:rFonts w:ascii="Times New Roman" w:eastAsia="Aptos" w:hAnsi="Times New Roman" w:cs="Times New Roman"/>
          <w:kern w:val="2"/>
          <w:sz w:val="28"/>
          <w:szCs w:val="28"/>
          <w:shd w:val="clear" w:color="auto" w:fill="FFFFFF"/>
        </w:rPr>
        <w:t>E</w:t>
      </w:r>
      <w:r w:rsidRPr="003F6DBE">
        <w:rPr>
          <w:rFonts w:ascii="Times New Roman" w:eastAsia="Aptos" w:hAnsi="Times New Roman" w:cs="Times New Roman"/>
          <w:kern w:val="2"/>
          <w:sz w:val="28"/>
          <w:szCs w:val="28"/>
          <w:shd w:val="clear" w:color="auto" w:fill="FFFFFF"/>
        </w:rPr>
        <w:t xml:space="preserve">n aras de reconocer lo matices de la problemática descrita, es imperativo </w:t>
      </w:r>
      <w:r w:rsidRPr="003F6DBE">
        <w:rPr>
          <w:rFonts w:ascii="Times New Roman" w:eastAsia="Aptos" w:hAnsi="Times New Roman" w:cs="Times New Roman"/>
          <w:kern w:val="2"/>
          <w:sz w:val="28"/>
          <w:szCs w:val="28"/>
          <w:shd w:val="clear" w:color="auto" w:fill="FFFFFF"/>
        </w:rPr>
        <w:t>indicar</w:t>
      </w:r>
      <w:r w:rsidRPr="003F6DBE">
        <w:rPr>
          <w:rFonts w:ascii="Times New Roman" w:eastAsia="Aptos" w:hAnsi="Times New Roman" w:cs="Times New Roman"/>
          <w:kern w:val="2"/>
          <w:sz w:val="28"/>
          <w:szCs w:val="28"/>
          <w:shd w:val="clear" w:color="auto" w:fill="FFFFFF"/>
        </w:rPr>
        <w:t xml:space="preserve"> que </w:t>
      </w:r>
      <w:r w:rsidRPr="003F6DBE">
        <w:rPr>
          <w:rFonts w:ascii="Times New Roman" w:eastAsia="Aptos" w:hAnsi="Times New Roman" w:cs="Times New Roman"/>
          <w:kern w:val="2"/>
          <w:sz w:val="28"/>
          <w:szCs w:val="28"/>
          <w:shd w:val="clear" w:color="auto" w:fill="FFFFFF"/>
        </w:rPr>
        <w:t>los raizales tienen un complejo origen no sólo en descendientes de personas esclavizadas que migraron desde la Colombia continental, sino que responden a los primeros pob</w:t>
      </w:r>
      <w:r w:rsidRPr="003F6DBE">
        <w:rPr>
          <w:rFonts w:ascii="Times New Roman" w:eastAsia="Aptos" w:hAnsi="Times New Roman" w:cs="Times New Roman"/>
          <w:kern w:val="2"/>
          <w:sz w:val="28"/>
          <w:szCs w:val="28"/>
          <w:shd w:val="clear" w:color="auto" w:fill="FFFFFF"/>
        </w:rPr>
        <w:t>ladores de la isla, algunos de los cuales tenían origen en Inglaterra, en personas provenientes de las Antillas e, incluso, el pueblo indígena </w:t>
      </w:r>
      <w:r w:rsidRPr="003F6DBE">
        <w:rPr>
          <w:rFonts w:ascii="Times New Roman" w:eastAsia="Aptos" w:hAnsi="Times New Roman" w:cs="Times New Roman"/>
          <w:i/>
          <w:iCs/>
          <w:kern w:val="2"/>
          <w:sz w:val="28"/>
          <w:szCs w:val="28"/>
          <w:shd w:val="clear" w:color="auto" w:fill="FFFFFF"/>
        </w:rPr>
        <w:t>miskito </w:t>
      </w:r>
      <w:r w:rsidRPr="003F6DBE">
        <w:rPr>
          <w:rFonts w:ascii="Times New Roman" w:eastAsia="Aptos" w:hAnsi="Times New Roman" w:cs="Times New Roman"/>
          <w:kern w:val="2"/>
          <w:sz w:val="28"/>
          <w:szCs w:val="28"/>
          <w:shd w:val="clear" w:color="auto" w:fill="FFFFFF"/>
        </w:rPr>
        <w:t>de la costa caribe de Nicaragua</w:t>
      </w:r>
      <w:r w:rsidRPr="003F6DBE">
        <w:rPr>
          <w:rStyle w:val="Refdenotaalpie"/>
          <w:rFonts w:ascii="Times New Roman" w:eastAsia="Aptos" w:hAnsi="Times New Roman"/>
          <w:kern w:val="2"/>
          <w:sz w:val="28"/>
          <w:szCs w:val="28"/>
          <w:shd w:val="clear" w:color="auto" w:fill="FFFFFF"/>
        </w:rPr>
        <w:footnoteReference w:id="55"/>
      </w:r>
      <w:r w:rsidRPr="003F6DBE">
        <w:rPr>
          <w:rFonts w:ascii="Times New Roman" w:eastAsia="Aptos" w:hAnsi="Times New Roman" w:cs="Times New Roman"/>
          <w:kern w:val="2"/>
          <w:sz w:val="28"/>
          <w:szCs w:val="28"/>
          <w:shd w:val="clear" w:color="auto" w:fill="FFFFFF"/>
        </w:rPr>
        <w:t xml:space="preserve">. Por ello, concluyó esta providencia que, </w:t>
      </w:r>
      <w:r w:rsidRPr="003F6DBE">
        <w:rPr>
          <w:rFonts w:ascii="Times New Roman" w:eastAsia="Aptos" w:hAnsi="Times New Roman" w:cs="Times New Roman"/>
          <w:kern w:val="2"/>
          <w:sz w:val="28"/>
          <w:szCs w:val="28"/>
          <w:shd w:val="clear" w:color="auto" w:fill="FFFFFF"/>
        </w:rPr>
        <w:t xml:space="preserve">no obstante </w:t>
      </w:r>
      <w:r w:rsidRPr="003F6DBE">
        <w:rPr>
          <w:rFonts w:ascii="Times New Roman" w:eastAsia="Aptos" w:hAnsi="Times New Roman" w:cs="Times New Roman"/>
          <w:kern w:val="2"/>
          <w:sz w:val="28"/>
          <w:szCs w:val="28"/>
          <w:shd w:val="clear" w:color="auto" w:fill="FFFFFF"/>
        </w:rPr>
        <w:t>que existen alguna</w:t>
      </w:r>
      <w:r w:rsidRPr="003F6DBE">
        <w:rPr>
          <w:rFonts w:ascii="Times New Roman" w:eastAsia="Aptos" w:hAnsi="Times New Roman" w:cs="Times New Roman"/>
          <w:kern w:val="2"/>
          <w:sz w:val="28"/>
          <w:szCs w:val="28"/>
          <w:shd w:val="clear" w:color="auto" w:fill="FFFFFF"/>
        </w:rPr>
        <w:t>s coincidencias con el proceso histórico de los demás miembros de las comunidades afro, como el fin de la esclavitud en todo el territorio nacional, la composición demográfica variada de la población raizal, así como su ubicación insular, historia y proces</w:t>
      </w:r>
      <w:r w:rsidRPr="003F6DBE">
        <w:rPr>
          <w:rFonts w:ascii="Times New Roman" w:eastAsia="Aptos" w:hAnsi="Times New Roman" w:cs="Times New Roman"/>
          <w:kern w:val="2"/>
          <w:sz w:val="28"/>
          <w:szCs w:val="28"/>
          <w:shd w:val="clear" w:color="auto" w:fill="FFFFFF"/>
        </w:rPr>
        <w:t>os sociales determinan la defensa de su modo de vida actual</w:t>
      </w:r>
      <w:r w:rsidRPr="003F6DBE">
        <w:rPr>
          <w:rFonts w:ascii="Times New Roman" w:eastAsia="Aptos" w:hAnsi="Times New Roman" w:cs="Times New Roman"/>
          <w:kern w:val="2"/>
          <w:sz w:val="28"/>
          <w:szCs w:val="28"/>
          <w:shd w:val="clear" w:color="auto" w:fill="FFFFFF"/>
        </w:rPr>
        <w:t xml:space="preserve"> </w:t>
      </w:r>
      <w:r w:rsidRPr="003F6DBE">
        <w:rPr>
          <w:rFonts w:ascii="Times New Roman" w:eastAsia="Aptos" w:hAnsi="Times New Roman" w:cs="Times New Roman"/>
          <w:kern w:val="2"/>
          <w:sz w:val="28"/>
          <w:szCs w:val="28"/>
          <w:shd w:val="clear" w:color="auto" w:fill="FFFFFF"/>
        </w:rPr>
        <w:t>y la divergencia cultural con la población mayoritaria e, incluso, con otros grupos étnicos</w:t>
      </w:r>
      <w:r w:rsidRPr="003F6DBE">
        <w:rPr>
          <w:rFonts w:ascii="Times New Roman" w:hAnsi="Times New Roman" w:cs="Times New Roman"/>
          <w:sz w:val="28"/>
          <w:shd w:val="clear" w:color="auto" w:fill="FFFFFF"/>
          <w:vertAlign w:val="superscript"/>
        </w:rPr>
        <w:footnoteReference w:id="56"/>
      </w:r>
      <w:r w:rsidRPr="003F6DBE">
        <w:rPr>
          <w:rFonts w:ascii="Times New Roman" w:eastAsia="Aptos" w:hAnsi="Times New Roman" w:cs="Times New Roman"/>
          <w:kern w:val="2"/>
          <w:sz w:val="28"/>
          <w:szCs w:val="28"/>
          <w:shd w:val="clear" w:color="auto" w:fill="FFFFFF"/>
        </w:rPr>
        <w:t>.</w:t>
      </w:r>
      <w:r w:rsidRPr="003F6DBE">
        <w:rPr>
          <w:rFonts w:ascii="Times New Roman" w:eastAsia="Aptos" w:hAnsi="Times New Roman" w:cs="Times New Roman"/>
          <w:kern w:val="2"/>
          <w:sz w:val="28"/>
          <w:szCs w:val="28"/>
          <w:shd w:val="clear" w:color="auto" w:fill="FFFFFF"/>
        </w:rPr>
        <w:t xml:space="preserve"> </w:t>
      </w:r>
    </w:p>
    <w:p w:rsidR="00E71E80" w:rsidRPr="003F6DBE" w:rsidRDefault="003F6DBE" w:rsidP="00DA100F">
      <w:pPr>
        <w:pStyle w:val="Prrafodelista"/>
        <w:spacing w:line="240" w:lineRule="auto"/>
        <w:ind w:left="0" w:right="49"/>
        <w:jc w:val="both"/>
        <w:rPr>
          <w:rFonts w:ascii="Times New Roman" w:eastAsia="Times New Roman" w:hAnsi="Times New Roman" w:cs="Times New Roman"/>
          <w:sz w:val="28"/>
          <w:szCs w:val="28"/>
          <w:lang w:val="es-ES_tradnl"/>
        </w:rPr>
      </w:pPr>
    </w:p>
    <w:p w:rsidR="00667A14" w:rsidRPr="003F6DBE" w:rsidRDefault="003F6DBE" w:rsidP="00DA100F">
      <w:pPr>
        <w:pStyle w:val="Prrafodelista"/>
        <w:numPr>
          <w:ilvl w:val="0"/>
          <w:numId w:val="2"/>
        </w:numPr>
        <w:spacing w:line="240" w:lineRule="auto"/>
        <w:ind w:left="0" w:right="49" w:firstLine="0"/>
        <w:jc w:val="both"/>
        <w:rPr>
          <w:rFonts w:ascii="Times New Roman" w:eastAsia="Times New Roman" w:hAnsi="Times New Roman" w:cs="Times New Roman"/>
          <w:sz w:val="28"/>
          <w:szCs w:val="28"/>
          <w:lang w:val="es-ES_tradnl"/>
        </w:rPr>
      </w:pPr>
      <w:r w:rsidRPr="003F6DBE">
        <w:rPr>
          <w:rFonts w:ascii="Times New Roman" w:eastAsia="Times New Roman" w:hAnsi="Times New Roman" w:cs="Times New Roman"/>
          <w:sz w:val="28"/>
          <w:szCs w:val="28"/>
          <w:lang w:val="es-ES_tradnl"/>
        </w:rPr>
        <w:t>Pese a lo descrito</w:t>
      </w:r>
      <w:r w:rsidRPr="003F6DBE">
        <w:rPr>
          <w:rFonts w:ascii="Times New Roman" w:eastAsia="Times New Roman" w:hAnsi="Times New Roman" w:cs="Times New Roman"/>
          <w:sz w:val="28"/>
          <w:szCs w:val="28"/>
          <w:lang w:val="es-ES_tradnl"/>
        </w:rPr>
        <w:t>,</w:t>
      </w:r>
      <w:r w:rsidRPr="003F6DBE">
        <w:rPr>
          <w:rFonts w:ascii="Times New Roman" w:eastAsia="Times New Roman" w:hAnsi="Times New Roman" w:cs="Times New Roman"/>
          <w:sz w:val="28"/>
          <w:szCs w:val="28"/>
          <w:lang w:val="es-ES_tradnl"/>
        </w:rPr>
        <w:t xml:space="preserve"> los raizales son parte integral de la comunidad afrocolombiana y de las reivindicaciones impulsadas en su favor pues, </w:t>
      </w:r>
      <w:r w:rsidRPr="003F6DBE">
        <w:rPr>
          <w:rFonts w:ascii="Times New Roman" w:eastAsia="Aptos" w:hAnsi="Times New Roman" w:cs="Times New Roman"/>
          <w:kern w:val="2"/>
          <w:sz w:val="28"/>
          <w:szCs w:val="28"/>
          <w:shd w:val="clear" w:color="auto" w:fill="FFFFFF"/>
        </w:rPr>
        <w:t>a</w:t>
      </w:r>
      <w:r w:rsidRPr="003F6DBE">
        <w:rPr>
          <w:rFonts w:ascii="Times New Roman" w:eastAsia="Aptos" w:hAnsi="Times New Roman" w:cs="Times New Roman"/>
          <w:kern w:val="2"/>
          <w:sz w:val="28"/>
          <w:szCs w:val="28"/>
          <w:shd w:val="clear" w:color="auto" w:fill="FFFFFF"/>
        </w:rPr>
        <w:t>demás de compartir de forma parcial un origen afro común</w:t>
      </w:r>
      <w:r w:rsidRPr="003F6DBE">
        <w:rPr>
          <w:rFonts w:ascii="Times New Roman" w:eastAsia="Aptos" w:hAnsi="Times New Roman" w:cs="Times New Roman"/>
          <w:kern w:val="2"/>
          <w:sz w:val="28"/>
          <w:szCs w:val="28"/>
          <w:shd w:val="clear" w:color="auto" w:fill="FFFFFF"/>
        </w:rPr>
        <w:t>, l</w:t>
      </w:r>
      <w:r w:rsidRPr="003F6DBE">
        <w:rPr>
          <w:rFonts w:ascii="Times New Roman" w:eastAsia="Aptos" w:hAnsi="Times New Roman" w:cs="Times New Roman"/>
          <w:kern w:val="2"/>
          <w:sz w:val="28"/>
          <w:szCs w:val="28"/>
          <w:shd w:val="clear" w:color="auto" w:fill="FFFFFF"/>
        </w:rPr>
        <w:t xml:space="preserve">a integridad de estas comunidades </w:t>
      </w:r>
      <w:r w:rsidRPr="003F6DBE">
        <w:rPr>
          <w:rFonts w:ascii="Times New Roman" w:eastAsia="Aptos" w:hAnsi="Times New Roman" w:cs="Times New Roman"/>
          <w:kern w:val="2"/>
          <w:sz w:val="28"/>
          <w:szCs w:val="28"/>
          <w:shd w:val="clear" w:color="auto" w:fill="FFFFFF"/>
        </w:rPr>
        <w:t xml:space="preserve">cuentan con una </w:t>
      </w:r>
      <w:r w:rsidRPr="003F6DBE">
        <w:rPr>
          <w:rFonts w:ascii="Times New Roman" w:eastAsia="Aptos" w:hAnsi="Times New Roman" w:cs="Times New Roman"/>
          <w:kern w:val="2"/>
          <w:sz w:val="28"/>
          <w:szCs w:val="28"/>
        </w:rPr>
        <w:t>“</w:t>
      </w:r>
      <w:r w:rsidRPr="003F6DBE">
        <w:rPr>
          <w:rFonts w:ascii="Times New Roman" w:eastAsia="Aptos" w:hAnsi="Times New Roman" w:cs="Times New Roman"/>
          <w:i/>
          <w:iCs/>
          <w:kern w:val="2"/>
          <w:sz w:val="28"/>
          <w:szCs w:val="28"/>
          <w:shd w:val="clear" w:color="auto" w:fill="FFFFFF"/>
        </w:rPr>
        <w:t>vinculación estrecha entre</w:t>
      </w:r>
      <w:r w:rsidRPr="003F6DBE">
        <w:rPr>
          <w:rFonts w:ascii="Times New Roman" w:eastAsia="Aptos" w:hAnsi="Times New Roman" w:cs="Times New Roman"/>
          <w:i/>
          <w:iCs/>
          <w:kern w:val="2"/>
          <w:sz w:val="28"/>
          <w:szCs w:val="28"/>
          <w:shd w:val="clear" w:color="auto" w:fill="FFFFFF"/>
        </w:rPr>
        <w:t xml:space="preserve"> su supervivencia y el derecho al territorio como un lugar de vida, de desarrollo y mantenimiento de lazos culturales</w:t>
      </w:r>
      <w:r w:rsidRPr="003F6DBE">
        <w:rPr>
          <w:rFonts w:ascii="Times New Roman" w:eastAsia="Aptos" w:hAnsi="Times New Roman" w:cs="Times New Roman"/>
          <w:kern w:val="2"/>
          <w:sz w:val="28"/>
          <w:szCs w:val="28"/>
          <w:shd w:val="clear" w:color="auto" w:fill="FFFFFF"/>
        </w:rPr>
        <w:t>”</w:t>
      </w:r>
      <w:r w:rsidRPr="003F6DBE">
        <w:rPr>
          <w:rStyle w:val="Refdenotaalpie"/>
          <w:rFonts w:ascii="Times New Roman" w:eastAsia="Aptos" w:hAnsi="Times New Roman"/>
          <w:kern w:val="2"/>
          <w:sz w:val="28"/>
          <w:szCs w:val="28"/>
          <w:shd w:val="clear" w:color="auto" w:fill="FFFFFF"/>
        </w:rPr>
        <w:footnoteReference w:id="57"/>
      </w:r>
      <w:r w:rsidRPr="003F6DBE">
        <w:rPr>
          <w:rFonts w:ascii="Times New Roman" w:eastAsia="Aptos" w:hAnsi="Times New Roman" w:cs="Times New Roman"/>
          <w:kern w:val="2"/>
          <w:sz w:val="28"/>
          <w:szCs w:val="28"/>
          <w:shd w:val="clear" w:color="auto" w:fill="FFFFFF"/>
        </w:rPr>
        <w:t>. Es decir, como un “</w:t>
      </w:r>
      <w:r w:rsidRPr="003F6DBE">
        <w:rPr>
          <w:rFonts w:ascii="Times New Roman" w:eastAsia="Aptos" w:hAnsi="Times New Roman" w:cs="Times New Roman"/>
          <w:i/>
          <w:iCs/>
          <w:kern w:val="2"/>
          <w:sz w:val="28"/>
          <w:szCs w:val="28"/>
          <w:shd w:val="clear" w:color="auto" w:fill="FFFFFF"/>
        </w:rPr>
        <w:t>universo en el cual se hace posible la existencia misma de las comunidades afrodescendientes</w:t>
      </w:r>
      <w:r w:rsidRPr="003F6DBE">
        <w:rPr>
          <w:rFonts w:ascii="Times New Roman" w:eastAsia="Aptos" w:hAnsi="Times New Roman" w:cs="Times New Roman"/>
          <w:kern w:val="2"/>
          <w:sz w:val="28"/>
          <w:szCs w:val="28"/>
          <w:shd w:val="clear" w:color="auto" w:fill="FFFFFF"/>
        </w:rPr>
        <w:t>”</w:t>
      </w:r>
      <w:r w:rsidRPr="003F6DBE">
        <w:rPr>
          <w:rFonts w:ascii="Times New Roman" w:hAnsi="Times New Roman" w:cs="Times New Roman"/>
          <w:sz w:val="28"/>
          <w:shd w:val="clear" w:color="auto" w:fill="FFFFFF"/>
          <w:vertAlign w:val="superscript"/>
        </w:rPr>
        <w:footnoteReference w:id="58"/>
      </w:r>
      <w:r w:rsidRPr="003F6DBE">
        <w:rPr>
          <w:rFonts w:ascii="Times New Roman" w:eastAsia="Aptos" w:hAnsi="Times New Roman" w:cs="Times New Roman"/>
          <w:kern w:val="2"/>
          <w:sz w:val="28"/>
          <w:szCs w:val="28"/>
          <w:shd w:val="clear" w:color="auto" w:fill="FFFFFF"/>
        </w:rPr>
        <w:t xml:space="preserve">, </w:t>
      </w:r>
      <w:r w:rsidRPr="003F6DBE">
        <w:rPr>
          <w:rFonts w:ascii="Times New Roman" w:eastAsia="Aptos" w:hAnsi="Times New Roman" w:cs="Times New Roman"/>
          <w:kern w:val="2"/>
          <w:sz w:val="28"/>
          <w:szCs w:val="28"/>
          <w:shd w:val="clear" w:color="auto" w:fill="FFFFFF"/>
        </w:rPr>
        <w:t>en tanto</w:t>
      </w:r>
      <w:r w:rsidRPr="003F6DBE">
        <w:rPr>
          <w:rFonts w:ascii="Times New Roman" w:eastAsia="Aptos" w:hAnsi="Times New Roman" w:cs="Times New Roman"/>
          <w:kern w:val="2"/>
          <w:sz w:val="28"/>
          <w:szCs w:val="28"/>
          <w:shd w:val="clear" w:color="auto" w:fill="FFFFFF"/>
        </w:rPr>
        <w:t xml:space="preserve"> “</w:t>
      </w:r>
      <w:r w:rsidRPr="003F6DBE">
        <w:rPr>
          <w:rFonts w:ascii="Times New Roman" w:eastAsia="Aptos" w:hAnsi="Times New Roman" w:cs="Times New Roman"/>
          <w:i/>
          <w:iCs/>
          <w:kern w:val="2"/>
          <w:sz w:val="28"/>
          <w:szCs w:val="28"/>
          <w:shd w:val="clear" w:color="auto" w:fill="FFFFFF"/>
        </w:rPr>
        <w:t xml:space="preserve">el </w:t>
      </w:r>
      <w:r w:rsidRPr="003F6DBE">
        <w:rPr>
          <w:rFonts w:ascii="Times New Roman" w:eastAsia="Aptos" w:hAnsi="Times New Roman" w:cs="Times New Roman"/>
          <w:i/>
          <w:iCs/>
          <w:kern w:val="2"/>
          <w:sz w:val="28"/>
          <w:szCs w:val="28"/>
          <w:shd w:val="clear" w:color="auto" w:fill="FFFFFF"/>
        </w:rPr>
        <w:t>territorio recoge la esencia misma de la existencia de un grupo social. Los pobladores hacen parte del territorio, así como la tierra, los ríos, los recursos y la vida</w:t>
      </w:r>
      <w:r w:rsidRPr="003F6DBE">
        <w:rPr>
          <w:rFonts w:ascii="Times New Roman" w:eastAsia="Times New Roman" w:hAnsi="Times New Roman" w:cs="Times New Roman"/>
          <w:i/>
          <w:iCs/>
          <w:sz w:val="28"/>
          <w:szCs w:val="28"/>
        </w:rPr>
        <w:t>”</w:t>
      </w:r>
      <w:r w:rsidRPr="003F6DBE">
        <w:rPr>
          <w:rFonts w:ascii="Times New Roman" w:eastAsia="Times New Roman" w:hAnsi="Times New Roman" w:cs="Times New Roman"/>
          <w:sz w:val="28"/>
          <w:vertAlign w:val="superscript"/>
        </w:rPr>
        <w:footnoteReference w:id="59"/>
      </w:r>
      <w:r w:rsidRPr="003F6DBE">
        <w:rPr>
          <w:rFonts w:ascii="Times New Roman" w:eastAsia="Times New Roman" w:hAnsi="Times New Roman" w:cs="Times New Roman"/>
          <w:i/>
          <w:iCs/>
          <w:sz w:val="28"/>
          <w:szCs w:val="28"/>
        </w:rPr>
        <w:t>.</w:t>
      </w:r>
      <w:r w:rsidRPr="003F6DBE">
        <w:rPr>
          <w:rFonts w:ascii="Times New Roman" w:eastAsia="Aptos" w:hAnsi="Times New Roman" w:cs="Times New Roman"/>
          <w:kern w:val="2"/>
          <w:sz w:val="28"/>
          <w:szCs w:val="28"/>
        </w:rPr>
        <w:t xml:space="preserve"> E</w:t>
      </w:r>
      <w:r w:rsidRPr="003F6DBE">
        <w:rPr>
          <w:rFonts w:ascii="Times New Roman" w:eastAsia="Times New Roman" w:hAnsi="Times New Roman" w:cs="Times New Roman"/>
          <w:sz w:val="28"/>
          <w:szCs w:val="28"/>
        </w:rPr>
        <w:t xml:space="preserve">sta relación </w:t>
      </w:r>
      <w:r w:rsidRPr="003F6DBE">
        <w:rPr>
          <w:rFonts w:ascii="Times New Roman" w:eastAsia="Times New Roman" w:hAnsi="Times New Roman" w:cs="Times New Roman"/>
          <w:sz w:val="28"/>
          <w:szCs w:val="28"/>
        </w:rPr>
        <w:t xml:space="preserve">con el agua </w:t>
      </w:r>
      <w:r w:rsidRPr="003F6DBE">
        <w:rPr>
          <w:rFonts w:ascii="Times New Roman" w:eastAsia="Times New Roman" w:hAnsi="Times New Roman" w:cs="Times New Roman"/>
          <w:sz w:val="28"/>
          <w:szCs w:val="28"/>
        </w:rPr>
        <w:t>no se ha resaltado sólo para las comunidades afrocolombiana</w:t>
      </w:r>
      <w:r w:rsidRPr="003F6DBE">
        <w:rPr>
          <w:rFonts w:ascii="Times New Roman" w:eastAsia="Times New Roman" w:hAnsi="Times New Roman" w:cs="Times New Roman"/>
          <w:sz w:val="28"/>
          <w:szCs w:val="28"/>
        </w:rPr>
        <w:t>s del pacífico</w:t>
      </w:r>
      <w:r w:rsidRPr="003F6DBE">
        <w:rPr>
          <w:rFonts w:ascii="Times New Roman" w:hAnsi="Times New Roman" w:cs="Times New Roman"/>
          <w:sz w:val="28"/>
          <w:vertAlign w:val="superscript"/>
        </w:rPr>
        <w:footnoteReference w:id="60"/>
      </w:r>
      <w:r w:rsidRPr="003F6DBE">
        <w:rPr>
          <w:rFonts w:ascii="Times New Roman" w:eastAsia="Times New Roman" w:hAnsi="Times New Roman" w:cs="Times New Roman"/>
          <w:sz w:val="28"/>
          <w:szCs w:val="28"/>
        </w:rPr>
        <w:t xml:space="preserve">, sino también con las comunidades vinculadas </w:t>
      </w:r>
      <w:r w:rsidRPr="003F6DBE">
        <w:rPr>
          <w:rFonts w:ascii="Times New Roman" w:eastAsia="Times New Roman" w:hAnsi="Times New Roman" w:cs="Times New Roman"/>
          <w:sz w:val="28"/>
          <w:szCs w:val="28"/>
        </w:rPr>
        <w:t>a</w:t>
      </w:r>
      <w:r w:rsidRPr="003F6DBE">
        <w:rPr>
          <w:rFonts w:ascii="Times New Roman" w:eastAsia="Times New Roman" w:hAnsi="Times New Roman" w:cs="Times New Roman"/>
          <w:sz w:val="28"/>
          <w:szCs w:val="28"/>
        </w:rPr>
        <w:t>l mar caribe</w:t>
      </w:r>
      <w:r w:rsidRPr="003F6DBE">
        <w:rPr>
          <w:rStyle w:val="Refdenotaalpie"/>
          <w:rFonts w:ascii="Times New Roman" w:eastAsia="Aptos" w:hAnsi="Times New Roman"/>
          <w:kern w:val="2"/>
          <w:sz w:val="28"/>
          <w:szCs w:val="28"/>
          <w:shd w:val="clear" w:color="auto" w:fill="FFFFFF"/>
        </w:rPr>
        <w:footnoteReference w:id="61"/>
      </w:r>
      <w:r w:rsidRPr="003F6DBE">
        <w:rPr>
          <w:rFonts w:ascii="Times New Roman" w:eastAsia="Times New Roman" w:hAnsi="Times New Roman" w:cs="Times New Roman"/>
          <w:sz w:val="28"/>
          <w:szCs w:val="28"/>
        </w:rPr>
        <w:t>.</w:t>
      </w:r>
    </w:p>
    <w:p w:rsidR="00DE38C0" w:rsidRPr="003F6DBE" w:rsidRDefault="003F6DBE" w:rsidP="00DA100F">
      <w:pPr>
        <w:pStyle w:val="Prrafodelista"/>
        <w:spacing w:line="240" w:lineRule="auto"/>
        <w:ind w:left="0" w:right="49"/>
        <w:jc w:val="both"/>
        <w:rPr>
          <w:rFonts w:ascii="Times New Roman" w:eastAsia="Times New Roman" w:hAnsi="Times New Roman" w:cs="Times New Roman"/>
          <w:sz w:val="28"/>
          <w:szCs w:val="28"/>
          <w:lang w:val="es-ES_tradnl"/>
        </w:rPr>
      </w:pPr>
    </w:p>
    <w:p w:rsidR="0015645D" w:rsidRPr="003F6DBE" w:rsidRDefault="003F6DBE" w:rsidP="00DA100F">
      <w:pPr>
        <w:pStyle w:val="Prrafodelista"/>
        <w:numPr>
          <w:ilvl w:val="0"/>
          <w:numId w:val="2"/>
        </w:numPr>
        <w:spacing w:line="240" w:lineRule="auto"/>
        <w:ind w:left="0" w:right="49" w:firstLine="0"/>
        <w:jc w:val="both"/>
        <w:rPr>
          <w:rFonts w:ascii="Times New Roman" w:eastAsia="Times New Roman" w:hAnsi="Times New Roman" w:cs="Times New Roman"/>
          <w:sz w:val="28"/>
          <w:szCs w:val="28"/>
          <w:lang w:val="es-ES_tradnl"/>
        </w:rPr>
      </w:pPr>
      <w:r w:rsidRPr="003F6DBE">
        <w:rPr>
          <w:rFonts w:ascii="Times New Roman" w:eastAsia="Times New Roman" w:hAnsi="Times New Roman" w:cs="Times New Roman"/>
          <w:sz w:val="28"/>
          <w:szCs w:val="28"/>
        </w:rPr>
        <w:t xml:space="preserve">De allí que, </w:t>
      </w:r>
      <w:r w:rsidRPr="003F6DBE">
        <w:rPr>
          <w:rFonts w:ascii="Times New Roman" w:eastAsia="Aptos" w:hAnsi="Times New Roman" w:cs="Times New Roman"/>
          <w:kern w:val="2"/>
          <w:sz w:val="28"/>
          <w:szCs w:val="28"/>
          <w:shd w:val="clear" w:color="auto" w:fill="FFFFFF"/>
        </w:rPr>
        <w:t>la diversidad étnica es una de las expresiones de la pluralidad que fue defendida con vehemencia en la Asamblea Nacional Constituyente</w:t>
      </w:r>
      <w:r w:rsidRPr="003F6DBE">
        <w:rPr>
          <w:rFonts w:ascii="Times New Roman" w:eastAsia="Aptos" w:hAnsi="Times New Roman" w:cs="Times New Roman"/>
          <w:kern w:val="2"/>
          <w:sz w:val="28"/>
          <w:szCs w:val="28"/>
          <w:shd w:val="clear" w:color="auto" w:fill="FFFFFF"/>
        </w:rPr>
        <w:t xml:space="preserve">. </w:t>
      </w:r>
      <w:r w:rsidRPr="003F6DBE">
        <w:rPr>
          <w:rFonts w:ascii="Times New Roman" w:eastAsia="Aptos" w:hAnsi="Times New Roman" w:cs="Times New Roman"/>
          <w:kern w:val="2"/>
          <w:sz w:val="28"/>
          <w:szCs w:val="28"/>
          <w:shd w:val="clear" w:color="auto" w:fill="FFFFFF"/>
        </w:rPr>
        <w:t xml:space="preserve"> </w:t>
      </w:r>
      <w:r w:rsidRPr="003F6DBE">
        <w:rPr>
          <w:rFonts w:ascii="Times New Roman" w:eastAsia="Aptos" w:hAnsi="Times New Roman" w:cs="Times New Roman"/>
          <w:kern w:val="2"/>
          <w:sz w:val="28"/>
          <w:szCs w:val="28"/>
          <w:shd w:val="clear" w:color="auto" w:fill="FFFFFF"/>
        </w:rPr>
        <w:t>P</w:t>
      </w:r>
      <w:r w:rsidRPr="003F6DBE">
        <w:rPr>
          <w:rFonts w:ascii="Times New Roman" w:eastAsia="Aptos" w:hAnsi="Times New Roman" w:cs="Times New Roman"/>
          <w:kern w:val="2"/>
          <w:sz w:val="28"/>
          <w:szCs w:val="28"/>
          <w:shd w:val="clear" w:color="auto" w:fill="FFFFFF"/>
        </w:rPr>
        <w:t xml:space="preserve">or ello, debe inspirar la </w:t>
      </w:r>
      <w:r w:rsidRPr="003F6DBE">
        <w:rPr>
          <w:rFonts w:ascii="Times New Roman" w:eastAsia="Aptos" w:hAnsi="Times New Roman" w:cs="Times New Roman"/>
          <w:kern w:val="2"/>
          <w:sz w:val="28"/>
          <w:szCs w:val="28"/>
          <w:shd w:val="clear" w:color="auto" w:fill="FFFFFF"/>
        </w:rPr>
        <w:t>actuación de la Corte Constitucional:</w:t>
      </w:r>
    </w:p>
    <w:p w:rsidR="00667A14" w:rsidRPr="003F6DBE" w:rsidRDefault="003F6DBE" w:rsidP="00906E81">
      <w:pPr>
        <w:shd w:val="clear" w:color="auto" w:fill="FFFFFF"/>
        <w:spacing w:after="0" w:line="240" w:lineRule="auto"/>
        <w:ind w:left="567" w:right="567"/>
        <w:jc w:val="both"/>
        <w:rPr>
          <w:rFonts w:ascii="Times New Roman" w:eastAsia="Times New Roman" w:hAnsi="Times New Roman" w:cs="Times New Roman"/>
          <w:sz w:val="28"/>
          <w:szCs w:val="24"/>
        </w:rPr>
      </w:pPr>
      <w:r w:rsidRPr="003F6DBE">
        <w:rPr>
          <w:rFonts w:ascii="Times New Roman" w:eastAsia="Times New Roman" w:hAnsi="Times New Roman" w:cs="Times New Roman"/>
          <w:sz w:val="28"/>
          <w:szCs w:val="24"/>
        </w:rPr>
        <w:t xml:space="preserve">“La Nación colombiana tiene derecho a que se le defina como ella es y no como una mera abstracción jurídica. En este sentido el mayor interés que no ha traído a este histórico escenario de diálogo es el proponerle a </w:t>
      </w:r>
      <w:r w:rsidRPr="003F6DBE">
        <w:rPr>
          <w:rFonts w:ascii="Times New Roman" w:eastAsia="Times New Roman" w:hAnsi="Times New Roman" w:cs="Times New Roman"/>
          <w:sz w:val="28"/>
          <w:szCs w:val="24"/>
        </w:rPr>
        <w:t>los colombianos dejar siglos enteros de negar lo que somos y que avancemos juntos en el autodescubrimiento de nuestra identidad.</w:t>
      </w:r>
    </w:p>
    <w:p w:rsidR="00667A14" w:rsidRPr="003F6DBE" w:rsidRDefault="003F6DBE" w:rsidP="00906E81">
      <w:pPr>
        <w:shd w:val="clear" w:color="auto" w:fill="FFFFFF"/>
        <w:spacing w:after="0" w:line="240" w:lineRule="auto"/>
        <w:ind w:left="567" w:right="567"/>
        <w:jc w:val="both"/>
        <w:rPr>
          <w:rFonts w:ascii="Times New Roman" w:eastAsia="Times New Roman" w:hAnsi="Times New Roman" w:cs="Times New Roman"/>
          <w:sz w:val="28"/>
          <w:szCs w:val="24"/>
        </w:rPr>
      </w:pPr>
      <w:r w:rsidRPr="003F6DBE">
        <w:rPr>
          <w:rFonts w:ascii="Times New Roman" w:eastAsia="Times New Roman" w:hAnsi="Times New Roman" w:cs="Times New Roman"/>
          <w:sz w:val="28"/>
          <w:szCs w:val="24"/>
        </w:rPr>
        <w:t> </w:t>
      </w:r>
    </w:p>
    <w:p w:rsidR="00667A14" w:rsidRPr="003F6DBE" w:rsidRDefault="003F6DBE" w:rsidP="00906E81">
      <w:pPr>
        <w:shd w:val="clear" w:color="auto" w:fill="FFFFFF"/>
        <w:spacing w:after="0" w:line="240" w:lineRule="auto"/>
        <w:ind w:left="567" w:right="567"/>
        <w:jc w:val="both"/>
        <w:rPr>
          <w:rFonts w:ascii="Times New Roman" w:eastAsia="Times New Roman" w:hAnsi="Times New Roman" w:cs="Times New Roman"/>
          <w:sz w:val="28"/>
          <w:szCs w:val="24"/>
        </w:rPr>
      </w:pPr>
      <w:r w:rsidRPr="003F6DBE">
        <w:rPr>
          <w:rFonts w:ascii="Times New Roman" w:eastAsia="Times New Roman" w:hAnsi="Times New Roman" w:cs="Times New Roman"/>
          <w:sz w:val="28"/>
          <w:szCs w:val="24"/>
        </w:rPr>
        <w:t>Consideramos que el primer paso para esta búsqueda de identidad nacional es hacer consciente de la historia oculta de los gru</w:t>
      </w:r>
      <w:r w:rsidRPr="003F6DBE">
        <w:rPr>
          <w:rFonts w:ascii="Times New Roman" w:eastAsia="Times New Roman" w:hAnsi="Times New Roman" w:cs="Times New Roman"/>
          <w:sz w:val="28"/>
          <w:szCs w:val="24"/>
        </w:rPr>
        <w:t>pos étnicos, indígenas, negros, isleños raizales de San Andrés, que en común podemos contar la misma historia de desconocimiento, violencia y resistencia.</w:t>
      </w:r>
    </w:p>
    <w:p w:rsidR="00667A14" w:rsidRPr="003F6DBE" w:rsidRDefault="003F6DBE" w:rsidP="00906E81">
      <w:pPr>
        <w:shd w:val="clear" w:color="auto" w:fill="FFFFFF"/>
        <w:spacing w:after="0" w:line="240" w:lineRule="auto"/>
        <w:ind w:left="567" w:right="567"/>
        <w:jc w:val="both"/>
        <w:rPr>
          <w:rFonts w:ascii="Times New Roman" w:eastAsia="Times New Roman" w:hAnsi="Times New Roman" w:cs="Times New Roman"/>
          <w:sz w:val="28"/>
          <w:szCs w:val="24"/>
        </w:rPr>
      </w:pPr>
      <w:r w:rsidRPr="003F6DBE">
        <w:rPr>
          <w:rFonts w:ascii="Times New Roman" w:eastAsia="Times New Roman" w:hAnsi="Times New Roman" w:cs="Times New Roman"/>
          <w:sz w:val="28"/>
          <w:szCs w:val="24"/>
        </w:rPr>
        <w:t> </w:t>
      </w:r>
    </w:p>
    <w:p w:rsidR="00667A14" w:rsidRPr="003F6DBE" w:rsidRDefault="003F6DBE" w:rsidP="00906E81">
      <w:pPr>
        <w:shd w:val="clear" w:color="auto" w:fill="FFFFFF"/>
        <w:spacing w:after="0" w:line="240" w:lineRule="auto"/>
        <w:ind w:left="567" w:right="567"/>
        <w:jc w:val="both"/>
        <w:rPr>
          <w:rFonts w:ascii="Times New Roman" w:eastAsia="Times New Roman" w:hAnsi="Times New Roman" w:cs="Times New Roman"/>
          <w:sz w:val="28"/>
          <w:szCs w:val="24"/>
        </w:rPr>
      </w:pPr>
      <w:r w:rsidRPr="003F6DBE">
        <w:rPr>
          <w:rFonts w:ascii="Times New Roman" w:eastAsia="Times New Roman" w:hAnsi="Times New Roman" w:cs="Times New Roman"/>
          <w:sz w:val="28"/>
          <w:szCs w:val="24"/>
        </w:rPr>
        <w:t>Por eso nos parece fundamental que en el artículo primer de la Nueva Constitución se consagre el re</w:t>
      </w:r>
      <w:r w:rsidRPr="003F6DBE">
        <w:rPr>
          <w:rFonts w:ascii="Times New Roman" w:eastAsia="Times New Roman" w:hAnsi="Times New Roman" w:cs="Times New Roman"/>
          <w:sz w:val="28"/>
          <w:szCs w:val="24"/>
        </w:rPr>
        <w:t>conocimiento del carácter multiétnico y pluricultural del pueblo colombiano”</w:t>
      </w:r>
      <w:r w:rsidRPr="003F6DBE">
        <w:rPr>
          <w:rFonts w:ascii="Times New Roman" w:eastAsia="Times New Roman" w:hAnsi="Times New Roman" w:cs="Times New Roman"/>
          <w:sz w:val="28"/>
          <w:szCs w:val="24"/>
          <w:vertAlign w:val="superscript"/>
        </w:rPr>
        <w:footnoteReference w:id="62"/>
      </w:r>
      <w:r w:rsidRPr="003F6DBE">
        <w:rPr>
          <w:rFonts w:ascii="Times New Roman" w:eastAsia="Times New Roman" w:hAnsi="Times New Roman" w:cs="Times New Roman"/>
          <w:sz w:val="28"/>
          <w:szCs w:val="24"/>
        </w:rPr>
        <w:t>.</w:t>
      </w:r>
    </w:p>
    <w:p w:rsidR="00667A14" w:rsidRPr="003F6DBE" w:rsidRDefault="003F6DBE" w:rsidP="00DA100F">
      <w:pPr>
        <w:shd w:val="clear" w:color="auto" w:fill="FFFFFF"/>
        <w:spacing w:after="0" w:line="240" w:lineRule="auto"/>
        <w:ind w:right="49"/>
        <w:jc w:val="both"/>
        <w:rPr>
          <w:rFonts w:ascii="Times New Roman" w:eastAsia="Times New Roman" w:hAnsi="Times New Roman" w:cs="Times New Roman"/>
          <w:sz w:val="28"/>
          <w:szCs w:val="24"/>
        </w:rPr>
      </w:pPr>
    </w:p>
    <w:p w:rsidR="001F0E91" w:rsidRPr="003F6DBE" w:rsidRDefault="003F6DBE" w:rsidP="00DA100F">
      <w:pPr>
        <w:pStyle w:val="Prrafodelista"/>
        <w:numPr>
          <w:ilvl w:val="0"/>
          <w:numId w:val="2"/>
        </w:numPr>
        <w:shd w:val="clear" w:color="auto" w:fill="FFFFFF"/>
        <w:spacing w:after="0" w:line="240" w:lineRule="auto"/>
        <w:ind w:left="0" w:right="49" w:firstLine="0"/>
        <w:jc w:val="both"/>
        <w:rPr>
          <w:rFonts w:ascii="Times New Roman" w:eastAsia="Times New Roman" w:hAnsi="Times New Roman" w:cs="Times New Roman"/>
          <w:sz w:val="28"/>
          <w:szCs w:val="28"/>
        </w:rPr>
      </w:pPr>
      <w:r w:rsidRPr="003F6DBE">
        <w:rPr>
          <w:rFonts w:ascii="Times New Roman" w:eastAsia="Times New Roman" w:hAnsi="Times New Roman" w:cs="Times New Roman"/>
          <w:sz w:val="28"/>
          <w:szCs w:val="28"/>
        </w:rPr>
        <w:t>En consecuencia, se resaltó en dicha oportunidad que entre mayor diversidad de pensamiento exista en un Estado</w:t>
      </w:r>
      <w:r w:rsidRPr="003F6DBE">
        <w:rPr>
          <w:rFonts w:ascii="Times New Roman" w:eastAsia="Times New Roman" w:hAnsi="Times New Roman" w:cs="Times New Roman"/>
          <w:sz w:val="28"/>
          <w:szCs w:val="28"/>
        </w:rPr>
        <w:t>,</w:t>
      </w:r>
      <w:r w:rsidRPr="003F6DBE">
        <w:rPr>
          <w:rFonts w:ascii="Times New Roman" w:eastAsia="Times New Roman" w:hAnsi="Times New Roman" w:cs="Times New Roman"/>
          <w:sz w:val="28"/>
          <w:szCs w:val="28"/>
        </w:rPr>
        <w:t xml:space="preserve"> más abundantes serán las posibilidades de creación cultural, “</w:t>
      </w:r>
      <w:r w:rsidRPr="003F6DBE">
        <w:rPr>
          <w:rFonts w:ascii="Times New Roman" w:eastAsia="Times New Roman" w:hAnsi="Times New Roman" w:cs="Times New Roman"/>
          <w:i/>
          <w:iCs/>
          <w:sz w:val="28"/>
          <w:szCs w:val="28"/>
        </w:rPr>
        <w:t>la</w:t>
      </w:r>
      <w:r w:rsidRPr="003F6DBE">
        <w:rPr>
          <w:rFonts w:ascii="Times New Roman" w:eastAsia="Times New Roman" w:hAnsi="Times New Roman" w:cs="Times New Roman"/>
          <w:i/>
          <w:iCs/>
          <w:sz w:val="28"/>
          <w:szCs w:val="28"/>
        </w:rPr>
        <w:t xml:space="preserve"> que puede llegar a constituirse en la mejor barrera para la intolerancia en que enraízan los comportamientos violentos</w:t>
      </w:r>
      <w:r w:rsidRPr="003F6DBE">
        <w:rPr>
          <w:rFonts w:ascii="Times New Roman" w:eastAsia="Times New Roman" w:hAnsi="Times New Roman" w:cs="Times New Roman"/>
          <w:sz w:val="28"/>
          <w:szCs w:val="28"/>
        </w:rPr>
        <w:t>”</w:t>
      </w:r>
      <w:r w:rsidRPr="003F6DBE">
        <w:rPr>
          <w:rFonts w:ascii="Times New Roman" w:hAnsi="Times New Roman" w:cs="Times New Roman"/>
          <w:sz w:val="28"/>
          <w:vertAlign w:val="superscript"/>
        </w:rPr>
        <w:footnoteReference w:id="63"/>
      </w:r>
      <w:r w:rsidRPr="003F6DBE">
        <w:rPr>
          <w:rFonts w:ascii="Times New Roman" w:eastAsia="Times New Roman" w:hAnsi="Times New Roman" w:cs="Times New Roman"/>
          <w:sz w:val="28"/>
          <w:szCs w:val="28"/>
        </w:rPr>
        <w:t>. Con este mismo ideal, la jurisprudencia constitucional</w:t>
      </w:r>
      <w:r w:rsidRPr="003F6DBE">
        <w:rPr>
          <w:rFonts w:ascii="Times New Roman" w:eastAsia="Times New Roman" w:hAnsi="Times New Roman" w:cs="Times New Roman"/>
          <w:sz w:val="28"/>
          <w:szCs w:val="28"/>
        </w:rPr>
        <w:t xml:space="preserve"> ha explicado </w:t>
      </w:r>
      <w:r w:rsidRPr="003F6DBE">
        <w:rPr>
          <w:rFonts w:ascii="Times New Roman" w:eastAsia="Times New Roman" w:hAnsi="Times New Roman" w:cs="Times New Roman"/>
          <w:sz w:val="28"/>
          <w:szCs w:val="28"/>
        </w:rPr>
        <w:t xml:space="preserve">que el reconocimiento de la diversidad étnica y cultural de la </w:t>
      </w:r>
      <w:r w:rsidRPr="003F6DBE">
        <w:rPr>
          <w:rFonts w:ascii="Times New Roman" w:eastAsia="Times New Roman" w:hAnsi="Times New Roman" w:cs="Times New Roman"/>
          <w:sz w:val="28"/>
          <w:szCs w:val="28"/>
        </w:rPr>
        <w:t>Nación cobija a todas las comunidades afrocolombianas,</w:t>
      </w:r>
      <w:r w:rsidRPr="003F6DBE">
        <w:rPr>
          <w:rFonts w:ascii="Times New Roman" w:eastAsia="Times New Roman" w:hAnsi="Times New Roman" w:cs="Times New Roman"/>
          <w:sz w:val="28"/>
          <w:szCs w:val="28"/>
        </w:rPr>
        <w:t xml:space="preserve"> como un mandato </w:t>
      </w:r>
      <w:r w:rsidRPr="003F6DBE">
        <w:rPr>
          <w:rFonts w:ascii="Times New Roman" w:eastAsia="Times New Roman" w:hAnsi="Times New Roman" w:cs="Times New Roman"/>
          <w:sz w:val="28"/>
          <w:szCs w:val="28"/>
        </w:rPr>
        <w:t xml:space="preserve">único, </w:t>
      </w:r>
      <w:r w:rsidRPr="003F6DBE">
        <w:rPr>
          <w:rFonts w:ascii="Times New Roman" w:eastAsia="Times New Roman" w:hAnsi="Times New Roman" w:cs="Times New Roman"/>
          <w:sz w:val="28"/>
          <w:szCs w:val="28"/>
        </w:rPr>
        <w:t xml:space="preserve">que no es susceptible de ser fragmentado, pero que, a su vez, impone en cada caso no ignorar la diferencia existente entre cada una de las comunidades afrocolombianas, </w:t>
      </w:r>
      <w:r w:rsidRPr="003F6DBE">
        <w:rPr>
          <w:rFonts w:ascii="Times New Roman" w:eastAsia="Times New Roman" w:hAnsi="Times New Roman" w:cs="Times New Roman"/>
          <w:sz w:val="28"/>
          <w:szCs w:val="28"/>
        </w:rPr>
        <w:t xml:space="preserve">negras, </w:t>
      </w:r>
      <w:r w:rsidRPr="003F6DBE">
        <w:rPr>
          <w:rFonts w:ascii="Times New Roman" w:eastAsia="Times New Roman" w:hAnsi="Times New Roman" w:cs="Times New Roman"/>
          <w:sz w:val="28"/>
          <w:szCs w:val="28"/>
        </w:rPr>
        <w:t>ra</w:t>
      </w:r>
      <w:r w:rsidRPr="003F6DBE">
        <w:rPr>
          <w:rFonts w:ascii="Times New Roman" w:eastAsia="Times New Roman" w:hAnsi="Times New Roman" w:cs="Times New Roman"/>
          <w:sz w:val="28"/>
          <w:szCs w:val="28"/>
        </w:rPr>
        <w:t xml:space="preserve">izales y palenqueras. </w:t>
      </w:r>
    </w:p>
    <w:p w:rsidR="00831360" w:rsidRPr="003F6DBE" w:rsidRDefault="003F6DBE" w:rsidP="00DA100F">
      <w:pPr>
        <w:pStyle w:val="Prrafodelista"/>
        <w:numPr>
          <w:ilvl w:val="0"/>
          <w:numId w:val="2"/>
        </w:numPr>
        <w:shd w:val="clear" w:color="auto" w:fill="FFFFFF"/>
        <w:spacing w:after="0" w:line="240" w:lineRule="auto"/>
        <w:ind w:left="0" w:right="49" w:firstLine="0"/>
        <w:jc w:val="both"/>
        <w:rPr>
          <w:rFonts w:ascii="Times New Roman" w:eastAsia="Times New Roman" w:hAnsi="Times New Roman" w:cs="Times New Roman"/>
          <w:sz w:val="28"/>
          <w:szCs w:val="28"/>
        </w:rPr>
      </w:pPr>
      <w:r w:rsidRPr="003F6DBE">
        <w:rPr>
          <w:rFonts w:ascii="Times New Roman" w:eastAsia="Times New Roman" w:hAnsi="Times New Roman" w:cs="Times New Roman"/>
          <w:sz w:val="28"/>
          <w:szCs w:val="28"/>
        </w:rPr>
        <w:t xml:space="preserve">Así, al estudiar si el Convenio 169 de la OIT aplicaba a cada una de ellas, </w:t>
      </w:r>
      <w:r w:rsidRPr="003F6DBE">
        <w:rPr>
          <w:rFonts w:ascii="Times New Roman" w:eastAsia="Aptos" w:hAnsi="Times New Roman" w:cs="Times New Roman"/>
          <w:kern w:val="2"/>
          <w:sz w:val="28"/>
          <w:szCs w:val="28"/>
          <w:shd w:val="clear" w:color="auto" w:fill="FFFFFF"/>
        </w:rPr>
        <w:t>la sentencia C-169 de 2001</w:t>
      </w:r>
      <w:r w:rsidRPr="003F6DBE">
        <w:rPr>
          <w:rFonts w:ascii="Times New Roman" w:hAnsi="Times New Roman" w:cs="Times New Roman"/>
          <w:sz w:val="28"/>
          <w:shd w:val="clear" w:color="auto" w:fill="FFFFFF"/>
          <w:vertAlign w:val="superscript"/>
        </w:rPr>
        <w:footnoteReference w:id="64"/>
      </w:r>
      <w:r w:rsidRPr="003F6DBE">
        <w:rPr>
          <w:rFonts w:ascii="Times New Roman" w:eastAsia="Times New Roman" w:hAnsi="Times New Roman" w:cs="Times New Roman"/>
          <w:sz w:val="28"/>
          <w:szCs w:val="28"/>
        </w:rPr>
        <w:t xml:space="preserve"> explicó que </w:t>
      </w:r>
      <w:r w:rsidRPr="003F6DBE">
        <w:rPr>
          <w:rFonts w:ascii="Times New Roman" w:eastAsia="Aptos" w:hAnsi="Times New Roman" w:cs="Times New Roman"/>
          <w:kern w:val="2"/>
          <w:sz w:val="28"/>
          <w:szCs w:val="28"/>
          <w:shd w:val="clear" w:color="auto" w:fill="FFFFFF"/>
        </w:rPr>
        <w:t xml:space="preserve">las comunidades negras son grupos étnicos en los términos establecidos en el artículo 1° del Convenio 169 de la OIT, </w:t>
      </w:r>
      <w:r w:rsidRPr="003F6DBE">
        <w:rPr>
          <w:rFonts w:ascii="Times New Roman" w:eastAsia="Aptos" w:hAnsi="Times New Roman" w:cs="Times New Roman"/>
          <w:kern w:val="2"/>
          <w:sz w:val="28"/>
          <w:szCs w:val="28"/>
          <w:shd w:val="clear" w:color="auto" w:fill="FFFFFF"/>
        </w:rPr>
        <w:t>pues la expresión “</w:t>
      </w:r>
      <w:r w:rsidRPr="003F6DBE">
        <w:rPr>
          <w:rFonts w:ascii="Times New Roman" w:eastAsia="Aptos" w:hAnsi="Times New Roman" w:cs="Times New Roman"/>
          <w:i/>
          <w:iCs/>
          <w:kern w:val="2"/>
          <w:sz w:val="28"/>
          <w:szCs w:val="28"/>
          <w:shd w:val="clear" w:color="auto" w:fill="FFFFFF"/>
        </w:rPr>
        <w:t>tribal</w:t>
      </w:r>
      <w:r w:rsidRPr="003F6DBE">
        <w:rPr>
          <w:rFonts w:ascii="Times New Roman" w:eastAsia="Aptos" w:hAnsi="Times New Roman" w:cs="Times New Roman"/>
          <w:kern w:val="2"/>
          <w:sz w:val="28"/>
          <w:szCs w:val="28"/>
          <w:shd w:val="clear" w:color="auto" w:fill="FFFFFF"/>
        </w:rPr>
        <w:t xml:space="preserve">” debe interpretarse </w:t>
      </w:r>
      <w:r w:rsidRPr="003F6DBE">
        <w:rPr>
          <w:rFonts w:ascii="Times New Roman" w:eastAsia="Aptos" w:hAnsi="Times New Roman" w:cs="Times New Roman"/>
          <w:kern w:val="2"/>
          <w:sz w:val="28"/>
          <w:szCs w:val="28"/>
          <w:shd w:val="clear" w:color="auto" w:fill="FFFFFF"/>
        </w:rPr>
        <w:t xml:space="preserve">como </w:t>
      </w:r>
      <w:r w:rsidRPr="003F6DBE">
        <w:rPr>
          <w:rFonts w:ascii="Times New Roman" w:eastAsia="Aptos" w:hAnsi="Times New Roman" w:cs="Times New Roman"/>
          <w:kern w:val="2"/>
          <w:sz w:val="28"/>
          <w:szCs w:val="28"/>
          <w:shd w:val="clear" w:color="auto" w:fill="FFFFFF"/>
        </w:rPr>
        <w:t>grupos sociales que comparten una identidad cultural distinta a la de la sociedad dominante</w:t>
      </w:r>
      <w:r w:rsidRPr="003F6DBE">
        <w:rPr>
          <w:rFonts w:ascii="Times New Roman" w:eastAsia="Aptos" w:hAnsi="Times New Roman" w:cs="Times New Roman"/>
          <w:kern w:val="2"/>
          <w:sz w:val="28"/>
          <w:szCs w:val="28"/>
          <w:shd w:val="clear" w:color="auto" w:fill="FFFFFF"/>
        </w:rPr>
        <w:t xml:space="preserve">. </w:t>
      </w:r>
      <w:r w:rsidRPr="003F6DBE">
        <w:rPr>
          <w:rFonts w:ascii="Times New Roman" w:eastAsia="Times New Roman" w:hAnsi="Times New Roman" w:cs="Times New Roman"/>
          <w:sz w:val="28"/>
          <w:szCs w:val="28"/>
        </w:rPr>
        <w:t>T</w:t>
      </w:r>
      <w:r w:rsidRPr="003F6DBE">
        <w:rPr>
          <w:rFonts w:ascii="Times New Roman" w:eastAsia="Aptos" w:hAnsi="Times New Roman" w:cs="Times New Roman"/>
          <w:kern w:val="2"/>
          <w:sz w:val="28"/>
          <w:szCs w:val="28"/>
          <w:shd w:val="clear" w:color="auto" w:fill="FFFFFF"/>
        </w:rPr>
        <w:t>al circunstancia no se limita a las comunidades negras ubicadas en la Cuenca del Pacífico</w:t>
      </w:r>
      <w:r w:rsidRPr="003F6DBE">
        <w:rPr>
          <w:rFonts w:ascii="Times New Roman" w:eastAsia="Aptos" w:hAnsi="Times New Roman" w:cs="Times New Roman"/>
          <w:kern w:val="2"/>
          <w:sz w:val="28"/>
          <w:szCs w:val="28"/>
          <w:shd w:val="clear" w:color="auto" w:fill="FFFFFF"/>
        </w:rPr>
        <w:t>,</w:t>
      </w:r>
      <w:r w:rsidRPr="003F6DBE">
        <w:rPr>
          <w:rFonts w:ascii="Times New Roman" w:eastAsia="Aptos" w:hAnsi="Times New Roman" w:cs="Times New Roman"/>
          <w:kern w:val="2"/>
          <w:sz w:val="28"/>
          <w:szCs w:val="28"/>
          <w:shd w:val="clear" w:color="auto" w:fill="FFFFFF"/>
        </w:rPr>
        <w:t xml:space="preserve"> y</w:t>
      </w:r>
      <w:r w:rsidRPr="003F6DBE">
        <w:rPr>
          <w:rFonts w:ascii="Times New Roman" w:eastAsia="Aptos" w:hAnsi="Times New Roman" w:cs="Times New Roman"/>
          <w:kern w:val="2"/>
          <w:sz w:val="28"/>
          <w:szCs w:val="28"/>
          <w:shd w:val="clear" w:color="auto" w:fill="FFFFFF"/>
        </w:rPr>
        <w:t>a</w:t>
      </w:r>
      <w:r w:rsidRPr="003F6DBE">
        <w:rPr>
          <w:rFonts w:ascii="Times New Roman" w:eastAsia="Aptos" w:hAnsi="Times New Roman" w:cs="Times New Roman"/>
          <w:kern w:val="2"/>
          <w:sz w:val="28"/>
          <w:szCs w:val="28"/>
          <w:shd w:val="clear" w:color="auto" w:fill="FFFFFF"/>
        </w:rPr>
        <w:t xml:space="preserve"> que</w:t>
      </w:r>
      <w:r w:rsidRPr="003F6DBE">
        <w:rPr>
          <w:rFonts w:ascii="Times New Roman" w:eastAsia="Aptos" w:hAnsi="Times New Roman" w:cs="Times New Roman"/>
          <w:kern w:val="2"/>
          <w:sz w:val="28"/>
          <w:szCs w:val="28"/>
          <w:shd w:val="clear" w:color="auto" w:fill="FFFFFF"/>
        </w:rPr>
        <w:t xml:space="preserve"> a falta de una mención expresa en la ley, ella cobija también a “</w:t>
      </w:r>
      <w:r w:rsidRPr="003F6DBE">
        <w:rPr>
          <w:rFonts w:ascii="Times New Roman" w:eastAsia="Aptos" w:hAnsi="Times New Roman" w:cs="Times New Roman"/>
          <w:i/>
          <w:iCs/>
          <w:kern w:val="2"/>
          <w:sz w:val="28"/>
          <w:szCs w:val="28"/>
          <w:shd w:val="clear" w:color="auto" w:fill="FFFFFF"/>
        </w:rPr>
        <w:t>las agrupaciones raizales del Archipiélago de San Andrés y Providencia, las cuales no sólo comparten con las primeras un origen histórico común en las raíces africanas que fueron trasplantad</w:t>
      </w:r>
      <w:r w:rsidRPr="003F6DBE">
        <w:rPr>
          <w:rFonts w:ascii="Times New Roman" w:eastAsia="Aptos" w:hAnsi="Times New Roman" w:cs="Times New Roman"/>
          <w:i/>
          <w:iCs/>
          <w:kern w:val="2"/>
          <w:sz w:val="28"/>
          <w:szCs w:val="28"/>
          <w:shd w:val="clear" w:color="auto" w:fill="FFFFFF"/>
        </w:rPr>
        <w:t>as a América, sino que han sido reconocidas por esta corporación, en consonancia con el artículo 310 de la Carta, como un grupo étnico titular de derechos especiales</w:t>
      </w:r>
      <w:r w:rsidRPr="003F6DBE">
        <w:rPr>
          <w:rFonts w:ascii="Times New Roman" w:eastAsia="Aptos" w:hAnsi="Times New Roman" w:cs="Times New Roman"/>
          <w:kern w:val="2"/>
          <w:sz w:val="28"/>
          <w:szCs w:val="28"/>
          <w:shd w:val="clear" w:color="auto" w:fill="FFFFFF"/>
        </w:rPr>
        <w:t xml:space="preserve">”. </w:t>
      </w:r>
      <w:bookmarkStart w:id="13" w:name="_Hlk161839880"/>
      <w:r w:rsidRPr="003F6DBE">
        <w:rPr>
          <w:rFonts w:ascii="Times New Roman" w:eastAsia="Times New Roman" w:hAnsi="Times New Roman" w:cs="Times New Roman"/>
          <w:sz w:val="28"/>
          <w:szCs w:val="28"/>
        </w:rPr>
        <w:t>En efecto,</w:t>
      </w:r>
      <w:r w:rsidRPr="003F6DBE">
        <w:rPr>
          <w:rFonts w:ascii="Times New Roman" w:eastAsia="Times New Roman" w:hAnsi="Times New Roman" w:cs="Times New Roman"/>
          <w:sz w:val="28"/>
          <w:szCs w:val="28"/>
        </w:rPr>
        <w:t xml:space="preserve"> </w:t>
      </w:r>
      <w:r w:rsidRPr="003F6DBE">
        <w:rPr>
          <w:rFonts w:ascii="Times New Roman" w:eastAsia="Aptos" w:hAnsi="Times New Roman" w:cs="Times New Roman"/>
          <w:kern w:val="2"/>
          <w:sz w:val="28"/>
          <w:szCs w:val="28"/>
        </w:rPr>
        <w:t>anticipó</w:t>
      </w:r>
      <w:r w:rsidRPr="003F6DBE">
        <w:rPr>
          <w:rFonts w:ascii="Times New Roman" w:eastAsia="Aptos" w:hAnsi="Times New Roman" w:cs="Times New Roman"/>
          <w:kern w:val="2"/>
          <w:sz w:val="28"/>
          <w:szCs w:val="28"/>
        </w:rPr>
        <w:t xml:space="preserve"> </w:t>
      </w:r>
      <w:bookmarkStart w:id="14" w:name="_Hlk161828306"/>
      <w:r w:rsidRPr="003F6DBE">
        <w:rPr>
          <w:rFonts w:ascii="Times New Roman" w:eastAsia="Aptos" w:hAnsi="Times New Roman" w:cs="Times New Roman"/>
          <w:kern w:val="2"/>
          <w:sz w:val="28"/>
          <w:szCs w:val="28"/>
        </w:rPr>
        <w:t xml:space="preserve">la sentencia </w:t>
      </w:r>
      <w:bookmarkStart w:id="15" w:name="_Hlk161840946"/>
      <w:r w:rsidRPr="003F6DBE">
        <w:rPr>
          <w:rFonts w:ascii="Times New Roman" w:eastAsia="Aptos" w:hAnsi="Times New Roman" w:cs="Times New Roman"/>
          <w:kern w:val="2"/>
          <w:sz w:val="28"/>
          <w:szCs w:val="28"/>
        </w:rPr>
        <w:t>T-461 de 2014</w:t>
      </w:r>
      <w:r w:rsidRPr="003F6DBE">
        <w:rPr>
          <w:rFonts w:ascii="Times New Roman" w:hAnsi="Times New Roman" w:cs="Times New Roman"/>
          <w:sz w:val="28"/>
          <w:vertAlign w:val="superscript"/>
        </w:rPr>
        <w:footnoteReference w:id="65"/>
      </w:r>
      <w:r w:rsidRPr="003F6DBE">
        <w:rPr>
          <w:rFonts w:ascii="Times New Roman" w:eastAsia="Aptos" w:hAnsi="Times New Roman" w:cs="Times New Roman"/>
          <w:kern w:val="2"/>
          <w:sz w:val="28"/>
          <w:szCs w:val="28"/>
        </w:rPr>
        <w:t xml:space="preserve"> que el Estado debe proteger la diversida</w:t>
      </w:r>
      <w:r w:rsidRPr="003F6DBE">
        <w:rPr>
          <w:rFonts w:ascii="Times New Roman" w:eastAsia="Aptos" w:hAnsi="Times New Roman" w:cs="Times New Roman"/>
          <w:kern w:val="2"/>
          <w:sz w:val="28"/>
          <w:szCs w:val="28"/>
        </w:rPr>
        <w:t>d étnica, la riqueza cultural y la autodeterminación de los pueblos, sin distinción en contra de ninguna minoría étnica</w:t>
      </w:r>
      <w:r w:rsidRPr="003F6DBE">
        <w:rPr>
          <w:rFonts w:ascii="Times New Roman" w:eastAsia="Aptos" w:hAnsi="Times New Roman" w:cs="Times New Roman"/>
          <w:kern w:val="2"/>
          <w:sz w:val="28"/>
          <w:szCs w:val="28"/>
        </w:rPr>
        <w:t>.</w:t>
      </w:r>
      <w:r w:rsidRPr="003F6DBE">
        <w:rPr>
          <w:rFonts w:ascii="Times New Roman" w:eastAsia="Times New Roman" w:hAnsi="Times New Roman" w:cs="Times New Roman"/>
          <w:sz w:val="28"/>
          <w:szCs w:val="28"/>
        </w:rPr>
        <w:t xml:space="preserve"> </w:t>
      </w:r>
    </w:p>
    <w:p w:rsidR="00617DEC" w:rsidRPr="003F6DBE" w:rsidRDefault="003F6DBE" w:rsidP="00DA100F">
      <w:pPr>
        <w:pStyle w:val="Prrafodelista"/>
        <w:shd w:val="clear" w:color="auto" w:fill="FFFFFF"/>
        <w:spacing w:after="0" w:line="240" w:lineRule="auto"/>
        <w:ind w:left="0" w:right="49"/>
        <w:jc w:val="both"/>
        <w:rPr>
          <w:rFonts w:ascii="Times New Roman" w:eastAsia="Times New Roman" w:hAnsi="Times New Roman" w:cs="Times New Roman"/>
          <w:sz w:val="28"/>
          <w:szCs w:val="28"/>
        </w:rPr>
      </w:pPr>
    </w:p>
    <w:p w:rsidR="00C91F4A" w:rsidRPr="003F6DBE" w:rsidRDefault="003F6DBE" w:rsidP="00DA100F">
      <w:pPr>
        <w:pStyle w:val="Prrafodelista"/>
        <w:numPr>
          <w:ilvl w:val="0"/>
          <w:numId w:val="2"/>
        </w:numPr>
        <w:shd w:val="clear" w:color="auto" w:fill="FFFFFF"/>
        <w:spacing w:after="0" w:line="240" w:lineRule="auto"/>
        <w:ind w:left="0" w:right="49" w:firstLine="0"/>
        <w:jc w:val="both"/>
        <w:rPr>
          <w:rFonts w:ascii="Times New Roman" w:eastAsia="Times New Roman" w:hAnsi="Times New Roman" w:cs="Times New Roman"/>
          <w:sz w:val="28"/>
          <w:szCs w:val="28"/>
        </w:rPr>
      </w:pPr>
      <w:r w:rsidRPr="003F6DBE">
        <w:rPr>
          <w:rFonts w:ascii="Times New Roman" w:hAnsi="Times New Roman" w:cs="Times New Roman"/>
          <w:sz w:val="28"/>
        </w:rPr>
        <w:t>Por ende</w:t>
      </w:r>
      <w:r w:rsidRPr="003F6DBE">
        <w:rPr>
          <w:rFonts w:ascii="Times New Roman" w:hAnsi="Times New Roman" w:cs="Times New Roman"/>
          <w:sz w:val="28"/>
        </w:rPr>
        <w:t>,</w:t>
      </w:r>
      <w:r w:rsidRPr="003F6DBE">
        <w:rPr>
          <w:rFonts w:ascii="Times New Roman" w:hAnsi="Times New Roman" w:cs="Times New Roman"/>
          <w:sz w:val="28"/>
        </w:rPr>
        <w:t xml:space="preserve"> al retomar las consideraciones expuestas</w:t>
      </w:r>
      <w:r w:rsidRPr="003F6DBE">
        <w:rPr>
          <w:rFonts w:ascii="Times New Roman" w:hAnsi="Times New Roman" w:cs="Times New Roman"/>
          <w:sz w:val="28"/>
        </w:rPr>
        <w:t xml:space="preserve"> y aplicarlas</w:t>
      </w:r>
      <w:r w:rsidRPr="003F6DBE">
        <w:rPr>
          <w:rFonts w:ascii="Times New Roman" w:hAnsi="Times New Roman" w:cs="Times New Roman"/>
          <w:sz w:val="28"/>
        </w:rPr>
        <w:t xml:space="preserve"> al caso concreto,</w:t>
      </w:r>
      <w:r w:rsidRPr="003F6DBE">
        <w:rPr>
          <w:rFonts w:ascii="Times New Roman" w:hAnsi="Times New Roman" w:cs="Times New Roman"/>
          <w:sz w:val="28"/>
        </w:rPr>
        <w:t xml:space="preserve"> podría resultar contradictorio estudiar un</w:t>
      </w:r>
      <w:r w:rsidRPr="003F6DBE">
        <w:rPr>
          <w:rFonts w:ascii="Times New Roman" w:hAnsi="Times New Roman" w:cs="Times New Roman"/>
          <w:sz w:val="28"/>
        </w:rPr>
        <w:t>a demanda</w:t>
      </w:r>
      <w:r w:rsidRPr="003F6DBE">
        <w:rPr>
          <w:rFonts w:ascii="Times New Roman" w:hAnsi="Times New Roman" w:cs="Times New Roman"/>
          <w:sz w:val="28"/>
        </w:rPr>
        <w:t xml:space="preserve"> </w:t>
      </w:r>
      <w:r w:rsidRPr="003F6DBE">
        <w:rPr>
          <w:rFonts w:ascii="Times New Roman" w:hAnsi="Times New Roman" w:cs="Times New Roman"/>
          <w:sz w:val="28"/>
        </w:rPr>
        <w:t xml:space="preserve">de manera fragmentada, pese a </w:t>
      </w:r>
      <w:r w:rsidRPr="003F6DBE">
        <w:rPr>
          <w:rFonts w:ascii="Times New Roman" w:hAnsi="Times New Roman" w:cs="Times New Roman"/>
          <w:sz w:val="28"/>
        </w:rPr>
        <w:t>que</w:t>
      </w:r>
      <w:r w:rsidRPr="003F6DBE">
        <w:rPr>
          <w:rFonts w:ascii="Times New Roman" w:hAnsi="Times New Roman" w:cs="Times New Roman"/>
          <w:sz w:val="28"/>
        </w:rPr>
        <w:t xml:space="preserve"> los cargos de inconstitucionalidad</w:t>
      </w:r>
      <w:r w:rsidRPr="003F6DBE">
        <w:rPr>
          <w:rFonts w:ascii="Times New Roman" w:hAnsi="Times New Roman" w:cs="Times New Roman"/>
          <w:sz w:val="28"/>
        </w:rPr>
        <w:t xml:space="preserve"> fue</w:t>
      </w:r>
      <w:r w:rsidRPr="003F6DBE">
        <w:rPr>
          <w:rFonts w:ascii="Times New Roman" w:hAnsi="Times New Roman" w:cs="Times New Roman"/>
          <w:sz w:val="28"/>
        </w:rPr>
        <w:t>ron</w:t>
      </w:r>
      <w:r w:rsidRPr="003F6DBE">
        <w:rPr>
          <w:rFonts w:ascii="Times New Roman" w:hAnsi="Times New Roman" w:cs="Times New Roman"/>
          <w:sz w:val="28"/>
        </w:rPr>
        <w:t xml:space="preserve"> propuesto</w:t>
      </w:r>
      <w:r w:rsidRPr="003F6DBE">
        <w:rPr>
          <w:rFonts w:ascii="Times New Roman" w:hAnsi="Times New Roman" w:cs="Times New Roman"/>
          <w:sz w:val="28"/>
        </w:rPr>
        <w:t>s</w:t>
      </w:r>
      <w:r w:rsidRPr="003F6DBE">
        <w:rPr>
          <w:rFonts w:ascii="Times New Roman" w:hAnsi="Times New Roman" w:cs="Times New Roman"/>
          <w:sz w:val="28"/>
        </w:rPr>
        <w:t xml:space="preserve"> </w:t>
      </w:r>
      <w:r w:rsidRPr="003F6DBE">
        <w:rPr>
          <w:rFonts w:ascii="Times New Roman" w:hAnsi="Times New Roman" w:cs="Times New Roman"/>
          <w:sz w:val="28"/>
        </w:rPr>
        <w:t>en favor de la totalidad de la población afrocolombiana. Con mayor razón, si los argumentos</w:t>
      </w:r>
      <w:r w:rsidRPr="003F6DBE">
        <w:rPr>
          <w:rFonts w:ascii="Times New Roman" w:hAnsi="Times New Roman" w:cs="Times New Roman"/>
          <w:sz w:val="28"/>
        </w:rPr>
        <w:t xml:space="preserve"> allí</w:t>
      </w:r>
      <w:r w:rsidRPr="003F6DBE">
        <w:rPr>
          <w:rFonts w:ascii="Times New Roman" w:hAnsi="Times New Roman" w:cs="Times New Roman"/>
          <w:sz w:val="28"/>
        </w:rPr>
        <w:t xml:space="preserve"> </w:t>
      </w:r>
      <w:r w:rsidRPr="003F6DBE">
        <w:rPr>
          <w:rFonts w:ascii="Times New Roman" w:hAnsi="Times New Roman" w:cs="Times New Roman"/>
          <w:sz w:val="28"/>
        </w:rPr>
        <w:t>desarrollados están dirigidos a cuestionar la inexistencia de una regul</w:t>
      </w:r>
      <w:r w:rsidRPr="003F6DBE">
        <w:rPr>
          <w:rFonts w:ascii="Times New Roman" w:hAnsi="Times New Roman" w:cs="Times New Roman"/>
          <w:sz w:val="28"/>
        </w:rPr>
        <w:t xml:space="preserve">ación, lo cual impide, a juicio de los demandantes, </w:t>
      </w:r>
      <w:r w:rsidRPr="003F6DBE">
        <w:rPr>
          <w:rFonts w:ascii="Times New Roman" w:hAnsi="Times New Roman" w:cs="Times New Roman"/>
          <w:sz w:val="28"/>
        </w:rPr>
        <w:t>visibilizar la participación de las comunidades</w:t>
      </w:r>
      <w:r w:rsidRPr="003F6DBE">
        <w:rPr>
          <w:rFonts w:ascii="Times New Roman" w:hAnsi="Times New Roman" w:cs="Times New Roman"/>
          <w:sz w:val="28"/>
        </w:rPr>
        <w:t xml:space="preserve"> que han sido </w:t>
      </w:r>
      <w:r w:rsidRPr="003F6DBE">
        <w:rPr>
          <w:rFonts w:ascii="Times New Roman" w:hAnsi="Times New Roman" w:cs="Times New Roman"/>
          <w:sz w:val="28"/>
        </w:rPr>
        <w:t xml:space="preserve">históricamente excluidas </w:t>
      </w:r>
      <w:r w:rsidRPr="003F6DBE">
        <w:rPr>
          <w:rFonts w:ascii="Times New Roman" w:hAnsi="Times New Roman" w:cs="Times New Roman"/>
          <w:sz w:val="28"/>
        </w:rPr>
        <w:t>o no han sido nombradas</w:t>
      </w:r>
      <w:r w:rsidRPr="003F6DBE">
        <w:rPr>
          <w:rFonts w:ascii="Times New Roman" w:hAnsi="Times New Roman" w:cs="Times New Roman"/>
          <w:sz w:val="28"/>
        </w:rPr>
        <w:t xml:space="preserve">. </w:t>
      </w:r>
      <w:r w:rsidRPr="003F6DBE">
        <w:rPr>
          <w:rFonts w:ascii="Times New Roman" w:hAnsi="Times New Roman" w:cs="Times New Roman"/>
          <w:sz w:val="28"/>
        </w:rPr>
        <w:t>Lo anterior</w:t>
      </w:r>
      <w:r w:rsidRPr="003F6DBE">
        <w:rPr>
          <w:rFonts w:ascii="Times New Roman" w:hAnsi="Times New Roman" w:cs="Times New Roman"/>
          <w:sz w:val="28"/>
        </w:rPr>
        <w:t xml:space="preserve"> impide dividir </w:t>
      </w:r>
      <w:r w:rsidRPr="003F6DBE">
        <w:rPr>
          <w:rFonts w:ascii="Times New Roman" w:hAnsi="Times New Roman" w:cs="Times New Roman"/>
          <w:sz w:val="28"/>
        </w:rPr>
        <w:t>los cuestionamientos</w:t>
      </w:r>
      <w:r w:rsidRPr="003F6DBE">
        <w:rPr>
          <w:rFonts w:ascii="Times New Roman" w:hAnsi="Times New Roman" w:cs="Times New Roman"/>
          <w:sz w:val="28"/>
        </w:rPr>
        <w:t xml:space="preserve"> </w:t>
      </w:r>
      <w:r w:rsidRPr="003F6DBE">
        <w:rPr>
          <w:rFonts w:ascii="Times New Roman" w:hAnsi="Times New Roman" w:cs="Times New Roman"/>
          <w:sz w:val="28"/>
        </w:rPr>
        <w:t xml:space="preserve">formulados </w:t>
      </w:r>
      <w:r w:rsidRPr="003F6DBE">
        <w:rPr>
          <w:rFonts w:ascii="Times New Roman" w:hAnsi="Times New Roman" w:cs="Times New Roman"/>
          <w:sz w:val="28"/>
        </w:rPr>
        <w:t>por la presunta ausencia de regula</w:t>
      </w:r>
      <w:r w:rsidRPr="003F6DBE">
        <w:rPr>
          <w:rFonts w:ascii="Times New Roman" w:hAnsi="Times New Roman" w:cs="Times New Roman"/>
          <w:sz w:val="28"/>
        </w:rPr>
        <w:t xml:space="preserve">ción en detrimento de </w:t>
      </w:r>
      <w:r w:rsidRPr="003F6DBE">
        <w:rPr>
          <w:rFonts w:ascii="Times New Roman" w:hAnsi="Times New Roman" w:cs="Times New Roman"/>
          <w:sz w:val="28"/>
        </w:rPr>
        <w:t>las comunidades afro como un todo. E</w:t>
      </w:r>
      <w:r w:rsidRPr="003F6DBE">
        <w:rPr>
          <w:rFonts w:ascii="Times New Roman" w:hAnsi="Times New Roman" w:cs="Times New Roman"/>
          <w:sz w:val="28"/>
        </w:rPr>
        <w:t xml:space="preserve">n sentido contrario, esto es de aceptar la posibilidad de emprender un estudio frente a algunas de las comunidades afro, se podría terminar por desconocer </w:t>
      </w:r>
      <w:r w:rsidRPr="003F6DBE">
        <w:rPr>
          <w:rFonts w:ascii="Times New Roman" w:hAnsi="Times New Roman" w:cs="Times New Roman"/>
          <w:sz w:val="28"/>
        </w:rPr>
        <w:t>el fundamento mismo de la diversidad étnica</w:t>
      </w:r>
      <w:r w:rsidRPr="003F6DBE">
        <w:rPr>
          <w:rFonts w:ascii="Times New Roman" w:hAnsi="Times New Roman" w:cs="Times New Roman"/>
          <w:sz w:val="28"/>
        </w:rPr>
        <w:t xml:space="preserve"> y cultural de la Nación que, en términos más generales, está determinado por la pluralidad y</w:t>
      </w:r>
      <w:r w:rsidRPr="003F6DBE">
        <w:rPr>
          <w:rFonts w:ascii="Times New Roman" w:hAnsi="Times New Roman" w:cs="Times New Roman"/>
          <w:sz w:val="28"/>
        </w:rPr>
        <w:t>, en este caso,</w:t>
      </w:r>
      <w:r w:rsidRPr="003F6DBE">
        <w:rPr>
          <w:rFonts w:ascii="Times New Roman" w:hAnsi="Times New Roman" w:cs="Times New Roman"/>
          <w:sz w:val="28"/>
        </w:rPr>
        <w:t xml:space="preserve"> impide excluir a los raizales</w:t>
      </w:r>
      <w:r w:rsidRPr="003F6DBE">
        <w:rPr>
          <w:rFonts w:ascii="Times New Roman" w:hAnsi="Times New Roman" w:cs="Times New Roman"/>
          <w:sz w:val="28"/>
        </w:rPr>
        <w:t xml:space="preserve"> de una decisión</w:t>
      </w:r>
      <w:r w:rsidRPr="003F6DBE">
        <w:rPr>
          <w:rFonts w:ascii="Times New Roman" w:hAnsi="Times New Roman" w:cs="Times New Roman"/>
          <w:sz w:val="28"/>
        </w:rPr>
        <w:t>. Este asunto es relevante a partir de una problemática encontrada al respecto en la demanda, como así</w:t>
      </w:r>
      <w:r w:rsidRPr="003F6DBE">
        <w:rPr>
          <w:rFonts w:ascii="Times New Roman" w:hAnsi="Times New Roman" w:cs="Times New Roman"/>
          <w:sz w:val="28"/>
        </w:rPr>
        <w:t xml:space="preserve"> se explica</w:t>
      </w:r>
      <w:r w:rsidRPr="003F6DBE">
        <w:rPr>
          <w:rFonts w:ascii="Times New Roman" w:hAnsi="Times New Roman" w:cs="Times New Roman"/>
          <w:sz w:val="28"/>
        </w:rPr>
        <w:t>rá</w:t>
      </w:r>
      <w:r w:rsidRPr="003F6DBE">
        <w:rPr>
          <w:rFonts w:ascii="Times New Roman" w:hAnsi="Times New Roman" w:cs="Times New Roman"/>
          <w:sz w:val="28"/>
        </w:rPr>
        <w:t xml:space="preserve"> en el capítulo siguiente</w:t>
      </w:r>
      <w:r w:rsidRPr="003F6DBE">
        <w:rPr>
          <w:rFonts w:ascii="Times New Roman" w:hAnsi="Times New Roman" w:cs="Times New Roman"/>
          <w:sz w:val="28"/>
        </w:rPr>
        <w:t xml:space="preserve">. </w:t>
      </w:r>
    </w:p>
    <w:p w:rsidR="00C91F4A" w:rsidRPr="003F6DBE" w:rsidRDefault="003F6DBE" w:rsidP="00DA100F">
      <w:pPr>
        <w:pStyle w:val="Prrafodelista"/>
        <w:ind w:right="49"/>
        <w:rPr>
          <w:rFonts w:ascii="Times New Roman" w:eastAsia="Times New Roman" w:hAnsi="Times New Roman" w:cs="Times New Roman"/>
          <w:sz w:val="28"/>
          <w:szCs w:val="28"/>
        </w:rPr>
      </w:pPr>
    </w:p>
    <w:p w:rsidR="00C91F4A" w:rsidRPr="003F6DBE" w:rsidRDefault="003F6DBE" w:rsidP="00DA100F">
      <w:pPr>
        <w:pStyle w:val="Prrafodelista"/>
        <w:numPr>
          <w:ilvl w:val="0"/>
          <w:numId w:val="2"/>
        </w:numPr>
        <w:shd w:val="clear" w:color="auto" w:fill="FFFFFF"/>
        <w:spacing w:after="0" w:line="240" w:lineRule="auto"/>
        <w:ind w:left="0" w:right="49" w:firstLine="0"/>
        <w:jc w:val="both"/>
        <w:rPr>
          <w:rFonts w:ascii="Times New Roman" w:eastAsia="Times New Roman" w:hAnsi="Times New Roman" w:cs="Times New Roman"/>
          <w:sz w:val="28"/>
          <w:szCs w:val="28"/>
        </w:rPr>
      </w:pPr>
      <w:r w:rsidRPr="003F6DBE">
        <w:rPr>
          <w:rFonts w:ascii="Times New Roman" w:hAnsi="Times New Roman" w:cs="Times New Roman"/>
          <w:sz w:val="28"/>
        </w:rPr>
        <w:t>P</w:t>
      </w:r>
      <w:r w:rsidRPr="003F6DBE">
        <w:rPr>
          <w:rFonts w:ascii="Times New Roman" w:hAnsi="Times New Roman" w:cs="Times New Roman"/>
          <w:sz w:val="28"/>
        </w:rPr>
        <w:t>ara analizar esta cuestión no puede ignorarse que los demandantes formularon la integridad de sus cuestionamientos aludiendo a “</w:t>
      </w:r>
      <w:r w:rsidRPr="003F6DBE">
        <w:rPr>
          <w:rFonts w:ascii="Times New Roman" w:hAnsi="Times New Roman" w:cs="Times New Roman"/>
          <w:i/>
          <w:iCs/>
          <w:sz w:val="28"/>
        </w:rPr>
        <w:t>las comunidades negras, afrocolombianas, raizales y palenqueras</w:t>
      </w:r>
      <w:r w:rsidRPr="003F6DBE">
        <w:rPr>
          <w:rFonts w:ascii="Times New Roman" w:hAnsi="Times New Roman" w:cs="Times New Roman"/>
          <w:sz w:val="28"/>
        </w:rPr>
        <w:t xml:space="preserve">”. De otra parte, </w:t>
      </w:r>
      <w:r w:rsidRPr="003F6DBE">
        <w:rPr>
          <w:rFonts w:ascii="Times New Roman" w:hAnsi="Times New Roman" w:cs="Times New Roman"/>
          <w:sz w:val="28"/>
        </w:rPr>
        <w:t>tamp</w:t>
      </w:r>
      <w:r w:rsidRPr="003F6DBE">
        <w:rPr>
          <w:rFonts w:ascii="Times New Roman" w:hAnsi="Times New Roman" w:cs="Times New Roman"/>
          <w:sz w:val="28"/>
        </w:rPr>
        <w:t>oco se puede dejar de lado</w:t>
      </w:r>
      <w:r w:rsidRPr="003F6DBE">
        <w:rPr>
          <w:rFonts w:ascii="Times New Roman" w:hAnsi="Times New Roman" w:cs="Times New Roman"/>
          <w:sz w:val="28"/>
        </w:rPr>
        <w:t xml:space="preserve"> que </w:t>
      </w:r>
      <w:r w:rsidRPr="003F6DBE">
        <w:rPr>
          <w:rFonts w:ascii="Times New Roman" w:hAnsi="Times New Roman" w:cs="Times New Roman"/>
          <w:sz w:val="28"/>
        </w:rPr>
        <w:t>el cuestionamiento fundado en la omisión legislativa relativa</w:t>
      </w:r>
      <w:r w:rsidRPr="003F6DBE">
        <w:rPr>
          <w:rFonts w:ascii="Times New Roman" w:hAnsi="Times New Roman" w:cs="Times New Roman"/>
          <w:sz w:val="28"/>
        </w:rPr>
        <w:t xml:space="preserve"> </w:t>
      </w:r>
      <w:r w:rsidRPr="003F6DBE">
        <w:rPr>
          <w:rFonts w:ascii="Times New Roman" w:hAnsi="Times New Roman" w:cs="Times New Roman"/>
          <w:sz w:val="28"/>
        </w:rPr>
        <w:t>se encuentra desarrollad</w:t>
      </w:r>
      <w:r w:rsidRPr="003F6DBE">
        <w:rPr>
          <w:rFonts w:ascii="Times New Roman" w:hAnsi="Times New Roman" w:cs="Times New Roman"/>
          <w:sz w:val="28"/>
        </w:rPr>
        <w:t>o</w:t>
      </w:r>
      <w:r w:rsidRPr="003F6DBE">
        <w:rPr>
          <w:rFonts w:ascii="Times New Roman" w:hAnsi="Times New Roman" w:cs="Times New Roman"/>
          <w:sz w:val="28"/>
        </w:rPr>
        <w:t xml:space="preserve"> a partir del derecho a la igualdad. De manera que resultaría gravoso </w:t>
      </w:r>
      <w:r w:rsidRPr="003F6DBE">
        <w:rPr>
          <w:rFonts w:ascii="Times New Roman" w:hAnsi="Times New Roman" w:cs="Times New Roman"/>
          <w:sz w:val="28"/>
        </w:rPr>
        <w:t xml:space="preserve">desintegrar los argumentos propuestos </w:t>
      </w:r>
      <w:r w:rsidRPr="003F6DBE">
        <w:rPr>
          <w:rFonts w:ascii="Times New Roman" w:hAnsi="Times New Roman" w:cs="Times New Roman"/>
          <w:sz w:val="28"/>
        </w:rPr>
        <w:t>al margen de quienes, con cier</w:t>
      </w:r>
      <w:r w:rsidRPr="003F6DBE">
        <w:rPr>
          <w:rFonts w:ascii="Times New Roman" w:hAnsi="Times New Roman" w:cs="Times New Roman"/>
          <w:sz w:val="28"/>
        </w:rPr>
        <w:t>t</w:t>
      </w:r>
      <w:r w:rsidRPr="003F6DBE">
        <w:rPr>
          <w:rFonts w:ascii="Times New Roman" w:hAnsi="Times New Roman" w:cs="Times New Roman"/>
          <w:sz w:val="28"/>
        </w:rPr>
        <w:t>o</w:t>
      </w:r>
      <w:r w:rsidRPr="003F6DBE">
        <w:rPr>
          <w:rFonts w:ascii="Times New Roman" w:hAnsi="Times New Roman" w:cs="Times New Roman"/>
          <w:sz w:val="28"/>
        </w:rPr>
        <w:t xml:space="preserve">s </w:t>
      </w:r>
      <w:r w:rsidRPr="003F6DBE">
        <w:rPr>
          <w:rFonts w:ascii="Times New Roman" w:hAnsi="Times New Roman" w:cs="Times New Roman"/>
          <w:sz w:val="28"/>
        </w:rPr>
        <w:t>matices</w:t>
      </w:r>
      <w:r w:rsidRPr="003F6DBE">
        <w:rPr>
          <w:rFonts w:ascii="Times New Roman" w:hAnsi="Times New Roman" w:cs="Times New Roman"/>
          <w:sz w:val="28"/>
        </w:rPr>
        <w:t>,</w:t>
      </w:r>
      <w:r w:rsidRPr="003F6DBE">
        <w:rPr>
          <w:rFonts w:ascii="Times New Roman" w:hAnsi="Times New Roman" w:cs="Times New Roman"/>
          <w:sz w:val="28"/>
        </w:rPr>
        <w:t xml:space="preserve"> forman parte integral de una única comunidad étnica diferenciada</w:t>
      </w:r>
      <w:r w:rsidRPr="003F6DBE">
        <w:rPr>
          <w:rFonts w:ascii="Times New Roman" w:hAnsi="Times New Roman" w:cs="Times New Roman"/>
          <w:sz w:val="28"/>
        </w:rPr>
        <w:t xml:space="preserve"> como los afrocolombianos</w:t>
      </w:r>
      <w:r w:rsidRPr="003F6DBE">
        <w:rPr>
          <w:rFonts w:ascii="Times New Roman" w:hAnsi="Times New Roman" w:cs="Times New Roman"/>
          <w:sz w:val="28"/>
        </w:rPr>
        <w:t xml:space="preserve">. A su vez, la jurisprudencia citada como base del cargo, esto </w:t>
      </w:r>
      <w:r w:rsidRPr="003F6DBE">
        <w:rPr>
          <w:rFonts w:ascii="Times New Roman" w:hAnsi="Times New Roman" w:cs="Times New Roman"/>
          <w:sz w:val="28"/>
        </w:rPr>
        <w:t xml:space="preserve">es </w:t>
      </w:r>
      <w:r w:rsidRPr="003F6DBE">
        <w:rPr>
          <w:rFonts w:ascii="Times New Roman" w:hAnsi="Times New Roman" w:cs="Times New Roman"/>
          <w:sz w:val="28"/>
        </w:rPr>
        <w:t>las sentencias C-359 de 2013</w:t>
      </w:r>
      <w:r w:rsidRPr="003F6DBE">
        <w:rPr>
          <w:rStyle w:val="Refdenotaalpie"/>
          <w:rFonts w:ascii="Times New Roman" w:hAnsi="Times New Roman"/>
          <w:sz w:val="28"/>
        </w:rPr>
        <w:footnoteReference w:id="66"/>
      </w:r>
      <w:r w:rsidRPr="003F6DBE">
        <w:rPr>
          <w:rFonts w:ascii="Times New Roman" w:hAnsi="Times New Roman" w:cs="Times New Roman"/>
          <w:sz w:val="28"/>
        </w:rPr>
        <w:t>, C-073 de 2018</w:t>
      </w:r>
      <w:r w:rsidRPr="003F6DBE">
        <w:rPr>
          <w:rStyle w:val="Refdenotaalpie"/>
          <w:rFonts w:ascii="Times New Roman" w:hAnsi="Times New Roman"/>
          <w:sz w:val="28"/>
        </w:rPr>
        <w:footnoteReference w:id="67"/>
      </w:r>
      <w:r w:rsidRPr="003F6DBE">
        <w:rPr>
          <w:rFonts w:ascii="Times New Roman" w:hAnsi="Times New Roman" w:cs="Times New Roman"/>
          <w:sz w:val="28"/>
        </w:rPr>
        <w:t xml:space="preserve"> y C-480 de 2019</w:t>
      </w:r>
      <w:r w:rsidRPr="003F6DBE">
        <w:rPr>
          <w:rStyle w:val="Refdenotaalpie"/>
          <w:rFonts w:ascii="Times New Roman" w:hAnsi="Times New Roman"/>
          <w:sz w:val="28"/>
        </w:rPr>
        <w:footnoteReference w:id="68"/>
      </w:r>
      <w:r w:rsidRPr="003F6DBE">
        <w:rPr>
          <w:rFonts w:ascii="Times New Roman" w:hAnsi="Times New Roman" w:cs="Times New Roman"/>
          <w:sz w:val="28"/>
        </w:rPr>
        <w:t xml:space="preserve">, tampoco apoyarían una conclusión en esa dirección, pues en todas ellas se incluye en el estudio a la comunidad étnica de San Andrés, Providencia y Santa Catalina. Incluso, en la corrección de la demanda se indicó que </w:t>
      </w:r>
      <w:r w:rsidRPr="003F6DBE">
        <w:rPr>
          <w:rFonts w:ascii="Times New Roman" w:hAnsi="Times New Roman" w:cs="Times New Roman"/>
          <w:sz w:val="28"/>
        </w:rPr>
        <w:t>se debía tener en cuenta lo dispuesto</w:t>
      </w:r>
      <w:r w:rsidRPr="003F6DBE">
        <w:rPr>
          <w:rFonts w:ascii="Times New Roman" w:hAnsi="Times New Roman" w:cs="Times New Roman"/>
          <w:sz w:val="28"/>
        </w:rPr>
        <w:t xml:space="preserve"> en </w:t>
      </w:r>
      <w:r w:rsidRPr="003F6DBE">
        <w:rPr>
          <w:rFonts w:ascii="Times New Roman" w:hAnsi="Times New Roman" w:cs="Times New Roman"/>
          <w:sz w:val="28"/>
        </w:rPr>
        <w:t>el artículo 8 de la Constitución</w:t>
      </w:r>
      <w:r w:rsidRPr="003F6DBE">
        <w:rPr>
          <w:rFonts w:ascii="Times New Roman" w:hAnsi="Times New Roman" w:cs="Times New Roman"/>
          <w:sz w:val="28"/>
        </w:rPr>
        <w:t>, que</w:t>
      </w:r>
      <w:r w:rsidRPr="003F6DBE">
        <w:rPr>
          <w:rFonts w:ascii="Times New Roman" w:hAnsi="Times New Roman" w:cs="Times New Roman"/>
          <w:sz w:val="28"/>
        </w:rPr>
        <w:t xml:space="preserve"> indica que el Estado tiene la obligación de proteger la riqueza cultural de la nación, la que fue definida como pluriétnica. </w:t>
      </w:r>
    </w:p>
    <w:p w:rsidR="00C91F4A" w:rsidRPr="003F6DBE" w:rsidRDefault="003F6DBE" w:rsidP="00DA100F">
      <w:pPr>
        <w:pStyle w:val="Prrafodelista"/>
        <w:ind w:right="49"/>
        <w:rPr>
          <w:rFonts w:ascii="Times New Roman" w:eastAsia="Times New Roman" w:hAnsi="Times New Roman" w:cs="Times New Roman"/>
          <w:sz w:val="28"/>
          <w:szCs w:val="28"/>
        </w:rPr>
      </w:pPr>
    </w:p>
    <w:p w:rsidR="001F0E91" w:rsidRPr="003F6DBE" w:rsidRDefault="003F6DBE" w:rsidP="00DA100F">
      <w:pPr>
        <w:pStyle w:val="Prrafodelista"/>
        <w:numPr>
          <w:ilvl w:val="0"/>
          <w:numId w:val="2"/>
        </w:numPr>
        <w:shd w:val="clear" w:color="auto" w:fill="FFFFFF"/>
        <w:spacing w:after="0" w:line="240" w:lineRule="auto"/>
        <w:ind w:left="0" w:right="49" w:firstLine="0"/>
        <w:jc w:val="both"/>
        <w:rPr>
          <w:rFonts w:ascii="Times New Roman" w:eastAsia="Times New Roman" w:hAnsi="Times New Roman" w:cs="Times New Roman"/>
          <w:sz w:val="28"/>
          <w:szCs w:val="28"/>
        </w:rPr>
      </w:pPr>
      <w:r w:rsidRPr="003F6DBE">
        <w:rPr>
          <w:rFonts w:ascii="Times New Roman" w:hAnsi="Times New Roman" w:cs="Times New Roman"/>
          <w:sz w:val="28"/>
        </w:rPr>
        <w:t>E</w:t>
      </w:r>
      <w:r w:rsidRPr="003F6DBE">
        <w:rPr>
          <w:rFonts w:ascii="Times New Roman" w:hAnsi="Times New Roman" w:cs="Times New Roman"/>
          <w:sz w:val="28"/>
        </w:rPr>
        <w:t>n conclusión, de encontrar que la demanda no es apta frente a determinada comunidad af</w:t>
      </w:r>
      <w:r w:rsidRPr="003F6DBE">
        <w:rPr>
          <w:rFonts w:ascii="Times New Roman" w:hAnsi="Times New Roman" w:cs="Times New Roman"/>
          <w:sz w:val="28"/>
        </w:rPr>
        <w:t xml:space="preserve">rocolombiana, no es posible fraccionar la base del cuestionamiento formulado pues ello iría en detrimento de </w:t>
      </w:r>
      <w:r w:rsidRPr="003F6DBE">
        <w:rPr>
          <w:rFonts w:ascii="Times New Roman" w:hAnsi="Times New Roman" w:cs="Times New Roman"/>
          <w:sz w:val="28"/>
        </w:rPr>
        <w:t>la propia</w:t>
      </w:r>
      <w:r w:rsidRPr="003F6DBE">
        <w:rPr>
          <w:rFonts w:ascii="Times New Roman" w:hAnsi="Times New Roman" w:cs="Times New Roman"/>
          <w:sz w:val="28"/>
        </w:rPr>
        <w:t xml:space="preserve"> pretensión</w:t>
      </w:r>
      <w:r w:rsidRPr="003F6DBE">
        <w:rPr>
          <w:rFonts w:ascii="Times New Roman" w:hAnsi="Times New Roman" w:cs="Times New Roman"/>
          <w:sz w:val="28"/>
        </w:rPr>
        <w:t xml:space="preserve"> que activa la competencia de la Corte</w:t>
      </w:r>
      <w:r w:rsidRPr="003F6DBE">
        <w:rPr>
          <w:rFonts w:ascii="Times New Roman" w:hAnsi="Times New Roman" w:cs="Times New Roman"/>
          <w:sz w:val="28"/>
        </w:rPr>
        <w:t xml:space="preserve">, del mandato unitario de protección a la diversidad étnica y del derecho a la igualdad. </w:t>
      </w:r>
      <w:r w:rsidRPr="003F6DBE">
        <w:rPr>
          <w:rFonts w:ascii="Times New Roman" w:hAnsi="Times New Roman" w:cs="Times New Roman"/>
          <w:sz w:val="28"/>
        </w:rPr>
        <w:t xml:space="preserve">Con mayor razón si, en términos prácticos, ello tampoco parece posible en tanto la sentencia </w:t>
      </w:r>
      <w:r w:rsidRPr="003F6DBE">
        <w:rPr>
          <w:rFonts w:ascii="Times New Roman" w:hAnsi="Times New Roman" w:cs="Times New Roman"/>
          <w:sz w:val="28"/>
          <w:shd w:val="clear" w:color="auto" w:fill="FFFFFF"/>
        </w:rPr>
        <w:t>C-169 de 2001</w:t>
      </w:r>
      <w:r w:rsidRPr="003F6DBE">
        <w:rPr>
          <w:rStyle w:val="Refdenotaalpie"/>
          <w:rFonts w:ascii="Times New Roman" w:hAnsi="Times New Roman"/>
          <w:sz w:val="28"/>
          <w:shd w:val="clear" w:color="auto" w:fill="FFFFFF"/>
        </w:rPr>
        <w:footnoteReference w:id="69"/>
      </w:r>
      <w:r w:rsidRPr="003F6DBE">
        <w:rPr>
          <w:rFonts w:ascii="Times New Roman" w:hAnsi="Times New Roman" w:cs="Times New Roman"/>
          <w:sz w:val="28"/>
          <w:shd w:val="clear" w:color="auto" w:fill="FFFFFF"/>
        </w:rPr>
        <w:t xml:space="preserve"> adujo </w:t>
      </w:r>
      <w:r w:rsidRPr="003F6DBE">
        <w:rPr>
          <w:rFonts w:ascii="Times New Roman" w:eastAsia="Aptos" w:hAnsi="Times New Roman" w:cs="Times New Roman"/>
          <w:sz w:val="28"/>
          <w:szCs w:val="28"/>
          <w:shd w:val="clear" w:color="auto" w:fill="FFFFFF"/>
        </w:rPr>
        <w:t>que la expresión “</w:t>
      </w:r>
      <w:r w:rsidRPr="003F6DBE">
        <w:rPr>
          <w:rFonts w:ascii="Times New Roman" w:eastAsia="Aptos" w:hAnsi="Times New Roman" w:cs="Times New Roman"/>
          <w:i/>
          <w:iCs/>
          <w:sz w:val="28"/>
          <w:szCs w:val="28"/>
          <w:shd w:val="clear" w:color="auto" w:fill="FFFFFF"/>
        </w:rPr>
        <w:t>comunidades negras</w:t>
      </w:r>
      <w:r w:rsidRPr="003F6DBE">
        <w:rPr>
          <w:rFonts w:ascii="Times New Roman" w:eastAsia="Aptos" w:hAnsi="Times New Roman" w:cs="Times New Roman"/>
          <w:sz w:val="28"/>
          <w:szCs w:val="28"/>
          <w:shd w:val="clear" w:color="auto" w:fill="FFFFFF"/>
        </w:rPr>
        <w:t>” que se deriva de la Ley 70 de 1993, a falta de mención expresa de los raizales, no puede leerse al marge</w:t>
      </w:r>
      <w:r w:rsidRPr="003F6DBE">
        <w:rPr>
          <w:rFonts w:ascii="Times New Roman" w:eastAsia="Aptos" w:hAnsi="Times New Roman" w:cs="Times New Roman"/>
          <w:sz w:val="28"/>
          <w:szCs w:val="28"/>
          <w:shd w:val="clear" w:color="auto" w:fill="FFFFFF"/>
        </w:rPr>
        <w:t xml:space="preserve">n de </w:t>
      </w:r>
      <w:r w:rsidRPr="003F6DBE">
        <w:rPr>
          <w:rFonts w:ascii="Times New Roman" w:eastAsia="Aptos" w:hAnsi="Times New Roman" w:cs="Times New Roman"/>
          <w:sz w:val="28"/>
          <w:szCs w:val="28"/>
          <w:shd w:val="clear" w:color="auto" w:fill="FFFFFF"/>
        </w:rPr>
        <w:t>ellos</w:t>
      </w:r>
      <w:r w:rsidRPr="003F6DBE">
        <w:rPr>
          <w:rStyle w:val="Refdenotaalpie"/>
          <w:rFonts w:ascii="Times New Roman" w:eastAsia="Aptos" w:hAnsi="Times New Roman"/>
          <w:sz w:val="28"/>
          <w:szCs w:val="28"/>
          <w:shd w:val="clear" w:color="auto" w:fill="FFFFFF"/>
        </w:rPr>
        <w:footnoteReference w:id="70"/>
      </w:r>
      <w:r w:rsidRPr="003F6DBE">
        <w:rPr>
          <w:rFonts w:ascii="Times New Roman" w:eastAsia="Aptos" w:hAnsi="Times New Roman" w:cs="Times New Roman"/>
          <w:sz w:val="28"/>
          <w:szCs w:val="28"/>
          <w:shd w:val="clear" w:color="auto" w:fill="FFFFFF"/>
        </w:rPr>
        <w:t>.</w:t>
      </w:r>
    </w:p>
    <w:p w:rsidR="00A93B4F" w:rsidRPr="003F6DBE" w:rsidRDefault="003F6DBE" w:rsidP="00DA100F">
      <w:pPr>
        <w:pStyle w:val="Prrafodelista"/>
        <w:shd w:val="clear" w:color="auto" w:fill="FFFFFF"/>
        <w:spacing w:after="0" w:line="240" w:lineRule="auto"/>
        <w:ind w:left="0" w:right="49"/>
        <w:jc w:val="both"/>
        <w:rPr>
          <w:rFonts w:ascii="Times New Roman" w:eastAsia="Times New Roman" w:hAnsi="Times New Roman" w:cs="Times New Roman"/>
          <w:sz w:val="28"/>
          <w:szCs w:val="28"/>
        </w:rPr>
      </w:pPr>
    </w:p>
    <w:p w:rsidR="00887B5E" w:rsidRPr="003F6DBE" w:rsidRDefault="003F6DBE" w:rsidP="00DA100F">
      <w:pPr>
        <w:pStyle w:val="Prrafodelista"/>
        <w:numPr>
          <w:ilvl w:val="0"/>
          <w:numId w:val="7"/>
        </w:numPr>
        <w:spacing w:line="240" w:lineRule="auto"/>
        <w:ind w:right="49"/>
        <w:jc w:val="both"/>
        <w:rPr>
          <w:rFonts w:ascii="Times New Roman" w:eastAsia="Times New Roman" w:hAnsi="Times New Roman" w:cs="Times New Roman"/>
          <w:b/>
          <w:bCs/>
          <w:sz w:val="28"/>
          <w:szCs w:val="28"/>
        </w:rPr>
      </w:pPr>
      <w:bookmarkStart w:id="16" w:name="_Hlk161323154"/>
      <w:bookmarkEnd w:id="13"/>
      <w:bookmarkEnd w:id="14"/>
      <w:bookmarkEnd w:id="15"/>
      <w:r w:rsidRPr="003F6DBE">
        <w:rPr>
          <w:rFonts w:ascii="Times New Roman" w:eastAsia="Times New Roman" w:hAnsi="Times New Roman" w:cs="Times New Roman"/>
          <w:b/>
          <w:bCs/>
          <w:sz w:val="28"/>
          <w:szCs w:val="28"/>
        </w:rPr>
        <w:t>Ineptitud sustantiva de la demanda: ausencia de certeza y suficiencia en la argumentación propuesta por los demandantes</w:t>
      </w:r>
    </w:p>
    <w:p w:rsidR="006C4A70" w:rsidRPr="003F6DBE" w:rsidRDefault="003F6DBE" w:rsidP="00DA100F">
      <w:pPr>
        <w:pStyle w:val="Prrafodelista"/>
        <w:spacing w:line="240" w:lineRule="auto"/>
        <w:ind w:right="49"/>
        <w:jc w:val="both"/>
        <w:rPr>
          <w:rFonts w:ascii="Times New Roman" w:eastAsia="Times New Roman" w:hAnsi="Times New Roman" w:cs="Times New Roman"/>
          <w:b/>
          <w:bCs/>
          <w:sz w:val="28"/>
          <w:szCs w:val="28"/>
        </w:rPr>
      </w:pPr>
    </w:p>
    <w:p w:rsidR="006650EC" w:rsidRPr="003F6DBE" w:rsidRDefault="003F6DBE" w:rsidP="00DA100F">
      <w:pPr>
        <w:pStyle w:val="Prrafodelista"/>
        <w:numPr>
          <w:ilvl w:val="0"/>
          <w:numId w:val="2"/>
        </w:numPr>
        <w:spacing w:line="240" w:lineRule="auto"/>
        <w:ind w:left="0" w:right="49" w:firstLine="0"/>
        <w:jc w:val="both"/>
        <w:rPr>
          <w:rFonts w:ascii="Times New Roman" w:eastAsia="Times New Roman" w:hAnsi="Times New Roman" w:cs="Times New Roman"/>
          <w:b/>
          <w:bCs/>
          <w:sz w:val="28"/>
          <w:szCs w:val="28"/>
        </w:rPr>
      </w:pPr>
      <w:r w:rsidRPr="003F6DBE">
        <w:rPr>
          <w:rFonts w:ascii="Times New Roman" w:eastAsia="Times New Roman" w:hAnsi="Times New Roman" w:cs="Times New Roman"/>
          <w:sz w:val="28"/>
          <w:szCs w:val="28"/>
        </w:rPr>
        <w:t>Al retomar la cuestión presentada, se tiene que l</w:t>
      </w:r>
      <w:r w:rsidRPr="003F6DBE">
        <w:rPr>
          <w:rFonts w:ascii="Times New Roman" w:eastAsiaTheme="minorHAnsi" w:hAnsi="Times New Roman" w:cs="Times New Roman"/>
          <w:sz w:val="28"/>
        </w:rPr>
        <w:t xml:space="preserve">os ciudadanos Libardo José Ariza Higuera, Ramiro Rodríguez Padilla y </w:t>
      </w:r>
      <w:r w:rsidRPr="003F6DBE">
        <w:rPr>
          <w:rFonts w:ascii="Times New Roman" w:eastAsiaTheme="minorHAnsi" w:hAnsi="Times New Roman" w:cs="Times New Roman"/>
          <w:sz w:val="28"/>
        </w:rPr>
        <w:t>Jeison Eduardo Palacios</w:t>
      </w:r>
      <w:r w:rsidRPr="003F6DBE">
        <w:rPr>
          <w:rStyle w:val="Refdenotaalpie"/>
          <w:rFonts w:ascii="Times New Roman" w:eastAsiaTheme="minorHAnsi" w:hAnsi="Times New Roman"/>
          <w:sz w:val="28"/>
        </w:rPr>
        <w:footnoteReference w:id="71"/>
      </w:r>
      <w:r w:rsidRPr="003F6DBE">
        <w:rPr>
          <w:rFonts w:ascii="Times New Roman" w:eastAsiaTheme="minorHAnsi" w:hAnsi="Times New Roman" w:cs="Times New Roman"/>
          <w:sz w:val="28"/>
        </w:rPr>
        <w:t xml:space="preserve">  presentaron demanda de inconstitucionalidad contra la expresión “</w:t>
      </w:r>
      <w:r w:rsidRPr="003F6DBE">
        <w:rPr>
          <w:rFonts w:ascii="Times New Roman" w:eastAsiaTheme="minorHAnsi" w:hAnsi="Times New Roman" w:cs="Times New Roman"/>
          <w:i/>
          <w:iCs/>
          <w:sz w:val="28"/>
        </w:rPr>
        <w:t>i</w:t>
      </w:r>
      <w:r w:rsidRPr="003F6DBE">
        <w:rPr>
          <w:rFonts w:ascii="Times New Roman" w:eastAsiaTheme="minorHAnsi" w:hAnsi="Times New Roman" w:cs="Times New Roman"/>
          <w:i/>
          <w:iCs/>
          <w:sz w:val="28"/>
        </w:rPr>
        <w:t>ndígena</w:t>
      </w:r>
      <w:r w:rsidRPr="003F6DBE">
        <w:rPr>
          <w:rFonts w:ascii="Times New Roman" w:eastAsiaTheme="minorHAnsi" w:hAnsi="Times New Roman" w:cs="Times New Roman"/>
          <w:sz w:val="28"/>
        </w:rPr>
        <w:t>s”, incluida en el artículo 5; en el parágrafo 2 del artículo 7; así como en los artículos 8 y 10 de la Ley 191 de 1995. Como sustento, explicaron que era ne</w:t>
      </w:r>
      <w:r w:rsidRPr="003F6DBE">
        <w:rPr>
          <w:rFonts w:ascii="Times New Roman" w:eastAsiaTheme="minorHAnsi" w:hAnsi="Times New Roman" w:cs="Times New Roman"/>
          <w:sz w:val="28"/>
        </w:rPr>
        <w:t>cesario considerar que la protección constitucional que existe en favor de la identidad y de la diversidad étnica y cultural de la Nación, no sólo está dispuesta en favor de las comunidades indígenas, sino que también beneficia a las comunidades negras, af</w:t>
      </w:r>
      <w:r w:rsidRPr="003F6DBE">
        <w:rPr>
          <w:rFonts w:ascii="Times New Roman" w:eastAsiaTheme="minorHAnsi" w:hAnsi="Times New Roman" w:cs="Times New Roman"/>
          <w:sz w:val="28"/>
        </w:rPr>
        <w:t>rocolombianas, raizales y palenqueras (artículos 1, 2, 7, 13, 70, 93, 310 y 55 transitorio de la Constitución Política y el Convenio 169 de la OIT). En consecuencia, después de formular en la demanda y su corrección un juicio de omisión legislativa relativ</w:t>
      </w:r>
      <w:r w:rsidRPr="003F6DBE">
        <w:rPr>
          <w:rFonts w:ascii="Times New Roman" w:eastAsiaTheme="minorHAnsi" w:hAnsi="Times New Roman" w:cs="Times New Roman"/>
          <w:sz w:val="28"/>
        </w:rPr>
        <w:t>a, concluyeron que existía una regulación deficitaria, que había desconocido el anterior mandato específico, al comprobarse que las comunidades afrodescendientes también están ubicadas en la zona de frontera y, por ello, su exclusión normativa carece de ra</w:t>
      </w:r>
      <w:r w:rsidRPr="003F6DBE">
        <w:rPr>
          <w:rFonts w:ascii="Times New Roman" w:eastAsiaTheme="minorHAnsi" w:hAnsi="Times New Roman" w:cs="Times New Roman"/>
          <w:sz w:val="28"/>
        </w:rPr>
        <w:t>zón suficiente. En consecuencia, solicitaron a este tribunal condicionar tales disposiciones en el entendido de que también incluyen “</w:t>
      </w:r>
      <w:r w:rsidRPr="003F6DBE">
        <w:rPr>
          <w:rFonts w:ascii="Times New Roman" w:hAnsi="Times New Roman" w:cs="Times New Roman"/>
          <w:i/>
          <w:iCs/>
          <w:sz w:val="28"/>
        </w:rPr>
        <w:t>a los integrantes de comunidades negras, afrocolombianas, raizales y palenqueras</w:t>
      </w:r>
      <w:r w:rsidRPr="003F6DBE">
        <w:rPr>
          <w:rFonts w:ascii="Times New Roman" w:hAnsi="Times New Roman" w:cs="Times New Roman"/>
          <w:sz w:val="28"/>
        </w:rPr>
        <w:t>”.</w:t>
      </w:r>
    </w:p>
    <w:p w:rsidR="006650EC" w:rsidRPr="003F6DBE" w:rsidRDefault="003F6DBE" w:rsidP="00DA100F">
      <w:pPr>
        <w:pStyle w:val="Prrafodelista"/>
        <w:spacing w:line="240" w:lineRule="auto"/>
        <w:ind w:left="0" w:right="49"/>
        <w:jc w:val="both"/>
        <w:rPr>
          <w:rFonts w:ascii="Times New Roman" w:eastAsia="Times New Roman" w:hAnsi="Times New Roman" w:cs="Times New Roman"/>
          <w:b/>
          <w:bCs/>
          <w:sz w:val="28"/>
          <w:szCs w:val="28"/>
        </w:rPr>
      </w:pPr>
    </w:p>
    <w:p w:rsidR="006650EC" w:rsidRPr="003F6DBE" w:rsidRDefault="003F6DBE" w:rsidP="00DA100F">
      <w:pPr>
        <w:pStyle w:val="Prrafodelista"/>
        <w:numPr>
          <w:ilvl w:val="0"/>
          <w:numId w:val="2"/>
        </w:numPr>
        <w:spacing w:line="240" w:lineRule="auto"/>
        <w:ind w:left="0" w:right="49" w:firstLine="0"/>
        <w:jc w:val="both"/>
        <w:rPr>
          <w:rFonts w:ascii="Times New Roman" w:eastAsia="Times New Roman" w:hAnsi="Times New Roman" w:cs="Times New Roman"/>
          <w:b/>
          <w:bCs/>
          <w:sz w:val="28"/>
          <w:szCs w:val="28"/>
        </w:rPr>
      </w:pPr>
      <w:r w:rsidRPr="003F6DBE">
        <w:rPr>
          <w:rFonts w:ascii="Times New Roman" w:eastAsiaTheme="minorHAnsi" w:hAnsi="Times New Roman" w:cs="Times New Roman"/>
          <w:sz w:val="28"/>
        </w:rPr>
        <w:t>No obstante, previo a efectuar un pron</w:t>
      </w:r>
      <w:r w:rsidRPr="003F6DBE">
        <w:rPr>
          <w:rFonts w:ascii="Times New Roman" w:eastAsiaTheme="minorHAnsi" w:hAnsi="Times New Roman" w:cs="Times New Roman"/>
          <w:sz w:val="28"/>
        </w:rPr>
        <w:t>unciamiento de fondo, la Sala Plena constata que la demanda no es apta en consideración a que no se integró la proposición jurídica completa y de que, en realidad, la expresión demandada, esto es la palabra “</w:t>
      </w:r>
      <w:r w:rsidRPr="003F6DBE">
        <w:rPr>
          <w:rFonts w:ascii="Times New Roman" w:eastAsiaTheme="minorHAnsi" w:hAnsi="Times New Roman" w:cs="Times New Roman"/>
          <w:i/>
          <w:iCs/>
          <w:sz w:val="28"/>
        </w:rPr>
        <w:t>indígenas</w:t>
      </w:r>
      <w:r w:rsidRPr="003F6DBE">
        <w:rPr>
          <w:rFonts w:ascii="Times New Roman" w:eastAsiaTheme="minorHAnsi" w:hAnsi="Times New Roman" w:cs="Times New Roman"/>
          <w:sz w:val="28"/>
        </w:rPr>
        <w:t>”, no contiene una regla de derecho sus</w:t>
      </w:r>
      <w:r w:rsidRPr="003F6DBE">
        <w:rPr>
          <w:rFonts w:ascii="Times New Roman" w:eastAsiaTheme="minorHAnsi" w:hAnsi="Times New Roman" w:cs="Times New Roman"/>
          <w:sz w:val="28"/>
        </w:rPr>
        <w:t>ceptible de ser controlada mediante la acción pública de inconstitucionalidad. Si bien de manera excepcional la Corte Constitucional ha integrado algunas expresiones para evitar decisiones inhibitorias, como así se explicó en la sentencia C-495 de 2019</w:t>
      </w:r>
      <w:r w:rsidRPr="003F6DBE">
        <w:rPr>
          <w:rStyle w:val="Refdenotaalpie"/>
          <w:rFonts w:ascii="Times New Roman" w:eastAsiaTheme="minorHAnsi" w:hAnsi="Times New Roman"/>
          <w:sz w:val="28"/>
        </w:rPr>
        <w:footnoteReference w:id="72"/>
      </w:r>
      <w:r w:rsidRPr="003F6DBE">
        <w:rPr>
          <w:rFonts w:ascii="Times New Roman" w:eastAsiaTheme="minorHAnsi" w:hAnsi="Times New Roman" w:cs="Times New Roman"/>
          <w:sz w:val="28"/>
        </w:rPr>
        <w:t>, e</w:t>
      </w:r>
      <w:r w:rsidRPr="003F6DBE">
        <w:rPr>
          <w:rFonts w:ascii="Times New Roman" w:eastAsiaTheme="minorHAnsi" w:hAnsi="Times New Roman" w:cs="Times New Roman"/>
          <w:sz w:val="28"/>
        </w:rPr>
        <w:t xml:space="preserve">n este caso no se considera viable proceder a ello tras encontrar que, además, se presenta una discusión particular sobre la aptitud sustantiva de la demanda en relación con la comunidad raizal. </w:t>
      </w:r>
    </w:p>
    <w:p w:rsidR="006650EC" w:rsidRPr="003F6DBE" w:rsidRDefault="003F6DBE" w:rsidP="00DA100F">
      <w:pPr>
        <w:pStyle w:val="Prrafodelista"/>
        <w:ind w:right="49"/>
        <w:rPr>
          <w:rFonts w:ascii="Times New Roman" w:eastAsia="Times New Roman" w:hAnsi="Times New Roman" w:cs="Times New Roman"/>
          <w:b/>
          <w:bCs/>
          <w:sz w:val="28"/>
          <w:szCs w:val="28"/>
        </w:rPr>
      </w:pPr>
    </w:p>
    <w:bookmarkEnd w:id="16"/>
    <w:p w:rsidR="00847229" w:rsidRPr="003F6DBE" w:rsidRDefault="003F6DBE" w:rsidP="00DA100F">
      <w:pPr>
        <w:pStyle w:val="Prrafodelista"/>
        <w:numPr>
          <w:ilvl w:val="0"/>
          <w:numId w:val="2"/>
        </w:numPr>
        <w:spacing w:line="240" w:lineRule="auto"/>
        <w:ind w:left="0" w:right="49" w:firstLine="0"/>
        <w:jc w:val="both"/>
        <w:rPr>
          <w:rFonts w:ascii="Times New Roman" w:eastAsia="Times New Roman" w:hAnsi="Times New Roman" w:cs="Times New Roman"/>
          <w:b/>
          <w:bCs/>
          <w:sz w:val="28"/>
          <w:szCs w:val="28"/>
        </w:rPr>
      </w:pPr>
      <w:r w:rsidRPr="003F6DBE">
        <w:rPr>
          <w:rFonts w:ascii="Times New Roman" w:eastAsiaTheme="minorHAnsi" w:hAnsi="Times New Roman" w:cs="Times New Roman"/>
          <w:sz w:val="28"/>
        </w:rPr>
        <w:t>En concreto, pese a que ningún interviniente cuestionó este</w:t>
      </w:r>
      <w:r w:rsidRPr="003F6DBE">
        <w:rPr>
          <w:rFonts w:ascii="Times New Roman" w:eastAsiaTheme="minorHAnsi" w:hAnsi="Times New Roman" w:cs="Times New Roman"/>
          <w:sz w:val="28"/>
        </w:rPr>
        <w:t xml:space="preserve"> asunto,</w:t>
      </w:r>
      <w:r w:rsidRPr="003F6DBE">
        <w:rPr>
          <w:rFonts w:ascii="Times New Roman" w:eastAsiaTheme="minorHAnsi" w:hAnsi="Times New Roman" w:cs="Times New Roman"/>
          <w:sz w:val="28"/>
        </w:rPr>
        <w:t xml:space="preserve"> se concluye que</w:t>
      </w:r>
      <w:r w:rsidRPr="003F6DBE">
        <w:rPr>
          <w:rFonts w:ascii="Times New Roman" w:eastAsiaTheme="minorHAnsi" w:hAnsi="Times New Roman" w:cs="Times New Roman"/>
          <w:sz w:val="28"/>
        </w:rPr>
        <w:t xml:space="preserve"> los demandantes debían sustentar de mejor manera la existencia de una omisión legislativa relativa, por cuenta de que el artículo 53 de la Ley 191 de 1995, que no se integró al análisis de los cargos, dispone lo siguiente: “[l]</w:t>
      </w:r>
      <w:r w:rsidRPr="003F6DBE">
        <w:rPr>
          <w:rFonts w:ascii="Times New Roman" w:eastAsiaTheme="minorHAnsi" w:hAnsi="Times New Roman" w:cs="Times New Roman"/>
          <w:i/>
          <w:iCs/>
          <w:sz w:val="28"/>
        </w:rPr>
        <w:t>La p</w:t>
      </w:r>
      <w:r w:rsidRPr="003F6DBE">
        <w:rPr>
          <w:rFonts w:ascii="Times New Roman" w:eastAsiaTheme="minorHAnsi" w:hAnsi="Times New Roman" w:cs="Times New Roman"/>
          <w:i/>
          <w:iCs/>
          <w:sz w:val="28"/>
        </w:rPr>
        <w:t>resente Ley no se aplicará en el Departamento Archipiélago de San Andrés, Providencia y Santa Catalina objeto de normas especiales, salvo a lo relativo a la asesoría y apoyo de las instituciones oficiales de Educación Superior”</w:t>
      </w:r>
      <w:r w:rsidRPr="003F6DBE">
        <w:rPr>
          <w:rFonts w:ascii="Times New Roman" w:eastAsiaTheme="minorHAnsi" w:hAnsi="Times New Roman" w:cs="Times New Roman"/>
          <w:sz w:val="28"/>
        </w:rPr>
        <w:t xml:space="preserve">. En consecuencia, </w:t>
      </w:r>
      <w:r w:rsidRPr="003F6DBE">
        <w:rPr>
          <w:rFonts w:ascii="Times New Roman" w:eastAsiaTheme="minorHAnsi" w:hAnsi="Times New Roman" w:cs="Times New Roman"/>
          <w:sz w:val="28"/>
        </w:rPr>
        <w:t>el análisi</w:t>
      </w:r>
      <w:r w:rsidRPr="003F6DBE">
        <w:rPr>
          <w:rFonts w:ascii="Times New Roman" w:eastAsiaTheme="minorHAnsi" w:hAnsi="Times New Roman" w:cs="Times New Roman"/>
          <w:sz w:val="28"/>
        </w:rPr>
        <w:t>s efectuado en la demanda frente a</w:t>
      </w:r>
      <w:r w:rsidRPr="003F6DBE">
        <w:rPr>
          <w:rFonts w:ascii="Times New Roman" w:eastAsiaTheme="minorHAnsi" w:hAnsi="Times New Roman" w:cs="Times New Roman"/>
          <w:sz w:val="28"/>
        </w:rPr>
        <w:t xml:space="preserve"> las disposiciones acusadas </w:t>
      </w:r>
      <w:r w:rsidRPr="003F6DBE">
        <w:rPr>
          <w:rFonts w:ascii="Times New Roman" w:eastAsiaTheme="minorHAnsi" w:hAnsi="Times New Roman" w:cs="Times New Roman"/>
          <w:sz w:val="28"/>
        </w:rPr>
        <w:t>fue</w:t>
      </w:r>
      <w:r w:rsidRPr="003F6DBE">
        <w:rPr>
          <w:rFonts w:ascii="Times New Roman" w:eastAsiaTheme="minorHAnsi" w:hAnsi="Times New Roman" w:cs="Times New Roman"/>
          <w:sz w:val="28"/>
        </w:rPr>
        <w:t xml:space="preserve"> incomplet</w:t>
      </w:r>
      <w:r w:rsidRPr="003F6DBE">
        <w:rPr>
          <w:rFonts w:ascii="Times New Roman" w:eastAsiaTheme="minorHAnsi" w:hAnsi="Times New Roman" w:cs="Times New Roman"/>
          <w:sz w:val="28"/>
        </w:rPr>
        <w:t>o</w:t>
      </w:r>
      <w:r w:rsidRPr="003F6DBE">
        <w:rPr>
          <w:rFonts w:ascii="Times New Roman" w:eastAsiaTheme="minorHAnsi" w:hAnsi="Times New Roman" w:cs="Times New Roman"/>
          <w:sz w:val="28"/>
        </w:rPr>
        <w:t>, al menos respecto de la comunidad raizal del Archipiélago de San Andrés, Providencia y Santa Catalina.</w:t>
      </w:r>
      <w:r w:rsidRPr="003F6DBE">
        <w:rPr>
          <w:rFonts w:ascii="Times New Roman" w:eastAsiaTheme="minorHAnsi" w:hAnsi="Times New Roman" w:cs="Times New Roman"/>
          <w:sz w:val="28"/>
        </w:rPr>
        <w:t xml:space="preserve"> </w:t>
      </w:r>
      <w:r w:rsidRPr="003F6DBE">
        <w:rPr>
          <w:rFonts w:ascii="Times New Roman" w:eastAsiaTheme="minorHAnsi" w:hAnsi="Times New Roman" w:cs="Times New Roman"/>
          <w:sz w:val="28"/>
        </w:rPr>
        <w:t>Por ende</w:t>
      </w:r>
      <w:r w:rsidRPr="003F6DBE">
        <w:rPr>
          <w:rFonts w:ascii="Times New Roman" w:eastAsiaTheme="minorHAnsi" w:hAnsi="Times New Roman" w:cs="Times New Roman"/>
          <w:sz w:val="28"/>
        </w:rPr>
        <w:t xml:space="preserve">, al </w:t>
      </w:r>
      <w:r w:rsidRPr="003F6DBE">
        <w:rPr>
          <w:rFonts w:ascii="Times New Roman" w:eastAsiaTheme="minorHAnsi" w:hAnsi="Times New Roman" w:cs="Times New Roman"/>
          <w:sz w:val="28"/>
        </w:rPr>
        <w:t xml:space="preserve">no haberse integrado esta </w:t>
      </w:r>
      <w:r w:rsidRPr="003F6DBE">
        <w:rPr>
          <w:rFonts w:ascii="Times New Roman" w:eastAsiaTheme="minorHAnsi" w:hAnsi="Times New Roman" w:cs="Times New Roman"/>
          <w:sz w:val="28"/>
        </w:rPr>
        <w:t xml:space="preserve">norma </w:t>
      </w:r>
      <w:r w:rsidRPr="003F6DBE">
        <w:rPr>
          <w:rFonts w:ascii="Times New Roman" w:eastAsiaTheme="minorHAnsi" w:hAnsi="Times New Roman" w:cs="Times New Roman"/>
          <w:sz w:val="28"/>
        </w:rPr>
        <w:t xml:space="preserve">al análisis, no es del todo </w:t>
      </w:r>
      <w:r w:rsidRPr="003F6DBE">
        <w:rPr>
          <w:rFonts w:ascii="Times New Roman" w:eastAsiaTheme="minorHAnsi" w:hAnsi="Times New Roman" w:cs="Times New Roman"/>
          <w:sz w:val="28"/>
        </w:rPr>
        <w:t>claro el contenido de la demanda y la exigencia argumentativa de certeza</w:t>
      </w:r>
      <w:r w:rsidRPr="003F6DBE">
        <w:rPr>
          <w:rFonts w:ascii="Times New Roman" w:eastAsiaTheme="minorHAnsi" w:hAnsi="Times New Roman" w:cs="Times New Roman"/>
          <w:sz w:val="28"/>
        </w:rPr>
        <w:t xml:space="preserve">. Al respecto, se tiene </w:t>
      </w:r>
      <w:r w:rsidRPr="003F6DBE">
        <w:rPr>
          <w:rFonts w:ascii="Times New Roman" w:eastAsiaTheme="minorHAnsi" w:hAnsi="Times New Roman" w:cs="Times New Roman"/>
          <w:sz w:val="28"/>
        </w:rPr>
        <w:t xml:space="preserve"> que la sentencia C-122 de 2020</w:t>
      </w:r>
      <w:r w:rsidRPr="003F6DBE">
        <w:rPr>
          <w:rStyle w:val="Refdenotaalpie"/>
          <w:rFonts w:ascii="Times New Roman" w:eastAsiaTheme="minorHAnsi" w:hAnsi="Times New Roman"/>
          <w:sz w:val="28"/>
        </w:rPr>
        <w:footnoteReference w:id="73"/>
      </w:r>
      <w:r w:rsidRPr="003F6DBE">
        <w:rPr>
          <w:rFonts w:ascii="Times New Roman" w:eastAsiaTheme="minorHAnsi" w:hAnsi="Times New Roman" w:cs="Times New Roman"/>
          <w:sz w:val="28"/>
        </w:rPr>
        <w:t xml:space="preserve"> explicó que en los cargos que se sustentan en una omisión legislativa relativa </w:t>
      </w:r>
      <w:r w:rsidRPr="003F6DBE">
        <w:rPr>
          <w:rFonts w:ascii="Times New Roman" w:eastAsia="Times New Roman" w:hAnsi="Times New Roman" w:cs="Times New Roman"/>
          <w:sz w:val="28"/>
          <w:szCs w:val="28"/>
        </w:rPr>
        <w:t xml:space="preserve"> “</w:t>
      </w:r>
      <w:r w:rsidRPr="003F6DBE">
        <w:rPr>
          <w:rFonts w:ascii="Times New Roman" w:eastAsia="Times New Roman" w:hAnsi="Times New Roman" w:cs="Times New Roman"/>
          <w:i/>
          <w:sz w:val="28"/>
          <w:szCs w:val="28"/>
        </w:rPr>
        <w:t>por tratarse de una acusación que se dirige co</w:t>
      </w:r>
      <w:r w:rsidRPr="003F6DBE">
        <w:rPr>
          <w:rFonts w:ascii="Times New Roman" w:eastAsia="Times New Roman" w:hAnsi="Times New Roman" w:cs="Times New Roman"/>
          <w:i/>
          <w:sz w:val="28"/>
          <w:szCs w:val="28"/>
        </w:rPr>
        <w:t>ntra un vacío parcial, el demandante tiene la carga de demostrar mínimamente que, en efecto, esa indefinición existe” o “lo contrario, llevaría a la Corte a que, por vía de este tipo de censuras, concentrara su actividad en definir las interpretaciones leg</w:t>
      </w:r>
      <w:r w:rsidRPr="003F6DBE">
        <w:rPr>
          <w:rFonts w:ascii="Times New Roman" w:eastAsia="Times New Roman" w:hAnsi="Times New Roman" w:cs="Times New Roman"/>
          <w:i/>
          <w:sz w:val="28"/>
          <w:szCs w:val="28"/>
        </w:rPr>
        <w:t>ales del ordenamiento jurídico y no a examinar si el Legislador vulneró la Carta Política</w:t>
      </w:r>
      <w:r w:rsidRPr="003F6DBE">
        <w:rPr>
          <w:rFonts w:ascii="Times New Roman" w:eastAsia="Times New Roman" w:hAnsi="Times New Roman" w:cs="Times New Roman"/>
          <w:sz w:val="28"/>
          <w:szCs w:val="28"/>
        </w:rPr>
        <w:t>”.</w:t>
      </w:r>
    </w:p>
    <w:p w:rsidR="00847229" w:rsidRPr="003F6DBE" w:rsidRDefault="003F6DBE" w:rsidP="00DA100F">
      <w:pPr>
        <w:pStyle w:val="Prrafodelista"/>
        <w:spacing w:line="240" w:lineRule="auto"/>
        <w:ind w:left="0" w:right="49"/>
        <w:jc w:val="both"/>
        <w:rPr>
          <w:rFonts w:ascii="Times New Roman" w:eastAsia="Times New Roman" w:hAnsi="Times New Roman" w:cs="Times New Roman"/>
          <w:b/>
          <w:bCs/>
          <w:sz w:val="28"/>
          <w:szCs w:val="28"/>
        </w:rPr>
      </w:pPr>
    </w:p>
    <w:p w:rsidR="005F7D79" w:rsidRPr="003F6DBE" w:rsidRDefault="003F6DBE" w:rsidP="00DA100F">
      <w:pPr>
        <w:pStyle w:val="Prrafodelista"/>
        <w:numPr>
          <w:ilvl w:val="0"/>
          <w:numId w:val="2"/>
        </w:numPr>
        <w:spacing w:line="240" w:lineRule="auto"/>
        <w:ind w:left="0" w:right="49" w:firstLine="0"/>
        <w:jc w:val="both"/>
        <w:rPr>
          <w:rFonts w:ascii="Times New Roman" w:eastAsia="Times New Roman" w:hAnsi="Times New Roman" w:cs="Times New Roman"/>
          <w:sz w:val="28"/>
          <w:szCs w:val="28"/>
        </w:rPr>
      </w:pPr>
      <w:r w:rsidRPr="003F6DBE">
        <w:rPr>
          <w:rFonts w:ascii="Times New Roman" w:eastAsia="Times New Roman" w:hAnsi="Times New Roman" w:cs="Times New Roman"/>
          <w:sz w:val="28"/>
          <w:szCs w:val="28"/>
        </w:rPr>
        <w:t>En ese orden de ideas, los demandantes tenían una carga particular de explicar por</w:t>
      </w:r>
      <w:r w:rsidRPr="003F6DBE">
        <w:rPr>
          <w:rFonts w:ascii="Times New Roman" w:eastAsia="Times New Roman" w:hAnsi="Times New Roman" w:cs="Times New Roman"/>
          <w:sz w:val="28"/>
          <w:szCs w:val="28"/>
        </w:rPr>
        <w:t xml:space="preserve"> </w:t>
      </w:r>
      <w:r w:rsidRPr="003F6DBE">
        <w:rPr>
          <w:rFonts w:ascii="Times New Roman" w:eastAsia="Times New Roman" w:hAnsi="Times New Roman" w:cs="Times New Roman"/>
          <w:sz w:val="28"/>
          <w:szCs w:val="28"/>
        </w:rPr>
        <w:t>qu</w:t>
      </w:r>
      <w:r w:rsidRPr="003F6DBE">
        <w:rPr>
          <w:rFonts w:ascii="Times New Roman" w:eastAsia="Times New Roman" w:hAnsi="Times New Roman" w:cs="Times New Roman"/>
          <w:sz w:val="28"/>
          <w:szCs w:val="28"/>
        </w:rPr>
        <w:t>é</w:t>
      </w:r>
      <w:r w:rsidRPr="003F6DBE">
        <w:rPr>
          <w:rFonts w:ascii="Times New Roman" w:eastAsia="Times New Roman" w:hAnsi="Times New Roman" w:cs="Times New Roman"/>
          <w:sz w:val="28"/>
          <w:szCs w:val="28"/>
        </w:rPr>
        <w:t xml:space="preserve"> el cargo existía</w:t>
      </w:r>
      <w:r w:rsidRPr="003F6DBE">
        <w:rPr>
          <w:rFonts w:ascii="Times New Roman" w:eastAsia="Times New Roman" w:hAnsi="Times New Roman" w:cs="Times New Roman"/>
          <w:sz w:val="28"/>
          <w:szCs w:val="28"/>
        </w:rPr>
        <w:t>,</w:t>
      </w:r>
      <w:r w:rsidRPr="003F6DBE">
        <w:rPr>
          <w:rFonts w:ascii="Times New Roman" w:eastAsia="Times New Roman" w:hAnsi="Times New Roman" w:cs="Times New Roman"/>
          <w:sz w:val="28"/>
          <w:szCs w:val="28"/>
        </w:rPr>
        <w:t xml:space="preserve"> </w:t>
      </w:r>
      <w:r w:rsidRPr="003F6DBE">
        <w:rPr>
          <w:rFonts w:ascii="Times New Roman" w:eastAsia="Times New Roman" w:hAnsi="Times New Roman" w:cs="Times New Roman"/>
          <w:sz w:val="28"/>
          <w:szCs w:val="28"/>
        </w:rPr>
        <w:t xml:space="preserve">pese a </w:t>
      </w:r>
      <w:r w:rsidRPr="003F6DBE">
        <w:rPr>
          <w:rFonts w:ascii="Times New Roman" w:eastAsia="Times New Roman" w:hAnsi="Times New Roman" w:cs="Times New Roman"/>
          <w:sz w:val="28"/>
          <w:szCs w:val="28"/>
        </w:rPr>
        <w:t xml:space="preserve">lo dispuesto en el artículo </w:t>
      </w:r>
      <w:r w:rsidRPr="003F6DBE">
        <w:rPr>
          <w:rFonts w:ascii="Times New Roman" w:eastAsiaTheme="minorHAnsi" w:hAnsi="Times New Roman" w:cs="Times New Roman"/>
          <w:sz w:val="28"/>
        </w:rPr>
        <w:t>53 de la Ley 191 de 199</w:t>
      </w:r>
      <w:r w:rsidRPr="003F6DBE">
        <w:rPr>
          <w:rFonts w:ascii="Times New Roman" w:eastAsiaTheme="minorHAnsi" w:hAnsi="Times New Roman" w:cs="Times New Roman"/>
          <w:sz w:val="28"/>
        </w:rPr>
        <w:t>5, frente a la población raizal</w:t>
      </w:r>
      <w:r w:rsidRPr="003F6DBE">
        <w:rPr>
          <w:rFonts w:ascii="Times New Roman" w:eastAsiaTheme="minorHAnsi" w:hAnsi="Times New Roman" w:cs="Times New Roman"/>
          <w:sz w:val="28"/>
        </w:rPr>
        <w:t>.</w:t>
      </w:r>
      <w:r w:rsidRPr="003F6DBE">
        <w:rPr>
          <w:rFonts w:ascii="Times New Roman" w:eastAsiaTheme="minorHAnsi" w:hAnsi="Times New Roman" w:cs="Times New Roman"/>
          <w:sz w:val="28"/>
        </w:rPr>
        <w:t xml:space="preserve"> En segundo lugar</w:t>
      </w:r>
      <w:r w:rsidRPr="003F6DBE">
        <w:rPr>
          <w:rFonts w:ascii="Times New Roman" w:eastAsiaTheme="minorHAnsi" w:hAnsi="Times New Roman" w:cs="Times New Roman"/>
          <w:sz w:val="28"/>
        </w:rPr>
        <w:t xml:space="preserve">, debían explicar si el vacío se sostenía para </w:t>
      </w:r>
      <w:r w:rsidRPr="003F6DBE">
        <w:rPr>
          <w:rFonts w:ascii="Times New Roman" w:eastAsiaTheme="minorHAnsi" w:hAnsi="Times New Roman" w:cs="Times New Roman"/>
          <w:sz w:val="28"/>
        </w:rPr>
        <w:t xml:space="preserve">esta población étnica no sólo a partir de las disposiciones demandadas, sino también </w:t>
      </w:r>
      <w:r w:rsidRPr="003F6DBE">
        <w:rPr>
          <w:rFonts w:ascii="Times New Roman" w:eastAsiaTheme="minorHAnsi" w:hAnsi="Times New Roman" w:cs="Times New Roman"/>
          <w:sz w:val="28"/>
        </w:rPr>
        <w:t>del régimen especial en favor del Departamento de San Andrés, Providencia y</w:t>
      </w:r>
      <w:r w:rsidRPr="003F6DBE">
        <w:rPr>
          <w:rFonts w:ascii="Times New Roman" w:eastAsiaTheme="minorHAnsi" w:hAnsi="Times New Roman" w:cs="Times New Roman"/>
          <w:sz w:val="28"/>
        </w:rPr>
        <w:t xml:space="preserve"> Santa Catalina (Ley 47 de 1993, Ley 915 de 2004 y Ley 2135 de 2021)</w:t>
      </w:r>
      <w:r w:rsidRPr="003F6DBE">
        <w:rPr>
          <w:rFonts w:ascii="Times New Roman" w:eastAsiaTheme="minorHAnsi" w:hAnsi="Times New Roman" w:cs="Times New Roman"/>
          <w:sz w:val="28"/>
        </w:rPr>
        <w:t xml:space="preserve">. </w:t>
      </w:r>
    </w:p>
    <w:p w:rsidR="005F7D79" w:rsidRPr="003F6DBE" w:rsidRDefault="003F6DBE" w:rsidP="00DA100F">
      <w:pPr>
        <w:pStyle w:val="Prrafodelista"/>
        <w:ind w:right="49"/>
        <w:rPr>
          <w:rFonts w:ascii="Times New Roman" w:eastAsiaTheme="minorHAnsi" w:hAnsi="Times New Roman" w:cs="Times New Roman"/>
          <w:sz w:val="28"/>
        </w:rPr>
      </w:pPr>
    </w:p>
    <w:p w:rsidR="00692E86" w:rsidRPr="003F6DBE" w:rsidRDefault="003F6DBE" w:rsidP="00DA100F">
      <w:pPr>
        <w:pStyle w:val="Prrafodelista"/>
        <w:numPr>
          <w:ilvl w:val="0"/>
          <w:numId w:val="2"/>
        </w:numPr>
        <w:spacing w:line="240" w:lineRule="auto"/>
        <w:ind w:left="0" w:right="49" w:firstLine="0"/>
        <w:jc w:val="both"/>
        <w:rPr>
          <w:rFonts w:ascii="Times New Roman" w:eastAsia="Times New Roman" w:hAnsi="Times New Roman" w:cs="Times New Roman"/>
          <w:sz w:val="28"/>
          <w:szCs w:val="28"/>
        </w:rPr>
      </w:pPr>
      <w:r w:rsidRPr="003F6DBE">
        <w:rPr>
          <w:rFonts w:ascii="Times New Roman" w:eastAsiaTheme="minorHAnsi" w:hAnsi="Times New Roman" w:cs="Times New Roman"/>
          <w:sz w:val="28"/>
        </w:rPr>
        <w:t xml:space="preserve">En consecuencia, al comprobarse la ausencia de certeza y suficiencia de la demanda frente a la comunidad raizal de San Andrés, Providencia y Santa Catalina, se impone declarar la </w:t>
      </w:r>
      <w:r w:rsidRPr="003F6DBE">
        <w:rPr>
          <w:rFonts w:ascii="Times New Roman" w:eastAsiaTheme="minorHAnsi" w:hAnsi="Times New Roman" w:cs="Times New Roman"/>
          <w:sz w:val="28"/>
        </w:rPr>
        <w:t>ineptitud sustantiva de la integridad de la demanda pues, como así explic</w:t>
      </w:r>
      <w:r w:rsidRPr="003F6DBE">
        <w:rPr>
          <w:rFonts w:ascii="Times New Roman" w:eastAsiaTheme="minorHAnsi" w:hAnsi="Times New Roman" w:cs="Times New Roman"/>
          <w:sz w:val="28"/>
        </w:rPr>
        <w:t>ó</w:t>
      </w:r>
      <w:r w:rsidRPr="003F6DBE">
        <w:rPr>
          <w:rFonts w:ascii="Times New Roman" w:eastAsiaTheme="minorHAnsi" w:hAnsi="Times New Roman" w:cs="Times New Roman"/>
          <w:sz w:val="28"/>
        </w:rPr>
        <w:t xml:space="preserve"> en el capítulo anterior,</w:t>
      </w:r>
      <w:r w:rsidRPr="003F6DBE">
        <w:rPr>
          <w:rFonts w:ascii="Times New Roman" w:eastAsiaTheme="minorHAnsi" w:hAnsi="Times New Roman" w:cs="Times New Roman"/>
          <w:sz w:val="28"/>
        </w:rPr>
        <w:t xml:space="preserve"> el derecho a la diversidad étnica y cultural en favor de las comunidades negras, afrodescendientes, raizales y palenqueras dificulta fraccionar un cargo de </w:t>
      </w:r>
      <w:r w:rsidRPr="003F6DBE">
        <w:rPr>
          <w:rFonts w:ascii="Times New Roman" w:eastAsiaTheme="minorHAnsi" w:hAnsi="Times New Roman" w:cs="Times New Roman"/>
          <w:sz w:val="28"/>
        </w:rPr>
        <w:t>omisión legislativa relativa fundado en la comprensión integral de ellas.</w:t>
      </w:r>
      <w:r w:rsidRPr="003F6DBE">
        <w:rPr>
          <w:rFonts w:ascii="Times New Roman" w:eastAsiaTheme="minorHAnsi" w:hAnsi="Times New Roman" w:cs="Times New Roman"/>
          <w:sz w:val="28"/>
        </w:rPr>
        <w:t xml:space="preserve"> </w:t>
      </w:r>
      <w:r w:rsidRPr="003F6DBE">
        <w:rPr>
          <w:rFonts w:ascii="Times New Roman" w:eastAsiaTheme="minorHAnsi" w:hAnsi="Times New Roman" w:cs="Times New Roman"/>
          <w:sz w:val="28"/>
        </w:rPr>
        <w:t>E</w:t>
      </w:r>
      <w:r w:rsidRPr="003F6DBE">
        <w:rPr>
          <w:rFonts w:ascii="Times New Roman" w:eastAsiaTheme="minorHAnsi" w:hAnsi="Times New Roman" w:cs="Times New Roman"/>
          <w:sz w:val="28"/>
        </w:rPr>
        <w:t>sto podría alterar el contenido mismo de la demanda y de la corrección, la</w:t>
      </w:r>
      <w:r w:rsidRPr="003F6DBE">
        <w:rPr>
          <w:rFonts w:ascii="Times New Roman" w:eastAsiaTheme="minorHAnsi" w:hAnsi="Times New Roman" w:cs="Times New Roman"/>
          <w:sz w:val="28"/>
        </w:rPr>
        <w:t>s</w:t>
      </w:r>
      <w:r w:rsidRPr="003F6DBE">
        <w:rPr>
          <w:rFonts w:ascii="Times New Roman" w:eastAsiaTheme="minorHAnsi" w:hAnsi="Times New Roman" w:cs="Times New Roman"/>
          <w:sz w:val="28"/>
        </w:rPr>
        <w:t xml:space="preserve"> </w:t>
      </w:r>
      <w:r w:rsidRPr="003F6DBE">
        <w:rPr>
          <w:rFonts w:ascii="Times New Roman" w:eastAsiaTheme="minorHAnsi" w:hAnsi="Times New Roman" w:cs="Times New Roman"/>
          <w:sz w:val="28"/>
        </w:rPr>
        <w:t>que</w:t>
      </w:r>
      <w:r w:rsidRPr="003F6DBE">
        <w:rPr>
          <w:rFonts w:ascii="Times New Roman" w:eastAsiaTheme="minorHAnsi" w:hAnsi="Times New Roman" w:cs="Times New Roman"/>
          <w:sz w:val="28"/>
        </w:rPr>
        <w:t xml:space="preserve"> estaba</w:t>
      </w:r>
      <w:r w:rsidRPr="003F6DBE">
        <w:rPr>
          <w:rFonts w:ascii="Times New Roman" w:eastAsiaTheme="minorHAnsi" w:hAnsi="Times New Roman" w:cs="Times New Roman"/>
          <w:sz w:val="28"/>
        </w:rPr>
        <w:t>n</w:t>
      </w:r>
      <w:r w:rsidRPr="003F6DBE">
        <w:rPr>
          <w:rFonts w:ascii="Times New Roman" w:eastAsiaTheme="minorHAnsi" w:hAnsi="Times New Roman" w:cs="Times New Roman"/>
          <w:sz w:val="28"/>
        </w:rPr>
        <w:t xml:space="preserve"> dirigida</w:t>
      </w:r>
      <w:r w:rsidRPr="003F6DBE">
        <w:rPr>
          <w:rFonts w:ascii="Times New Roman" w:eastAsiaTheme="minorHAnsi" w:hAnsi="Times New Roman" w:cs="Times New Roman"/>
          <w:sz w:val="28"/>
        </w:rPr>
        <w:t>s</w:t>
      </w:r>
      <w:r w:rsidRPr="003F6DBE">
        <w:rPr>
          <w:rFonts w:ascii="Times New Roman" w:eastAsiaTheme="minorHAnsi" w:hAnsi="Times New Roman" w:cs="Times New Roman"/>
          <w:sz w:val="28"/>
        </w:rPr>
        <w:t xml:space="preserve"> a fomentar la participación de la comunidad afrocolombian</w:t>
      </w:r>
      <w:r w:rsidRPr="003F6DBE">
        <w:rPr>
          <w:rFonts w:ascii="Times New Roman" w:eastAsiaTheme="minorHAnsi" w:hAnsi="Times New Roman" w:cs="Times New Roman"/>
          <w:sz w:val="28"/>
        </w:rPr>
        <w:t>a</w:t>
      </w:r>
      <w:r w:rsidRPr="003F6DBE">
        <w:rPr>
          <w:rFonts w:ascii="Times New Roman" w:eastAsiaTheme="minorHAnsi" w:hAnsi="Times New Roman" w:cs="Times New Roman"/>
          <w:sz w:val="28"/>
        </w:rPr>
        <w:t xml:space="preserve"> como un todo. </w:t>
      </w:r>
    </w:p>
    <w:p w:rsidR="00692E86" w:rsidRPr="003F6DBE" w:rsidRDefault="003F6DBE" w:rsidP="00DA100F">
      <w:pPr>
        <w:pStyle w:val="Prrafodelista"/>
        <w:spacing w:line="240" w:lineRule="auto"/>
        <w:ind w:left="0" w:right="49"/>
        <w:jc w:val="both"/>
        <w:rPr>
          <w:rFonts w:ascii="Times New Roman" w:eastAsia="Aptos" w:hAnsi="Times New Roman" w:cs="Times New Roman"/>
          <w:kern w:val="2"/>
          <w:sz w:val="28"/>
          <w:szCs w:val="28"/>
          <w:shd w:val="clear" w:color="auto" w:fill="FFFFFF"/>
        </w:rPr>
      </w:pPr>
    </w:p>
    <w:p w:rsidR="004D4155" w:rsidRPr="003F6DBE" w:rsidRDefault="003F6DBE" w:rsidP="00DA100F">
      <w:pPr>
        <w:pStyle w:val="Prrafodelista"/>
        <w:numPr>
          <w:ilvl w:val="0"/>
          <w:numId w:val="1"/>
        </w:numPr>
        <w:spacing w:after="0" w:line="240" w:lineRule="auto"/>
        <w:ind w:right="49"/>
        <w:jc w:val="both"/>
        <w:rPr>
          <w:rFonts w:ascii="Times New Roman" w:hAnsi="Times New Roman" w:cs="Times New Roman"/>
          <w:b/>
          <w:sz w:val="28"/>
        </w:rPr>
      </w:pPr>
      <w:bookmarkStart w:id="17" w:name="_Toc323229234"/>
      <w:r w:rsidRPr="003F6DBE">
        <w:rPr>
          <w:rFonts w:ascii="Times New Roman" w:hAnsi="Times New Roman" w:cs="Times New Roman"/>
          <w:b/>
          <w:sz w:val="28"/>
        </w:rPr>
        <w:t>DECISIÓN</w:t>
      </w:r>
      <w:bookmarkEnd w:id="17"/>
    </w:p>
    <w:p w:rsidR="004D4155" w:rsidRPr="003F6DBE" w:rsidRDefault="003F6DBE" w:rsidP="00DA100F">
      <w:pPr>
        <w:spacing w:after="0" w:line="240" w:lineRule="auto"/>
        <w:ind w:right="49"/>
        <w:jc w:val="both"/>
        <w:rPr>
          <w:rFonts w:ascii="Times New Roman" w:hAnsi="Times New Roman" w:cs="Times New Roman"/>
          <w:sz w:val="28"/>
        </w:rPr>
      </w:pPr>
    </w:p>
    <w:p w:rsidR="004D4155" w:rsidRPr="003F6DBE" w:rsidRDefault="003F6DBE" w:rsidP="00DA100F">
      <w:pPr>
        <w:spacing w:after="0" w:line="240" w:lineRule="auto"/>
        <w:ind w:right="49"/>
        <w:jc w:val="both"/>
        <w:rPr>
          <w:rFonts w:ascii="Times New Roman" w:hAnsi="Times New Roman" w:cs="Times New Roman"/>
          <w:b/>
          <w:bCs/>
          <w:sz w:val="28"/>
        </w:rPr>
      </w:pPr>
      <w:r w:rsidRPr="003F6DBE">
        <w:rPr>
          <w:rFonts w:ascii="Times New Roman" w:hAnsi="Times New Roman" w:cs="Times New Roman"/>
          <w:sz w:val="28"/>
        </w:rPr>
        <w:t>La Corte Constitucional de la República de Colombia, administrando justicia en nombre del pueblo y por mandato de la Constitución,</w:t>
      </w:r>
    </w:p>
    <w:p w:rsidR="004D4155" w:rsidRPr="003F6DBE" w:rsidRDefault="003F6DBE" w:rsidP="00DA100F">
      <w:pPr>
        <w:spacing w:after="0" w:line="240" w:lineRule="auto"/>
        <w:ind w:right="49"/>
        <w:rPr>
          <w:rFonts w:ascii="Times New Roman" w:hAnsi="Times New Roman" w:cs="Times New Roman"/>
          <w:bCs/>
          <w:sz w:val="28"/>
        </w:rPr>
      </w:pPr>
    </w:p>
    <w:p w:rsidR="004D4155" w:rsidRPr="003F6DBE" w:rsidRDefault="003F6DBE" w:rsidP="00DA100F">
      <w:pPr>
        <w:spacing w:after="0" w:line="240" w:lineRule="auto"/>
        <w:ind w:right="49"/>
        <w:jc w:val="center"/>
        <w:rPr>
          <w:rFonts w:ascii="Times New Roman" w:hAnsi="Times New Roman" w:cs="Times New Roman"/>
          <w:b/>
          <w:sz w:val="28"/>
        </w:rPr>
      </w:pPr>
      <w:r w:rsidRPr="003F6DBE">
        <w:rPr>
          <w:rFonts w:ascii="Times New Roman" w:hAnsi="Times New Roman" w:cs="Times New Roman"/>
          <w:b/>
          <w:sz w:val="28"/>
        </w:rPr>
        <w:t>RESUELVE</w:t>
      </w:r>
    </w:p>
    <w:p w:rsidR="00692E86" w:rsidRPr="003F6DBE" w:rsidRDefault="003F6DBE" w:rsidP="00DA100F">
      <w:pPr>
        <w:spacing w:after="0" w:line="240" w:lineRule="auto"/>
        <w:ind w:right="49"/>
        <w:jc w:val="center"/>
        <w:rPr>
          <w:rFonts w:ascii="Times New Roman" w:hAnsi="Times New Roman" w:cs="Times New Roman"/>
          <w:b/>
          <w:sz w:val="28"/>
        </w:rPr>
      </w:pPr>
    </w:p>
    <w:p w:rsidR="004D4155" w:rsidRPr="003F6DBE" w:rsidRDefault="003F6DBE" w:rsidP="00DA100F">
      <w:pPr>
        <w:spacing w:after="0" w:line="240" w:lineRule="auto"/>
        <w:ind w:right="49"/>
        <w:jc w:val="both"/>
        <w:rPr>
          <w:rFonts w:ascii="Times New Roman" w:hAnsi="Times New Roman" w:cs="Times New Roman"/>
          <w:sz w:val="28"/>
        </w:rPr>
      </w:pPr>
      <w:r w:rsidRPr="003F6DBE">
        <w:rPr>
          <w:rFonts w:ascii="Times New Roman" w:hAnsi="Times New Roman" w:cs="Times New Roman"/>
          <w:b/>
          <w:bCs/>
          <w:sz w:val="28"/>
        </w:rPr>
        <w:t>Único</w:t>
      </w:r>
      <w:r w:rsidRPr="003F6DBE">
        <w:rPr>
          <w:rFonts w:ascii="Times New Roman" w:hAnsi="Times New Roman" w:cs="Times New Roman"/>
          <w:sz w:val="28"/>
        </w:rPr>
        <w:t>.</w:t>
      </w:r>
      <w:r w:rsidRPr="003F6DBE">
        <w:rPr>
          <w:rFonts w:ascii="Times New Roman" w:hAnsi="Times New Roman" w:cs="Times New Roman"/>
          <w:sz w:val="28"/>
        </w:rPr>
        <w:t xml:space="preserve"> </w:t>
      </w:r>
      <w:r w:rsidRPr="003F6DBE">
        <w:rPr>
          <w:rFonts w:ascii="Times New Roman" w:eastAsia="Century Gothic" w:hAnsi="Times New Roman" w:cs="Times New Roman"/>
          <w:b/>
          <w:bCs/>
          <w:sz w:val="28"/>
        </w:rPr>
        <w:t xml:space="preserve">INHIBIRSE </w:t>
      </w:r>
      <w:r w:rsidRPr="003F6DBE">
        <w:rPr>
          <w:rFonts w:ascii="Times New Roman" w:hAnsi="Times New Roman" w:cs="Times New Roman"/>
          <w:sz w:val="28"/>
          <w:szCs w:val="28"/>
          <w:bdr w:val="none" w:sz="0" w:space="0" w:color="auto" w:frame="1"/>
          <w:shd w:val="clear" w:color="auto" w:fill="FFFFFF"/>
        </w:rPr>
        <w:t>de emitir un pronunciamiento de fondo, por ineptitud sustantiva de la demanda, respecto a la co</w:t>
      </w:r>
      <w:r w:rsidRPr="003F6DBE">
        <w:rPr>
          <w:rFonts w:ascii="Times New Roman" w:hAnsi="Times New Roman" w:cs="Times New Roman"/>
          <w:sz w:val="28"/>
          <w:szCs w:val="28"/>
          <w:bdr w:val="none" w:sz="0" w:space="0" w:color="auto" w:frame="1"/>
          <w:shd w:val="clear" w:color="auto" w:fill="FFFFFF"/>
        </w:rPr>
        <w:t>nstitucionalidad de la expresión “i</w:t>
      </w:r>
      <w:r w:rsidRPr="003F6DBE">
        <w:rPr>
          <w:rFonts w:ascii="Times New Roman" w:hAnsi="Times New Roman" w:cs="Times New Roman"/>
          <w:i/>
          <w:iCs/>
          <w:sz w:val="28"/>
          <w:szCs w:val="28"/>
          <w:bdr w:val="none" w:sz="0" w:space="0" w:color="auto" w:frame="1"/>
          <w:shd w:val="clear" w:color="auto" w:fill="FFFFFF"/>
        </w:rPr>
        <w:t>ndígenas</w:t>
      </w:r>
      <w:r w:rsidRPr="003F6DBE">
        <w:rPr>
          <w:rFonts w:ascii="Times New Roman" w:hAnsi="Times New Roman" w:cs="Times New Roman"/>
          <w:sz w:val="28"/>
          <w:szCs w:val="28"/>
          <w:bdr w:val="none" w:sz="0" w:space="0" w:color="auto" w:frame="1"/>
          <w:shd w:val="clear" w:color="auto" w:fill="FFFFFF"/>
        </w:rPr>
        <w:t>”, incorporada en los artículos 5, 7, 8 y 10 de la Ley 191 de 1995 “</w:t>
      </w:r>
      <w:r w:rsidRPr="003F6DBE">
        <w:rPr>
          <w:rFonts w:ascii="Times New Roman" w:hAnsi="Times New Roman" w:cs="Times New Roman"/>
          <w:i/>
          <w:iCs/>
          <w:sz w:val="28"/>
          <w:szCs w:val="28"/>
          <w:bdr w:val="none" w:sz="0" w:space="0" w:color="auto" w:frame="1"/>
          <w:shd w:val="clear" w:color="auto" w:fill="FFFFFF"/>
        </w:rPr>
        <w:t>Por medio de la cual se dictan disposiciones sobre Zonas de Frontera”</w:t>
      </w:r>
      <w:r w:rsidRPr="003F6DBE">
        <w:rPr>
          <w:rFonts w:ascii="Times New Roman" w:hAnsi="Times New Roman" w:cs="Times New Roman"/>
          <w:sz w:val="28"/>
          <w:szCs w:val="28"/>
          <w:bdr w:val="none" w:sz="0" w:space="0" w:color="auto" w:frame="1"/>
          <w:shd w:val="clear" w:color="auto" w:fill="FFFFFF"/>
        </w:rPr>
        <w:t>.</w:t>
      </w:r>
    </w:p>
    <w:p w:rsidR="004D4155" w:rsidRPr="003F6DBE" w:rsidRDefault="003F6DBE" w:rsidP="00DA100F">
      <w:pPr>
        <w:spacing w:after="0" w:line="240" w:lineRule="auto"/>
        <w:ind w:right="49"/>
        <w:rPr>
          <w:rFonts w:ascii="Times New Roman" w:hAnsi="Times New Roman" w:cs="Times New Roman"/>
          <w:b/>
          <w:bCs/>
          <w:sz w:val="28"/>
        </w:rPr>
      </w:pPr>
    </w:p>
    <w:p w:rsidR="004D4155" w:rsidRPr="003F6DBE" w:rsidRDefault="003F6DBE" w:rsidP="00450458">
      <w:pPr>
        <w:spacing w:after="0" w:line="240" w:lineRule="auto"/>
        <w:ind w:right="49"/>
        <w:rPr>
          <w:rFonts w:ascii="Times New Roman" w:hAnsi="Times New Roman" w:cs="Times New Roman"/>
          <w:sz w:val="28"/>
        </w:rPr>
      </w:pPr>
      <w:r w:rsidRPr="003F6DBE">
        <w:rPr>
          <w:rFonts w:ascii="Times New Roman" w:hAnsi="Times New Roman" w:cs="Times New Roman"/>
          <w:sz w:val="28"/>
        </w:rPr>
        <w:t>Notifíquese, comuníquese y cúmplase.</w:t>
      </w:r>
    </w:p>
    <w:p w:rsidR="001A31E4" w:rsidRPr="003F6DBE" w:rsidRDefault="003F6DBE" w:rsidP="00450458">
      <w:pPr>
        <w:spacing w:after="0" w:line="240" w:lineRule="auto"/>
        <w:ind w:right="49"/>
        <w:rPr>
          <w:rFonts w:ascii="Times New Roman" w:hAnsi="Times New Roman" w:cs="Times New Roman"/>
          <w:sz w:val="28"/>
        </w:rPr>
      </w:pPr>
    </w:p>
    <w:p w:rsidR="001A31E4" w:rsidRPr="003F6DBE" w:rsidRDefault="003F6DBE" w:rsidP="00450458">
      <w:pPr>
        <w:spacing w:after="0" w:line="240" w:lineRule="auto"/>
        <w:ind w:right="49"/>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r w:rsidRPr="003F6DBE">
        <w:rPr>
          <w:rFonts w:ascii="Times New Roman" w:hAnsi="Times New Roman" w:cs="Times New Roman"/>
          <w:sz w:val="28"/>
        </w:rPr>
        <w:t>JOSE FERNANDO REYES CUARTAS</w:t>
      </w:r>
    </w:p>
    <w:p w:rsidR="001A31E4" w:rsidRPr="003F6DBE" w:rsidRDefault="003F6DBE" w:rsidP="001A31E4">
      <w:pPr>
        <w:spacing w:after="0" w:line="240" w:lineRule="auto"/>
        <w:ind w:right="49"/>
        <w:jc w:val="center"/>
        <w:rPr>
          <w:rFonts w:ascii="Times New Roman" w:hAnsi="Times New Roman" w:cs="Times New Roman"/>
          <w:sz w:val="28"/>
        </w:rPr>
      </w:pPr>
      <w:r w:rsidRPr="003F6DBE">
        <w:rPr>
          <w:rFonts w:ascii="Times New Roman" w:hAnsi="Times New Roman" w:cs="Times New Roman"/>
          <w:sz w:val="28"/>
        </w:rPr>
        <w:t>Presidente</w:t>
      </w: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r w:rsidRPr="003F6DBE">
        <w:rPr>
          <w:rFonts w:ascii="Times New Roman" w:hAnsi="Times New Roman" w:cs="Times New Roman"/>
          <w:sz w:val="28"/>
        </w:rPr>
        <w:t>NATALIA ÁNGEL CABO</w:t>
      </w:r>
    </w:p>
    <w:p w:rsidR="001A31E4" w:rsidRPr="003F6DBE" w:rsidRDefault="003F6DBE" w:rsidP="001A31E4">
      <w:pPr>
        <w:spacing w:after="0" w:line="240" w:lineRule="auto"/>
        <w:ind w:right="49"/>
        <w:jc w:val="center"/>
        <w:rPr>
          <w:rFonts w:ascii="Times New Roman" w:hAnsi="Times New Roman" w:cs="Times New Roman"/>
          <w:sz w:val="28"/>
        </w:rPr>
      </w:pPr>
      <w:r w:rsidRPr="003F6DBE">
        <w:rPr>
          <w:rFonts w:ascii="Times New Roman" w:hAnsi="Times New Roman" w:cs="Times New Roman"/>
          <w:sz w:val="28"/>
        </w:rPr>
        <w:t>Magistrada</w:t>
      </w: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r w:rsidRPr="003F6DBE">
        <w:rPr>
          <w:rFonts w:ascii="Times New Roman" w:hAnsi="Times New Roman" w:cs="Times New Roman"/>
          <w:sz w:val="28"/>
        </w:rPr>
        <w:t>JUAN CARLOS CORTÉS GONZÁLEZ</w:t>
      </w:r>
    </w:p>
    <w:p w:rsidR="001A31E4" w:rsidRPr="003F6DBE" w:rsidRDefault="003F6DBE" w:rsidP="001A31E4">
      <w:pPr>
        <w:spacing w:after="0" w:line="240" w:lineRule="auto"/>
        <w:ind w:right="49"/>
        <w:jc w:val="center"/>
        <w:rPr>
          <w:rFonts w:ascii="Times New Roman" w:hAnsi="Times New Roman" w:cs="Times New Roman"/>
          <w:sz w:val="28"/>
        </w:rPr>
      </w:pPr>
      <w:r w:rsidRPr="003F6DBE">
        <w:rPr>
          <w:rFonts w:ascii="Times New Roman" w:hAnsi="Times New Roman" w:cs="Times New Roman"/>
          <w:sz w:val="28"/>
        </w:rPr>
        <w:t>Magistrado</w:t>
      </w: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r w:rsidRPr="003F6DBE">
        <w:rPr>
          <w:rFonts w:ascii="Times New Roman" w:hAnsi="Times New Roman" w:cs="Times New Roman"/>
          <w:sz w:val="28"/>
        </w:rPr>
        <w:t>DIANA FAJARDO RIVERA</w:t>
      </w:r>
    </w:p>
    <w:p w:rsidR="001A31E4" w:rsidRPr="003F6DBE" w:rsidRDefault="003F6DBE" w:rsidP="001A31E4">
      <w:pPr>
        <w:spacing w:after="0" w:line="240" w:lineRule="auto"/>
        <w:ind w:right="49"/>
        <w:jc w:val="center"/>
        <w:rPr>
          <w:rFonts w:ascii="Times New Roman" w:hAnsi="Times New Roman" w:cs="Times New Roman"/>
          <w:sz w:val="28"/>
        </w:rPr>
      </w:pPr>
      <w:r w:rsidRPr="003F6DBE">
        <w:rPr>
          <w:rFonts w:ascii="Times New Roman" w:hAnsi="Times New Roman" w:cs="Times New Roman"/>
          <w:sz w:val="28"/>
        </w:rPr>
        <w:t>Magistrada</w:t>
      </w: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r w:rsidRPr="003F6DBE">
        <w:rPr>
          <w:rFonts w:ascii="Times New Roman" w:hAnsi="Times New Roman" w:cs="Times New Roman"/>
          <w:sz w:val="28"/>
        </w:rPr>
        <w:t>VLADIMIR FERNÁNDEZ ANDRADE</w:t>
      </w:r>
    </w:p>
    <w:p w:rsidR="001A31E4" w:rsidRPr="003F6DBE" w:rsidRDefault="003F6DBE" w:rsidP="001A31E4">
      <w:pPr>
        <w:spacing w:after="0" w:line="240" w:lineRule="auto"/>
        <w:ind w:right="49"/>
        <w:jc w:val="center"/>
        <w:rPr>
          <w:rFonts w:ascii="Times New Roman" w:hAnsi="Times New Roman" w:cs="Times New Roman"/>
          <w:sz w:val="28"/>
        </w:rPr>
      </w:pPr>
      <w:r w:rsidRPr="003F6DBE">
        <w:rPr>
          <w:rFonts w:ascii="Times New Roman" w:hAnsi="Times New Roman" w:cs="Times New Roman"/>
          <w:sz w:val="28"/>
        </w:rPr>
        <w:t>Magistrado</w:t>
      </w: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r w:rsidRPr="003F6DBE">
        <w:rPr>
          <w:rFonts w:ascii="Times New Roman" w:hAnsi="Times New Roman" w:cs="Times New Roman"/>
          <w:sz w:val="28"/>
        </w:rPr>
        <w:t xml:space="preserve">JORGE ENRIQUE IBÁÑEZ NAJAR </w:t>
      </w:r>
    </w:p>
    <w:p w:rsidR="001A31E4" w:rsidRPr="003F6DBE" w:rsidRDefault="003F6DBE" w:rsidP="001A31E4">
      <w:pPr>
        <w:spacing w:after="0" w:line="240" w:lineRule="auto"/>
        <w:ind w:right="49"/>
        <w:jc w:val="center"/>
        <w:rPr>
          <w:rFonts w:ascii="Times New Roman" w:hAnsi="Times New Roman" w:cs="Times New Roman"/>
          <w:sz w:val="28"/>
        </w:rPr>
      </w:pPr>
      <w:r w:rsidRPr="003F6DBE">
        <w:rPr>
          <w:rFonts w:ascii="Times New Roman" w:hAnsi="Times New Roman" w:cs="Times New Roman"/>
          <w:sz w:val="28"/>
        </w:rPr>
        <w:t>Magistrado</w:t>
      </w: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r w:rsidRPr="003F6DBE">
        <w:rPr>
          <w:rFonts w:ascii="Times New Roman" w:hAnsi="Times New Roman" w:cs="Times New Roman"/>
          <w:sz w:val="28"/>
        </w:rPr>
        <w:t>ANTONIO JOSÉ LIZARAZO OCAMPO</w:t>
      </w:r>
    </w:p>
    <w:p w:rsidR="001A31E4" w:rsidRPr="003F6DBE" w:rsidRDefault="003F6DBE" w:rsidP="001A31E4">
      <w:pPr>
        <w:spacing w:after="0" w:line="240" w:lineRule="auto"/>
        <w:ind w:right="49"/>
        <w:jc w:val="center"/>
        <w:rPr>
          <w:rFonts w:ascii="Times New Roman" w:hAnsi="Times New Roman" w:cs="Times New Roman"/>
          <w:sz w:val="28"/>
        </w:rPr>
      </w:pPr>
      <w:r w:rsidRPr="003F6DBE">
        <w:rPr>
          <w:rFonts w:ascii="Times New Roman" w:hAnsi="Times New Roman" w:cs="Times New Roman"/>
          <w:sz w:val="28"/>
        </w:rPr>
        <w:t>Magistrado</w:t>
      </w: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r w:rsidRPr="003F6DBE">
        <w:rPr>
          <w:rFonts w:ascii="Times New Roman" w:hAnsi="Times New Roman" w:cs="Times New Roman"/>
          <w:sz w:val="28"/>
        </w:rPr>
        <w:t xml:space="preserve">PAOLA </w:t>
      </w:r>
      <w:r w:rsidRPr="003F6DBE">
        <w:rPr>
          <w:rFonts w:ascii="Times New Roman" w:hAnsi="Times New Roman" w:cs="Times New Roman"/>
          <w:sz w:val="28"/>
        </w:rPr>
        <w:t>ANDREA MENESES MOSQUERA</w:t>
      </w:r>
    </w:p>
    <w:p w:rsidR="001A31E4" w:rsidRPr="003F6DBE" w:rsidRDefault="003F6DBE" w:rsidP="001A31E4">
      <w:pPr>
        <w:spacing w:after="0" w:line="240" w:lineRule="auto"/>
        <w:ind w:right="49"/>
        <w:jc w:val="center"/>
        <w:rPr>
          <w:rFonts w:ascii="Times New Roman" w:hAnsi="Times New Roman" w:cs="Times New Roman"/>
          <w:sz w:val="28"/>
        </w:rPr>
      </w:pPr>
      <w:r w:rsidRPr="003F6DBE">
        <w:rPr>
          <w:rFonts w:ascii="Times New Roman" w:hAnsi="Times New Roman" w:cs="Times New Roman"/>
          <w:sz w:val="28"/>
        </w:rPr>
        <w:t>Magistrada</w:t>
      </w: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r w:rsidRPr="003F6DBE">
        <w:rPr>
          <w:rFonts w:ascii="Times New Roman" w:hAnsi="Times New Roman" w:cs="Times New Roman"/>
          <w:sz w:val="28"/>
        </w:rPr>
        <w:t>CRISTINA PARDO SCHLESINGER</w:t>
      </w:r>
    </w:p>
    <w:p w:rsidR="001A31E4" w:rsidRPr="003F6DBE" w:rsidRDefault="003F6DBE" w:rsidP="001A31E4">
      <w:pPr>
        <w:spacing w:after="0" w:line="240" w:lineRule="auto"/>
        <w:ind w:right="49"/>
        <w:jc w:val="center"/>
        <w:rPr>
          <w:rFonts w:ascii="Times New Roman" w:hAnsi="Times New Roman" w:cs="Times New Roman"/>
          <w:sz w:val="28"/>
        </w:rPr>
      </w:pPr>
      <w:r w:rsidRPr="003F6DBE">
        <w:rPr>
          <w:rFonts w:ascii="Times New Roman" w:hAnsi="Times New Roman" w:cs="Times New Roman"/>
          <w:sz w:val="28"/>
        </w:rPr>
        <w:t>Magistrada</w:t>
      </w: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r w:rsidRPr="003F6DBE">
        <w:rPr>
          <w:rFonts w:ascii="Times New Roman" w:hAnsi="Times New Roman" w:cs="Times New Roman"/>
          <w:sz w:val="28"/>
        </w:rPr>
        <w:t>ANDREA LILIANA ROMERO LOPEZ</w:t>
      </w:r>
    </w:p>
    <w:p w:rsidR="001A31E4" w:rsidRPr="003F6DBE" w:rsidRDefault="003F6DBE" w:rsidP="001A31E4">
      <w:pPr>
        <w:spacing w:after="0" w:line="240" w:lineRule="auto"/>
        <w:ind w:right="49"/>
        <w:jc w:val="center"/>
        <w:rPr>
          <w:rFonts w:ascii="Times New Roman" w:hAnsi="Times New Roman" w:cs="Times New Roman"/>
          <w:sz w:val="28"/>
        </w:rPr>
      </w:pPr>
      <w:r w:rsidRPr="003F6DBE">
        <w:rPr>
          <w:rFonts w:ascii="Times New Roman" w:hAnsi="Times New Roman" w:cs="Times New Roman"/>
          <w:sz w:val="28"/>
        </w:rPr>
        <w:t>Secretaria General</w:t>
      </w: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p>
    <w:p w:rsidR="001A31E4" w:rsidRPr="003F6DBE" w:rsidRDefault="003F6DBE" w:rsidP="001A31E4">
      <w:pPr>
        <w:spacing w:after="0" w:line="240" w:lineRule="auto"/>
        <w:ind w:right="49"/>
        <w:jc w:val="center"/>
        <w:rPr>
          <w:rFonts w:ascii="Times New Roman" w:hAnsi="Times New Roman" w:cs="Times New Roman"/>
          <w:sz w:val="28"/>
        </w:rPr>
      </w:pPr>
    </w:p>
    <w:sectPr w:rsidR="001A31E4" w:rsidRPr="003F6DBE">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F6DBE">
      <w:pPr>
        <w:spacing w:after="0" w:line="240" w:lineRule="auto"/>
      </w:pPr>
      <w:r>
        <w:separator/>
      </w:r>
    </w:p>
  </w:endnote>
  <w:endnote w:type="continuationSeparator" w:id="0">
    <w:p w:rsidR="00000000" w:rsidRDefault="003F6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F6DBE">
      <w:pPr>
        <w:spacing w:after="0" w:line="240" w:lineRule="auto"/>
      </w:pPr>
      <w:r>
        <w:separator/>
      </w:r>
    </w:p>
  </w:footnote>
  <w:footnote w:type="continuationSeparator" w:id="0">
    <w:p w:rsidR="00000000" w:rsidRDefault="003F6DBE">
      <w:pPr>
        <w:spacing w:after="0" w:line="240" w:lineRule="auto"/>
      </w:pPr>
      <w:r>
        <w:continuationSeparator/>
      </w:r>
    </w:p>
  </w:footnote>
  <w:footnote w:id="1">
    <w:p w:rsidR="00322827" w:rsidRPr="00322827" w:rsidRDefault="003F6DBE" w:rsidP="00322827">
      <w:pPr>
        <w:pStyle w:val="Textonotapie"/>
        <w:jc w:val="both"/>
        <w:rPr>
          <w:lang w:val="es-CO"/>
        </w:rPr>
      </w:pPr>
      <w:r>
        <w:rPr>
          <w:rStyle w:val="Refdenotaalpie"/>
        </w:rPr>
        <w:footnoteRef/>
      </w:r>
      <w:r w:rsidRPr="004F6C0D">
        <w:rPr>
          <w:lang w:val="es-CO"/>
        </w:rPr>
        <w:t xml:space="preserve"> Corte Constitucional. </w:t>
      </w:r>
      <w:r w:rsidRPr="00322827">
        <w:rPr>
          <w:lang w:val="es-CO"/>
        </w:rPr>
        <w:t>Sentencia C-495 de 2019 (M.P. Al</w:t>
      </w:r>
      <w:r>
        <w:rPr>
          <w:lang w:val="es-CO"/>
        </w:rPr>
        <w:t>ejandro Linares Cantillo).</w:t>
      </w:r>
    </w:p>
  </w:footnote>
  <w:footnote w:id="2">
    <w:p w:rsidR="004D413F" w:rsidRPr="00DE1770" w:rsidRDefault="003F6DBE" w:rsidP="004D413F">
      <w:pPr>
        <w:pStyle w:val="Textonotapie"/>
        <w:jc w:val="both"/>
        <w:rPr>
          <w:lang w:val="es-CO"/>
        </w:rPr>
      </w:pPr>
      <w:r w:rsidRPr="00DE1770">
        <w:rPr>
          <w:rStyle w:val="Refdenotaalpie"/>
        </w:rPr>
        <w:footnoteRef/>
      </w:r>
      <w:r w:rsidRPr="00DE1770">
        <w:rPr>
          <w:lang w:val="es-CO"/>
        </w:rPr>
        <w:t xml:space="preserve"> Para </w:t>
      </w:r>
      <w:r w:rsidRPr="00322827">
        <w:rPr>
          <w:lang w:val="es-CO"/>
        </w:rPr>
        <w:t xml:space="preserve">una lectura profunda de esta disposición debe considerarse </w:t>
      </w:r>
      <w:r w:rsidRPr="00322827">
        <w:rPr>
          <w:lang w:val="es-CO"/>
        </w:rPr>
        <w:t>lo dispuesto en el artículo 9 de la Ley 2135 de 2021 “</w:t>
      </w:r>
      <w:r w:rsidRPr="00322827">
        <w:rPr>
          <w:i/>
          <w:iCs/>
          <w:lang w:val="es-CO"/>
        </w:rPr>
        <w:t>Por medio de la cual se establece un régimen especial para los departamentos fronterizos, los municipios y las áreas no municipalizadas fronter</w:t>
      </w:r>
      <w:r w:rsidRPr="00322827">
        <w:rPr>
          <w:i/>
          <w:iCs/>
          <w:lang w:val="es-CO"/>
        </w:rPr>
        <w:t>izas, declarados zonas de frontera en desarrollo de lo dispuesto en los artículos 9o, 289 y 337 de la Constitución Política”</w:t>
      </w:r>
      <w:r w:rsidRPr="00322827">
        <w:rPr>
          <w:lang w:val="es-CO"/>
        </w:rPr>
        <w:t>. En efecto, como un desarrollo de esta disposición, se advierte que “</w:t>
      </w:r>
      <w:r w:rsidRPr="00322827">
        <w:rPr>
          <w:i/>
          <w:iCs/>
          <w:lang w:val="es-CO"/>
        </w:rPr>
        <w:t>La determinación de las zonas de frontera y Unidades Especiale</w:t>
      </w:r>
      <w:r w:rsidRPr="00322827">
        <w:rPr>
          <w:i/>
          <w:iCs/>
          <w:lang w:val="es-CO"/>
        </w:rPr>
        <w:t>s de Desarrollo Fronterizo procederá vía decreto, por parte del Gobierno nacional, para los municipios o áreas no municipalizadas de conformidad con el artículo 4o de la Ley 191 de 1995, a solicitud de los alcaldes o Gobernadores a cargo de dichas áreas, s</w:t>
      </w:r>
      <w:r w:rsidRPr="00322827">
        <w:rPr>
          <w:i/>
          <w:iCs/>
          <w:lang w:val="es-CO"/>
        </w:rPr>
        <w:t>egún corresponda</w:t>
      </w:r>
      <w:r w:rsidRPr="00322827">
        <w:rPr>
          <w:lang w:val="es-CO"/>
        </w:rPr>
        <w:t>”. // “</w:t>
      </w:r>
      <w:r w:rsidRPr="00322827">
        <w:rPr>
          <w:rStyle w:val="baj"/>
          <w:b/>
          <w:bCs/>
          <w:i/>
          <w:iCs/>
          <w:lang w:val="es-CO"/>
        </w:rPr>
        <w:t>PARÁGRAFO.</w:t>
      </w:r>
      <w:r w:rsidRPr="00322827">
        <w:rPr>
          <w:i/>
          <w:iCs/>
          <w:lang w:val="es-CO"/>
        </w:rPr>
        <w:t> Con posterioridad a la expedición de la presente Ley, el Gobierno nacional reglamentará, vía decreto, el procedimiento y los criterios para la determinación de las zonas de frontera y Unidades Especiales de Desarrollo Fron</w:t>
      </w:r>
      <w:r w:rsidRPr="00322827">
        <w:rPr>
          <w:i/>
          <w:iCs/>
          <w:lang w:val="es-CO"/>
        </w:rPr>
        <w:t>terizo. Dicha reglamentación tendrá en cuenta lo previsto en el artículo </w:t>
      </w:r>
      <w:r w:rsidRPr="00322827">
        <w:rPr>
          <w:rStyle w:val="Hipervnculo"/>
          <w:color w:val="auto"/>
          <w:u w:val="none"/>
          <w:lang w:val="es-CO"/>
        </w:rPr>
        <w:t>5o</w:t>
      </w:r>
      <w:r w:rsidRPr="00322827">
        <w:rPr>
          <w:i/>
          <w:iCs/>
          <w:lang w:val="es-CO"/>
        </w:rPr>
        <w:t> de la Ley 191 de 1995</w:t>
      </w:r>
      <w:r w:rsidRPr="00322827">
        <w:rPr>
          <w:lang w:val="es-CO"/>
        </w:rPr>
        <w:t>”.</w:t>
      </w:r>
      <w:r w:rsidRPr="00322827">
        <w:rPr>
          <w:lang w:val="es-CO"/>
        </w:rPr>
        <w:t xml:space="preserve"> Incluso, esta facultad pare</w:t>
      </w:r>
      <w:r w:rsidRPr="00322827">
        <w:rPr>
          <w:lang w:val="es-CO"/>
        </w:rPr>
        <w:t>c</w:t>
      </w:r>
      <w:r w:rsidRPr="00322827">
        <w:rPr>
          <w:lang w:val="es-CO"/>
        </w:rPr>
        <w:t>e haberse ejercido de forma reciente a través de los Decretos 931 de 2023 y</w:t>
      </w:r>
      <w:r w:rsidRPr="00322827">
        <w:rPr>
          <w:lang w:val="es-CO"/>
        </w:rPr>
        <w:t>, a través del Decreto</w:t>
      </w:r>
      <w:r w:rsidRPr="00322827">
        <w:rPr>
          <w:lang w:val="es-CO"/>
        </w:rPr>
        <w:t xml:space="preserve"> 657 de 2023</w:t>
      </w:r>
      <w:r w:rsidRPr="00322827">
        <w:rPr>
          <w:lang w:val="es-CO"/>
        </w:rPr>
        <w:t>, haberse fijado el</w:t>
      </w:r>
      <w:r w:rsidRPr="00322827">
        <w:rPr>
          <w:lang w:val="es-CO"/>
        </w:rPr>
        <w:t xml:space="preserve"> procedimiento para determinar las Zonas de Frontera y las Unidades Especiales de Desarrollo Fronterizo</w:t>
      </w:r>
      <w:r w:rsidRPr="00322827">
        <w:rPr>
          <w:lang w:val="es-CO"/>
        </w:rPr>
        <w:t xml:space="preserve">. No obstante, se aclara que esta es sólo una referencia informativa en tanto este contenido no fue el demandado. </w:t>
      </w:r>
    </w:p>
  </w:footnote>
  <w:footnote w:id="3">
    <w:p w:rsidR="005B7C56" w:rsidRPr="00DE1770" w:rsidRDefault="003F6DBE" w:rsidP="00077D5A">
      <w:pPr>
        <w:pStyle w:val="Prrafodelista"/>
        <w:spacing w:after="0" w:line="240" w:lineRule="auto"/>
        <w:ind w:left="0" w:right="49"/>
        <w:jc w:val="both"/>
        <w:rPr>
          <w:sz w:val="20"/>
          <w:szCs w:val="20"/>
        </w:rPr>
      </w:pPr>
      <w:r w:rsidRPr="00DE1770">
        <w:rPr>
          <w:rStyle w:val="Refdenotaalpie"/>
          <w:sz w:val="20"/>
          <w:szCs w:val="20"/>
        </w:rPr>
        <w:footnoteRef/>
      </w:r>
      <w:r w:rsidRPr="00DE1770">
        <w:rPr>
          <w:sz w:val="20"/>
          <w:szCs w:val="20"/>
        </w:rPr>
        <w:t xml:space="preserve"> En síntesis, se explicó que las disp</w:t>
      </w:r>
      <w:r w:rsidRPr="00DE1770">
        <w:rPr>
          <w:sz w:val="20"/>
          <w:szCs w:val="20"/>
        </w:rPr>
        <w:t xml:space="preserve">osiciones son contrarias al principio de pluralismo y diversidad étnica y cultural de la Nación que se deriva de los artículos 1 y 7; al deber del Estado y sus autoridades de garantizar la efectividad de los principios, derechos y deberes constitucionales </w:t>
      </w:r>
      <w:r w:rsidRPr="00DE1770">
        <w:rPr>
          <w:sz w:val="20"/>
          <w:szCs w:val="20"/>
        </w:rPr>
        <w:t>establecido en el artículo 2; al deber del Estado de reconocer la igualdad y dignidad de las diversas culturas que conviven en el país de conformidad con los artículos 13 y 70; y la protección especial de las comunidades negras, afrocolombianas, raizales y</w:t>
      </w:r>
      <w:r w:rsidRPr="00DE1770">
        <w:rPr>
          <w:sz w:val="20"/>
          <w:szCs w:val="20"/>
        </w:rPr>
        <w:t xml:space="preserve"> palenqueras establecida en los artículos 310 y 55 transitorio y, por la prevalencia en el orden interno de acuerdo con el artículo 93, de las obligaciones de reconocimiento de la conciencia cultural, de respeto de la identidad cultural y de protección de </w:t>
      </w:r>
      <w:r w:rsidRPr="00DE1770">
        <w:rPr>
          <w:sz w:val="20"/>
          <w:szCs w:val="20"/>
        </w:rPr>
        <w:t>la integridad de los valores culturales, establecidas en los artículos 1.2, 2.2 y 5 del Convenio 169 de la OIT, incorporado al ordenamiento jurídico mediante la Ley 21 de 1991.</w:t>
      </w:r>
      <w:r w:rsidRPr="00DE1770">
        <w:rPr>
          <w:sz w:val="20"/>
          <w:szCs w:val="20"/>
        </w:rPr>
        <w:t xml:space="preserve"> No obstante, se debe aclarar que al final de la corrección de la demanda se hac</w:t>
      </w:r>
      <w:r w:rsidRPr="00DE1770">
        <w:rPr>
          <w:sz w:val="20"/>
          <w:szCs w:val="20"/>
        </w:rPr>
        <w:t>en algunas alusiones con fundamento en el literal b del artículo 6</w:t>
      </w:r>
      <w:r w:rsidRPr="00DE1770">
        <w:rPr>
          <w:sz w:val="20"/>
          <w:szCs w:val="20"/>
        </w:rPr>
        <w:t>, el artículo 7</w:t>
      </w:r>
      <w:r w:rsidRPr="00DE1770">
        <w:rPr>
          <w:sz w:val="20"/>
          <w:szCs w:val="20"/>
        </w:rPr>
        <w:t xml:space="preserve"> y el 15 del Convenio 169 de la OIT. </w:t>
      </w:r>
    </w:p>
  </w:footnote>
  <w:footnote w:id="4">
    <w:p w:rsidR="00080B0C" w:rsidRPr="00DE1770" w:rsidRDefault="003F6DBE" w:rsidP="00077D5A">
      <w:pPr>
        <w:pStyle w:val="Textonotapie"/>
        <w:ind w:right="49"/>
        <w:rPr>
          <w:lang w:val="es-CO"/>
        </w:rPr>
      </w:pPr>
      <w:r w:rsidRPr="00DE1770">
        <w:rPr>
          <w:rStyle w:val="Refdenotaalpie"/>
        </w:rPr>
        <w:footnoteRef/>
      </w:r>
      <w:r w:rsidRPr="00DE1770">
        <w:rPr>
          <w:lang w:val="es-CO"/>
        </w:rPr>
        <w:t xml:space="preserve"> Corte Constitucional. Sentencias C-620 de 2003, C-1051 de 2012, C-359 de 2013, C-463 de 2014 y C-480 de 2019.</w:t>
      </w:r>
    </w:p>
  </w:footnote>
  <w:footnote w:id="5">
    <w:p w:rsidR="0077188E" w:rsidRPr="00DE1770" w:rsidRDefault="003F6DBE">
      <w:pPr>
        <w:pStyle w:val="Textonotapie"/>
        <w:rPr>
          <w:lang w:val="es-CO"/>
        </w:rPr>
      </w:pPr>
      <w:r w:rsidRPr="00DE1770">
        <w:rPr>
          <w:rStyle w:val="Refdenotaalpie"/>
        </w:rPr>
        <w:footnoteRef/>
      </w:r>
      <w:r w:rsidRPr="00DE1770">
        <w:rPr>
          <w:lang w:val="es-CO"/>
        </w:rPr>
        <w:t xml:space="preserve"> Corte Constitucional. Sentencia C-054 de 2013. </w:t>
      </w:r>
    </w:p>
  </w:footnote>
  <w:footnote w:id="6">
    <w:p w:rsidR="00944DF0" w:rsidRPr="00DE1770" w:rsidRDefault="003F6DBE">
      <w:pPr>
        <w:pStyle w:val="Textonotapie"/>
        <w:rPr>
          <w:lang w:val="es-CO"/>
        </w:rPr>
      </w:pPr>
      <w:bookmarkStart w:id="4" w:name="_Hlk161323184"/>
      <w:r w:rsidRPr="00DE1770">
        <w:rPr>
          <w:rStyle w:val="Refdenotaalpie"/>
        </w:rPr>
        <w:footnoteRef/>
      </w:r>
      <w:r w:rsidRPr="00DE1770">
        <w:rPr>
          <w:lang w:val="es-CO"/>
        </w:rPr>
        <w:t xml:space="preserve"> Corte Constitucional. Sentencia C-295 de 2019.</w:t>
      </w:r>
      <w:bookmarkEnd w:id="4"/>
    </w:p>
  </w:footnote>
  <w:footnote w:id="7">
    <w:p w:rsidR="002F62FB" w:rsidRPr="00DE1770" w:rsidRDefault="003F6DBE" w:rsidP="00077D5A">
      <w:pPr>
        <w:pStyle w:val="Textonotapie"/>
        <w:ind w:right="49"/>
        <w:jc w:val="both"/>
        <w:rPr>
          <w:lang w:val="es-CO"/>
        </w:rPr>
      </w:pPr>
      <w:r w:rsidRPr="00DE1770">
        <w:rPr>
          <w:rStyle w:val="Refdenotaalpie"/>
          <w:lang w:val="es-CO"/>
        </w:rPr>
        <w:footnoteRef/>
      </w:r>
      <w:r w:rsidRPr="00DE1770">
        <w:rPr>
          <w:lang w:val="es-CO"/>
        </w:rPr>
        <w:t xml:space="preserve"> La sentencia C-169 de 2001 explicó que “</w:t>
      </w:r>
      <w:r w:rsidRPr="00DE1770">
        <w:rPr>
          <w:i/>
          <w:iCs/>
          <w:lang w:val="es-CO"/>
        </w:rPr>
        <w:t>la definición legal que consagra el artículo 2-5 de la Ley 70/93, se desprende que las comunidades negras cumplen co</w:t>
      </w:r>
      <w:r w:rsidRPr="00DE1770">
        <w:rPr>
          <w:i/>
          <w:iCs/>
          <w:lang w:val="es-CO"/>
        </w:rPr>
        <w:t>n esta doble condición, y por ende se ubican bajo el supuesto normativo del Convenio mencionado</w:t>
      </w:r>
      <w:r w:rsidRPr="00DE1770">
        <w:rPr>
          <w:lang w:val="es-CO"/>
        </w:rPr>
        <w:t>”. Más adelante, también precisó que las organizaciones que se han construido en torno de la palabra “negro” han permitido estructurar una creciente identidad co</w:t>
      </w:r>
      <w:r w:rsidRPr="00DE1770">
        <w:rPr>
          <w:lang w:val="es-CO"/>
        </w:rPr>
        <w:t>lectiva para promover mancomunadamente la defensa de sus intereses, históricamente desconocidos, cuando no vulnerados frontalmente, por la sociedad mayoritaria</w:t>
      </w:r>
      <w:r w:rsidRPr="00DE1770">
        <w:rPr>
          <w:lang w:val="es-CO"/>
        </w:rPr>
        <w:t>: “</w:t>
      </w:r>
      <w:r w:rsidRPr="00DE1770">
        <w:rPr>
          <w:i/>
          <w:iCs/>
          <w:lang w:val="es-CO"/>
        </w:rPr>
        <w:t xml:space="preserve">Se trata, así, de un actor social emergente, no en el sentido de ser un fenómeno exclusivo de </w:t>
      </w:r>
      <w:r w:rsidRPr="00DE1770">
        <w:rPr>
          <w:i/>
          <w:iCs/>
          <w:lang w:val="es-CO"/>
        </w:rPr>
        <w:t>esta época -puesto que las comunidades negras se comenzaron a configurar desde los primeros tiempos de la esclavitud en nuestro país, cuando se establecieron los "palenques", pueblos de esclavos fugitivos o "cimarrones", y se sentaron las bases para lo que</w:t>
      </w:r>
      <w:r w:rsidRPr="00DE1770">
        <w:rPr>
          <w:i/>
          <w:iCs/>
          <w:lang w:val="es-CO"/>
        </w:rPr>
        <w:t xml:space="preserve"> hoy aparece como una cultura propia-, sino en cuanto se trata de un grupo que sólo en las últimas décadas ha podido asumir la tarea de organizarse más allá del ámbito local o regional. En ese orden de ideas, el reconocimiento de estas comunidades, a nivel</w:t>
      </w:r>
      <w:r w:rsidRPr="00DE1770">
        <w:rPr>
          <w:i/>
          <w:iCs/>
          <w:lang w:val="es-CO"/>
        </w:rPr>
        <w:t xml:space="preserve"> nacional, en tanto "grupo étnico", es un presupuesto indispensable para su adecuada inserción en la vida política y económica del país”</w:t>
      </w:r>
      <w:r w:rsidRPr="00DE1770">
        <w:rPr>
          <w:lang w:val="es-CO"/>
        </w:rPr>
        <w:t>.</w:t>
      </w:r>
    </w:p>
  </w:footnote>
  <w:footnote w:id="8">
    <w:p w:rsidR="009F024A" w:rsidRPr="00DE1770" w:rsidRDefault="003F6DBE" w:rsidP="009F024A">
      <w:pPr>
        <w:pStyle w:val="Textonotapie"/>
        <w:ind w:right="-234"/>
        <w:jc w:val="both"/>
        <w:rPr>
          <w:lang w:val="es-ES"/>
        </w:rPr>
      </w:pPr>
      <w:r w:rsidRPr="00DE1770">
        <w:rPr>
          <w:rStyle w:val="Refdenotaalpie"/>
        </w:rPr>
        <w:footnoteRef/>
      </w:r>
      <w:r w:rsidRPr="00DE1770">
        <w:rPr>
          <w:lang w:val="es-CO"/>
        </w:rPr>
        <w:t xml:space="preserve"> En consecuencia, los demandantes siguieron </w:t>
      </w:r>
      <w:r w:rsidRPr="00DE1770">
        <w:rPr>
          <w:kern w:val="1"/>
          <w:lang w:val="es-CO"/>
        </w:rPr>
        <w:t>la metodología fijada por la sentencia C-352 de 2017, desarrollaron los p</w:t>
      </w:r>
      <w:r w:rsidRPr="00DE1770">
        <w:rPr>
          <w:kern w:val="1"/>
          <w:lang w:val="es-CO"/>
        </w:rPr>
        <w:t xml:space="preserve">asos del </w:t>
      </w:r>
      <w:r w:rsidRPr="00DE1770">
        <w:rPr>
          <w:i/>
          <w:iCs/>
          <w:kern w:val="1"/>
          <w:lang w:val="es-CO"/>
        </w:rPr>
        <w:t xml:space="preserve">juicio </w:t>
      </w:r>
      <w:r w:rsidRPr="00DE1770">
        <w:rPr>
          <w:kern w:val="1"/>
          <w:lang w:val="es-CO"/>
        </w:rPr>
        <w:t>definido por la jurisprudencia cuando se plantea un cargo por omisión legislativa relativa.</w:t>
      </w:r>
    </w:p>
  </w:footnote>
  <w:footnote w:id="9">
    <w:p w:rsidR="002B373C" w:rsidRPr="00DE1770" w:rsidRDefault="003F6DBE" w:rsidP="009F024A">
      <w:pPr>
        <w:pStyle w:val="Textonotapie"/>
        <w:ind w:right="-234"/>
        <w:jc w:val="both"/>
        <w:rPr>
          <w:lang w:val="es-ES"/>
        </w:rPr>
      </w:pPr>
      <w:r w:rsidRPr="00DE1770">
        <w:rPr>
          <w:rStyle w:val="Refdenotaalpie"/>
        </w:rPr>
        <w:footnoteRef/>
      </w:r>
      <w:r w:rsidRPr="00DE1770">
        <w:rPr>
          <w:lang w:val="es-CO"/>
        </w:rPr>
        <w:t xml:space="preserve"> </w:t>
      </w:r>
      <w:r w:rsidRPr="00DE1770">
        <w:rPr>
          <w:lang w:val="es-ES"/>
        </w:rPr>
        <w:t xml:space="preserve">Expediente digital D-15260. Archivo: “Demanda ciudadana”, pág. 28. </w:t>
      </w:r>
    </w:p>
  </w:footnote>
  <w:footnote w:id="10">
    <w:p w:rsidR="009F024A" w:rsidRPr="00DE1770" w:rsidRDefault="003F6DBE" w:rsidP="009F024A">
      <w:pPr>
        <w:pStyle w:val="Textonotapie"/>
        <w:jc w:val="both"/>
        <w:rPr>
          <w:lang w:val="es-ES"/>
        </w:rPr>
      </w:pPr>
      <w:r w:rsidRPr="00DE1770">
        <w:rPr>
          <w:rStyle w:val="Refdenotaalpie"/>
        </w:rPr>
        <w:footnoteRef/>
      </w:r>
      <w:r w:rsidRPr="00DE1770">
        <w:rPr>
          <w:lang w:val="es-CO"/>
        </w:rPr>
        <w:t xml:space="preserve"> </w:t>
      </w:r>
      <w:r w:rsidRPr="00DE1770">
        <w:rPr>
          <w:lang w:val="es-ES"/>
        </w:rPr>
        <w:t xml:space="preserve">En ese sentido, citaron el Auto 005 de 2009 y la sentencia T-025 de 2004 para justificar la existencia de un mandato constitucional específico de protección a las comunidades NARP. </w:t>
      </w:r>
    </w:p>
  </w:footnote>
  <w:footnote w:id="11">
    <w:p w:rsidR="00042828" w:rsidRPr="00DE1770" w:rsidRDefault="003F6DBE" w:rsidP="00DE1770">
      <w:pPr>
        <w:pStyle w:val="Textonotapie"/>
        <w:jc w:val="both"/>
        <w:rPr>
          <w:lang w:val="es-CO"/>
        </w:rPr>
      </w:pPr>
      <w:r w:rsidRPr="00DE1770">
        <w:rPr>
          <w:rStyle w:val="Refdenotaalpie"/>
        </w:rPr>
        <w:footnoteRef/>
      </w:r>
      <w:r w:rsidRPr="00DE1770">
        <w:rPr>
          <w:lang w:val="es-CO"/>
        </w:rPr>
        <w:t xml:space="preserve"> Si bien en un principio de la demanda, sólo se hacía referencia a los ar</w:t>
      </w:r>
      <w:r w:rsidRPr="00DE1770">
        <w:rPr>
          <w:lang w:val="es-CO"/>
        </w:rPr>
        <w:t xml:space="preserve">tículos 1.2 y 5.a del Convenio 169 de la OIT, al desarrollar la estructura de un cargo por omisión legislativa relativa se incluyó la referencia al 2.2 del mismo Convenio. </w:t>
      </w:r>
    </w:p>
  </w:footnote>
  <w:footnote w:id="12">
    <w:p w:rsidR="009F024A" w:rsidRPr="00DE1770" w:rsidRDefault="003F6DBE" w:rsidP="009F024A">
      <w:pPr>
        <w:pStyle w:val="Textonotapie"/>
        <w:jc w:val="both"/>
        <w:rPr>
          <w:lang w:val="es-ES"/>
        </w:rPr>
      </w:pPr>
      <w:r w:rsidRPr="00DE1770">
        <w:rPr>
          <w:rStyle w:val="Refdenotaalpie"/>
        </w:rPr>
        <w:footnoteRef/>
      </w:r>
      <w:r w:rsidRPr="00DE1770">
        <w:rPr>
          <w:lang w:val="es-CO"/>
        </w:rPr>
        <w:t xml:space="preserve"> </w:t>
      </w:r>
      <w:r w:rsidRPr="00DE1770">
        <w:rPr>
          <w:lang w:val="es-ES"/>
        </w:rPr>
        <w:t xml:space="preserve">Corte Constitucional, sentencia SU-510 de 1998. </w:t>
      </w:r>
    </w:p>
  </w:footnote>
  <w:footnote w:id="13">
    <w:p w:rsidR="009F024A" w:rsidRPr="00DE1770" w:rsidRDefault="003F6DBE" w:rsidP="009F024A">
      <w:pPr>
        <w:pStyle w:val="Textonotapie"/>
        <w:jc w:val="both"/>
        <w:rPr>
          <w:lang w:val="es-ES"/>
        </w:rPr>
      </w:pPr>
      <w:r w:rsidRPr="00DE1770">
        <w:rPr>
          <w:rStyle w:val="Refdenotaalpie"/>
        </w:rPr>
        <w:footnoteRef/>
      </w:r>
      <w:r w:rsidRPr="00DE1770">
        <w:rPr>
          <w:lang w:val="es-CO"/>
        </w:rPr>
        <w:t xml:space="preserve"> </w:t>
      </w:r>
      <w:r w:rsidRPr="00DE1770">
        <w:rPr>
          <w:lang w:val="es-ES"/>
        </w:rPr>
        <w:t>Expediente digital D-15260. Ar</w:t>
      </w:r>
      <w:r w:rsidRPr="00DE1770">
        <w:rPr>
          <w:lang w:val="es-ES"/>
        </w:rPr>
        <w:t xml:space="preserve">chivo: “Demanda ciudadana”, pág. 17. </w:t>
      </w:r>
    </w:p>
  </w:footnote>
  <w:footnote w:id="14">
    <w:p w:rsidR="00416717" w:rsidRPr="00DE1770" w:rsidRDefault="003F6DBE" w:rsidP="00416717">
      <w:pPr>
        <w:pStyle w:val="Textonotapie"/>
        <w:jc w:val="both"/>
        <w:rPr>
          <w:lang w:val="es-CO"/>
        </w:rPr>
      </w:pPr>
      <w:r w:rsidRPr="00DE1770">
        <w:rPr>
          <w:rStyle w:val="Refdenotaalpie"/>
        </w:rPr>
        <w:footnoteRef/>
      </w:r>
      <w:r w:rsidRPr="00DE1770">
        <w:rPr>
          <w:lang w:val="es-CO"/>
        </w:rPr>
        <w:t xml:space="preserve"> Según se explicó, esta situación de desigualdad negativa “</w:t>
      </w:r>
      <w:r w:rsidRPr="00DE1770">
        <w:rPr>
          <w:i/>
          <w:iCs/>
          <w:lang w:val="es-CO"/>
        </w:rPr>
        <w:t>es contrario al mandato constitucional de reconocimiento y protección de la diversidad e integridad étnica y cultural, así como con las obligaciones internaci</w:t>
      </w:r>
      <w:r w:rsidRPr="00DE1770">
        <w:rPr>
          <w:i/>
          <w:iCs/>
          <w:lang w:val="es-CO"/>
        </w:rPr>
        <w:t>onales de no discriminación y de protección de los grupos étnicos consignadas, entre otros, en el Convenio 169 de la OIT y los instrumentos de prohibición de discriminación que hace parte del bloque de Constitucionalidad</w:t>
      </w:r>
      <w:r w:rsidRPr="00DE1770">
        <w:rPr>
          <w:lang w:val="es-CO"/>
        </w:rPr>
        <w:t xml:space="preserve">”. </w:t>
      </w:r>
      <w:r w:rsidRPr="00DE1770">
        <w:rPr>
          <w:lang w:val="es-ES"/>
        </w:rPr>
        <w:t>Expediente digital D-15260. Archi</w:t>
      </w:r>
      <w:r w:rsidRPr="00DE1770">
        <w:rPr>
          <w:lang w:val="es-ES"/>
        </w:rPr>
        <w:t xml:space="preserve">vo: “Demanda ciudadana”, pág. 19. </w:t>
      </w:r>
    </w:p>
  </w:footnote>
  <w:footnote w:id="15">
    <w:p w:rsidR="009F024A" w:rsidRPr="00DE1770" w:rsidRDefault="003F6DBE" w:rsidP="009F024A">
      <w:pPr>
        <w:pStyle w:val="Textonotapie"/>
        <w:jc w:val="both"/>
        <w:rPr>
          <w:lang w:val="es-ES"/>
        </w:rPr>
      </w:pPr>
      <w:r w:rsidRPr="00DE1770">
        <w:rPr>
          <w:rStyle w:val="Refdenotaalpie"/>
        </w:rPr>
        <w:footnoteRef/>
      </w:r>
      <w:r w:rsidRPr="00DE1770">
        <w:rPr>
          <w:lang w:val="es-CO"/>
        </w:rPr>
        <w:t xml:space="preserve"> </w:t>
      </w:r>
      <w:r w:rsidRPr="00DE1770">
        <w:rPr>
          <w:lang w:val="es-ES"/>
        </w:rPr>
        <w:t xml:space="preserve">Expediente digital D-15260. Archivo: “Demanda ciudadana”, pág. 20. </w:t>
      </w:r>
    </w:p>
  </w:footnote>
  <w:footnote w:id="16">
    <w:p w:rsidR="00F14812" w:rsidRPr="00DE1770" w:rsidRDefault="003F6DBE" w:rsidP="00DE1770">
      <w:pPr>
        <w:pStyle w:val="Textonotapie"/>
        <w:jc w:val="both"/>
        <w:rPr>
          <w:lang w:val="es-CO"/>
        </w:rPr>
      </w:pPr>
      <w:r w:rsidRPr="00DE1770">
        <w:rPr>
          <w:rStyle w:val="Refdenotaalpie"/>
        </w:rPr>
        <w:footnoteRef/>
      </w:r>
      <w:r w:rsidRPr="00DE1770">
        <w:rPr>
          <w:lang w:val="es-CO"/>
        </w:rPr>
        <w:t xml:space="preserve"> En efecto, se adujo que “</w:t>
      </w:r>
      <w:r w:rsidRPr="00DE1770">
        <w:rPr>
          <w:i/>
          <w:iCs/>
          <w:lang w:val="es-CO"/>
        </w:rPr>
        <w:t xml:space="preserve">Si bien argumentan la necesidad de un trato paritario entre el grupo excluido y las comunidades indígenas con base en los </w:t>
      </w:r>
      <w:r w:rsidRPr="00DE1770">
        <w:rPr>
          <w:i/>
          <w:iCs/>
          <w:lang w:val="es-CO"/>
        </w:rPr>
        <w:t>principios de pluralidad y protección de la diversidad étnica y cultural, no se detienen en analizar por qué razones específicas, para efectos de las medidas cuestionadas, el Legislador debía mencionar expresamente a las comunidades NARP. Por tal razón, má</w:t>
      </w:r>
      <w:r w:rsidRPr="00DE1770">
        <w:rPr>
          <w:i/>
          <w:iCs/>
          <w:lang w:val="es-CO"/>
        </w:rPr>
        <w:t>s allá de plantear la conveniencia de otorgar un trato igualitario a dos grupos étnicos, no se presentan razones pertinentes que adviertan de un problema de constitucionalidad en las normas atacadas</w:t>
      </w:r>
      <w:r w:rsidRPr="00DE1770">
        <w:rPr>
          <w:lang w:val="es-CO"/>
        </w:rPr>
        <w:t xml:space="preserve">”. </w:t>
      </w:r>
    </w:p>
  </w:footnote>
  <w:footnote w:id="17">
    <w:p w:rsidR="00A92629" w:rsidRPr="00DE1770" w:rsidRDefault="003F6DBE" w:rsidP="00DC3DA0">
      <w:pPr>
        <w:pStyle w:val="Textonotapie"/>
        <w:jc w:val="both"/>
        <w:rPr>
          <w:lang w:val="es-CO"/>
        </w:rPr>
      </w:pPr>
      <w:r w:rsidRPr="00DE1770">
        <w:rPr>
          <w:rStyle w:val="Refdenotaalpie"/>
        </w:rPr>
        <w:footnoteRef/>
      </w:r>
      <w:r w:rsidRPr="00DE1770">
        <w:rPr>
          <w:lang w:val="es-CO"/>
        </w:rPr>
        <w:t xml:space="preserve"> </w:t>
      </w:r>
      <w:r w:rsidRPr="00DE1770">
        <w:rPr>
          <w:lang w:val="es-CO"/>
        </w:rPr>
        <w:t>Según indican, a</w:t>
      </w:r>
      <w:r w:rsidRPr="00DE1770">
        <w:rPr>
          <w:lang w:val="es-CO"/>
        </w:rPr>
        <w:t>sí lo entendió la Corte en las sente</w:t>
      </w:r>
      <w:r w:rsidRPr="00DE1770">
        <w:rPr>
          <w:lang w:val="es-CO"/>
        </w:rPr>
        <w:t>ncias C-169 de 2001, C-864 de 2008 y T-576 de 2014.</w:t>
      </w:r>
      <w:r w:rsidRPr="00DE1770">
        <w:rPr>
          <w:lang w:val="es-CO"/>
        </w:rPr>
        <w:t xml:space="preserve"> Por su parte, la sentencia T-201 de 2016 aludió a la existencia de un derecho a la diferencia, pero sin diferencia de derechos.</w:t>
      </w:r>
    </w:p>
  </w:footnote>
  <w:footnote w:id="18">
    <w:p w:rsidR="009A2B47" w:rsidRPr="00DE1770" w:rsidRDefault="003F6DBE" w:rsidP="00D11B65">
      <w:pPr>
        <w:pStyle w:val="Textonotapie"/>
        <w:jc w:val="both"/>
        <w:rPr>
          <w:lang w:val="es-CO"/>
        </w:rPr>
      </w:pPr>
      <w:r w:rsidRPr="00DE1770">
        <w:rPr>
          <w:rStyle w:val="Refdenotaalpie"/>
        </w:rPr>
        <w:footnoteRef/>
      </w:r>
      <w:r w:rsidRPr="00DE1770">
        <w:rPr>
          <w:lang w:val="es-CO"/>
        </w:rPr>
        <w:t xml:space="preserve"> Sin embargo, se explicó que en todo caso se debe “</w:t>
      </w:r>
      <w:r w:rsidRPr="00DE1770">
        <w:rPr>
          <w:i/>
          <w:iCs/>
          <w:lang w:val="es-CO"/>
        </w:rPr>
        <w:t>superar el error y por e</w:t>
      </w:r>
      <w:r w:rsidRPr="00DE1770">
        <w:rPr>
          <w:i/>
          <w:iCs/>
          <w:lang w:val="es-CO"/>
        </w:rPr>
        <w:t>sa vía la simplificación de pensar que en ciudades andinas no había importante presencia de la empresa esclavista, claro que sí, a través del trabajo doméstico, en haciendas, etc., sino que, demográficamente, las personas sometidas a la esclavitud de la ha</w:t>
      </w:r>
      <w:r w:rsidRPr="00DE1770">
        <w:rPr>
          <w:i/>
          <w:iCs/>
          <w:lang w:val="es-CO"/>
        </w:rPr>
        <w:t xml:space="preserve">cienda, o la domestica, era menos cuantiosa comparativamente que, la empresa esclavista de las regiones periféricas y de frontera relacionada con la minería”. </w:t>
      </w:r>
      <w:r w:rsidRPr="00DE1770">
        <w:rPr>
          <w:lang w:val="es-CO"/>
        </w:rPr>
        <w:t xml:space="preserve">Sobre esto, indicó que era posible consultar </w:t>
      </w:r>
      <w:r w:rsidRPr="00DE1770">
        <w:rPr>
          <w:lang w:val="es-CO"/>
        </w:rPr>
        <w:t xml:space="preserve">a Germán Colmenares </w:t>
      </w:r>
      <w:r w:rsidRPr="00DE1770">
        <w:rPr>
          <w:lang w:val="es-CO"/>
        </w:rPr>
        <w:t>“</w:t>
      </w:r>
      <w:r w:rsidRPr="00DE1770">
        <w:rPr>
          <w:i/>
          <w:iCs/>
          <w:lang w:val="es-CO"/>
        </w:rPr>
        <w:t xml:space="preserve">Historia Económica y Social de </w:t>
      </w:r>
      <w:r w:rsidRPr="00DE1770">
        <w:rPr>
          <w:i/>
          <w:iCs/>
          <w:lang w:val="es-CO"/>
        </w:rPr>
        <w:t>Colombia</w:t>
      </w:r>
      <w:r w:rsidRPr="00DE1770">
        <w:rPr>
          <w:lang w:val="es-CO"/>
        </w:rPr>
        <w:t xml:space="preserve">”. Tomo II. Popayán: una sociedad esclavista 1680-1800. Tercer mundo editores, </w:t>
      </w:r>
      <w:r w:rsidRPr="00DE1770">
        <w:rPr>
          <w:lang w:val="es-CO"/>
        </w:rPr>
        <w:t xml:space="preserve">Universidad </w:t>
      </w:r>
      <w:r w:rsidRPr="00DE1770">
        <w:rPr>
          <w:lang w:val="es-CO"/>
        </w:rPr>
        <w:t xml:space="preserve">d del Valle, 1999. pág. 11 y siguientes. </w:t>
      </w:r>
    </w:p>
  </w:footnote>
  <w:footnote w:id="19">
    <w:p w:rsidR="00CB119E" w:rsidRPr="00DE1770" w:rsidRDefault="003F6DBE" w:rsidP="00077D5A">
      <w:pPr>
        <w:pStyle w:val="Prrafodelista"/>
        <w:spacing w:after="0" w:line="240" w:lineRule="auto"/>
        <w:ind w:left="0" w:right="49"/>
        <w:jc w:val="both"/>
      </w:pPr>
      <w:r w:rsidRPr="00DE1770">
        <w:rPr>
          <w:rStyle w:val="Refdenotaalpie"/>
          <w:sz w:val="20"/>
          <w:szCs w:val="20"/>
        </w:rPr>
        <w:footnoteRef/>
      </w:r>
      <w:r w:rsidRPr="00DE1770">
        <w:rPr>
          <w:sz w:val="20"/>
          <w:szCs w:val="20"/>
        </w:rPr>
        <w:t xml:space="preserve"> </w:t>
      </w:r>
      <w:r w:rsidRPr="00DE1770">
        <w:rPr>
          <w:sz w:val="20"/>
          <w:szCs w:val="20"/>
        </w:rPr>
        <w:t xml:space="preserve">Según adujo, </w:t>
      </w:r>
      <w:r w:rsidRPr="00DE1770">
        <w:rPr>
          <w:rFonts w:eastAsia="Times New Roman"/>
          <w:sz w:val="20"/>
          <w:szCs w:val="20"/>
          <w:lang w:val="es-ES_tradnl"/>
        </w:rPr>
        <w:t>e</w:t>
      </w:r>
      <w:r w:rsidRPr="00DE1770">
        <w:rPr>
          <w:rFonts w:eastAsia="Times New Roman"/>
          <w:sz w:val="20"/>
          <w:szCs w:val="20"/>
          <w:lang w:val="es-ES_tradnl"/>
        </w:rPr>
        <w:t>se reconocimiento se ha dado a raíz del avance y evolución de la sociedad, que ha incorporado e implementado acciones de protección en favor de poblaciones garantizando un enfoque diferencial y multicultural. En consecuencia, se han extendido los efectos d</w:t>
      </w:r>
      <w:r w:rsidRPr="00DE1770">
        <w:rPr>
          <w:rFonts w:eastAsia="Times New Roman"/>
          <w:sz w:val="20"/>
          <w:szCs w:val="20"/>
          <w:lang w:val="es-ES_tradnl"/>
        </w:rPr>
        <w:t>e la normatividad ya existente para adecuarse al anterior estándar constitucional y, por ello, los apartes censurados no resultarían contrarios a la Constitución, sólo resultaría necesario hacer extensivos sus efectos a las comunidades negras, afrocolombia</w:t>
      </w:r>
      <w:r w:rsidRPr="00DE1770">
        <w:rPr>
          <w:rFonts w:eastAsia="Times New Roman"/>
          <w:sz w:val="20"/>
          <w:szCs w:val="20"/>
          <w:lang w:val="es-ES_tradnl"/>
        </w:rPr>
        <w:t xml:space="preserve">nas, raizales y palenqueras. </w:t>
      </w:r>
      <w:r w:rsidRPr="00DE1770">
        <w:rPr>
          <w:sz w:val="20"/>
          <w:szCs w:val="20"/>
        </w:rPr>
        <w:t xml:space="preserve">Al respecto, es posible consultar las </w:t>
      </w:r>
      <w:r w:rsidRPr="00DE1770">
        <w:rPr>
          <w:sz w:val="20"/>
          <w:szCs w:val="20"/>
          <w:lang w:val="es-ES_tradnl"/>
        </w:rPr>
        <w:t>sentencias T-174 de 1998, C-030 y C-461 de 2008, SU-383 de 2003 y SU-123 de 2018, entre otras.</w:t>
      </w:r>
    </w:p>
  </w:footnote>
  <w:footnote w:id="20">
    <w:p w:rsidR="002468DA" w:rsidRPr="00DE1770" w:rsidRDefault="003F6DBE" w:rsidP="000374EA">
      <w:pPr>
        <w:pStyle w:val="Textonotapie"/>
        <w:jc w:val="both"/>
        <w:rPr>
          <w:lang w:val="es-CO"/>
        </w:rPr>
      </w:pPr>
      <w:r w:rsidRPr="00DE1770">
        <w:rPr>
          <w:rStyle w:val="Refdenotaalpie"/>
        </w:rPr>
        <w:footnoteRef/>
      </w:r>
      <w:r w:rsidRPr="00DE1770">
        <w:rPr>
          <w:lang w:val="es-CO"/>
        </w:rPr>
        <w:t xml:space="preserve"> En tal sentido, adujo lo siguiente: “</w:t>
      </w:r>
      <w:r w:rsidRPr="00DE1770">
        <w:rPr>
          <w:i/>
          <w:iCs/>
          <w:lang w:val="es-CO"/>
        </w:rPr>
        <w:t>Es fundamental destacar que el movimiento afrocolombian</w:t>
      </w:r>
      <w:r w:rsidRPr="00DE1770">
        <w:rPr>
          <w:i/>
          <w:iCs/>
          <w:lang w:val="es-CO"/>
        </w:rPr>
        <w:t>o estableció comunicación con el Departamento Administrativo Nacional de Estadística (DANE) con el propósito de reformular la metodología de identificación. Como resultado de este diálogo, en el Censo de 2005 se adoptaron de manera simultánea criterios cul</w:t>
      </w:r>
      <w:r w:rsidRPr="00DE1770">
        <w:rPr>
          <w:i/>
          <w:iCs/>
          <w:lang w:val="es-CO"/>
        </w:rPr>
        <w:t>turales y fenotípicos. La inclusión de características físicas en la formulación de la pregunta se implementó con la finalidad de permitir la visibilización estadística de la población negra que no se identifica culturalmente. Esta medida respondió a una s</w:t>
      </w:r>
      <w:r w:rsidRPr="00DE1770">
        <w:rPr>
          <w:i/>
          <w:iCs/>
          <w:lang w:val="es-CO"/>
        </w:rPr>
        <w:t>olicitud genuina por parte de los miembros de las organizaciones afro, quienes expresaron esta necesidad de manera sentida</w:t>
      </w:r>
      <w:r w:rsidRPr="00DE1770">
        <w:rPr>
          <w:lang w:val="es-CO"/>
        </w:rPr>
        <w:t>”. // “</w:t>
      </w:r>
      <w:r w:rsidRPr="00DE1770">
        <w:rPr>
          <w:i/>
          <w:iCs/>
          <w:lang w:val="es-CO"/>
        </w:rPr>
        <w:t>Es crucial señalar que estos diálogos se llevaron a cabo no solo con el movimiento afrocolombiano sino también con otras organi</w:t>
      </w:r>
      <w:r w:rsidRPr="00DE1770">
        <w:rPr>
          <w:i/>
          <w:iCs/>
          <w:lang w:val="es-CO"/>
        </w:rPr>
        <w:t>zaciones étnicas reconocidas en la Constitución de Colombia. Estos encuentros enfatizaron el ejercicio del derecho fundamental a la igualdad, un principio rector consagrado en nuestra carta magna. En la búsqueda de una metodología de identificación más inc</w:t>
      </w:r>
      <w:r w:rsidRPr="00DE1770">
        <w:rPr>
          <w:i/>
          <w:iCs/>
          <w:lang w:val="es-CO"/>
        </w:rPr>
        <w:t>lusiva, se promovió un diálogo amplio y participativo con comunidades indígenas, afrodescendientes y otras minorías étnicas, reconociendo la importancia de reflejar la diversidad y complejidad de la sociedad colombiana en los procesos censales. Este enfoqu</w:t>
      </w:r>
      <w:r w:rsidRPr="00DE1770">
        <w:rPr>
          <w:i/>
          <w:iCs/>
          <w:lang w:val="es-CO"/>
        </w:rPr>
        <w:t>e colaborativo se erigió como un pilar para asegurar que la identificación étnica en el censo reflejara de manera precisa y respetuosa la pluralidad cultural y racial presente en el país, fortaleciendo así el compromiso con la igualdad y la no discriminaci</w:t>
      </w:r>
      <w:r w:rsidRPr="00DE1770">
        <w:rPr>
          <w:i/>
          <w:iCs/>
          <w:lang w:val="es-CO"/>
        </w:rPr>
        <w:t>ó</w:t>
      </w:r>
      <w:r w:rsidRPr="00DE1770">
        <w:rPr>
          <w:lang w:val="es-CO"/>
        </w:rPr>
        <w:t xml:space="preserve">n”. </w:t>
      </w:r>
      <w:r w:rsidRPr="00DE1770">
        <w:rPr>
          <w:szCs w:val="28"/>
          <w:lang w:val="es-ES_tradnl" w:eastAsia="es-CO"/>
        </w:rPr>
        <w:t>Por último, indica que la sentencia C-295 de 2019 señaló la importancia constitucional para los pueblos étnicos de ser contados e implica el reconocimiento de vivir con una identidad que se autodefine como distinta y que permite exteriorizar avances y</w:t>
      </w:r>
      <w:r w:rsidRPr="00DE1770">
        <w:rPr>
          <w:szCs w:val="28"/>
          <w:lang w:val="es-ES_tradnl" w:eastAsia="es-CO"/>
        </w:rPr>
        <w:t xml:space="preserve"> retrocesos en términos de discriminación y exclusión. Así, al aplicar estas conclusiones al caso ahora estudiado, se tiene que se debe analizar el caso desde la igualdad material para impactar de manera real en quienes han experimentado desventajas sistém</w:t>
      </w:r>
      <w:r w:rsidRPr="00DE1770">
        <w:rPr>
          <w:szCs w:val="28"/>
          <w:lang w:val="es-ES_tradnl" w:eastAsia="es-CO"/>
        </w:rPr>
        <w:t xml:space="preserve">icas. </w:t>
      </w:r>
    </w:p>
  </w:footnote>
  <w:footnote w:id="21">
    <w:p w:rsidR="00707DBB" w:rsidRPr="00DE1770" w:rsidRDefault="003F6DBE">
      <w:pPr>
        <w:pStyle w:val="Textonotapie"/>
        <w:rPr>
          <w:lang w:val="pt-PT"/>
        </w:rPr>
      </w:pPr>
      <w:r w:rsidRPr="00DE1770">
        <w:rPr>
          <w:rStyle w:val="Refdenotaalpie"/>
        </w:rPr>
        <w:footnoteRef/>
      </w:r>
      <w:r w:rsidRPr="00DE1770">
        <w:rPr>
          <w:lang w:val="pt-PT"/>
        </w:rPr>
        <w:t xml:space="preserve"> M.P. Alberto Rojas Ríos. </w:t>
      </w:r>
    </w:p>
  </w:footnote>
  <w:footnote w:id="22">
    <w:p w:rsidR="00C207CB" w:rsidRPr="00DE1770" w:rsidRDefault="003F6DBE" w:rsidP="006B5057">
      <w:pPr>
        <w:pStyle w:val="Textonotapie"/>
        <w:jc w:val="both"/>
        <w:rPr>
          <w:lang w:val="es-CO"/>
        </w:rPr>
      </w:pPr>
      <w:r w:rsidRPr="00DE1770">
        <w:rPr>
          <w:rStyle w:val="Refdenotaalpie"/>
        </w:rPr>
        <w:footnoteRef/>
      </w:r>
      <w:r w:rsidRPr="00DE1770">
        <w:rPr>
          <w:lang w:val="es-CO"/>
        </w:rPr>
        <w:t xml:space="preserve"> </w:t>
      </w:r>
      <w:r w:rsidRPr="00DE1770">
        <w:rPr>
          <w:lang w:val="es-ES_tradnl"/>
        </w:rPr>
        <w:t>Audrey Karina Mena Mosquera y Sibelys Mejía Rodríguez.</w:t>
      </w:r>
    </w:p>
  </w:footnote>
  <w:footnote w:id="23">
    <w:p w:rsidR="00C207CB" w:rsidRPr="00DE1770" w:rsidRDefault="003F6DBE" w:rsidP="006B5057">
      <w:pPr>
        <w:pStyle w:val="Textonotapie"/>
        <w:jc w:val="both"/>
        <w:rPr>
          <w:lang w:val="es-CO"/>
        </w:rPr>
      </w:pPr>
      <w:r w:rsidRPr="00DE1770">
        <w:rPr>
          <w:rStyle w:val="Refdenotaalpie"/>
        </w:rPr>
        <w:footnoteRef/>
      </w:r>
      <w:r w:rsidRPr="00DE1770">
        <w:rPr>
          <w:lang w:val="es-CO"/>
        </w:rPr>
        <w:t xml:space="preserve"> Para sustentar esto</w:t>
      </w:r>
      <w:r w:rsidRPr="00DE1770">
        <w:rPr>
          <w:lang w:val="es-CO"/>
        </w:rPr>
        <w:t xml:space="preserve"> se afirma que se pueden consultar las siguientes sentencias: T-375 de 2006, T-586 de 2007, T-422 de 1996, C-169 de 2001, T-586 de 2007, T-375 de 2006, C-530 de 1993, T-800 de 2014.</w:t>
      </w:r>
    </w:p>
  </w:footnote>
  <w:footnote w:id="24">
    <w:p w:rsidR="006B5057" w:rsidRPr="00DE1770" w:rsidRDefault="003F6DBE" w:rsidP="006B5057">
      <w:pPr>
        <w:pStyle w:val="Textonotapie"/>
        <w:jc w:val="both"/>
        <w:rPr>
          <w:lang w:val="es-CO"/>
        </w:rPr>
      </w:pPr>
      <w:r w:rsidRPr="00DE1770">
        <w:rPr>
          <w:rStyle w:val="Refdenotaalpie"/>
        </w:rPr>
        <w:footnoteRef/>
      </w:r>
      <w:r w:rsidRPr="00DE1770">
        <w:rPr>
          <w:lang w:val="es-CO"/>
        </w:rPr>
        <w:t xml:space="preserve"> La Ley 70 de 1993 desarrolló el artículo 55 transitorio de la Constitución Política de Colombia y, según se explicó, fue el primer paso para al reconocer no sólo el derecho a la igualdad de todas las culturas que conforman la nacionalidad colombiana, sino</w:t>
      </w:r>
      <w:r w:rsidRPr="00DE1770">
        <w:rPr>
          <w:lang w:val="es-CO"/>
        </w:rPr>
        <w:t xml:space="preserve"> también la necesaria participación de las comunidades negras y sus organizaciones sin detrimento de su autonomía en las decisiones que les afectan en igualdad y conformidad con la ley, como se explicó en la sentencia T-576 de 2014.</w:t>
      </w:r>
    </w:p>
  </w:footnote>
  <w:footnote w:id="25">
    <w:p w:rsidR="00046CBF" w:rsidRPr="00DE1770" w:rsidRDefault="003F6DBE">
      <w:pPr>
        <w:pStyle w:val="Textonotapie"/>
        <w:rPr>
          <w:lang w:val="es-CO"/>
        </w:rPr>
      </w:pPr>
      <w:r w:rsidRPr="00DE1770">
        <w:rPr>
          <w:rStyle w:val="Refdenotaalpie"/>
        </w:rPr>
        <w:footnoteRef/>
      </w:r>
      <w:r w:rsidRPr="00DE1770">
        <w:rPr>
          <w:lang w:val="es-CO"/>
        </w:rPr>
        <w:t xml:space="preserve"> Es decir, </w:t>
      </w:r>
      <w:r w:rsidRPr="00DE1770">
        <w:rPr>
          <w:lang w:val="es-ES_tradnl"/>
        </w:rPr>
        <w:t>Ana María R</w:t>
      </w:r>
      <w:r w:rsidRPr="00DE1770">
        <w:rPr>
          <w:lang w:val="es-ES_tradnl"/>
        </w:rPr>
        <w:t>odríguez Valencia, David Armando Rodríguez Rodríguez y Mónica Alejandra Mora Godoy.</w:t>
      </w:r>
    </w:p>
  </w:footnote>
  <w:footnote w:id="26">
    <w:p w:rsidR="00C46E77" w:rsidRPr="00DE1770" w:rsidRDefault="003F6DBE" w:rsidP="00C46E77">
      <w:pPr>
        <w:pStyle w:val="Textonotapie"/>
        <w:jc w:val="both"/>
        <w:rPr>
          <w:lang w:val="es-CO"/>
        </w:rPr>
      </w:pPr>
      <w:r w:rsidRPr="00DE1770">
        <w:rPr>
          <w:rStyle w:val="Refdenotaalpie"/>
        </w:rPr>
        <w:footnoteRef/>
      </w:r>
      <w:r w:rsidRPr="00DE1770">
        <w:rPr>
          <w:lang w:val="es-CO"/>
        </w:rPr>
        <w:t xml:space="preserve"> </w:t>
      </w:r>
      <w:r w:rsidRPr="00DE1770">
        <w:rPr>
          <w:lang w:val="es-ES_tradnl"/>
        </w:rPr>
        <w:t xml:space="preserve">Aprobada por la Ley 22 de 1981. </w:t>
      </w:r>
    </w:p>
  </w:footnote>
  <w:footnote w:id="27">
    <w:p w:rsidR="00C46E77" w:rsidRPr="00DE1770" w:rsidRDefault="003F6DBE" w:rsidP="00C46E77">
      <w:pPr>
        <w:pStyle w:val="Textonotapie"/>
        <w:jc w:val="both"/>
        <w:rPr>
          <w:lang w:val="es-CO"/>
        </w:rPr>
      </w:pPr>
      <w:r w:rsidRPr="00DE1770">
        <w:rPr>
          <w:rStyle w:val="Refdenotaalpie"/>
        </w:rPr>
        <w:footnoteRef/>
      </w:r>
      <w:r w:rsidRPr="00DE1770">
        <w:rPr>
          <w:lang w:val="es-CO"/>
        </w:rPr>
        <w:t xml:space="preserve"> En ese mismo sentido, el literal c) del artículo 2 de este instrumento indica que “</w:t>
      </w:r>
      <w:r w:rsidRPr="00DE1770">
        <w:rPr>
          <w:i/>
          <w:iCs/>
          <w:lang w:val="es-CO"/>
        </w:rPr>
        <w:t>cada Estado parte tomará medidas efectivas para revi</w:t>
      </w:r>
      <w:r w:rsidRPr="00DE1770">
        <w:rPr>
          <w:i/>
          <w:iCs/>
          <w:lang w:val="es-CO"/>
        </w:rPr>
        <w:t xml:space="preserve">sar las políticas gubernamentales nacionales y locales, y para enmendar, derogar o anular las leyes y las disposiciones reglamentarias que tengan como consecuencia crear la discriminación racial </w:t>
      </w:r>
      <w:r w:rsidRPr="00DE1770">
        <w:rPr>
          <w:i/>
          <w:iCs/>
          <w:lang w:val="es-CO"/>
        </w:rPr>
        <w:t>o perpetuarla donde ya exista</w:t>
      </w:r>
      <w:r w:rsidRPr="00DE1770">
        <w:rPr>
          <w:lang w:val="es-CO"/>
        </w:rPr>
        <w:t xml:space="preserve">”. </w:t>
      </w:r>
    </w:p>
  </w:footnote>
  <w:footnote w:id="28">
    <w:p w:rsidR="00285A2C" w:rsidRPr="00DE1770" w:rsidRDefault="003F6DBE" w:rsidP="00077D5A">
      <w:pPr>
        <w:pStyle w:val="Textonotapie"/>
        <w:jc w:val="both"/>
        <w:rPr>
          <w:lang w:val="es-CO"/>
        </w:rPr>
      </w:pPr>
      <w:r w:rsidRPr="00DE1770">
        <w:rPr>
          <w:rStyle w:val="Refdenotaalpie"/>
        </w:rPr>
        <w:footnoteRef/>
      </w:r>
      <w:r w:rsidRPr="00DE1770">
        <w:rPr>
          <w:lang w:val="es-CO"/>
        </w:rPr>
        <w:t xml:space="preserve"> La sentencia T-576 de 2014</w:t>
      </w:r>
      <w:r w:rsidRPr="00DE1770">
        <w:rPr>
          <w:lang w:val="es-CO"/>
        </w:rPr>
        <w:t xml:space="preserve"> explicó que “</w:t>
      </w:r>
      <w:r w:rsidRPr="00DE1770">
        <w:rPr>
          <w:i/>
          <w:iCs/>
          <w:shd w:val="clear" w:color="auto" w:fill="FFFFFF"/>
          <w:lang w:val="es-CO"/>
        </w:rPr>
        <w:t xml:space="preserve">las personas afrocolombianas y las comunidades a las que pertenecen son titulares de derechos fundamentales y que gozan de un status especial de protección que aspira, tanto a compensarlas por las difíciles circunstancias sociales, políticas </w:t>
      </w:r>
      <w:r w:rsidRPr="00DE1770">
        <w:rPr>
          <w:i/>
          <w:iCs/>
          <w:shd w:val="clear" w:color="auto" w:fill="FFFFFF"/>
          <w:lang w:val="es-CO"/>
        </w:rPr>
        <w:t>y económicas que han enfrentado tras décadas de abandono institucional, como a salvaguardar su diversidad étnica y cultural, en armonía con el marco constitucional y los compromisos internacionales que el Estado colombiano ha adquirido en esa materia</w:t>
      </w:r>
      <w:r w:rsidRPr="00DE1770">
        <w:rPr>
          <w:shd w:val="clear" w:color="auto" w:fill="FFFFFF"/>
          <w:lang w:val="es-CO"/>
        </w:rPr>
        <w:t>”.</w:t>
      </w:r>
    </w:p>
  </w:footnote>
  <w:footnote w:id="29">
    <w:p w:rsidR="00285A2C" w:rsidRPr="00DE1770" w:rsidRDefault="003F6DBE" w:rsidP="00077D5A">
      <w:pPr>
        <w:pStyle w:val="Textonotapie"/>
        <w:rPr>
          <w:lang w:val="pt-PT"/>
        </w:rPr>
      </w:pPr>
      <w:r w:rsidRPr="00DE1770">
        <w:rPr>
          <w:rStyle w:val="Refdenotaalpie"/>
        </w:rPr>
        <w:footnoteRef/>
      </w:r>
      <w:r w:rsidRPr="00DE1770">
        <w:rPr>
          <w:lang w:val="pt-PT"/>
        </w:rPr>
        <w:t xml:space="preserve"> Corte Constitucional. </w:t>
      </w:r>
      <w:r w:rsidRPr="00DE1770">
        <w:rPr>
          <w:lang w:val="pt-PT"/>
        </w:rPr>
        <w:t>Sentencia C-169 de 2001.</w:t>
      </w:r>
    </w:p>
  </w:footnote>
  <w:footnote w:id="30">
    <w:p w:rsidR="00855C34" w:rsidRPr="00DE1770" w:rsidRDefault="003F6DBE" w:rsidP="00077D5A">
      <w:pPr>
        <w:pStyle w:val="Prrafodelista"/>
        <w:spacing w:after="0" w:line="240" w:lineRule="auto"/>
        <w:ind w:left="0"/>
        <w:jc w:val="both"/>
      </w:pPr>
      <w:r w:rsidRPr="00DE1770">
        <w:rPr>
          <w:rStyle w:val="Refdenotaalpie"/>
          <w:sz w:val="20"/>
          <w:szCs w:val="20"/>
        </w:rPr>
        <w:footnoteRef/>
      </w:r>
      <w:r w:rsidRPr="00DE1770">
        <w:rPr>
          <w:sz w:val="20"/>
          <w:szCs w:val="20"/>
        </w:rPr>
        <w:t xml:space="preserve"> </w:t>
      </w:r>
      <w:r w:rsidRPr="00DE1770">
        <w:rPr>
          <w:sz w:val="20"/>
          <w:szCs w:val="20"/>
          <w:lang w:val="es-ES_tradnl"/>
        </w:rPr>
        <w:t xml:space="preserve">Al respecto, citan las sentencias </w:t>
      </w:r>
      <w:r w:rsidRPr="00DE1770">
        <w:rPr>
          <w:sz w:val="20"/>
          <w:szCs w:val="20"/>
        </w:rPr>
        <w:t>C-359 de 2013, C-480 de 2019 y C-433 de 2021 y, con sustento en estos precedentes, consideran que las comunidades negras, afrocolombianas, palenqueras y raizales son recono</w:t>
      </w:r>
      <w:r w:rsidRPr="00DE1770">
        <w:rPr>
          <w:sz w:val="20"/>
          <w:szCs w:val="20"/>
        </w:rPr>
        <w:t>cidas por la jurisprudencia de la Corte como grupos étnicos, lo que les da el derecho a la diversidad étnica y cultural, así como también a ser parte de las decisiones que les afectan, como lo son las disposiciones en materia de zona de fronteras. Es la pr</w:t>
      </w:r>
      <w:r w:rsidRPr="00DE1770">
        <w:rPr>
          <w:sz w:val="20"/>
          <w:szCs w:val="20"/>
        </w:rPr>
        <w:t xml:space="preserve">opia Constitución la que fija un mandato de protección igualitaria de todas las culturas (artículos 1, 7, 13 y 70). </w:t>
      </w:r>
    </w:p>
  </w:footnote>
  <w:footnote w:id="31">
    <w:p w:rsidR="00D04F4F" w:rsidRPr="00DE1770" w:rsidRDefault="003F6DBE" w:rsidP="00077D5A">
      <w:pPr>
        <w:pStyle w:val="Textonotapie"/>
        <w:jc w:val="both"/>
        <w:rPr>
          <w:lang w:val="es-MX"/>
        </w:rPr>
      </w:pPr>
      <w:r w:rsidRPr="00DE1770">
        <w:rPr>
          <w:rStyle w:val="Refdenotaalpie"/>
        </w:rPr>
        <w:footnoteRef/>
      </w:r>
      <w:r w:rsidRPr="00DE1770">
        <w:rPr>
          <w:lang w:val="es-MX"/>
        </w:rPr>
        <w:t xml:space="preserve"> Corte Constitucional</w:t>
      </w:r>
      <w:r w:rsidRPr="00DE1770">
        <w:rPr>
          <w:lang w:val="es-MX"/>
        </w:rPr>
        <w:t>.</w:t>
      </w:r>
      <w:r w:rsidRPr="00DE1770">
        <w:rPr>
          <w:lang w:val="es-MX"/>
        </w:rPr>
        <w:t xml:space="preserve"> Sentencia C-075 de 2021 (M.P. Jorge Enrique Ibáñez Najar),</w:t>
      </w:r>
      <w:r w:rsidRPr="00DE1770">
        <w:rPr>
          <w:lang w:val="es-MX"/>
        </w:rPr>
        <w:t xml:space="preserve"> que reiteró </w:t>
      </w:r>
      <w:r w:rsidRPr="00DE1770">
        <w:rPr>
          <w:lang w:val="es-MX"/>
        </w:rPr>
        <w:t>los fallos C-352 de 2017 (M.P. Alejandro Lin</w:t>
      </w:r>
      <w:r w:rsidRPr="00DE1770">
        <w:rPr>
          <w:lang w:val="es-MX"/>
        </w:rPr>
        <w:t>ares Cantillo) y C-083 de 2018 (M. P. Luis Guillermo Guerrero Pérez.</w:t>
      </w:r>
    </w:p>
  </w:footnote>
  <w:footnote w:id="32">
    <w:p w:rsidR="00D04F4F" w:rsidRPr="00DE1770" w:rsidRDefault="003F6DBE" w:rsidP="00077D5A">
      <w:pPr>
        <w:pStyle w:val="Textonotapie"/>
        <w:jc w:val="both"/>
        <w:rPr>
          <w:lang w:val="es-MX"/>
        </w:rPr>
      </w:pPr>
      <w:r w:rsidRPr="00DE1770">
        <w:rPr>
          <w:rStyle w:val="Refdenotaalpie"/>
        </w:rPr>
        <w:footnoteRef/>
      </w:r>
      <w:r w:rsidRPr="00DE1770">
        <w:rPr>
          <w:lang w:val="es-MX"/>
        </w:rPr>
        <w:t xml:space="preserve"> Corte Constitucional</w:t>
      </w:r>
      <w:r w:rsidRPr="00DE1770">
        <w:rPr>
          <w:lang w:val="es-MX"/>
        </w:rPr>
        <w:t>.</w:t>
      </w:r>
      <w:r w:rsidRPr="00DE1770">
        <w:rPr>
          <w:lang w:val="es-MX"/>
        </w:rPr>
        <w:t xml:space="preserve"> Sentencias C-555 de 1994 (M.P.</w:t>
      </w:r>
      <w:r w:rsidRPr="00DE1770">
        <w:rPr>
          <w:lang w:val="es-MX"/>
        </w:rPr>
        <w:t xml:space="preserve"> </w:t>
      </w:r>
      <w:r w:rsidRPr="00DE1770">
        <w:rPr>
          <w:lang w:val="es-MX"/>
        </w:rPr>
        <w:t>Eduardo Cifuentes Muñoz) y C-864 de 2008 (M. P. Marco Gerardo Monroy Cabra).</w:t>
      </w:r>
    </w:p>
  </w:footnote>
  <w:footnote w:id="33">
    <w:p w:rsidR="00D04F4F" w:rsidRPr="00DE1770" w:rsidRDefault="003F6DBE" w:rsidP="00077D5A">
      <w:pPr>
        <w:pStyle w:val="Textonotapie"/>
        <w:ind w:right="49"/>
        <w:jc w:val="both"/>
        <w:rPr>
          <w:lang w:val="es-MX"/>
        </w:rPr>
      </w:pPr>
      <w:r w:rsidRPr="00DE1770">
        <w:rPr>
          <w:rStyle w:val="Refdenotaalpie"/>
        </w:rPr>
        <w:footnoteRef/>
      </w:r>
      <w:r w:rsidRPr="00DE1770">
        <w:rPr>
          <w:lang w:val="es-MX"/>
        </w:rPr>
        <w:t xml:space="preserve"> Corte Constitu</w:t>
      </w:r>
      <w:r w:rsidRPr="00DE1770">
        <w:rPr>
          <w:lang w:val="es-MX"/>
        </w:rPr>
        <w:t>cional.</w:t>
      </w:r>
      <w:r w:rsidRPr="00DE1770">
        <w:rPr>
          <w:lang w:val="es-MX"/>
        </w:rPr>
        <w:t xml:space="preserve"> Sentencias C-401 de 2016 (M.P. </w:t>
      </w:r>
      <w:r w:rsidRPr="00DE1770">
        <w:rPr>
          <w:lang w:val="es-MX"/>
        </w:rPr>
        <w:t xml:space="preserve">Jorge Iván Palacio Palacio) y C-075 de 2021 (M. P. Jorge Enrique Ibáñez Najar).  </w:t>
      </w:r>
    </w:p>
  </w:footnote>
  <w:footnote w:id="34">
    <w:p w:rsidR="001B61DE" w:rsidRPr="00DE1770" w:rsidRDefault="003F6DBE" w:rsidP="00077D5A">
      <w:pPr>
        <w:spacing w:after="0" w:line="240" w:lineRule="auto"/>
        <w:ind w:right="49"/>
        <w:jc w:val="both"/>
        <w:rPr>
          <w:bCs/>
          <w:sz w:val="20"/>
          <w:szCs w:val="20"/>
        </w:rPr>
      </w:pPr>
      <w:r w:rsidRPr="00DE1770">
        <w:rPr>
          <w:rStyle w:val="Refdenotaalpie"/>
          <w:sz w:val="20"/>
          <w:szCs w:val="20"/>
        </w:rPr>
        <w:footnoteRef/>
      </w:r>
      <w:r w:rsidRPr="00DE1770">
        <w:rPr>
          <w:sz w:val="20"/>
          <w:szCs w:val="20"/>
        </w:rPr>
        <w:t xml:space="preserve"> </w:t>
      </w:r>
      <w:r w:rsidRPr="00DE1770">
        <w:rPr>
          <w:bCs/>
          <w:sz w:val="20"/>
          <w:szCs w:val="20"/>
        </w:rPr>
        <w:t xml:space="preserve">Las sentencias C-359 de 2013, C-480 de 2019 y C-433 de 2021 han desarrollado la existencia de este deber. </w:t>
      </w:r>
    </w:p>
  </w:footnote>
  <w:footnote w:id="35">
    <w:p w:rsidR="007C4FE7" w:rsidRPr="00DE1770" w:rsidRDefault="003F6DBE" w:rsidP="00077D5A">
      <w:pPr>
        <w:pStyle w:val="Textonotapie"/>
        <w:ind w:right="49"/>
        <w:jc w:val="both"/>
        <w:rPr>
          <w:lang w:val="es-CO"/>
        </w:rPr>
      </w:pPr>
      <w:r w:rsidRPr="00DE1770">
        <w:rPr>
          <w:rStyle w:val="Refdenotaalpie"/>
        </w:rPr>
        <w:footnoteRef/>
      </w:r>
      <w:r w:rsidRPr="00DE1770">
        <w:rPr>
          <w:lang w:val="es-CO"/>
        </w:rPr>
        <w:t xml:space="preserve"> Corte Constitucional. Sentencia C-480 de 2019 (M.P. Alberto Rojas Ríos) que </w:t>
      </w:r>
      <w:r w:rsidRPr="00DE1770">
        <w:rPr>
          <w:lang w:val="es-CO"/>
        </w:rPr>
        <w:t xml:space="preserve">reiteró lo indicado por </w:t>
      </w:r>
      <w:r w:rsidRPr="00DE1770">
        <w:rPr>
          <w:color w:val="2D2D2D"/>
          <w:shd w:val="clear" w:color="auto" w:fill="FFFFFF"/>
          <w:lang w:val="es-CO"/>
        </w:rPr>
        <w:t xml:space="preserve">Wade </w:t>
      </w:r>
      <w:r w:rsidRPr="00DE1770">
        <w:rPr>
          <w:shd w:val="clear" w:color="auto" w:fill="FFFFFF"/>
          <w:lang w:val="es-CO"/>
        </w:rPr>
        <w:t>Peter. En “</w:t>
      </w:r>
      <w:r w:rsidRPr="00DE1770">
        <w:rPr>
          <w:i/>
          <w:iCs/>
          <w:shd w:val="clear" w:color="auto" w:fill="FFFFFF"/>
          <w:lang w:val="es-CO"/>
        </w:rPr>
        <w:t>Interacciones, relaciones y comparaciones afroindígenas, en Estudios afrolatinoamericanos: una introducción</w:t>
      </w:r>
      <w:r w:rsidRPr="00DE1770">
        <w:rPr>
          <w:shd w:val="clear" w:color="auto" w:fill="FFFFFF"/>
          <w:lang w:val="es-CO"/>
        </w:rPr>
        <w:t>” / De la Fuente, Alejandro[et a</w:t>
      </w:r>
      <w:r w:rsidRPr="00DE1770">
        <w:rPr>
          <w:shd w:val="clear" w:color="auto" w:fill="FFFFFF"/>
          <w:lang w:val="es-CO"/>
        </w:rPr>
        <w:t>l.]; editado por Alejandro de la Fuente; George Reid Andrews. - 1a ed. - Ciudad Autónoma de Buenos Aires: -CLACSO- 2018, pp. 136-137.</w:t>
      </w:r>
    </w:p>
  </w:footnote>
  <w:footnote w:id="36">
    <w:p w:rsidR="00E510F4" w:rsidRPr="00DE1770" w:rsidRDefault="003F6DBE" w:rsidP="00077D5A">
      <w:pPr>
        <w:pStyle w:val="Textonotapie"/>
        <w:ind w:right="49"/>
        <w:rPr>
          <w:lang w:val="es-CO"/>
        </w:rPr>
      </w:pPr>
      <w:r w:rsidRPr="00DE1770">
        <w:rPr>
          <w:rStyle w:val="Refdenotaalpie"/>
        </w:rPr>
        <w:footnoteRef/>
      </w:r>
      <w:r w:rsidRPr="00DE1770">
        <w:rPr>
          <w:lang w:val="es-CO"/>
        </w:rPr>
        <w:t xml:space="preserve"> Estos son el artículo 5 (parcial); el parágrafo 2 del artículo 7 (parcial); el artículo 8 (parcial) y el artículo 10 (pa</w:t>
      </w:r>
      <w:r w:rsidRPr="00DE1770">
        <w:rPr>
          <w:lang w:val="es-CO"/>
        </w:rPr>
        <w:t>rcial) de la Ley 191 de 1995 “</w:t>
      </w:r>
      <w:r w:rsidRPr="00DE1770">
        <w:rPr>
          <w:i/>
          <w:iCs/>
          <w:lang w:val="es-CO"/>
        </w:rPr>
        <w:t>Por la cual se dictan disposiciones sobre Zonas de Frontera</w:t>
      </w:r>
      <w:r w:rsidRPr="00DE1770">
        <w:rPr>
          <w:lang w:val="es-CO"/>
        </w:rPr>
        <w:t>”.</w:t>
      </w:r>
    </w:p>
  </w:footnote>
  <w:footnote w:id="37">
    <w:p w:rsidR="00B9593F" w:rsidRPr="004F6C0D" w:rsidRDefault="003F6DBE">
      <w:pPr>
        <w:pStyle w:val="Textonotapie"/>
        <w:rPr>
          <w:lang w:val="es-CO"/>
        </w:rPr>
      </w:pPr>
      <w:r>
        <w:rPr>
          <w:rStyle w:val="Refdenotaalpie"/>
        </w:rPr>
        <w:footnoteRef/>
      </w:r>
      <w:r w:rsidRPr="004F6C0D">
        <w:rPr>
          <w:lang w:val="es-CO"/>
        </w:rPr>
        <w:t xml:space="preserve"> Corte Constitucional. Sentencia C-117 de 2021 (M.P. Alejandro Linares Cantillo).</w:t>
      </w:r>
    </w:p>
  </w:footnote>
  <w:footnote w:id="38">
    <w:p w:rsidR="00B9593F" w:rsidRPr="000D2995" w:rsidRDefault="003F6DBE" w:rsidP="00B9593F">
      <w:pPr>
        <w:pStyle w:val="Textonotapie"/>
        <w:jc w:val="both"/>
        <w:rPr>
          <w:color w:val="000000" w:themeColor="text1"/>
          <w:lang w:val="es-CO"/>
        </w:rPr>
      </w:pPr>
      <w:r w:rsidRPr="006648A5">
        <w:rPr>
          <w:rStyle w:val="Refdenotaalpie"/>
          <w:color w:val="000000" w:themeColor="text1"/>
          <w:lang w:val="es-CO"/>
        </w:rPr>
        <w:footnoteRef/>
      </w:r>
      <w:r w:rsidRPr="006648A5">
        <w:rPr>
          <w:color w:val="000000" w:themeColor="text1"/>
          <w:lang w:val="es-CO"/>
        </w:rPr>
        <w:t xml:space="preserve"> Corte Constitucional. Sentencias C-206 de 2016 y C-207 de 2016, entre otras.</w:t>
      </w:r>
      <w:r w:rsidRPr="000D2995">
        <w:rPr>
          <w:color w:val="000000" w:themeColor="text1"/>
          <w:lang w:val="es-CO"/>
        </w:rPr>
        <w:t xml:space="preserve"> </w:t>
      </w:r>
    </w:p>
  </w:footnote>
  <w:footnote w:id="39">
    <w:p w:rsidR="00B9593F" w:rsidRPr="000D2995" w:rsidRDefault="003F6DBE" w:rsidP="00B9593F">
      <w:pPr>
        <w:pStyle w:val="Textonotapie"/>
        <w:jc w:val="both"/>
        <w:rPr>
          <w:color w:val="000000" w:themeColor="text1"/>
          <w:lang w:val="es-CO"/>
        </w:rPr>
      </w:pPr>
      <w:r w:rsidRPr="000D2995">
        <w:rPr>
          <w:rStyle w:val="Refdenotaalpie"/>
          <w:color w:val="000000" w:themeColor="text1"/>
          <w:lang w:val="es-CO"/>
        </w:rPr>
        <w:footnoteRef/>
      </w:r>
      <w:r w:rsidRPr="000D2995">
        <w:rPr>
          <w:color w:val="000000" w:themeColor="text1"/>
          <w:lang w:val="es-CO"/>
        </w:rPr>
        <w:t xml:space="preserve"> Al </w:t>
      </w:r>
      <w:r w:rsidRPr="00E208F4">
        <w:rPr>
          <w:color w:val="000000" w:themeColor="text1"/>
          <w:lang w:val="es-CO"/>
        </w:rPr>
        <w:t>respecto, en la sentencia C-372 de 2011</w:t>
      </w:r>
      <w:r w:rsidRPr="00E208F4">
        <w:rPr>
          <w:color w:val="000000" w:themeColor="text1"/>
          <w:lang w:val="es-CO"/>
        </w:rPr>
        <w:t xml:space="preserve"> (M.P. Jorge Ignacio Pretelt Chaljub)</w:t>
      </w:r>
      <w:r w:rsidRPr="00E208F4">
        <w:rPr>
          <w:color w:val="000000" w:themeColor="text1"/>
          <w:lang w:val="es-CO"/>
        </w:rPr>
        <w:t xml:space="preserve">, la Corte manifestó: </w:t>
      </w:r>
      <w:r w:rsidRPr="00E208F4">
        <w:rPr>
          <w:i/>
          <w:color w:val="000000" w:themeColor="text1"/>
          <w:lang w:val="es-CO"/>
        </w:rPr>
        <w:t>“(…) con base en la jurisprudencia constitucional se ha considerado que “la apreciación del cumplimiento de tales requerimientos ha de hacerse en aplicaci</w:t>
      </w:r>
      <w:r w:rsidRPr="00E208F4">
        <w:rPr>
          <w:i/>
          <w:color w:val="000000" w:themeColor="text1"/>
          <w:lang w:val="es-CO"/>
        </w:rPr>
        <w:t>ón del principio pro actione de tal manera que se garantice la eficacia de este procedimiento vital dentro del contexto de una democracia participativa como la que anima la Constitución del 91. Esto quiere decir que el</w:t>
      </w:r>
      <w:r w:rsidRPr="000D2995">
        <w:rPr>
          <w:i/>
          <w:color w:val="000000" w:themeColor="text1"/>
          <w:lang w:val="es-CO"/>
        </w:rPr>
        <w:t xml:space="preserve"> rigor en el juicio que aplica la Cort</w:t>
      </w:r>
      <w:r w:rsidRPr="000D2995">
        <w:rPr>
          <w:i/>
          <w:color w:val="000000" w:themeColor="text1"/>
          <w:lang w:val="es-CO"/>
        </w:rPr>
        <w:t>e al examinar la demanda no puede convertirse en un método de apreciación tan estricto que haga nugatorio el derecho reconocido al actor y que la duda habrá de interpretarse a favor del demandante, es decir, admitiendo la demanda y fallando de fondo</w:t>
      </w:r>
      <w:r w:rsidRPr="000D2995">
        <w:rPr>
          <w:color w:val="000000" w:themeColor="text1"/>
          <w:lang w:val="es-CO"/>
        </w:rPr>
        <w:t>”.</w:t>
      </w:r>
    </w:p>
  </w:footnote>
  <w:footnote w:id="40">
    <w:p w:rsidR="006648A5" w:rsidRPr="006648A5" w:rsidRDefault="003F6DBE">
      <w:pPr>
        <w:pStyle w:val="Textonotapie"/>
        <w:rPr>
          <w:lang w:val="pt-PT"/>
        </w:rPr>
      </w:pPr>
      <w:r>
        <w:rPr>
          <w:rStyle w:val="Refdenotaalpie"/>
        </w:rPr>
        <w:footnoteRef/>
      </w:r>
      <w:r w:rsidRPr="006648A5">
        <w:rPr>
          <w:lang w:val="pt-PT"/>
        </w:rPr>
        <w:t xml:space="preserve"> M.</w:t>
      </w:r>
      <w:r w:rsidRPr="006648A5">
        <w:rPr>
          <w:lang w:val="pt-PT"/>
        </w:rPr>
        <w:t>P. Manuel José C</w:t>
      </w:r>
      <w:r>
        <w:rPr>
          <w:lang w:val="pt-PT"/>
        </w:rPr>
        <w:t xml:space="preserve">epeda Espinosa. </w:t>
      </w:r>
    </w:p>
  </w:footnote>
  <w:footnote w:id="41">
    <w:p w:rsidR="006648A5" w:rsidRPr="004F6C0D" w:rsidRDefault="003F6DBE">
      <w:pPr>
        <w:pStyle w:val="Textonotapie"/>
        <w:rPr>
          <w:lang w:val="pt-PT"/>
        </w:rPr>
      </w:pPr>
      <w:r>
        <w:rPr>
          <w:rStyle w:val="Refdenotaalpie"/>
        </w:rPr>
        <w:footnoteRef/>
      </w:r>
      <w:r w:rsidRPr="004F6C0D">
        <w:rPr>
          <w:lang w:val="pt-PT"/>
        </w:rPr>
        <w:t xml:space="preserve"> M.P. Clara Inés Vargas Hernández.</w:t>
      </w:r>
    </w:p>
  </w:footnote>
  <w:footnote w:id="42">
    <w:p w:rsidR="00E208F4" w:rsidRPr="004F6C0D" w:rsidRDefault="003F6DBE" w:rsidP="00E208F4">
      <w:pPr>
        <w:pStyle w:val="Textonotapie"/>
        <w:rPr>
          <w:lang w:val="pt-PT"/>
        </w:rPr>
      </w:pPr>
      <w:r>
        <w:rPr>
          <w:rStyle w:val="Refdenotaalpie"/>
        </w:rPr>
        <w:footnoteRef/>
      </w:r>
      <w:r w:rsidRPr="004F6C0D">
        <w:rPr>
          <w:lang w:val="pt-PT"/>
        </w:rPr>
        <w:t xml:space="preserve"> Corte Constitucional. </w:t>
      </w:r>
      <w:r w:rsidRPr="004F6C0D">
        <w:rPr>
          <w:szCs w:val="28"/>
          <w:shd w:val="clear" w:color="auto" w:fill="FFFFFF"/>
          <w:lang w:val="pt-PT"/>
        </w:rPr>
        <w:t>Sentencia C-480 de 2019 (M.P. Alberto Rojas Ríos).</w:t>
      </w:r>
    </w:p>
  </w:footnote>
  <w:footnote w:id="43">
    <w:p w:rsidR="00E208F4" w:rsidRPr="004F6C0D" w:rsidRDefault="003F6DBE" w:rsidP="00E208F4">
      <w:pPr>
        <w:pStyle w:val="Textonotapie"/>
        <w:rPr>
          <w:lang w:val="pt-PT"/>
        </w:rPr>
      </w:pPr>
      <w:r>
        <w:rPr>
          <w:rStyle w:val="Refdenotaalpie"/>
        </w:rPr>
        <w:footnoteRef/>
      </w:r>
      <w:r w:rsidRPr="004F6C0D">
        <w:rPr>
          <w:lang w:val="pt-PT"/>
        </w:rPr>
        <w:t xml:space="preserve"> Corte Constitucional. Sentencia C-122 de 2020 (M.P. Gloria Stella Ortiz Delgado).</w:t>
      </w:r>
    </w:p>
  </w:footnote>
  <w:footnote w:id="44">
    <w:p w:rsidR="00E208F4" w:rsidRPr="004F6C0D" w:rsidRDefault="003F6DBE" w:rsidP="00E208F4">
      <w:pPr>
        <w:pStyle w:val="Textonotapie"/>
        <w:rPr>
          <w:lang w:val="pt-PT"/>
        </w:rPr>
      </w:pPr>
      <w:r>
        <w:rPr>
          <w:rStyle w:val="Refdenotaalpie"/>
        </w:rPr>
        <w:footnoteRef/>
      </w:r>
      <w:r w:rsidRPr="004F6C0D">
        <w:rPr>
          <w:lang w:val="pt-PT"/>
        </w:rPr>
        <w:t xml:space="preserve"> M.P. Gloria Stella Ortiz Delgado. </w:t>
      </w:r>
    </w:p>
  </w:footnote>
  <w:footnote w:id="45">
    <w:p w:rsidR="00A05A8B" w:rsidRPr="00E06B69" w:rsidRDefault="003F6DBE" w:rsidP="00E06B69">
      <w:pPr>
        <w:pStyle w:val="Textonotapie"/>
        <w:shd w:val="clear" w:color="auto" w:fill="FFFFFF"/>
        <w:jc w:val="both"/>
        <w:rPr>
          <w:color w:val="2D2D2D"/>
          <w:sz w:val="22"/>
          <w:szCs w:val="22"/>
          <w:lang w:val="es-CO" w:eastAsia="es-CO"/>
        </w:rPr>
      </w:pPr>
      <w:r>
        <w:rPr>
          <w:rStyle w:val="Refdenotaalpie"/>
        </w:rPr>
        <w:footnoteRef/>
      </w:r>
      <w:r w:rsidRPr="00A05A8B">
        <w:rPr>
          <w:lang w:val="pt-PT"/>
        </w:rPr>
        <w:t xml:space="preserve"> M.P. José Fernando R</w:t>
      </w:r>
      <w:r>
        <w:rPr>
          <w:lang w:val="pt-PT"/>
        </w:rPr>
        <w:t xml:space="preserve">eyes </w:t>
      </w:r>
      <w:r w:rsidRPr="00854B0F">
        <w:rPr>
          <w:lang w:val="pt-PT"/>
        </w:rPr>
        <w:t xml:space="preserve">Cuartas. </w:t>
      </w:r>
      <w:r w:rsidRPr="00854B0F">
        <w:rPr>
          <w:lang w:val="es-CO"/>
        </w:rPr>
        <w:t>A su vez, como precedentes relevantes que justifican la posibilidad de analizar la aptitud sustantiva de la demanda de inconstitucionalidad en la etapa decisoria, esta providencia alud</w:t>
      </w:r>
      <w:r w:rsidRPr="00854B0F">
        <w:rPr>
          <w:lang w:val="es-CO"/>
        </w:rPr>
        <w:t xml:space="preserve">ió a las </w:t>
      </w:r>
      <w:r w:rsidRPr="00854B0F">
        <w:rPr>
          <w:lang w:val="es-CO" w:eastAsia="es-CO"/>
        </w:rPr>
        <w:t>sentencias C-112 de 2018, C-085 de 2018, C-389 de 2017, C-384 de 2017 y C-191 de 2019.</w:t>
      </w:r>
    </w:p>
  </w:footnote>
  <w:footnote w:id="46">
    <w:p w:rsidR="00E06B69" w:rsidRPr="00E06B69" w:rsidRDefault="003F6DBE" w:rsidP="00E06B69">
      <w:pPr>
        <w:pStyle w:val="Textonotapie"/>
        <w:jc w:val="both"/>
        <w:rPr>
          <w:lang w:val="es-CO"/>
        </w:rPr>
      </w:pPr>
      <w:r>
        <w:rPr>
          <w:rStyle w:val="Refdenotaalpie"/>
        </w:rPr>
        <w:footnoteRef/>
      </w:r>
      <w:r w:rsidRPr="004F6C0D">
        <w:rPr>
          <w:lang w:val="es-CO"/>
        </w:rPr>
        <w:t xml:space="preserve"> Corte Constitucional. </w:t>
      </w:r>
      <w:r w:rsidRPr="00E06B69">
        <w:rPr>
          <w:shd w:val="clear" w:color="auto" w:fill="FFFFFF"/>
          <w:lang w:val="es-CO"/>
        </w:rPr>
        <w:t xml:space="preserve">Sentencia C-281 de 2013 (M.P. </w:t>
      </w:r>
      <w:r w:rsidRPr="0057489A">
        <w:rPr>
          <w:shd w:val="clear" w:color="auto" w:fill="FFFFFF"/>
          <w:lang w:val="es-CO"/>
        </w:rPr>
        <w:t>Mauricio González Cuervo), que reiteró las sentencias C-623 de 2008, C-894 de 2009 y C-055 de 2013, que in</w:t>
      </w:r>
      <w:r w:rsidRPr="0057489A">
        <w:rPr>
          <w:shd w:val="clear" w:color="auto" w:fill="FFFFFF"/>
          <w:lang w:val="es-CO"/>
        </w:rPr>
        <w:t>dicaron que “</w:t>
      </w:r>
      <w:r w:rsidRPr="0057489A">
        <w:rPr>
          <w:shd w:val="clear" w:color="auto" w:fill="FFFFFF"/>
          <w:lang w:val="es-CO"/>
        </w:rPr>
        <w:t>[a]</w:t>
      </w:r>
      <w:r w:rsidRPr="0057489A">
        <w:rPr>
          <w:i/>
          <w:iCs/>
          <w:shd w:val="clear" w:color="auto" w:fill="FFFFFF"/>
          <w:lang w:val="es-CO"/>
        </w:rPr>
        <w:t>un cuando en principio, es en el Auto admisorio donde se define si la demanda cumple o no con los requisitos mínimos de procedibilidad, ese primer análisis responde a una valoración apenas sumaria de la acción, llevada a cabo únicamente por</w:t>
      </w:r>
      <w:r w:rsidRPr="0057489A">
        <w:rPr>
          <w:i/>
          <w:iCs/>
          <w:shd w:val="clear" w:color="auto" w:fill="FFFFFF"/>
          <w:lang w:val="es-CO"/>
        </w:rPr>
        <w:t xml:space="preserve"> cuenta del Magistrado Ponente, razón por la cual, la misma no compromete ni define la competencia del Pleno de la corte, que es en quien reside la función constitucional de decidir de fondo sobre las demandas de inconstitucionalidad que presenten los ciud</w:t>
      </w:r>
      <w:r w:rsidRPr="0057489A">
        <w:rPr>
          <w:i/>
          <w:iCs/>
          <w:shd w:val="clear" w:color="auto" w:fill="FFFFFF"/>
          <w:lang w:val="es-CO"/>
        </w:rPr>
        <w:t xml:space="preserve">adanos contra las leyes y los </w:t>
      </w:r>
      <w:r w:rsidRPr="00E06B69">
        <w:rPr>
          <w:i/>
          <w:iCs/>
          <w:shd w:val="clear" w:color="auto" w:fill="FFFFFF"/>
          <w:lang w:val="es-CO"/>
        </w:rPr>
        <w:t>decretos con fuerza de ley (C.P. art. 241-4-5)”.</w:t>
      </w:r>
    </w:p>
  </w:footnote>
  <w:footnote w:id="47">
    <w:p w:rsidR="00667A14" w:rsidRPr="00DE1770" w:rsidRDefault="003F6DBE" w:rsidP="00667A14">
      <w:pPr>
        <w:pStyle w:val="Textonotapie"/>
        <w:rPr>
          <w:lang w:val="es-CO"/>
        </w:rPr>
      </w:pPr>
      <w:r w:rsidRPr="00DE1770">
        <w:rPr>
          <w:rStyle w:val="Refdenotaalpie"/>
        </w:rPr>
        <w:footnoteRef/>
      </w:r>
      <w:r w:rsidRPr="00DE1770">
        <w:rPr>
          <w:lang w:val="es-CO"/>
        </w:rPr>
        <w:t xml:space="preserve"> En tal sentido, la sentencia T-128 de 2022 (M.P. Gloria Stella Ortiz Delgado) se refirió a esta expresión que retomó de la sentencia C-480 de 2019 (M.P. Alberto Rojas Ríos), para referirse en el fondo de la sentencia a la protección de los saber ancestral</w:t>
      </w:r>
      <w:r w:rsidRPr="00DE1770">
        <w:rPr>
          <w:lang w:val="es-CO"/>
        </w:rPr>
        <w:t xml:space="preserve">es y de la partería como reconocimiento de la pluralidad. </w:t>
      </w:r>
    </w:p>
  </w:footnote>
  <w:footnote w:id="48">
    <w:p w:rsidR="00667A14" w:rsidRPr="00DE1770" w:rsidRDefault="003F6DBE" w:rsidP="00667A14">
      <w:pPr>
        <w:pStyle w:val="Textonotapie"/>
        <w:rPr>
          <w:lang w:val="es-CO"/>
        </w:rPr>
      </w:pPr>
      <w:r w:rsidRPr="00DE1770">
        <w:rPr>
          <w:rStyle w:val="Refdenotaalpie"/>
        </w:rPr>
        <w:footnoteRef/>
      </w:r>
      <w:r w:rsidRPr="00DE1770">
        <w:rPr>
          <w:lang w:val="es-CO"/>
        </w:rPr>
        <w:t xml:space="preserve"> “</w:t>
      </w:r>
      <w:r w:rsidRPr="00DE1770">
        <w:rPr>
          <w:i/>
          <w:iCs/>
          <w:lang w:val="es-CO"/>
        </w:rPr>
        <w:t>Por la cual se desarrolla el artículo transitorio 55 de la Constitución Política</w:t>
      </w:r>
      <w:r w:rsidRPr="00DE1770">
        <w:rPr>
          <w:lang w:val="es-CO"/>
        </w:rPr>
        <w:t>”.</w:t>
      </w:r>
    </w:p>
  </w:footnote>
  <w:footnote w:id="49">
    <w:p w:rsidR="00667A14" w:rsidRPr="00DE1770" w:rsidRDefault="003F6DBE" w:rsidP="00667A14">
      <w:pPr>
        <w:pStyle w:val="Textonotapie"/>
        <w:jc w:val="both"/>
        <w:rPr>
          <w:i/>
          <w:iCs/>
          <w:lang w:val="es-CO"/>
        </w:rPr>
      </w:pPr>
      <w:r w:rsidRPr="00DE1770">
        <w:rPr>
          <w:rStyle w:val="Refdenotaalpie"/>
        </w:rPr>
        <w:footnoteRef/>
      </w:r>
      <w:r w:rsidRPr="00DE1770">
        <w:rPr>
          <w:lang w:val="es-CO"/>
        </w:rPr>
        <w:t xml:space="preserve"> El artículo 2 advierte que para los efectos de la esta ley se entiende por “</w:t>
      </w:r>
      <w:r w:rsidRPr="00DE1770">
        <w:rPr>
          <w:i/>
          <w:iCs/>
          <w:lang w:val="es-CO"/>
        </w:rPr>
        <w:t>ocupación colectiva</w:t>
      </w:r>
      <w:r w:rsidRPr="00DE1770">
        <w:rPr>
          <w:lang w:val="es-CO"/>
        </w:rPr>
        <w:t>”, al “</w:t>
      </w:r>
      <w:r w:rsidRPr="00DE1770">
        <w:rPr>
          <w:i/>
          <w:iCs/>
          <w:lang w:val="es-CO"/>
        </w:rPr>
        <w:t>asentam</w:t>
      </w:r>
      <w:r w:rsidRPr="00DE1770">
        <w:rPr>
          <w:i/>
          <w:iCs/>
          <w:lang w:val="es-CO"/>
        </w:rPr>
        <w:t xml:space="preserve">iento histórico y ancestral de comunidades negras en tierras para su uso colectivo, que constituyen su hábitat, y sobre los cuales desarrollan en la actualidad sus prácticas tradicionales de producción”. </w:t>
      </w:r>
    </w:p>
  </w:footnote>
  <w:footnote w:id="50">
    <w:p w:rsidR="00667A14" w:rsidRPr="00DE1770" w:rsidRDefault="003F6DBE" w:rsidP="00667A14">
      <w:pPr>
        <w:pStyle w:val="Textonotapie"/>
        <w:jc w:val="both"/>
        <w:rPr>
          <w:lang w:val="es-CO"/>
        </w:rPr>
      </w:pPr>
      <w:r w:rsidRPr="00DE1770">
        <w:rPr>
          <w:rStyle w:val="Refdenotaalpie"/>
        </w:rPr>
        <w:footnoteRef/>
      </w:r>
      <w:r w:rsidRPr="00DE1770">
        <w:rPr>
          <w:lang w:val="pt-PT"/>
        </w:rPr>
        <w:t xml:space="preserve"> Corte Constitucional. Sentencia T-909 de 2009. </w:t>
      </w:r>
      <w:r w:rsidRPr="00DE1770">
        <w:rPr>
          <w:lang w:val="es-CO"/>
        </w:rPr>
        <w:t>M.</w:t>
      </w:r>
      <w:r w:rsidRPr="00DE1770">
        <w:rPr>
          <w:lang w:val="es-CO"/>
        </w:rPr>
        <w:t>P. Mauricio González Cuervo. En consecuencia, “</w:t>
      </w:r>
      <w:r w:rsidRPr="00DE1770">
        <w:rPr>
          <w:rFonts w:ascii="Arial" w:hAnsi="Arial" w:cs="Arial"/>
          <w:sz w:val="21"/>
          <w:szCs w:val="21"/>
          <w:shd w:val="clear" w:color="auto" w:fill="FFFFFF"/>
          <w:lang w:val="es-CO"/>
        </w:rPr>
        <w:t>[</w:t>
      </w:r>
      <w:r w:rsidRPr="00DE1770">
        <w:rPr>
          <w:lang w:val="es-CO"/>
        </w:rPr>
        <w:t xml:space="preserve">e]l </w:t>
      </w:r>
      <w:r w:rsidRPr="00DE1770">
        <w:rPr>
          <w:i/>
          <w:iCs/>
          <w:lang w:val="es-CO"/>
        </w:rPr>
        <w:t xml:space="preserve">contenido del artículo 55 transitorio de la Constitución Nacional como lo consignado en la Ley 70 de 1993, conduce a desvelar el inevitable protagonismo que adquiere </w:t>
      </w:r>
      <w:r w:rsidRPr="00DE1770">
        <w:rPr>
          <w:b/>
          <w:bCs/>
          <w:i/>
          <w:iCs/>
          <w:lang w:val="es-CO"/>
        </w:rPr>
        <w:t>el territorio</w:t>
      </w:r>
      <w:r w:rsidRPr="00DE1770">
        <w:rPr>
          <w:i/>
          <w:iCs/>
          <w:lang w:val="es-CO"/>
        </w:rPr>
        <w:t> en cuanto condición impr</w:t>
      </w:r>
      <w:r w:rsidRPr="00DE1770">
        <w:rPr>
          <w:i/>
          <w:iCs/>
          <w:lang w:val="es-CO"/>
        </w:rPr>
        <w:t>escindible para asegurar la efectiva garantía del derecho al reconocimiento y protección de la diversidad étnica y cultural de las Comunidades Afrodescendientes. Simultáneamente con un conjunto de medidas afirmativas que –apoyadas en lo ordenado por el art</w:t>
      </w:r>
      <w:r w:rsidRPr="00DE1770">
        <w:rPr>
          <w:i/>
          <w:iCs/>
          <w:lang w:val="es-CO"/>
        </w:rPr>
        <w:t>ículo 13 Superior– contribuyen a asegurar igualdad y libertad en términos reales, el </w:t>
      </w:r>
      <w:r w:rsidRPr="00DE1770">
        <w:rPr>
          <w:b/>
          <w:bCs/>
          <w:i/>
          <w:iCs/>
          <w:lang w:val="es-CO"/>
        </w:rPr>
        <w:t>territorio</w:t>
      </w:r>
      <w:r w:rsidRPr="00DE1770">
        <w:rPr>
          <w:i/>
          <w:iCs/>
          <w:lang w:val="es-CO"/>
        </w:rPr>
        <w:t> constituye un elemento inseparable del derecho al reconocimiento y protección de la diversidad étnica y cultural de las Comunidades Afrodescendientes</w:t>
      </w:r>
      <w:r w:rsidRPr="00DE1770">
        <w:rPr>
          <w:lang w:val="es-CO"/>
        </w:rPr>
        <w:t>”.</w:t>
      </w:r>
      <w:r w:rsidRPr="00DE1770">
        <w:rPr>
          <w:sz w:val="28"/>
          <w:szCs w:val="28"/>
          <w:shd w:val="clear" w:color="auto" w:fill="FFFFFF"/>
          <w:lang w:val="es-CO"/>
        </w:rPr>
        <w:t xml:space="preserve"> </w:t>
      </w:r>
    </w:p>
  </w:footnote>
  <w:footnote w:id="51">
    <w:p w:rsidR="00667A14" w:rsidRPr="004F6C0D" w:rsidRDefault="003F6DBE" w:rsidP="00667A14">
      <w:pPr>
        <w:pStyle w:val="Textonotapie"/>
        <w:rPr>
          <w:lang w:val="es-CO"/>
        </w:rPr>
      </w:pPr>
      <w:r w:rsidRPr="00DE1770">
        <w:rPr>
          <w:rStyle w:val="Refdenotaalpie"/>
        </w:rPr>
        <w:footnoteRef/>
      </w:r>
      <w:r w:rsidRPr="004F6C0D">
        <w:rPr>
          <w:lang w:val="es-CO"/>
        </w:rPr>
        <w:t xml:space="preserve"> Ibide</w:t>
      </w:r>
      <w:r w:rsidRPr="004F6C0D">
        <w:rPr>
          <w:lang w:val="es-CO"/>
        </w:rPr>
        <w:t xml:space="preserve">m. </w:t>
      </w:r>
    </w:p>
  </w:footnote>
  <w:footnote w:id="52">
    <w:p w:rsidR="009141A7" w:rsidRPr="009141A7" w:rsidRDefault="003F6DBE" w:rsidP="009141A7">
      <w:pPr>
        <w:pStyle w:val="Textonotapie"/>
        <w:jc w:val="both"/>
        <w:rPr>
          <w:lang w:val="es-CO"/>
        </w:rPr>
      </w:pPr>
      <w:r>
        <w:rPr>
          <w:rStyle w:val="Refdenotaalpie"/>
        </w:rPr>
        <w:footnoteRef/>
      </w:r>
      <w:r w:rsidRPr="009141A7">
        <w:rPr>
          <w:lang w:val="es-CO"/>
        </w:rPr>
        <w:t xml:space="preserve"> </w:t>
      </w:r>
      <w:r w:rsidRPr="009141A7">
        <w:rPr>
          <w:rFonts w:eastAsia="Aptos"/>
          <w:kern w:val="2"/>
          <w:szCs w:val="28"/>
          <w:lang w:val="es-CO"/>
        </w:rPr>
        <w:t xml:space="preserve">En efecto, </w:t>
      </w:r>
      <w:r w:rsidRPr="009141A7">
        <w:rPr>
          <w:rFonts w:eastAsia="Aptos"/>
          <w:kern w:val="2"/>
          <w:szCs w:val="28"/>
          <w:shd w:val="clear" w:color="auto" w:fill="FFFFFF"/>
          <w:lang w:val="es-CO"/>
        </w:rPr>
        <w:t xml:space="preserve">el origen de parte de su regulación es históricamente divergente y cuenta con un fundamento constitucional adicional en el artículo 310. Con sustento en esto último, se permitió limitar los derechos de circulación, residencia de los demás </w:t>
      </w:r>
      <w:r w:rsidRPr="009141A7">
        <w:rPr>
          <w:rFonts w:eastAsia="Aptos"/>
          <w:kern w:val="2"/>
          <w:szCs w:val="28"/>
          <w:shd w:val="clear" w:color="auto" w:fill="FFFFFF"/>
          <w:lang w:val="es-CO"/>
        </w:rPr>
        <w:t>colombianos en la isla, así como también se consideró la posibilidad de limitar el uso de los suelos y regular la densidad poblacional</w:t>
      </w:r>
      <w:r>
        <w:rPr>
          <w:rFonts w:eastAsia="Aptos"/>
          <w:kern w:val="2"/>
          <w:szCs w:val="28"/>
          <w:shd w:val="clear" w:color="auto" w:fill="FFFFFF"/>
          <w:lang w:val="es-CO"/>
        </w:rPr>
        <w:t>.</w:t>
      </w:r>
    </w:p>
  </w:footnote>
  <w:footnote w:id="53">
    <w:p w:rsidR="00667A14" w:rsidRPr="00DE1770" w:rsidRDefault="003F6DBE" w:rsidP="00667A14">
      <w:pPr>
        <w:pStyle w:val="Textonotapie"/>
        <w:rPr>
          <w:lang w:val="es-CO"/>
        </w:rPr>
      </w:pPr>
      <w:r w:rsidRPr="00DE1770">
        <w:rPr>
          <w:rStyle w:val="Refdenotaalpie"/>
        </w:rPr>
        <w:footnoteRef/>
      </w:r>
      <w:r w:rsidRPr="004F6C0D">
        <w:rPr>
          <w:lang w:val="pt-PT"/>
        </w:rPr>
        <w:t xml:space="preserve"> Corte Constitucional. </w:t>
      </w:r>
      <w:r w:rsidRPr="00DE1770">
        <w:rPr>
          <w:lang w:val="pt-PT"/>
        </w:rPr>
        <w:t xml:space="preserve">Sentencia C-530 de 1993. </w:t>
      </w:r>
      <w:r w:rsidRPr="00DE1770">
        <w:rPr>
          <w:lang w:val="es-CO"/>
        </w:rPr>
        <w:t xml:space="preserve">M.P. Alejandro Martínez Caballero. </w:t>
      </w:r>
    </w:p>
  </w:footnote>
  <w:footnote w:id="54">
    <w:p w:rsidR="00C7087F" w:rsidRPr="00C7087F" w:rsidRDefault="003F6DBE" w:rsidP="00C7087F">
      <w:pPr>
        <w:pStyle w:val="Prrafodelista"/>
        <w:spacing w:after="0" w:line="240" w:lineRule="auto"/>
        <w:ind w:left="0"/>
        <w:jc w:val="both"/>
        <w:rPr>
          <w:rFonts w:eastAsia="Aptos"/>
          <w:kern w:val="2"/>
          <w:sz w:val="20"/>
          <w:szCs w:val="20"/>
        </w:rPr>
      </w:pPr>
      <w:r w:rsidRPr="00C7087F">
        <w:rPr>
          <w:rStyle w:val="Refdenotaalpie"/>
          <w:sz w:val="20"/>
          <w:szCs w:val="20"/>
        </w:rPr>
        <w:footnoteRef/>
      </w:r>
      <w:r w:rsidRPr="00C7087F">
        <w:rPr>
          <w:sz w:val="20"/>
          <w:szCs w:val="20"/>
        </w:rPr>
        <w:t xml:space="preserve"> </w:t>
      </w:r>
      <w:r w:rsidRPr="00C7087F">
        <w:rPr>
          <w:rFonts w:eastAsia="Times New Roman"/>
          <w:sz w:val="20"/>
          <w:szCs w:val="20"/>
        </w:rPr>
        <w:t>En consecuencia, la</w:t>
      </w:r>
      <w:r>
        <w:rPr>
          <w:rFonts w:eastAsia="Times New Roman"/>
          <w:sz w:val="20"/>
          <w:szCs w:val="20"/>
        </w:rPr>
        <w:t>s</w:t>
      </w:r>
      <w:r w:rsidRPr="00C7087F">
        <w:rPr>
          <w:rFonts w:eastAsia="Times New Roman"/>
          <w:sz w:val="20"/>
          <w:szCs w:val="20"/>
        </w:rPr>
        <w:t xml:space="preserve"> sentencias T</w:t>
      </w:r>
      <w:r w:rsidRPr="00C7087F">
        <w:rPr>
          <w:rFonts w:eastAsia="Times New Roman"/>
          <w:sz w:val="20"/>
          <w:szCs w:val="20"/>
        </w:rPr>
        <w:t xml:space="preserve">-599 de 2016 y SU-097 de 2017 destacaron lo siguiente: </w:t>
      </w:r>
      <w:r w:rsidRPr="00C7087F">
        <w:rPr>
          <w:rFonts w:eastAsia="Aptos"/>
          <w:kern w:val="2"/>
          <w:sz w:val="20"/>
          <w:szCs w:val="20"/>
          <w:shd w:val="clear" w:color="auto" w:fill="FFFFFF"/>
        </w:rPr>
        <w:t>“</w:t>
      </w:r>
      <w:r w:rsidRPr="0015645D">
        <w:rPr>
          <w:rFonts w:eastAsia="Aptos"/>
          <w:i/>
          <w:iCs/>
          <w:kern w:val="2"/>
          <w:sz w:val="20"/>
          <w:szCs w:val="20"/>
          <w:shd w:val="clear" w:color="auto" w:fill="FFFFFF"/>
        </w:rPr>
        <w:t xml:space="preserve">El pueblo raizal de las islas de San Andrés, Providencia y Santa Catalina comparte una historia social y cultural común con el complejo de sociedades afrodescendientes que habitan el caribe anglófono </w:t>
      </w:r>
      <w:r w:rsidRPr="0015645D">
        <w:rPr>
          <w:rFonts w:eastAsia="Aptos"/>
          <w:i/>
          <w:iCs/>
          <w:kern w:val="2"/>
          <w:sz w:val="20"/>
          <w:szCs w:val="20"/>
          <w:shd w:val="clear" w:color="auto" w:fill="FFFFFF"/>
        </w:rPr>
        <w:t>occidental. Su lenguaje creole, esencialmente oral y de base inglesa y Akán, es similar a la de otros pueblos asentados en islas vecinas como Jamaica y Corn Islands, y a lo largo de la costa caribe de Centroamérica en Panamá, Costa Rica, Nicaragua y Belice</w:t>
      </w:r>
      <w:r w:rsidRPr="0015645D">
        <w:rPr>
          <w:rFonts w:eastAsia="Aptos"/>
          <w:i/>
          <w:iCs/>
          <w:kern w:val="2"/>
          <w:sz w:val="20"/>
          <w:szCs w:val="20"/>
          <w:shd w:val="clear" w:color="auto" w:fill="FFFFFF"/>
        </w:rPr>
        <w:t>. De igual forma, estos pueblos comparten su afiliación al cuerpo de creencias y prácticas religiosas de origen Akán denominado obeah. En San Andrés y Providencia esta herencia cultural africana se complementa con la herencia anglosajona de la religión pro</w:t>
      </w:r>
      <w:r w:rsidRPr="0015645D">
        <w:rPr>
          <w:rFonts w:eastAsia="Aptos"/>
          <w:i/>
          <w:iCs/>
          <w:kern w:val="2"/>
          <w:sz w:val="20"/>
          <w:szCs w:val="20"/>
          <w:shd w:val="clear" w:color="auto" w:fill="FFFFFF"/>
        </w:rPr>
        <w:t>testante (principalmente bautista) y el inglés como la lengua de la iglesia y la escuela</w:t>
      </w:r>
      <w:r w:rsidRPr="00C7087F">
        <w:rPr>
          <w:rFonts w:eastAsia="Aptos"/>
          <w:kern w:val="2"/>
          <w:sz w:val="20"/>
          <w:szCs w:val="20"/>
          <w:shd w:val="clear" w:color="auto" w:fill="FFFFFF"/>
        </w:rPr>
        <w:t>”.</w:t>
      </w:r>
    </w:p>
  </w:footnote>
  <w:footnote w:id="55">
    <w:p w:rsidR="00C7087F" w:rsidRPr="00C7087F" w:rsidRDefault="003F6DBE" w:rsidP="00C7087F">
      <w:pPr>
        <w:pStyle w:val="Textonotapie"/>
        <w:jc w:val="both"/>
        <w:rPr>
          <w:lang w:val="es-CO"/>
        </w:rPr>
      </w:pPr>
      <w:r w:rsidRPr="0015645D">
        <w:rPr>
          <w:rStyle w:val="Refdenotaalpie"/>
        </w:rPr>
        <w:footnoteRef/>
      </w:r>
      <w:r w:rsidRPr="0015645D">
        <w:rPr>
          <w:lang w:val="es-CO"/>
        </w:rPr>
        <w:t xml:space="preserve"> </w:t>
      </w:r>
      <w:r w:rsidRPr="0015645D">
        <w:rPr>
          <w:rFonts w:eastAsia="Aptos"/>
          <w:kern w:val="2"/>
          <w:szCs w:val="28"/>
          <w:shd w:val="clear" w:color="auto" w:fill="FFFFFF"/>
          <w:lang w:val="es-CO"/>
        </w:rPr>
        <w:t>De esta manera lo ha explicado la jurisprudencia constitucional al advertir que “</w:t>
      </w:r>
      <w:r w:rsidRPr="0015645D">
        <w:rPr>
          <w:rFonts w:eastAsia="Aptos"/>
          <w:i/>
          <w:iCs/>
          <w:kern w:val="2"/>
          <w:szCs w:val="28"/>
          <w:shd w:val="clear" w:color="auto" w:fill="FFFFFF"/>
          <w:lang w:val="es-CO"/>
        </w:rPr>
        <w:t xml:space="preserve">el panorama de este primer poblamiento se resume en las migraciones inglesas, los </w:t>
      </w:r>
      <w:r w:rsidRPr="0015645D">
        <w:rPr>
          <w:rFonts w:eastAsia="Aptos"/>
          <w:i/>
          <w:iCs/>
          <w:kern w:val="2"/>
          <w:szCs w:val="28"/>
          <w:shd w:val="clear" w:color="auto" w:fill="FFFFFF"/>
          <w:lang w:val="es-CO"/>
        </w:rPr>
        <w:t>intentos de colonización española, la frecuente presencia de marinos, comerciantes y piratas; al tiempo que el desarrollo de la agricultura se asocia a la llegada de personas esclavizadas como fuerza laboral, primero, en cultivos de tabaco y algodón. A tod</w:t>
      </w:r>
      <w:r w:rsidRPr="0015645D">
        <w:rPr>
          <w:rFonts w:eastAsia="Aptos"/>
          <w:i/>
          <w:iCs/>
          <w:kern w:val="2"/>
          <w:szCs w:val="28"/>
          <w:shd w:val="clear" w:color="auto" w:fill="FFFFFF"/>
          <w:lang w:val="es-CO"/>
        </w:rPr>
        <w:t>o lo expuesto se suman migraciones francesas, portuguesas y holandesas, como fuente del conjunto de raíces del pueblo raizal</w:t>
      </w:r>
      <w:r w:rsidRPr="0015645D">
        <w:rPr>
          <w:rFonts w:eastAsia="Aptos"/>
          <w:kern w:val="2"/>
          <w:szCs w:val="28"/>
          <w:shd w:val="clear" w:color="auto" w:fill="FFFFFF"/>
          <w:lang w:val="es-CO"/>
        </w:rPr>
        <w:t xml:space="preserve">”. </w:t>
      </w:r>
      <w:r w:rsidRPr="0015645D">
        <w:rPr>
          <w:lang w:val="es-CO"/>
        </w:rPr>
        <w:t>Para profundizar en este asunto, es posible consultar la sentencia SU-097 de 2017 (M.P. María Victoria Calle Correa).</w:t>
      </w:r>
      <w:r w:rsidRPr="00DE1770">
        <w:rPr>
          <w:lang w:val="es-CO"/>
        </w:rPr>
        <w:t xml:space="preserve"> </w:t>
      </w:r>
    </w:p>
  </w:footnote>
  <w:footnote w:id="56">
    <w:p w:rsidR="00667A14" w:rsidRPr="00DE1770" w:rsidRDefault="003F6DBE" w:rsidP="00C0010C">
      <w:pPr>
        <w:pStyle w:val="Textoindependiente2"/>
        <w:shd w:val="clear" w:color="auto" w:fill="FFFFFF"/>
        <w:spacing w:after="0" w:line="240" w:lineRule="auto"/>
        <w:ind w:right="4"/>
        <w:jc w:val="both"/>
        <w:rPr>
          <w:sz w:val="20"/>
          <w:szCs w:val="20"/>
        </w:rPr>
      </w:pPr>
      <w:r w:rsidRPr="00DE1770">
        <w:rPr>
          <w:rStyle w:val="Refdenotaalpie"/>
          <w:sz w:val="20"/>
          <w:szCs w:val="20"/>
        </w:rPr>
        <w:footnoteRef/>
      </w:r>
      <w:r w:rsidRPr="00DE1770">
        <w:rPr>
          <w:sz w:val="20"/>
          <w:szCs w:val="20"/>
        </w:rPr>
        <w:t xml:space="preserve"> La existencia de los raizales como un grupo étnico diferenciado ha sido reconocido en múltiples sentencias como la sentencias C-086 de 1994 (M.P. Jorge Arango Mejía); T-800 de 2014 (M.P. Gabriel Eduardo Mendoza Martelo) y T-308 de 2018 (M.P. José Fernando</w:t>
      </w:r>
      <w:r w:rsidRPr="00DE1770">
        <w:rPr>
          <w:sz w:val="20"/>
          <w:szCs w:val="20"/>
        </w:rPr>
        <w:t xml:space="preserve"> Reyes Cuartas). De otro lado, en la sentencia C-053 de 1999 (M.P. Eduardo Cifuentes Muñoz) se reconoció que no es reprochable que se extienda a todo el archipiélago el uso de la lengua nativa como parte de su territorio, sino que es la materialización de </w:t>
      </w:r>
      <w:r w:rsidRPr="00DE1770">
        <w:rPr>
          <w:sz w:val="20"/>
          <w:szCs w:val="20"/>
        </w:rPr>
        <w:t>la protección de los derechos culturales de los raizales. La sentencia C-454 de 1999 (M.P. Fabio Morón Díaz) concluyó que era equivocado el postulado del que había partido el demandante en el sentido que los raizales del archipiélago de San Andrés, Provide</w:t>
      </w:r>
      <w:r w:rsidRPr="00DE1770">
        <w:rPr>
          <w:sz w:val="20"/>
          <w:szCs w:val="20"/>
        </w:rPr>
        <w:t>ncia y Santa Catalina son una especie dentro del género de las comunidades negras por cuenta de que la identificación de una comunidad étnica excede la limitación racial y la comunidad raizal es un grupo perfectamente diferenciado de los demás. De allí que</w:t>
      </w:r>
      <w:r w:rsidRPr="00DE1770">
        <w:rPr>
          <w:sz w:val="20"/>
          <w:szCs w:val="20"/>
        </w:rPr>
        <w:t xml:space="preserve"> </w:t>
      </w:r>
      <w:r w:rsidRPr="00DE1770">
        <w:rPr>
          <w:i/>
          <w:iCs/>
          <w:sz w:val="20"/>
          <w:szCs w:val="20"/>
        </w:rPr>
        <w:t xml:space="preserve">“lo que sí comportaría desconocimiento de la Carta, sería que la comunidad raizal del Archipiélago de San Andrés, Providencia y Santa Catalina fuera subsumida en las comunidades negras continentales”. </w:t>
      </w:r>
      <w:r w:rsidRPr="00DE1770">
        <w:rPr>
          <w:sz w:val="20"/>
          <w:szCs w:val="20"/>
        </w:rPr>
        <w:t>Es decir, “</w:t>
      </w:r>
      <w:r w:rsidRPr="00DE1770">
        <w:rPr>
          <w:i/>
          <w:iCs/>
          <w:sz w:val="20"/>
          <w:szCs w:val="20"/>
        </w:rPr>
        <w:t xml:space="preserve">se traduciría en franco desconocimiento de </w:t>
      </w:r>
      <w:r w:rsidRPr="00DE1770">
        <w:rPr>
          <w:i/>
          <w:iCs/>
          <w:sz w:val="20"/>
          <w:szCs w:val="20"/>
        </w:rPr>
        <w:t>las profundas diferencias de orden cultural entre estas comunidades y las del archipiélago; así mismo, implicaría desatender las enormes diferencias signadas por la condición continental vs la insular</w:t>
      </w:r>
      <w:r w:rsidRPr="00DE1770">
        <w:rPr>
          <w:sz w:val="20"/>
          <w:szCs w:val="20"/>
        </w:rPr>
        <w:t xml:space="preserve"> (…)”. </w:t>
      </w:r>
    </w:p>
  </w:footnote>
  <w:footnote w:id="57">
    <w:p w:rsidR="00C0010C" w:rsidRPr="00C0010C" w:rsidRDefault="003F6DBE" w:rsidP="00C0010C">
      <w:pPr>
        <w:pStyle w:val="Textonotapie"/>
        <w:jc w:val="both"/>
        <w:rPr>
          <w:lang w:val="es-CO"/>
        </w:rPr>
      </w:pPr>
      <w:r>
        <w:rPr>
          <w:rStyle w:val="Refdenotaalpie"/>
        </w:rPr>
        <w:footnoteRef/>
      </w:r>
      <w:r w:rsidRPr="004F6C0D">
        <w:rPr>
          <w:lang w:val="es-CO"/>
        </w:rPr>
        <w:t xml:space="preserve"> Corte Constitucional. </w:t>
      </w:r>
      <w:r w:rsidRPr="00C0010C">
        <w:rPr>
          <w:lang w:val="es-CO"/>
        </w:rPr>
        <w:t xml:space="preserve">Sentencia T-661 de 2015 </w:t>
      </w:r>
      <w:r w:rsidRPr="00C0010C">
        <w:rPr>
          <w:lang w:val="es-CO"/>
        </w:rPr>
        <w:t>(M.P. María</w:t>
      </w:r>
      <w:r>
        <w:rPr>
          <w:lang w:val="es-CO"/>
        </w:rPr>
        <w:t xml:space="preserve"> Victoria Calle Correa).</w:t>
      </w:r>
    </w:p>
  </w:footnote>
  <w:footnote w:id="58">
    <w:p w:rsidR="00667A14" w:rsidRPr="00DE1770" w:rsidRDefault="003F6DBE" w:rsidP="00C0010C">
      <w:pPr>
        <w:pStyle w:val="Textonotapie"/>
        <w:jc w:val="both"/>
        <w:rPr>
          <w:lang w:val="es-CO"/>
        </w:rPr>
      </w:pPr>
      <w:r w:rsidRPr="00DE1770">
        <w:rPr>
          <w:rStyle w:val="Refdenotaalpie"/>
        </w:rPr>
        <w:footnoteRef/>
      </w:r>
      <w:r w:rsidRPr="00992E3E">
        <w:rPr>
          <w:lang w:val="pt-PT"/>
        </w:rPr>
        <w:t xml:space="preserve"> </w:t>
      </w:r>
      <w:r w:rsidRPr="00992E3E">
        <w:rPr>
          <w:shd w:val="clear" w:color="auto" w:fill="FFFFFF"/>
          <w:lang w:val="pt-PT"/>
        </w:rPr>
        <w:t>Cfr. Coronado Delgado, Sergio Andrés. </w:t>
      </w:r>
      <w:r w:rsidRPr="00DE1770">
        <w:rPr>
          <w:shd w:val="clear" w:color="auto" w:fill="FFFFFF"/>
          <w:lang w:val="es-CO"/>
        </w:rPr>
        <w:t>“</w:t>
      </w:r>
      <w:r w:rsidRPr="00DE1770">
        <w:rPr>
          <w:i/>
          <w:iCs/>
          <w:shd w:val="clear" w:color="auto" w:fill="FFFFFF"/>
          <w:lang w:val="es-CO"/>
        </w:rPr>
        <w:t>El Territorio: derecho fundamental de las comunidades afrodescendientes en Colombia”</w:t>
      </w:r>
      <w:r w:rsidRPr="00DE1770">
        <w:rPr>
          <w:shd w:val="clear" w:color="auto" w:fill="FFFFFF"/>
          <w:lang w:val="es-CO"/>
        </w:rPr>
        <w:t>. En: &lt;&lt; </w:t>
      </w:r>
      <w:hyperlink r:id="rId1" w:history="1">
        <w:r w:rsidRPr="00DE1770">
          <w:rPr>
            <w:rStyle w:val="Hipervnculo"/>
            <w:shd w:val="clear" w:color="auto" w:fill="FFFFFF"/>
            <w:lang w:val="es-CO"/>
          </w:rPr>
          <w:t>www.iidh.ed.cr</w:t>
        </w:r>
      </w:hyperlink>
      <w:r w:rsidRPr="00DE1770">
        <w:rPr>
          <w:lang w:val="es-CO"/>
        </w:rPr>
        <w:t xml:space="preserve">&gt;&gt;. </w:t>
      </w:r>
      <w:r>
        <w:rPr>
          <w:lang w:val="es-CO"/>
        </w:rPr>
        <w:t xml:space="preserve"> Esta aproximación fue retomada por la </w:t>
      </w:r>
      <w:r w:rsidRPr="00C0010C">
        <w:rPr>
          <w:lang w:val="es-CO"/>
        </w:rPr>
        <w:t>Corte Constitucional</w:t>
      </w:r>
      <w:r>
        <w:rPr>
          <w:lang w:val="es-CO"/>
        </w:rPr>
        <w:t>, en la</w:t>
      </w:r>
      <w:r w:rsidRPr="00C0010C">
        <w:rPr>
          <w:lang w:val="es-CO"/>
        </w:rPr>
        <w:t xml:space="preserve"> </w:t>
      </w:r>
      <w:r>
        <w:rPr>
          <w:lang w:val="es-CO"/>
        </w:rPr>
        <w:t>s</w:t>
      </w:r>
      <w:r w:rsidRPr="00C0010C">
        <w:rPr>
          <w:lang w:val="es-CO"/>
        </w:rPr>
        <w:t>entencia T-661 de 2015 (M.P. María</w:t>
      </w:r>
      <w:r>
        <w:rPr>
          <w:lang w:val="es-CO"/>
        </w:rPr>
        <w:t xml:space="preserve"> Victoria Calle Correa).</w:t>
      </w:r>
    </w:p>
  </w:footnote>
  <w:footnote w:id="59">
    <w:p w:rsidR="00667A14" w:rsidRPr="00C0010C" w:rsidRDefault="003F6DBE" w:rsidP="00C0010C">
      <w:pPr>
        <w:pStyle w:val="Textonotapie"/>
        <w:jc w:val="both"/>
        <w:rPr>
          <w:lang w:val="es-CO"/>
        </w:rPr>
      </w:pPr>
      <w:r w:rsidRPr="00DE1770">
        <w:rPr>
          <w:rStyle w:val="Refdenotaalpie"/>
        </w:rPr>
        <w:footnoteRef/>
      </w:r>
      <w:r w:rsidRPr="00DE1770">
        <w:rPr>
          <w:lang w:val="es-CO"/>
        </w:rPr>
        <w:t xml:space="preserve"> </w:t>
      </w:r>
      <w:r w:rsidRPr="00DE1770">
        <w:rPr>
          <w:shd w:val="clear" w:color="auto" w:fill="FFFFFF"/>
          <w:lang w:val="es-CO"/>
        </w:rPr>
        <w:t>Ibidem.</w:t>
      </w:r>
      <w:r w:rsidRPr="00DE1770">
        <w:rPr>
          <w:lang w:val="es-CO"/>
        </w:rPr>
        <w:t xml:space="preserve"> </w:t>
      </w:r>
      <w:r>
        <w:rPr>
          <w:lang w:val="es-CO"/>
        </w:rPr>
        <w:t xml:space="preserve">En dicha dirección, también se pronunció la sentencia </w:t>
      </w:r>
      <w:r w:rsidRPr="00C0010C">
        <w:rPr>
          <w:color w:val="2D2D2D"/>
          <w:sz w:val="18"/>
          <w:szCs w:val="18"/>
          <w:lang w:val="es-CO"/>
        </w:rPr>
        <w:t>T-909 de 2009 (MP Mauricio González Cuervo)</w:t>
      </w:r>
      <w:r>
        <w:rPr>
          <w:color w:val="2D2D2D"/>
          <w:sz w:val="18"/>
          <w:szCs w:val="18"/>
          <w:lang w:val="es-ES_tradnl"/>
        </w:rPr>
        <w:t>.</w:t>
      </w:r>
      <w:r w:rsidRPr="00C0010C">
        <w:rPr>
          <w:color w:val="2D2D2D"/>
          <w:sz w:val="18"/>
          <w:szCs w:val="18"/>
          <w:bdr w:val="none" w:sz="0" w:space="0" w:color="auto" w:frame="1"/>
          <w:lang w:val="es-CO"/>
        </w:rPr>
        <w:t> </w:t>
      </w:r>
    </w:p>
  </w:footnote>
  <w:footnote w:id="60">
    <w:p w:rsidR="00735D14" w:rsidRPr="00D3037C" w:rsidRDefault="003F6DBE" w:rsidP="00735D14">
      <w:pPr>
        <w:pStyle w:val="cuerpoaa"/>
        <w:shd w:val="clear" w:color="auto" w:fill="FFFFFF"/>
        <w:spacing w:before="0" w:beforeAutospacing="0" w:after="0" w:afterAutospacing="0"/>
        <w:ind w:right="51"/>
        <w:jc w:val="both"/>
        <w:rPr>
          <w:i/>
          <w:iCs/>
          <w:sz w:val="20"/>
          <w:szCs w:val="20"/>
          <w:lang w:val="es-ES_tradnl"/>
        </w:rPr>
      </w:pPr>
      <w:r w:rsidRPr="00DE1770">
        <w:rPr>
          <w:rStyle w:val="Refdenotaalpie"/>
          <w:sz w:val="20"/>
          <w:szCs w:val="20"/>
        </w:rPr>
        <w:footnoteRef/>
      </w:r>
      <w:r w:rsidRPr="00DE1770">
        <w:rPr>
          <w:sz w:val="20"/>
          <w:szCs w:val="20"/>
        </w:rPr>
        <w:t xml:space="preserve"> </w:t>
      </w:r>
      <w:r>
        <w:rPr>
          <w:sz w:val="20"/>
          <w:szCs w:val="20"/>
        </w:rPr>
        <w:t xml:space="preserve">La </w:t>
      </w:r>
      <w:r w:rsidRPr="00DE1770">
        <w:rPr>
          <w:sz w:val="20"/>
          <w:szCs w:val="20"/>
        </w:rPr>
        <w:t xml:space="preserve">sentencia </w:t>
      </w:r>
      <w:r w:rsidRPr="00DE1770">
        <w:rPr>
          <w:sz w:val="20"/>
          <w:szCs w:val="20"/>
        </w:rPr>
        <w:t>T-601 de 2016</w:t>
      </w:r>
      <w:r>
        <w:rPr>
          <w:sz w:val="20"/>
          <w:szCs w:val="20"/>
        </w:rPr>
        <w:t xml:space="preserve"> (M.P. Gloria Stella Ortiz Delgado)</w:t>
      </w:r>
      <w:r w:rsidRPr="00DE1770">
        <w:rPr>
          <w:sz w:val="20"/>
          <w:szCs w:val="20"/>
        </w:rPr>
        <w:t xml:space="preserve"> </w:t>
      </w:r>
      <w:r>
        <w:rPr>
          <w:sz w:val="20"/>
          <w:szCs w:val="20"/>
        </w:rPr>
        <w:t>indic</w:t>
      </w:r>
      <w:r>
        <w:rPr>
          <w:sz w:val="20"/>
          <w:szCs w:val="20"/>
        </w:rPr>
        <w:t xml:space="preserve">ó que a pesar de la alusión efectuada por el artículo 55 transitorio de la Constitución (así como la Ley 70 de 1993) </w:t>
      </w:r>
      <w:r w:rsidRPr="00DE1770">
        <w:rPr>
          <w:sz w:val="20"/>
          <w:szCs w:val="20"/>
        </w:rPr>
        <w:t>“</w:t>
      </w:r>
      <w:r w:rsidRPr="00DE1770">
        <w:rPr>
          <w:i/>
          <w:iCs/>
          <w:sz w:val="20"/>
          <w:szCs w:val="20"/>
          <w:lang w:val="es-ES_tradnl"/>
        </w:rPr>
        <w:t>a las comunidades negras de la Cuenca del Pacífico</w:t>
      </w:r>
      <w:r>
        <w:rPr>
          <w:i/>
          <w:iCs/>
          <w:sz w:val="20"/>
          <w:szCs w:val="20"/>
          <w:lang w:val="es-ES_tradnl"/>
        </w:rPr>
        <w:t xml:space="preserve">” </w:t>
      </w:r>
      <w:r>
        <w:rPr>
          <w:sz w:val="20"/>
          <w:szCs w:val="20"/>
          <w:lang w:val="es-ES_tradnl"/>
        </w:rPr>
        <w:t xml:space="preserve">el </w:t>
      </w:r>
      <w:r w:rsidRPr="00D3037C">
        <w:rPr>
          <w:sz w:val="20"/>
          <w:szCs w:val="20"/>
          <w:lang w:val="es-ES_tradnl"/>
        </w:rPr>
        <w:t>desarrollo legislativo y juri</w:t>
      </w:r>
      <w:r w:rsidRPr="00D3037C">
        <w:rPr>
          <w:sz w:val="20"/>
          <w:szCs w:val="20"/>
          <w:lang w:val="es-ES_tradnl"/>
        </w:rPr>
        <w:t xml:space="preserve">sprudencial se ha extendido los movimientos y organizaciones afrodescendientes de todo el territorio nacional, como en la Costa Caribe. </w:t>
      </w:r>
      <w:r>
        <w:rPr>
          <w:sz w:val="20"/>
          <w:szCs w:val="20"/>
          <w:lang w:val="es-ES_tradnl"/>
        </w:rPr>
        <w:t xml:space="preserve">No obstante, </w:t>
      </w:r>
      <w:r>
        <w:rPr>
          <w:i/>
          <w:iCs/>
          <w:sz w:val="20"/>
          <w:szCs w:val="20"/>
          <w:lang w:val="es-ES_tradnl"/>
        </w:rPr>
        <w:t>“</w:t>
      </w:r>
      <w:r w:rsidRPr="00DE1770">
        <w:rPr>
          <w:i/>
          <w:iCs/>
          <w:sz w:val="20"/>
          <w:szCs w:val="20"/>
        </w:rPr>
        <w:t>los procesos de auto reconocimiento e identificación de las comunidades de la Costa Caribe han sido tardío</w:t>
      </w:r>
      <w:r w:rsidRPr="00DE1770">
        <w:rPr>
          <w:i/>
          <w:iCs/>
          <w:sz w:val="20"/>
          <w:szCs w:val="20"/>
        </w:rPr>
        <w:t>s si se compara con lo ocurrido en el Pacífico. En efecto, en la Costa Caribe el impacto de la discriminación racial y cultural y/o los llamados fenómenos de “blanqueamiento”, han generado discontinuidad en dichos procesos organizativos y una invisibilidad</w:t>
      </w:r>
      <w:r w:rsidRPr="00DE1770">
        <w:rPr>
          <w:i/>
          <w:iCs/>
          <w:sz w:val="20"/>
          <w:szCs w:val="20"/>
        </w:rPr>
        <w:t xml:space="preserve"> por las causas negras como tal. Esta es una situación que no ha sido ajena para esta Corte, y que mucho menos puede desconocerse en este caso como causa de la problemática propuesta</w:t>
      </w:r>
      <w:r w:rsidRPr="00DE1770">
        <w:rPr>
          <w:i/>
          <w:iCs/>
          <w:sz w:val="20"/>
          <w:szCs w:val="20"/>
          <w:lang w:val="es-ES_tradnl"/>
        </w:rPr>
        <w:t>”</w:t>
      </w:r>
      <w:r w:rsidRPr="00DE1770">
        <w:rPr>
          <w:sz w:val="20"/>
          <w:szCs w:val="20"/>
          <w:lang w:val="es-ES_tradnl"/>
        </w:rPr>
        <w:t>.</w:t>
      </w:r>
    </w:p>
  </w:footnote>
  <w:footnote w:id="61">
    <w:p w:rsidR="00735D14" w:rsidRPr="00735D14" w:rsidRDefault="003F6DBE" w:rsidP="00735D14">
      <w:pPr>
        <w:pStyle w:val="Prrafodelista"/>
        <w:spacing w:after="0" w:line="240" w:lineRule="auto"/>
        <w:ind w:left="0"/>
        <w:jc w:val="both"/>
        <w:rPr>
          <w:rFonts w:eastAsia="Aptos"/>
          <w:i/>
          <w:iCs/>
          <w:kern w:val="2"/>
          <w:sz w:val="20"/>
          <w:szCs w:val="20"/>
        </w:rPr>
      </w:pPr>
      <w:r w:rsidRPr="00CF03C1">
        <w:rPr>
          <w:rStyle w:val="Refdenotaalpie"/>
          <w:sz w:val="20"/>
          <w:szCs w:val="20"/>
        </w:rPr>
        <w:footnoteRef/>
      </w:r>
      <w:r w:rsidRPr="00CF03C1">
        <w:rPr>
          <w:sz w:val="20"/>
          <w:szCs w:val="20"/>
        </w:rPr>
        <w:t xml:space="preserve"> </w:t>
      </w:r>
      <w:r w:rsidRPr="00CF03C1">
        <w:rPr>
          <w:rFonts w:eastAsia="Times New Roman"/>
          <w:sz w:val="20"/>
          <w:szCs w:val="20"/>
        </w:rPr>
        <w:t>Al respecto, la</w:t>
      </w:r>
      <w:r>
        <w:rPr>
          <w:rFonts w:eastAsia="Times New Roman"/>
          <w:sz w:val="20"/>
          <w:szCs w:val="20"/>
        </w:rPr>
        <w:t xml:space="preserve"> misma</w:t>
      </w:r>
      <w:r w:rsidRPr="00CF03C1">
        <w:rPr>
          <w:rFonts w:eastAsia="Times New Roman"/>
          <w:sz w:val="20"/>
          <w:szCs w:val="20"/>
        </w:rPr>
        <w:t xml:space="preserve"> sentencia T-601 de 2016 llamó la atención sobre el origen histórico de la ubicación de una comunidad afro, derivada de una especie de compensación de una familia que entregó un predio a sus antiguos esclavos y que, a su vez, era consecuencia de la segrega</w:t>
      </w:r>
      <w:r w:rsidRPr="00CF03C1">
        <w:rPr>
          <w:rFonts w:eastAsia="Times New Roman"/>
          <w:sz w:val="20"/>
          <w:szCs w:val="20"/>
        </w:rPr>
        <w:t xml:space="preserve">ción racial. Sobre este último punto, se adujo que en los procesos esclavistas se dio la anulación de la libertad por el color de piel, por lo cual una de las primeras luchas de la población afrodescendiente fue </w:t>
      </w:r>
      <w:r>
        <w:rPr>
          <w:rFonts w:eastAsia="Times New Roman"/>
          <w:sz w:val="20"/>
          <w:szCs w:val="20"/>
        </w:rPr>
        <w:t xml:space="preserve">la de </w:t>
      </w:r>
      <w:r w:rsidRPr="00CF03C1">
        <w:rPr>
          <w:rFonts w:eastAsia="Times New Roman"/>
          <w:sz w:val="20"/>
          <w:szCs w:val="20"/>
        </w:rPr>
        <w:t xml:space="preserve">recuperar la libertad pérdida para lo </w:t>
      </w:r>
      <w:r w:rsidRPr="00CF03C1">
        <w:rPr>
          <w:rFonts w:eastAsia="Times New Roman"/>
          <w:sz w:val="20"/>
          <w:szCs w:val="20"/>
        </w:rPr>
        <w:t>cual necesitaban de un territorio que así lo permitiera: “</w:t>
      </w:r>
      <w:r w:rsidRPr="00735D14">
        <w:rPr>
          <w:rFonts w:eastAsia="Times New Roman"/>
          <w:i/>
          <w:iCs/>
          <w:sz w:val="20"/>
          <w:szCs w:val="20"/>
          <w:lang w:val="es-ES_tradnl"/>
        </w:rPr>
        <w:t>uno de los ejemplos más visibilizados en la actualidad, referentes a la búsqueda de la libertad por parte de algunas colectividades negras en la época colonial, son las organizaciones de esclavos li</w:t>
      </w:r>
      <w:r w:rsidRPr="00735D14">
        <w:rPr>
          <w:rFonts w:eastAsia="Times New Roman"/>
          <w:i/>
          <w:iCs/>
          <w:sz w:val="20"/>
          <w:szCs w:val="20"/>
          <w:lang w:val="es-ES_tradnl"/>
        </w:rPr>
        <w:t>bertos o cimarrones que se asentaban en determinados territorios llamados palenques, rochelas o quilombos. </w:t>
      </w:r>
      <w:r w:rsidRPr="00735D14">
        <w:rPr>
          <w:rFonts w:eastAsia="Times New Roman"/>
          <w:b/>
          <w:bCs/>
          <w:i/>
          <w:iCs/>
          <w:sz w:val="20"/>
          <w:szCs w:val="20"/>
          <w:lang w:val="es-ES_tradnl"/>
        </w:rPr>
        <w:t>Estas primeras organizaciones cimarronas, reivindicaban una profunda unión entre territorio, individuo y colectividad</w:t>
      </w:r>
      <w:r w:rsidRPr="00735D14">
        <w:rPr>
          <w:rFonts w:eastAsia="Times New Roman"/>
          <w:i/>
          <w:iCs/>
          <w:sz w:val="20"/>
          <w:szCs w:val="20"/>
          <w:lang w:val="es-ES_tradnl"/>
        </w:rPr>
        <w:t>. Lo anterior debido a que, si e</w:t>
      </w:r>
      <w:r w:rsidRPr="00735D14">
        <w:rPr>
          <w:rFonts w:eastAsia="Times New Roman"/>
          <w:i/>
          <w:iCs/>
          <w:sz w:val="20"/>
          <w:szCs w:val="20"/>
          <w:lang w:val="es-ES_tradnl"/>
        </w:rPr>
        <w:t>l individuo no estaba en ese territorio protegido por los suyos, podía ser “recapturado” y llevado nuevamente al comercio de esclavos</w:t>
      </w:r>
      <w:r w:rsidRPr="00CF03C1">
        <w:rPr>
          <w:rFonts w:eastAsia="Times New Roman"/>
          <w:sz w:val="20"/>
          <w:szCs w:val="20"/>
          <w:lang w:val="es-ES_tradnl"/>
        </w:rPr>
        <w:t>”. // “</w:t>
      </w:r>
      <w:r w:rsidRPr="00735D14">
        <w:rPr>
          <w:rFonts w:eastAsia="Times New Roman"/>
          <w:i/>
          <w:iCs/>
          <w:sz w:val="20"/>
          <w:szCs w:val="20"/>
          <w:lang w:val="es-ES_tradnl"/>
        </w:rPr>
        <w:t>Esa situación hace que desde esa época las colectividades afrodescendientes vieran como parte vital de su subsistenc</w:t>
      </w:r>
      <w:r w:rsidRPr="00735D14">
        <w:rPr>
          <w:rFonts w:eastAsia="Times New Roman"/>
          <w:i/>
          <w:iCs/>
          <w:sz w:val="20"/>
          <w:szCs w:val="20"/>
          <w:lang w:val="es-ES_tradnl"/>
        </w:rPr>
        <w:t>ia la estancia en un territorio determinado, pues ello generaba seguridad y libertad para ellos</w:t>
      </w:r>
      <w:r>
        <w:rPr>
          <w:rFonts w:eastAsia="Times New Roman"/>
          <w:sz w:val="20"/>
          <w:szCs w:val="20"/>
          <w:lang w:val="es-ES_tradnl"/>
        </w:rPr>
        <w:t xml:space="preserve"> (…)</w:t>
      </w:r>
      <w:r w:rsidRPr="00735D14">
        <w:rPr>
          <w:rFonts w:eastAsia="Times New Roman"/>
          <w:i/>
          <w:iCs/>
          <w:sz w:val="20"/>
          <w:szCs w:val="20"/>
          <w:lang w:val="es-ES_tradnl"/>
        </w:rPr>
        <w:t>”</w:t>
      </w:r>
      <w:r w:rsidRPr="00CF03C1">
        <w:rPr>
          <w:rFonts w:eastAsia="Times New Roman"/>
          <w:sz w:val="20"/>
          <w:szCs w:val="20"/>
          <w:lang w:val="es-ES_tradnl"/>
        </w:rPr>
        <w:t xml:space="preserve">. </w:t>
      </w:r>
    </w:p>
  </w:footnote>
  <w:footnote w:id="62">
    <w:p w:rsidR="00667A14" w:rsidRPr="00DE1770" w:rsidRDefault="003F6DBE" w:rsidP="00667A14">
      <w:pPr>
        <w:pStyle w:val="Textonotapie"/>
        <w:rPr>
          <w:lang w:val="es-CO"/>
        </w:rPr>
      </w:pPr>
      <w:r w:rsidRPr="00DE1770">
        <w:rPr>
          <w:rStyle w:val="Refdenotaalpie"/>
        </w:rPr>
        <w:footnoteRef/>
      </w:r>
      <w:r w:rsidRPr="00DE1770">
        <w:rPr>
          <w:lang w:val="es-CO"/>
        </w:rPr>
        <w:t xml:space="preserve"> Gaceta Constitucional N° 029, pág. 5 que, a su vez, fue citada en la sentencia T-691 de 2012 (M.P. María Victoria Calle).</w:t>
      </w:r>
    </w:p>
  </w:footnote>
  <w:footnote w:id="63">
    <w:p w:rsidR="00667A14" w:rsidRPr="00DE1770" w:rsidRDefault="003F6DBE" w:rsidP="00667A14">
      <w:pPr>
        <w:pStyle w:val="Textonotapie"/>
        <w:rPr>
          <w:lang w:val="pt-PT"/>
        </w:rPr>
      </w:pPr>
      <w:r w:rsidRPr="00DE1770">
        <w:rPr>
          <w:rStyle w:val="Refdenotaalpie"/>
        </w:rPr>
        <w:footnoteRef/>
      </w:r>
      <w:r w:rsidRPr="00DE1770">
        <w:rPr>
          <w:lang w:val="pt-PT"/>
        </w:rPr>
        <w:t xml:space="preserve"> Ibidem. </w:t>
      </w:r>
    </w:p>
  </w:footnote>
  <w:footnote w:id="64">
    <w:p w:rsidR="00E71E80" w:rsidRPr="00DE1770" w:rsidRDefault="003F6DBE" w:rsidP="00E71E80">
      <w:pPr>
        <w:pStyle w:val="Textonotapie"/>
        <w:rPr>
          <w:lang w:val="pt-PT"/>
        </w:rPr>
      </w:pPr>
      <w:r w:rsidRPr="00DE1770">
        <w:rPr>
          <w:rStyle w:val="Refdenotaalpie"/>
        </w:rPr>
        <w:footnoteRef/>
      </w:r>
      <w:r w:rsidRPr="00DE1770">
        <w:rPr>
          <w:lang w:val="pt-PT"/>
        </w:rPr>
        <w:t xml:space="preserve"> M.P. Carlos Gaviria Díaz. </w:t>
      </w:r>
    </w:p>
  </w:footnote>
  <w:footnote w:id="65">
    <w:p w:rsidR="00667A14" w:rsidRPr="004F6C0D" w:rsidRDefault="003F6DBE" w:rsidP="00667A14">
      <w:pPr>
        <w:pStyle w:val="Textonotapie"/>
        <w:rPr>
          <w:lang w:val="pt-PT"/>
        </w:rPr>
      </w:pPr>
      <w:r w:rsidRPr="00DE1770">
        <w:rPr>
          <w:rStyle w:val="Refdenotaalpie"/>
        </w:rPr>
        <w:footnoteRef/>
      </w:r>
      <w:r w:rsidRPr="004F6C0D">
        <w:rPr>
          <w:lang w:val="pt-PT"/>
        </w:rPr>
        <w:t xml:space="preserve"> Corte Constitucional. Sentencia T-461 de 2014 (M.P. Gabriel Eduardo Mendoza Martelo).</w:t>
      </w:r>
    </w:p>
  </w:footnote>
  <w:footnote w:id="66">
    <w:p w:rsidR="00C91F4A" w:rsidRPr="00985DBB" w:rsidRDefault="003F6DBE" w:rsidP="00985DBB">
      <w:pPr>
        <w:pStyle w:val="Textonotapie"/>
        <w:jc w:val="both"/>
        <w:rPr>
          <w:lang w:val="es-CO"/>
        </w:rPr>
      </w:pPr>
      <w:r>
        <w:rPr>
          <w:rStyle w:val="Refdenotaalpie"/>
        </w:rPr>
        <w:footnoteRef/>
      </w:r>
      <w:r w:rsidRPr="00861227">
        <w:rPr>
          <w:lang w:val="pt-PT"/>
        </w:rPr>
        <w:t xml:space="preserve"> </w:t>
      </w:r>
      <w:r>
        <w:rPr>
          <w:lang w:val="pt-PT"/>
        </w:rPr>
        <w:t xml:space="preserve">Corte Constitucional. </w:t>
      </w:r>
      <w:r w:rsidRPr="00861227">
        <w:rPr>
          <w:lang w:val="pt-PT"/>
        </w:rPr>
        <w:t>M.P. Jorge Iván Palacio Pa</w:t>
      </w:r>
      <w:r>
        <w:rPr>
          <w:lang w:val="pt-PT"/>
        </w:rPr>
        <w:t xml:space="preserve">lacio. </w:t>
      </w:r>
      <w:r w:rsidRPr="00985DBB">
        <w:rPr>
          <w:lang w:val="es-CO"/>
        </w:rPr>
        <w:t>Si bien es</w:t>
      </w:r>
      <w:r>
        <w:rPr>
          <w:lang w:val="es-CO"/>
        </w:rPr>
        <w:t>ta sentencia también se refirió a la comunidad Rrom, es relevante por cue</w:t>
      </w:r>
      <w:r>
        <w:rPr>
          <w:lang w:val="es-CO"/>
        </w:rPr>
        <w:t>nta de que explicó que “</w:t>
      </w:r>
      <w:r w:rsidRPr="00985DBB">
        <w:rPr>
          <w:lang w:val="es-CO"/>
        </w:rPr>
        <w:t>[e]</w:t>
      </w:r>
      <w:r w:rsidRPr="00985DBB">
        <w:rPr>
          <w:i/>
          <w:iCs/>
          <w:lang w:val="es-CO"/>
        </w:rPr>
        <w:t>s claro que el reconocimiento y protección a todas las etnias y culturas del territorio colombiano debe darse en condiciones de igualdad y dignidad, respetando sus diferencias. Un Estado constitucional de derecho destierra toda r</w:t>
      </w:r>
      <w:r w:rsidRPr="00985DBB">
        <w:rPr>
          <w:i/>
          <w:iCs/>
          <w:lang w:val="es-CO"/>
        </w:rPr>
        <w:t>egulación que implique un juicio reduccionista contra determinadas culturas, por lo que los beneficios de que fueran objeto algunos grupos étnicos, deben en principio consagrarse para los demás, de acuerdo con las particularidades de cada pueblo</w:t>
      </w:r>
      <w:r>
        <w:rPr>
          <w:i/>
          <w:iCs/>
          <w:lang w:val="es-CO"/>
        </w:rPr>
        <w:t>”</w:t>
      </w:r>
      <w:r w:rsidRPr="00985DBB">
        <w:rPr>
          <w:lang w:val="es-CO"/>
        </w:rPr>
        <w:t>.</w:t>
      </w:r>
      <w:r>
        <w:rPr>
          <w:lang w:val="es-CO"/>
        </w:rPr>
        <w:t xml:space="preserve"> </w:t>
      </w:r>
    </w:p>
  </w:footnote>
  <w:footnote w:id="67">
    <w:p w:rsidR="00C91F4A" w:rsidRPr="00C91F4A" w:rsidRDefault="003F6DBE" w:rsidP="00C91F4A">
      <w:pPr>
        <w:pStyle w:val="Textonotapie"/>
        <w:rPr>
          <w:lang w:val="pt-PT"/>
        </w:rPr>
      </w:pPr>
      <w:r>
        <w:rPr>
          <w:rStyle w:val="Refdenotaalpie"/>
        </w:rPr>
        <w:footnoteRef/>
      </w:r>
      <w:r w:rsidRPr="00985DBB">
        <w:rPr>
          <w:lang w:val="es-CO"/>
        </w:rPr>
        <w:t xml:space="preserve"> Corte</w:t>
      </w:r>
      <w:r w:rsidRPr="00985DBB">
        <w:rPr>
          <w:lang w:val="es-CO"/>
        </w:rPr>
        <w:t xml:space="preserve"> Constitucional. </w:t>
      </w:r>
      <w:r w:rsidRPr="00861227">
        <w:rPr>
          <w:lang w:val="pt-PT"/>
        </w:rPr>
        <w:t>M.P.</w:t>
      </w:r>
      <w:r>
        <w:rPr>
          <w:lang w:val="pt-PT"/>
        </w:rPr>
        <w:t xml:space="preserve"> </w:t>
      </w:r>
      <w:r w:rsidRPr="00861227">
        <w:rPr>
          <w:lang w:val="pt-PT"/>
        </w:rPr>
        <w:t>Cristina Pardo Schlesinger.</w:t>
      </w:r>
      <w:r w:rsidRPr="00C91F4A">
        <w:rPr>
          <w:color w:val="2D2D2D"/>
          <w:sz w:val="28"/>
          <w:szCs w:val="28"/>
          <w:shd w:val="clear" w:color="auto" w:fill="FFFFFF"/>
          <w:lang w:val="pt-PT"/>
        </w:rPr>
        <w:t xml:space="preserve"> </w:t>
      </w:r>
    </w:p>
  </w:footnote>
  <w:footnote w:id="68">
    <w:p w:rsidR="00C91F4A" w:rsidRPr="00861227" w:rsidRDefault="003F6DBE" w:rsidP="00C91F4A">
      <w:pPr>
        <w:pStyle w:val="Textonotapie"/>
        <w:rPr>
          <w:lang w:val="pt-PT"/>
        </w:rPr>
      </w:pPr>
      <w:r>
        <w:rPr>
          <w:rStyle w:val="Refdenotaalpie"/>
        </w:rPr>
        <w:footnoteRef/>
      </w:r>
      <w:r w:rsidRPr="00861227">
        <w:rPr>
          <w:lang w:val="pt-PT"/>
        </w:rPr>
        <w:t xml:space="preserve"> </w:t>
      </w:r>
      <w:r>
        <w:rPr>
          <w:lang w:val="pt-PT"/>
        </w:rPr>
        <w:t xml:space="preserve">Corte Constitucional. </w:t>
      </w:r>
      <w:r w:rsidRPr="00861227">
        <w:rPr>
          <w:lang w:val="pt-PT"/>
        </w:rPr>
        <w:t>M.P.</w:t>
      </w:r>
      <w:r>
        <w:rPr>
          <w:lang w:val="pt-PT"/>
        </w:rPr>
        <w:t xml:space="preserve"> Alberto Rojar Ríos. </w:t>
      </w:r>
    </w:p>
  </w:footnote>
  <w:footnote w:id="69">
    <w:p w:rsidR="00C91F4A" w:rsidRPr="001F0E91" w:rsidRDefault="003F6DBE" w:rsidP="00C91F4A">
      <w:pPr>
        <w:pStyle w:val="Textonotapie"/>
        <w:rPr>
          <w:lang w:val="pt-PT"/>
        </w:rPr>
      </w:pPr>
      <w:r w:rsidRPr="001F0E91">
        <w:rPr>
          <w:rStyle w:val="Refdenotaalpie"/>
        </w:rPr>
        <w:footnoteRef/>
      </w:r>
      <w:r w:rsidRPr="001F0E91">
        <w:rPr>
          <w:lang w:val="pt-PT"/>
        </w:rPr>
        <w:t xml:space="preserve"> Corte Constitucional. MP. Carlos Gaviria Díaz. </w:t>
      </w:r>
    </w:p>
  </w:footnote>
  <w:footnote w:id="70">
    <w:p w:rsidR="001F0E91" w:rsidRPr="0033527B" w:rsidRDefault="003F6DBE" w:rsidP="0033527B">
      <w:pPr>
        <w:pStyle w:val="Prrafodelista"/>
        <w:shd w:val="clear" w:color="auto" w:fill="FFFFFF"/>
        <w:spacing w:after="0" w:line="240" w:lineRule="auto"/>
        <w:ind w:left="0" w:right="4"/>
        <w:jc w:val="both"/>
        <w:rPr>
          <w:rFonts w:eastAsia="Times New Roman"/>
          <w:sz w:val="20"/>
          <w:szCs w:val="20"/>
        </w:rPr>
      </w:pPr>
      <w:r w:rsidRPr="001F0E91">
        <w:rPr>
          <w:rStyle w:val="Refdenotaalpie"/>
          <w:sz w:val="20"/>
          <w:szCs w:val="20"/>
        </w:rPr>
        <w:footnoteRef/>
      </w:r>
      <w:r w:rsidRPr="001F0E91">
        <w:rPr>
          <w:sz w:val="20"/>
          <w:szCs w:val="20"/>
        </w:rPr>
        <w:t xml:space="preserve">Así, </w:t>
      </w:r>
      <w:r w:rsidRPr="001F0E91">
        <w:rPr>
          <w:rFonts w:eastAsia="Aptos"/>
          <w:sz w:val="20"/>
          <w:szCs w:val="20"/>
          <w:shd w:val="clear" w:color="auto" w:fill="FFFFFF"/>
        </w:rPr>
        <w:t xml:space="preserve">constituiría un sinsentido excluir a una comunidad afro en particular, cuando en todo caso de adoptar una determinación respecto a las comunidades negras, de acuerdo con el artículo 2 de </w:t>
      </w:r>
      <w:r w:rsidRPr="001F0E91">
        <w:rPr>
          <w:sz w:val="20"/>
          <w:szCs w:val="20"/>
        </w:rPr>
        <w:t>Ley 70 de 1993, tales comprenden “</w:t>
      </w:r>
      <w:r w:rsidRPr="001F0E91">
        <w:rPr>
          <w:i/>
          <w:iCs/>
          <w:sz w:val="20"/>
          <w:szCs w:val="20"/>
        </w:rPr>
        <w:t>el conjunto de familias de ascenden</w:t>
      </w:r>
      <w:r w:rsidRPr="001F0E91">
        <w:rPr>
          <w:i/>
          <w:iCs/>
          <w:sz w:val="20"/>
          <w:szCs w:val="20"/>
        </w:rPr>
        <w:t>cia afrocolombiana que poseen una cultura propia, comparten una historia y tienen sus propias tradiciones y costumbre dentro de la relación compo-poblado, que revelan y conservan conciencia de identidad que las distinguen de otros grupos étnicos”.</w:t>
      </w:r>
      <w:r w:rsidRPr="001F0E91">
        <w:rPr>
          <w:sz w:val="20"/>
          <w:szCs w:val="20"/>
        </w:rPr>
        <w:t xml:space="preserve"> </w:t>
      </w:r>
    </w:p>
  </w:footnote>
  <w:footnote w:id="71">
    <w:p w:rsidR="006650EC" w:rsidRPr="006650EC" w:rsidRDefault="003F6DBE" w:rsidP="0033527B">
      <w:pPr>
        <w:pStyle w:val="Textonotapie"/>
        <w:jc w:val="both"/>
        <w:rPr>
          <w:rFonts w:eastAsiaTheme="minorHAnsi"/>
          <w:lang w:val="es-CO"/>
        </w:rPr>
      </w:pPr>
      <w:r w:rsidRPr="006650EC">
        <w:rPr>
          <w:rStyle w:val="Refdenotaalpie"/>
        </w:rPr>
        <w:footnoteRef/>
      </w:r>
      <w:r w:rsidRPr="006650EC">
        <w:rPr>
          <w:lang w:val="es-CO"/>
        </w:rPr>
        <w:t xml:space="preserve"> </w:t>
      </w:r>
      <w:r w:rsidRPr="006650EC">
        <w:rPr>
          <w:color w:val="000000" w:themeColor="text1"/>
          <w:lang w:val="es-CO"/>
        </w:rPr>
        <w:t>Estos</w:t>
      </w:r>
      <w:r w:rsidRPr="006650EC">
        <w:rPr>
          <w:color w:val="000000" w:themeColor="text1"/>
          <w:lang w:val="es-CO"/>
        </w:rPr>
        <w:t xml:space="preserve"> dos últimos ciudadanos manifestaron en la demanda que forman parte del Foro Interétnico Solidaridad Chocó (FISCH).</w:t>
      </w:r>
    </w:p>
  </w:footnote>
  <w:footnote w:id="72">
    <w:p w:rsidR="006650EC" w:rsidRPr="006650EC" w:rsidRDefault="003F6DBE" w:rsidP="0033527B">
      <w:pPr>
        <w:pStyle w:val="Textonotapie"/>
        <w:rPr>
          <w:lang w:val="es-CO"/>
        </w:rPr>
      </w:pPr>
      <w:r>
        <w:rPr>
          <w:rStyle w:val="Refdenotaalpie"/>
        </w:rPr>
        <w:footnoteRef/>
      </w:r>
      <w:r w:rsidRPr="006650EC">
        <w:rPr>
          <w:lang w:val="pt-PT"/>
        </w:rPr>
        <w:t xml:space="preserve"> Corte Constitucional. </w:t>
      </w:r>
      <w:r w:rsidRPr="006650EC">
        <w:rPr>
          <w:lang w:val="es-CO"/>
        </w:rPr>
        <w:t>Sentencia C-495 de 2019 (M.P. A</w:t>
      </w:r>
      <w:r>
        <w:rPr>
          <w:lang w:val="es-CO"/>
        </w:rPr>
        <w:t>lejandro Linares Cantillo).</w:t>
      </w:r>
    </w:p>
  </w:footnote>
  <w:footnote w:id="73">
    <w:p w:rsidR="0033527B" w:rsidRPr="0033527B" w:rsidRDefault="003F6DBE">
      <w:pPr>
        <w:pStyle w:val="Textonotapie"/>
        <w:rPr>
          <w:lang w:val="es-CO"/>
        </w:rPr>
      </w:pPr>
      <w:r>
        <w:rPr>
          <w:rStyle w:val="Refdenotaalpie"/>
        </w:rPr>
        <w:footnoteRef/>
      </w:r>
      <w:r w:rsidRPr="0033527B">
        <w:rPr>
          <w:lang w:val="es-CO"/>
        </w:rPr>
        <w:t xml:space="preserve"> </w:t>
      </w:r>
      <w:r>
        <w:rPr>
          <w:lang w:val="es-CO"/>
        </w:rPr>
        <w:t>M.P. Gloria Stella Ortiz Delgado.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F0145"/>
    <w:multiLevelType w:val="hybridMultilevel"/>
    <w:tmpl w:val="0B72670A"/>
    <w:lvl w:ilvl="0" w:tplc="BF163F2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8A64428"/>
    <w:multiLevelType w:val="hybridMultilevel"/>
    <w:tmpl w:val="BAC46C54"/>
    <w:lvl w:ilvl="0" w:tplc="4000D206">
      <w:start w:val="1"/>
      <w:numFmt w:val="decimal"/>
      <w:lvlText w:val="%1."/>
      <w:lvlJc w:val="left"/>
      <w:pPr>
        <w:ind w:left="795" w:hanging="435"/>
      </w:pPr>
      <w:rPr>
        <w:rFonts w:eastAsia="Times New Roman" w:hint="default"/>
        <w:b w:val="0"/>
        <w:bCs/>
        <w:i w:val="0"/>
        <w:iCs w:val="0"/>
        <w:sz w:val="28"/>
        <w:szCs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0CD7DED"/>
    <w:multiLevelType w:val="hybridMultilevel"/>
    <w:tmpl w:val="06508E64"/>
    <w:lvl w:ilvl="0" w:tplc="240A0015">
      <w:start w:val="10"/>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C4777FD"/>
    <w:multiLevelType w:val="hybridMultilevel"/>
    <w:tmpl w:val="B33206F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05572FD"/>
    <w:multiLevelType w:val="hybridMultilevel"/>
    <w:tmpl w:val="2A161482"/>
    <w:lvl w:ilvl="0" w:tplc="1F149F0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4DE6139"/>
    <w:multiLevelType w:val="hybridMultilevel"/>
    <w:tmpl w:val="98BCE9C4"/>
    <w:lvl w:ilvl="0" w:tplc="109A530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7C702F9"/>
    <w:multiLevelType w:val="hybridMultilevel"/>
    <w:tmpl w:val="176292E2"/>
    <w:lvl w:ilvl="0" w:tplc="30C41E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6"/>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7D2C"/>
    <w:rsid w:val="00017D2C"/>
    <w:rsid w:val="001D1C9D"/>
    <w:rsid w:val="003F6D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56F27EE2-E6BA-4283-A88F-4C04189F2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autoRedefine/>
    <w:uiPriority w:val="9"/>
    <w:qFormat/>
    <w:rsid w:val="008E473C"/>
    <w:pPr>
      <w:keepNext/>
      <w:keepLines/>
      <w:spacing w:before="240" w:after="0" w:line="256" w:lineRule="auto"/>
      <w:outlineLvl w:val="0"/>
    </w:pPr>
    <w:rPr>
      <w:rFonts w:eastAsiaTheme="majorEastAsia" w:cstheme="majorBidi"/>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E473C"/>
    <w:rPr>
      <w:rFonts w:ascii="Times New Roman" w:eastAsiaTheme="majorEastAsia" w:hAnsi="Times New Roman" w:cstheme="majorBidi"/>
      <w:sz w:val="32"/>
      <w:szCs w:val="32"/>
    </w:rPr>
  </w:style>
  <w:style w:type="paragraph" w:styleId="Textoindependiente">
    <w:name w:val="Body Text"/>
    <w:basedOn w:val="Normal"/>
    <w:link w:val="TextoindependienteCar"/>
    <w:uiPriority w:val="99"/>
    <w:rsid w:val="002A2D4E"/>
    <w:pPr>
      <w:spacing w:after="0" w:line="240" w:lineRule="auto"/>
      <w:ind w:right="335"/>
      <w:jc w:val="both"/>
    </w:pPr>
    <w:rPr>
      <w:rFonts w:eastAsia="Times New Roman"/>
      <w:szCs w:val="28"/>
      <w:lang w:val="es-ES_tradnl" w:eastAsia="es-ES"/>
    </w:rPr>
  </w:style>
  <w:style w:type="character" w:customStyle="1" w:styleId="TextoindependienteCar">
    <w:name w:val="Texto independiente Car"/>
    <w:basedOn w:val="Fuentedeprrafopredeter"/>
    <w:link w:val="Textoindependiente"/>
    <w:uiPriority w:val="99"/>
    <w:rsid w:val="002A2D4E"/>
    <w:rPr>
      <w:rFonts w:ascii="Times New Roman" w:eastAsia="Times New Roman" w:hAnsi="Times New Roman" w:cs="Times New Roman"/>
      <w:sz w:val="28"/>
      <w:szCs w:val="28"/>
      <w:lang w:val="es-ES_tradnl" w:eastAsia="es-ES"/>
    </w:rPr>
  </w:style>
  <w:style w:type="paragraph" w:styleId="Descripcin">
    <w:name w:val="caption"/>
    <w:basedOn w:val="Normal"/>
    <w:next w:val="Normal"/>
    <w:uiPriority w:val="99"/>
    <w:qFormat/>
    <w:rsid w:val="002A2D4E"/>
    <w:pPr>
      <w:overflowPunct w:val="0"/>
      <w:autoSpaceDE w:val="0"/>
      <w:autoSpaceDN w:val="0"/>
      <w:adjustRightInd w:val="0"/>
      <w:spacing w:after="0" w:line="240" w:lineRule="auto"/>
      <w:ind w:right="51"/>
      <w:jc w:val="center"/>
      <w:textAlignment w:val="baseline"/>
    </w:pPr>
    <w:rPr>
      <w:rFonts w:eastAsia="Times New Roman"/>
      <w:b/>
      <w:caps/>
      <w:szCs w:val="20"/>
      <w:lang w:eastAsia="es-ES"/>
    </w:rPr>
  </w:style>
  <w:style w:type="paragraph" w:styleId="Ttulo">
    <w:name w:val="Title"/>
    <w:basedOn w:val="Normal"/>
    <w:link w:val="TtuloCar"/>
    <w:uiPriority w:val="10"/>
    <w:qFormat/>
    <w:rsid w:val="002A2D4E"/>
    <w:pPr>
      <w:spacing w:after="0" w:line="240" w:lineRule="auto"/>
      <w:ind w:right="51"/>
      <w:jc w:val="center"/>
      <w:outlineLvl w:val="0"/>
    </w:pPr>
    <w:rPr>
      <w:rFonts w:eastAsia="Times New Roman"/>
      <w:b/>
      <w:sz w:val="24"/>
      <w:szCs w:val="20"/>
      <w:lang w:eastAsia="es-ES"/>
    </w:rPr>
  </w:style>
  <w:style w:type="character" w:customStyle="1" w:styleId="TtuloCar">
    <w:name w:val="Título Car"/>
    <w:basedOn w:val="Fuentedeprrafopredeter"/>
    <w:link w:val="Ttulo"/>
    <w:uiPriority w:val="10"/>
    <w:rsid w:val="002A2D4E"/>
    <w:rPr>
      <w:rFonts w:ascii="Times New Roman" w:eastAsia="Times New Roman" w:hAnsi="Times New Roman" w:cs="Times New Roman"/>
      <w:b/>
      <w:sz w:val="24"/>
      <w:szCs w:val="20"/>
      <w:lang w:val="es-CO" w:eastAsia="es-ES"/>
    </w:rPr>
  </w:style>
  <w:style w:type="paragraph" w:customStyle="1" w:styleId="Sinespaciado1">
    <w:name w:val="Sin espaciado1"/>
    <w:uiPriority w:val="99"/>
    <w:rsid w:val="002A2D4E"/>
    <w:pPr>
      <w:spacing w:after="0" w:line="240" w:lineRule="auto"/>
    </w:pPr>
    <w:rPr>
      <w:rFonts w:ascii="Calibri" w:eastAsia="Times New Roman" w:hAnsi="Calibri" w:cs="Calibri"/>
    </w:rPr>
  </w:style>
  <w:style w:type="paragraph" w:styleId="Piedepgina">
    <w:name w:val="footer"/>
    <w:basedOn w:val="Normal"/>
    <w:link w:val="PiedepginaCar"/>
    <w:uiPriority w:val="99"/>
    <w:unhideWhenUsed/>
    <w:rsid w:val="002A2D4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A2D4E"/>
    <w:rPr>
      <w:rFonts w:ascii="Times New Roman" w:eastAsia="Calibri" w:hAnsi="Times New Roman" w:cs="Times New Roman"/>
      <w:sz w:val="28"/>
      <w:lang w:val="es-CO"/>
    </w:rPr>
  </w:style>
  <w:style w:type="paragraph" w:styleId="Prrafodelista">
    <w:name w:val="List Paragraph"/>
    <w:aliases w:val="Colorful List - Accent 11,Ha,List Paragraph1,lp1,Footnote,List Paragraph2"/>
    <w:basedOn w:val="Normal"/>
    <w:link w:val="PrrafodelistaCar"/>
    <w:uiPriority w:val="34"/>
    <w:qFormat/>
    <w:rsid w:val="002A2D4E"/>
    <w:pPr>
      <w:ind w:left="720"/>
      <w:contextualSpacing/>
    </w:pPr>
  </w:style>
  <w:style w:type="paragraph" w:styleId="Textonotapie">
    <w:name w:val="footnote text"/>
    <w:aliases w:val="Footnote Text Char Char Char Char Char,Footnote Text Char Char Char Char,Footnote reference,FA Fu,texto de nota al pie,Footnote Text Char,Footnote Text Char Char Char Char Char Char Char Char,texto de nota al pi,Footnote Text Cha,ft,Ca,R"/>
    <w:basedOn w:val="Normal"/>
    <w:link w:val="TextonotapieCar1"/>
    <w:uiPriority w:val="99"/>
    <w:qFormat/>
    <w:rsid w:val="002A2D4E"/>
    <w:pPr>
      <w:widowControl w:val="0"/>
      <w:adjustRightInd w:val="0"/>
      <w:spacing w:after="0" w:line="240" w:lineRule="auto"/>
      <w:textAlignment w:val="baseline"/>
    </w:pPr>
    <w:rPr>
      <w:rFonts w:eastAsia="Times New Roman"/>
      <w:sz w:val="20"/>
      <w:szCs w:val="20"/>
      <w:lang w:val="en-US" w:eastAsia="es-ES"/>
    </w:rPr>
  </w:style>
  <w:style w:type="character" w:customStyle="1" w:styleId="TextonotapieCar">
    <w:name w:val="Texto nota pie Car"/>
    <w:aliases w:val="Ref. de nota al pie1 Car,Texto de nota al pie Car,referencia nota al pie Car,Footnotes refss Car,Appel note de bas de page Car,Texto nota pie Car Car Car,Footnote Text Char Char Char Char Char Char1 Car Car,Footnote referenc Car Car"/>
    <w:basedOn w:val="Fuentedeprrafopredeter"/>
    <w:uiPriority w:val="99"/>
    <w:rsid w:val="002A2D4E"/>
    <w:rPr>
      <w:rFonts w:ascii="Times New Roman" w:eastAsia="Calibri" w:hAnsi="Times New Roman" w:cs="Times New Roman"/>
      <w:sz w:val="20"/>
      <w:szCs w:val="20"/>
      <w:lang w:val="es-CO"/>
    </w:rPr>
  </w:style>
  <w:style w:type="character" w:customStyle="1" w:styleId="TextonotapieCar1">
    <w:name w:val="Texto nota pie Car1"/>
    <w:aliases w:val="Footnote Text Char Char Char Char Char Car,Footnote Text Char Char Char Char Car,Footnote reference Car,FA Fu Car,texto de nota al pie Car,Footnote Text Char Car,Footnote Text Char Char Char Char Char Char Char Char Car,ft Car,Ca Car"/>
    <w:basedOn w:val="Fuentedeprrafopredeter"/>
    <w:link w:val="Textonotapie"/>
    <w:uiPriority w:val="99"/>
    <w:locked/>
    <w:rsid w:val="002A2D4E"/>
    <w:rPr>
      <w:rFonts w:ascii="Times New Roman" w:eastAsia="Times New Roman" w:hAnsi="Times New Roman" w:cs="Times New Roman"/>
      <w:sz w:val="20"/>
      <w:szCs w:val="20"/>
      <w:lang w:val="en-US" w:eastAsia="es-ES"/>
    </w:rPr>
  </w:style>
  <w:style w:type="character" w:styleId="Refdenotaalpie">
    <w:name w:val="footnote reference"/>
    <w:aliases w:val="Texto de nota al pie,referencia nota al pie,Footnotes refss,Appel note de bas de page,Texto nota pie Car Car,Footnote Text Char Char Char Char Char Char1 Car,Footnote referenc Car,Footnote number,f,BVI fnr,4_G,16 Point,Pie de Página"/>
    <w:basedOn w:val="Fuentedeprrafopredeter"/>
    <w:link w:val="4GChar"/>
    <w:uiPriority w:val="99"/>
    <w:qFormat/>
    <w:rsid w:val="002A2D4E"/>
    <w:rPr>
      <w:rFonts w:cs="Times New Roman"/>
      <w:vertAlign w:val="superscript"/>
    </w:rPr>
  </w:style>
  <w:style w:type="paragraph" w:styleId="Textodeglobo">
    <w:name w:val="Balloon Text"/>
    <w:basedOn w:val="Normal"/>
    <w:link w:val="TextodegloboCar"/>
    <w:uiPriority w:val="99"/>
    <w:semiHidden/>
    <w:unhideWhenUsed/>
    <w:rsid w:val="003348C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348C6"/>
    <w:rPr>
      <w:rFonts w:ascii="Segoe UI" w:eastAsia="Calibri" w:hAnsi="Segoe UI" w:cs="Segoe UI"/>
      <w:sz w:val="18"/>
      <w:szCs w:val="18"/>
      <w:lang w:val="es-CO"/>
    </w:rPr>
  </w:style>
  <w:style w:type="paragraph" w:styleId="NormalWeb">
    <w:name w:val="Normal (Web)"/>
    <w:basedOn w:val="Normal"/>
    <w:uiPriority w:val="99"/>
    <w:semiHidden/>
    <w:unhideWhenUsed/>
    <w:rsid w:val="009457E6"/>
    <w:rPr>
      <w:sz w:val="24"/>
      <w:szCs w:val="24"/>
    </w:rPr>
  </w:style>
  <w:style w:type="paragraph" w:customStyle="1" w:styleId="Default">
    <w:name w:val="Default"/>
    <w:rsid w:val="002A1A21"/>
    <w:pPr>
      <w:autoSpaceDE w:val="0"/>
      <w:autoSpaceDN w:val="0"/>
      <w:adjustRightInd w:val="0"/>
      <w:spacing w:after="0" w:line="240" w:lineRule="auto"/>
    </w:pPr>
    <w:rPr>
      <w:rFonts w:ascii="Cambria" w:hAnsi="Cambria" w:cs="Cambria"/>
      <w:color w:val="000000"/>
      <w:sz w:val="24"/>
      <w:szCs w:val="24"/>
    </w:rPr>
  </w:style>
  <w:style w:type="paragraph" w:styleId="Encabezado">
    <w:name w:val="header"/>
    <w:basedOn w:val="Normal"/>
    <w:link w:val="EncabezadoCar"/>
    <w:uiPriority w:val="99"/>
    <w:unhideWhenUsed/>
    <w:rsid w:val="000636A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636A5"/>
    <w:rPr>
      <w:rFonts w:ascii="Times New Roman" w:eastAsia="Calibri" w:hAnsi="Times New Roman" w:cs="Times New Roman"/>
      <w:sz w:val="28"/>
      <w:lang w:val="es-CO"/>
    </w:rPr>
  </w:style>
  <w:style w:type="character" w:styleId="Hipervnculo">
    <w:name w:val="Hyperlink"/>
    <w:basedOn w:val="Fuentedeprrafopredeter"/>
    <w:uiPriority w:val="99"/>
    <w:unhideWhenUsed/>
    <w:rsid w:val="00EA6DCB"/>
    <w:rPr>
      <w:color w:val="0563C1" w:themeColor="hyperlink"/>
      <w:u w:val="single"/>
    </w:rPr>
  </w:style>
  <w:style w:type="character" w:customStyle="1" w:styleId="UnresolvedMention">
    <w:name w:val="Unresolved Mention"/>
    <w:basedOn w:val="Fuentedeprrafopredeter"/>
    <w:uiPriority w:val="99"/>
    <w:semiHidden/>
    <w:unhideWhenUsed/>
    <w:rsid w:val="00EA6DCB"/>
    <w:rPr>
      <w:color w:val="605E5C"/>
      <w:shd w:val="clear" w:color="auto" w:fill="E1DFDD"/>
    </w:rPr>
  </w:style>
  <w:style w:type="character" w:customStyle="1" w:styleId="baj">
    <w:name w:val="b_aj"/>
    <w:basedOn w:val="Fuentedeprrafopredeter"/>
    <w:rsid w:val="00F734AD"/>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2B373C"/>
    <w:pPr>
      <w:spacing w:after="0" w:line="240" w:lineRule="auto"/>
      <w:jc w:val="both"/>
    </w:pPr>
    <w:rPr>
      <w:rFonts w:eastAsiaTheme="minorHAnsi"/>
      <w:vertAlign w:val="superscript"/>
      <w:lang w:val="es-ES"/>
    </w:rPr>
  </w:style>
  <w:style w:type="table" w:styleId="Tablaconcuadrcula">
    <w:name w:val="Table Grid"/>
    <w:basedOn w:val="Tablanormal"/>
    <w:uiPriority w:val="59"/>
    <w:rsid w:val="009F024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Colorful List - Accent 11 Car,Ha Car,List Paragraph1 Car,lp1 Car,Footnote Car,List Paragraph2 Car"/>
    <w:basedOn w:val="Fuentedeprrafopredeter"/>
    <w:link w:val="Prrafodelista"/>
    <w:uiPriority w:val="34"/>
    <w:rsid w:val="009A2B47"/>
    <w:rPr>
      <w:rFonts w:ascii="Times New Roman" w:eastAsia="Calibri" w:hAnsi="Times New Roman" w:cs="Times New Roman"/>
      <w:sz w:val="28"/>
      <w:lang w:val="es-CO"/>
    </w:rPr>
  </w:style>
  <w:style w:type="paragraph" w:customStyle="1" w:styleId="Refdenotaalpie2">
    <w:name w:val="Ref. de nota al pie2"/>
    <w:aliases w:val="Pie de pagina"/>
    <w:basedOn w:val="Normal"/>
    <w:uiPriority w:val="99"/>
    <w:rsid w:val="00A25AE6"/>
    <w:pPr>
      <w:spacing w:line="240" w:lineRule="exact"/>
    </w:pPr>
    <w:rPr>
      <w:rFonts w:eastAsiaTheme="minorHAnsi"/>
      <w:sz w:val="24"/>
      <w:szCs w:val="24"/>
      <w:vertAlign w:val="superscript"/>
    </w:rPr>
  </w:style>
  <w:style w:type="paragraph" w:styleId="Textoindependiente2">
    <w:name w:val="Body Text 2"/>
    <w:basedOn w:val="Normal"/>
    <w:link w:val="Textoindependiente2Car"/>
    <w:uiPriority w:val="99"/>
    <w:semiHidden/>
    <w:unhideWhenUsed/>
    <w:rsid w:val="00667A14"/>
    <w:pPr>
      <w:spacing w:after="120" w:line="480" w:lineRule="auto"/>
    </w:pPr>
  </w:style>
  <w:style w:type="character" w:customStyle="1" w:styleId="Textoindependiente2Car">
    <w:name w:val="Texto independiente 2 Car"/>
    <w:basedOn w:val="Fuentedeprrafopredeter"/>
    <w:link w:val="Textoindependiente2"/>
    <w:uiPriority w:val="99"/>
    <w:semiHidden/>
    <w:rsid w:val="00667A14"/>
    <w:rPr>
      <w:rFonts w:ascii="Times New Roman" w:eastAsia="Calibri" w:hAnsi="Times New Roman" w:cs="Times New Roman"/>
      <w:sz w:val="28"/>
      <w:lang w:val="es-CO"/>
    </w:rPr>
  </w:style>
  <w:style w:type="paragraph" w:customStyle="1" w:styleId="cuerpoaa">
    <w:name w:val="cuerpoaa"/>
    <w:basedOn w:val="Normal"/>
    <w:rsid w:val="00667A14"/>
    <w:pPr>
      <w:spacing w:before="100" w:beforeAutospacing="1" w:after="100" w:afterAutospacing="1" w:line="240" w:lineRule="auto"/>
    </w:pPr>
    <w:rPr>
      <w:rFonts w:eastAsia="Times New Roman"/>
      <w:sz w:val="24"/>
      <w:szCs w:val="24"/>
    </w:rPr>
  </w:style>
  <w:style w:type="character" w:styleId="Refdecomentario">
    <w:name w:val="annotation reference"/>
    <w:basedOn w:val="Fuentedeprrafopredeter"/>
    <w:uiPriority w:val="99"/>
    <w:semiHidden/>
    <w:unhideWhenUsed/>
    <w:rsid w:val="00FD3E73"/>
    <w:rPr>
      <w:sz w:val="16"/>
      <w:szCs w:val="16"/>
    </w:rPr>
  </w:style>
  <w:style w:type="paragraph" w:styleId="Textocomentario">
    <w:name w:val="annotation text"/>
    <w:basedOn w:val="Normal"/>
    <w:link w:val="TextocomentarioCar"/>
    <w:uiPriority w:val="99"/>
    <w:unhideWhenUsed/>
    <w:rsid w:val="00FD3E73"/>
    <w:pPr>
      <w:spacing w:line="240" w:lineRule="auto"/>
    </w:pPr>
    <w:rPr>
      <w:sz w:val="20"/>
      <w:szCs w:val="20"/>
    </w:rPr>
  </w:style>
  <w:style w:type="character" w:customStyle="1" w:styleId="TextocomentarioCar">
    <w:name w:val="Texto comentario Car"/>
    <w:basedOn w:val="Fuentedeprrafopredeter"/>
    <w:link w:val="Textocomentario"/>
    <w:uiPriority w:val="99"/>
    <w:rsid w:val="00FD3E73"/>
    <w:rPr>
      <w:rFonts w:ascii="Times New Roman" w:eastAsia="Calibri" w:hAnsi="Times New Roman" w:cs="Times New Roman"/>
      <w:sz w:val="20"/>
      <w:szCs w:val="20"/>
      <w:lang w:val="es-CO"/>
    </w:rPr>
  </w:style>
  <w:style w:type="paragraph" w:styleId="Asuntodelcomentario">
    <w:name w:val="annotation subject"/>
    <w:basedOn w:val="Textocomentario"/>
    <w:next w:val="Textocomentario"/>
    <w:link w:val="AsuntodelcomentarioCar"/>
    <w:uiPriority w:val="99"/>
    <w:semiHidden/>
    <w:unhideWhenUsed/>
    <w:rsid w:val="00FD3E73"/>
    <w:rPr>
      <w:b/>
      <w:bCs/>
    </w:rPr>
  </w:style>
  <w:style w:type="character" w:customStyle="1" w:styleId="AsuntodelcomentarioCar">
    <w:name w:val="Asunto del comentario Car"/>
    <w:basedOn w:val="TextocomentarioCar"/>
    <w:link w:val="Asuntodelcomentario"/>
    <w:uiPriority w:val="99"/>
    <w:semiHidden/>
    <w:rsid w:val="00FD3E73"/>
    <w:rPr>
      <w:rFonts w:ascii="Times New Roman" w:eastAsia="Calibri" w:hAnsi="Times New Roman" w:cs="Times New Roman"/>
      <w:b/>
      <w:bCs/>
      <w:sz w:val="20"/>
      <w:szCs w:val="20"/>
      <w:lang w:val="es-CO"/>
    </w:rPr>
  </w:style>
  <w:style w:type="paragraph" w:styleId="Revisin">
    <w:name w:val="Revision"/>
    <w:hidden/>
    <w:uiPriority w:val="99"/>
    <w:semiHidden/>
    <w:rsid w:val="00FD3E73"/>
    <w:pPr>
      <w:spacing w:after="0" w:line="240" w:lineRule="auto"/>
    </w:pPr>
    <w:rPr>
      <w:rFonts w:ascii="Times New Roman" w:eastAsia="Calibri" w:hAnsi="Times New Roman" w:cs="Times New Roman"/>
      <w:sz w:val="28"/>
    </w:rPr>
  </w:style>
  <w:style w:type="character" w:styleId="Hipervnculovisitado">
    <w:name w:val="FollowedHyperlink"/>
    <w:basedOn w:val="Fuentedeprrafopredeter"/>
    <w:uiPriority w:val="99"/>
    <w:semiHidden/>
    <w:unhideWhenUsed/>
    <w:rsid w:val="00E06B69"/>
    <w:rPr>
      <w:color w:val="954F72" w:themeColor="followedHyperlink"/>
      <w:u w:val="single"/>
    </w:rPr>
  </w:style>
  <w:style w:type="paragraph" w:customStyle="1" w:styleId="pf0">
    <w:name w:val="pf0"/>
    <w:basedOn w:val="Normal"/>
    <w:rsid w:val="000906D5"/>
    <w:pPr>
      <w:spacing w:before="100" w:beforeAutospacing="1" w:after="100" w:afterAutospacing="1" w:line="240" w:lineRule="auto"/>
    </w:pPr>
    <w:rPr>
      <w:rFonts w:eastAsia="Times New Roman"/>
      <w:sz w:val="24"/>
      <w:szCs w:val="24"/>
    </w:rPr>
  </w:style>
  <w:style w:type="character" w:customStyle="1" w:styleId="cf01">
    <w:name w:val="cf01"/>
    <w:basedOn w:val="Fuentedeprrafopredeter"/>
    <w:rsid w:val="000906D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iidh.ed.c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11571</Words>
  <Characters>63641</Characters>
  <Application>Microsoft Office Word</Application>
  <DocSecurity>0</DocSecurity>
  <Lines>530</Lines>
  <Paragraphs>150</Paragraphs>
  <ScaleCrop>false</ScaleCrop>
  <Company/>
  <LinksUpToDate>false</LinksUpToDate>
  <CharactersWithSpaces>75062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2024-07-17T16:26:00Z</dcterms:created>
  <dcterms:modified xsi:type="dcterms:W3CDTF">2024-07-17T16:26:00Z</dcterms:modified>
</cp:coreProperties>
</file>