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2EC8" w:rsidRPr="00E4401D" w:rsidRDefault="00DF3C2C">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E4401D">
        <w:rPr>
          <w:rFonts w:ascii="Times New Roman" w:hAnsi="Times New Roman" w:cs="Times New Roman"/>
          <w:sz w:val="28"/>
          <w:szCs w:val="24"/>
        </w:rPr>
        <w:t xml:space="preserve"> </w:t>
      </w:r>
    </w:p>
    <w:p w:rsidR="00A02EC8" w:rsidRPr="00E4401D" w:rsidRDefault="00A02EC8">
      <w:pPr>
        <w:widowControl w:val="0"/>
        <w:autoSpaceDE w:val="0"/>
        <w:autoSpaceDN w:val="0"/>
        <w:adjustRightInd w:val="0"/>
        <w:spacing w:after="0" w:line="240" w:lineRule="auto"/>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center"/>
        <w:rPr>
          <w:rFonts w:ascii="Times New Roman" w:hAnsi="Times New Roman" w:cs="Times New Roman"/>
          <w:b/>
          <w:bCs/>
          <w:sz w:val="28"/>
          <w:szCs w:val="28"/>
        </w:rPr>
      </w:pPr>
      <w:r w:rsidRPr="00E4401D">
        <w:rPr>
          <w:rFonts w:ascii="Times New Roman" w:hAnsi="Times New Roman" w:cs="Times New Roman"/>
          <w:b/>
          <w:bCs/>
          <w:sz w:val="28"/>
          <w:szCs w:val="28"/>
        </w:rPr>
        <w:t xml:space="preserve">TEMAS-SUBTEMAS </w:t>
      </w:r>
    </w:p>
    <w:p w:rsidR="00A02EC8" w:rsidRPr="00E4401D" w:rsidRDefault="00A02EC8">
      <w:pPr>
        <w:widowControl w:val="0"/>
        <w:autoSpaceDE w:val="0"/>
        <w:autoSpaceDN w:val="0"/>
        <w:adjustRightInd w:val="0"/>
        <w:spacing w:after="0" w:line="240" w:lineRule="auto"/>
        <w:jc w:val="center"/>
        <w:rPr>
          <w:rFonts w:ascii="Times New Roman" w:hAnsi="Times New Roman" w:cs="Times New Roman"/>
          <w:b/>
          <w:bCs/>
          <w:sz w:val="28"/>
          <w:szCs w:val="28"/>
        </w:rPr>
      </w:pPr>
    </w:p>
    <w:p w:rsidR="00A02EC8" w:rsidRPr="00E4401D" w:rsidRDefault="00DF3C2C">
      <w:pPr>
        <w:widowControl w:val="0"/>
        <w:autoSpaceDE w:val="0"/>
        <w:autoSpaceDN w:val="0"/>
        <w:adjustRightInd w:val="0"/>
        <w:spacing w:after="0" w:line="240" w:lineRule="auto"/>
        <w:jc w:val="center"/>
        <w:rPr>
          <w:rFonts w:ascii="Times New Roman" w:hAnsi="Times New Roman" w:cs="Times New Roman"/>
          <w:sz w:val="28"/>
          <w:szCs w:val="28"/>
        </w:rPr>
      </w:pPr>
      <w:r w:rsidRPr="00E4401D">
        <w:rPr>
          <w:rFonts w:ascii="Times New Roman" w:hAnsi="Times New Roman" w:cs="Times New Roman"/>
          <w:b/>
          <w:bCs/>
          <w:sz w:val="28"/>
          <w:szCs w:val="28"/>
        </w:rPr>
        <w:t xml:space="preserve">Sentencia C-142/25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PRINCIPIO DE PUBLICIDAD EN LEY APROBATORIA DEL PLAN NACIONAL DE DESARROLLO</w:t>
      </w:r>
      <w:r w:rsidRPr="00E4401D">
        <w:rPr>
          <w:rFonts w:ascii="Times New Roman" w:hAnsi="Times New Roman" w:cs="Times New Roman"/>
          <w:sz w:val="28"/>
          <w:szCs w:val="28"/>
        </w:rPr>
        <w:t>-Vulneración por cuanto proposición incumplió requisito de publicidad previa</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i/>
          <w:iCs/>
          <w:sz w:val="28"/>
          <w:szCs w:val="28"/>
        </w:rPr>
        <w:t xml:space="preserve">La publicación de la proposición en la página web del Senado de la República no cumplió con el requisito de publicidad previa establecido por la jurisprudencia constitucional, dado que se realizó el mismo día en que fue debatida y votada en la sesión plenaria. Además, la Sala constata que las medidas adicionales para asegurar la difusión del contenido de la modificación no cumplen las condiciones mínimas para la garantía del principio de publicidad.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DEMANDA DE INCONSTITUCIONALIDAD CONTRA NORMA DEL PLAN NACIONAL DE DESARROLLO</w:t>
      </w:r>
      <w:r w:rsidRPr="00E4401D">
        <w:rPr>
          <w:rFonts w:ascii="Times New Roman" w:hAnsi="Times New Roman" w:cs="Times New Roman"/>
          <w:sz w:val="28"/>
          <w:szCs w:val="28"/>
        </w:rPr>
        <w:t xml:space="preserve">-Estarse a lo resuelto en la sentencia C-294 de 2024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ACCION DE INCONSTITUCIONALIDAD POR VICIOS DE FORMA</w:t>
      </w:r>
      <w:r w:rsidRPr="00E4401D">
        <w:rPr>
          <w:rFonts w:ascii="Times New Roman" w:hAnsi="Times New Roman" w:cs="Times New Roman"/>
          <w:sz w:val="28"/>
          <w:szCs w:val="28"/>
        </w:rPr>
        <w:t xml:space="preserve">-Término de caducidad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DEMANDA DE INCONSTITUCIONALIDAD</w:t>
      </w:r>
      <w:r w:rsidRPr="00E4401D">
        <w:rPr>
          <w:rFonts w:ascii="Times New Roman" w:hAnsi="Times New Roman" w:cs="Times New Roman"/>
          <w:sz w:val="28"/>
          <w:szCs w:val="28"/>
        </w:rPr>
        <w:t>-Es requisito señalar normas acusadas como inconstitucionales</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i/>
          <w:iCs/>
          <w:sz w:val="28"/>
          <w:szCs w:val="28"/>
        </w:rPr>
        <w:t>(...) el ciudadano que ejerce la acción pública de inconstitucionalidad contra una norma determinada debe referir con precisión el objeto demandado. Así, tendrá que identificar el precepto o preceptos jurídicos que a juicio del actor son contrarios al ordenamiento constitucional.</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DEMANDA DE INCONSTITUCIONALIDAD</w:t>
      </w:r>
      <w:r w:rsidRPr="00E4401D">
        <w:rPr>
          <w:rFonts w:ascii="Times New Roman" w:hAnsi="Times New Roman" w:cs="Times New Roman"/>
          <w:sz w:val="28"/>
          <w:szCs w:val="28"/>
        </w:rPr>
        <w:t>-Error al transcribir norma demandada</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i/>
          <w:iCs/>
          <w:sz w:val="28"/>
          <w:szCs w:val="28"/>
        </w:rPr>
        <w:t>(...) la Sala Plena estima que los errores mecanográficos cometidos por los accionantes no dan lugar a dictar un fallo inhibitorio, ya que resulta fácil deducir, como se ha dejado expuesto, que la demanda se dirige contra los artículos 5, 61, 289 y 297 de la Ley 2294 de 2023. De modo que el error mecanográfico descrito no impide un pronunciamiento de fondo. Considerar lo contrario implicaría desconocer el principio de la prevalencia del derecho sustancial sobre el formal, y por esa vía hacer nugatorios los derechos de los accionantes a la participación y el acceso a la administración de justicia.</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COSA JUZGADA CONSTITUCIONAL</w:t>
      </w:r>
      <w:r w:rsidRPr="00E4401D">
        <w:rPr>
          <w:rFonts w:ascii="Times New Roman" w:hAnsi="Times New Roman" w:cs="Times New Roman"/>
          <w:sz w:val="28"/>
          <w:szCs w:val="28"/>
        </w:rPr>
        <w:t xml:space="preserve">-Tipología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COSA JUZGADA CONSTITUCIONAL</w:t>
      </w:r>
      <w:r w:rsidRPr="00E4401D">
        <w:rPr>
          <w:rFonts w:ascii="Times New Roman" w:hAnsi="Times New Roman" w:cs="Times New Roman"/>
          <w:sz w:val="28"/>
          <w:szCs w:val="28"/>
        </w:rPr>
        <w:t xml:space="preserve">-Requisitos para su configuración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COSA JUZGADA</w:t>
      </w:r>
      <w:r w:rsidRPr="00E4401D">
        <w:rPr>
          <w:rFonts w:ascii="Times New Roman" w:hAnsi="Times New Roman" w:cs="Times New Roman"/>
          <w:sz w:val="28"/>
          <w:szCs w:val="28"/>
        </w:rPr>
        <w:t xml:space="preserve">-Efectos respecto de decisiones de exequibilidad e inexequibilidad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COSA JUZGADA CONSTITUCIONAL FORMAL Y ABSOLUTA</w:t>
      </w:r>
      <w:r w:rsidRPr="00E4401D">
        <w:rPr>
          <w:rFonts w:ascii="Times New Roman" w:hAnsi="Times New Roman" w:cs="Times New Roman"/>
          <w:sz w:val="28"/>
          <w:szCs w:val="28"/>
        </w:rPr>
        <w:t xml:space="preserve">-Configuración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AUDIENCIA PUBLICA EN PROCESO DE CONSTITUCIONALIDAD</w:t>
      </w:r>
      <w:r w:rsidRPr="00E4401D">
        <w:rPr>
          <w:rFonts w:ascii="Times New Roman" w:hAnsi="Times New Roman" w:cs="Times New Roman"/>
          <w:sz w:val="28"/>
          <w:szCs w:val="28"/>
        </w:rPr>
        <w:t>-Naturaleza</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i/>
          <w:iCs/>
          <w:sz w:val="28"/>
          <w:szCs w:val="28"/>
        </w:rPr>
        <w:t>Las audiencias públicas en procesos de constitucionalidad no se llevan a cabo de manera automática en todas las demandas, sino que su realización es excepcional y queda sujeta a criterios de necesidad y conveniencia. También sirve de escenario para el diálogo constitucional entre la Corte y otros actores del Estado o de la sociedad. De modo que no existe un derecho subjetivo de las partes o terceros a que se realice una audiencia pública; su convocatoria depende de la apreciación que haga la Corte del caso. Incluso si múltiples ciudadanos o entidades lo solicitan, la Corte puede considerar que no es necesaria la audiencia cuando el expediente ya cuenta con suficientes intervenciones y elementos de análisis.</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AUDIENCIA PUBLICA EN PROCESO DE CONSTITUCIONALIDAD</w:t>
      </w:r>
      <w:r w:rsidRPr="00E4401D">
        <w:rPr>
          <w:rFonts w:ascii="Times New Roman" w:hAnsi="Times New Roman" w:cs="Times New Roman"/>
          <w:sz w:val="28"/>
          <w:szCs w:val="28"/>
        </w:rPr>
        <w:t xml:space="preserve">-Improcedencia para el caso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PRINCIPIO DE PUBLICIDAD EN TRÁMITE LEGISLATIVO</w:t>
      </w:r>
      <w:r w:rsidRPr="00E4401D">
        <w:rPr>
          <w:rFonts w:ascii="Times New Roman" w:hAnsi="Times New Roman" w:cs="Times New Roman"/>
          <w:sz w:val="28"/>
          <w:szCs w:val="28"/>
        </w:rPr>
        <w:t>-Alcance e importancia</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i/>
          <w:iCs/>
          <w:sz w:val="28"/>
          <w:szCs w:val="28"/>
        </w:rPr>
        <w:t>(...) la publicidad se erige como una condición constitucional necesaria para la participación de los congresistas en el debate y la aprobación de un texto legal, así como para el ejercicio del control político al que tienen derecho todos los ciudadanos. La finalidad del principio de publicidad es asegurar que los miembros de las cámaras tengan un conocimiento previo y suficiente de los textos sometidos a su consideración, para que el debate sea efectivo. Si el objeto del debate, es decir, el proyecto o proposición, no es conocido por los congresistas, no puede haber un verdadero debate o discusión. El desconocimiento general del proyecto excluye la posibilidad de debate, ya que equivale a la falta de objeto de discusión. A su turno, la votación sobre un texto desconocido no puede subsanar la falta de debate.</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PRINCIPIO DE PUBLICIDAD EN TRÁMITE LEGISLATIVO</w:t>
      </w:r>
      <w:r w:rsidRPr="00E4401D">
        <w:rPr>
          <w:rFonts w:ascii="Times New Roman" w:hAnsi="Times New Roman" w:cs="Times New Roman"/>
          <w:sz w:val="28"/>
          <w:szCs w:val="28"/>
        </w:rPr>
        <w:t xml:space="preserve">-Jurisprudencia Constitucional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DEBATE Y VOTACION</w:t>
      </w:r>
      <w:r w:rsidRPr="00E4401D">
        <w:rPr>
          <w:rFonts w:ascii="Times New Roman" w:hAnsi="Times New Roman" w:cs="Times New Roman"/>
          <w:sz w:val="28"/>
          <w:szCs w:val="28"/>
        </w:rPr>
        <w:t xml:space="preserve">-Importancia para la validez del trámite legislativo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PRINCIPIO DE PUBLICIDAD EN LEY APROBATORIA DEL PLAN NACIONAL DE DESARROLLO</w:t>
      </w:r>
      <w:r w:rsidRPr="00E4401D">
        <w:rPr>
          <w:rFonts w:ascii="Times New Roman" w:hAnsi="Times New Roman" w:cs="Times New Roman"/>
          <w:sz w:val="28"/>
          <w:szCs w:val="28"/>
        </w:rPr>
        <w:t>-Alcance</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i/>
          <w:iCs/>
          <w:sz w:val="28"/>
          <w:szCs w:val="28"/>
        </w:rPr>
        <w:t>(...) tratándose de una ley aprobatoria del Plan Nacional de Desarrollo, resulta pertinente reiterar que el principio de publicidad adquiere una relevancia especial. En reiterada jurisprudencia, esta Corte ha sostenido que las reglas sobre publicidad se aplican plenamente a este tipo de leyes, sin que sus particularidades -como la iniciativa exclusiva del Gobierno, el término restringido para su aprobación, la limitación en las posibilidades de modificación por parte del Congreso y su prelación normativa sobre las demás leyes- impliquen una excepción a la aplicación de los parámetros constitucionales y orgánicos que garantizan un procedimiento legislativo transparente y deliberativo. Precisamente por esas particularidades, el principio de publicidad cobra mayor importancia como mecanismo de control y equilibrio entre las ramas del poder, al asegurar que incluso en contextos de deliberación limitada, como sucede con la ley del plan, las cámaras legislativas cuentan con los elementos necesarios para ejercer su función de manera reflexiva, informada y pluralista.</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REQUISITOS DE PUBLICACION Y ANUNCIO PREVIO DE VOTACION EN TRAMITE LEGISLATIVO</w:t>
      </w:r>
      <w:r w:rsidRPr="00E4401D">
        <w:rPr>
          <w:rFonts w:ascii="Times New Roman" w:hAnsi="Times New Roman" w:cs="Times New Roman"/>
          <w:sz w:val="28"/>
          <w:szCs w:val="28"/>
        </w:rPr>
        <w:t xml:space="preserve">-Cumplimiento garantiza la realización del principio de publicidad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COMUNICACION DE PROPOSICIONES QUE SE SOMETEN A CONSIDERACION DE LAS CAMARAS LEGISLATIVAS</w:t>
      </w:r>
      <w:r w:rsidRPr="00E4401D">
        <w:rPr>
          <w:rFonts w:ascii="Times New Roman" w:hAnsi="Times New Roman" w:cs="Times New Roman"/>
          <w:sz w:val="28"/>
          <w:szCs w:val="28"/>
        </w:rPr>
        <w:t xml:space="preserve">-Mecanismos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PRINCIPIO DE PUBLICIDAD Y MODALIDADES DE NOTIFICACION DE PROPOSICIONES PRESENTADAS DURANTE LOS DEBATES LEGISLATIVOS</w:t>
      </w:r>
      <w:r w:rsidRPr="00E4401D">
        <w:rPr>
          <w:rFonts w:ascii="Times New Roman" w:hAnsi="Times New Roman" w:cs="Times New Roman"/>
          <w:sz w:val="28"/>
          <w:szCs w:val="28"/>
        </w:rPr>
        <w:t xml:space="preserve">-Contenido y alcance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DF3C2C">
      <w:pPr>
        <w:widowControl w:val="0"/>
        <w:autoSpaceDE w:val="0"/>
        <w:autoSpaceDN w:val="0"/>
        <w:adjustRightInd w:val="0"/>
        <w:spacing w:after="0" w:line="240" w:lineRule="auto"/>
        <w:jc w:val="both"/>
        <w:rPr>
          <w:rFonts w:ascii="Times New Roman" w:hAnsi="Times New Roman" w:cs="Times New Roman"/>
          <w:sz w:val="28"/>
          <w:szCs w:val="28"/>
        </w:rPr>
      </w:pPr>
      <w:r w:rsidRPr="00E4401D">
        <w:rPr>
          <w:rFonts w:ascii="Times New Roman" w:hAnsi="Times New Roman" w:cs="Times New Roman"/>
          <w:b/>
          <w:bCs/>
          <w:sz w:val="28"/>
          <w:szCs w:val="28"/>
        </w:rPr>
        <w:t>VICIO INSUBSANABLE EN TRAMITE LEGISLATIVO</w:t>
      </w:r>
      <w:r w:rsidRPr="00E4401D">
        <w:rPr>
          <w:rFonts w:ascii="Times New Roman" w:hAnsi="Times New Roman" w:cs="Times New Roman"/>
          <w:sz w:val="28"/>
          <w:szCs w:val="28"/>
        </w:rPr>
        <w:t xml:space="preserve">-Configuración </w:t>
      </w:r>
    </w:p>
    <w:p w:rsidR="00A02EC8" w:rsidRPr="00E4401D" w:rsidRDefault="00A02EC8">
      <w:pPr>
        <w:widowControl w:val="0"/>
        <w:autoSpaceDE w:val="0"/>
        <w:autoSpaceDN w:val="0"/>
        <w:adjustRightInd w:val="0"/>
        <w:spacing w:after="0" w:line="240" w:lineRule="auto"/>
        <w:jc w:val="both"/>
        <w:rPr>
          <w:rFonts w:ascii="Times New Roman" w:hAnsi="Times New Roman" w:cs="Times New Roman"/>
          <w:sz w:val="28"/>
          <w:szCs w:val="28"/>
        </w:rPr>
      </w:pPr>
    </w:p>
    <w:p w:rsidR="00A02EC8" w:rsidRPr="00E4401D" w:rsidRDefault="00E4401D">
      <w:pPr>
        <w:widowControl w:val="0"/>
        <w:autoSpaceDE w:val="0"/>
        <w:autoSpaceDN w:val="0"/>
        <w:adjustRightInd w:val="0"/>
        <w:spacing w:after="0" w:line="240" w:lineRule="auto"/>
        <w:jc w:val="both"/>
        <w:rPr>
          <w:rFonts w:ascii="Times New Roman" w:hAnsi="Times New Roman" w:cs="Times New Roman"/>
          <w:sz w:val="28"/>
        </w:rPr>
      </w:pPr>
      <w:r w:rsidRPr="00E4401D">
        <w:rPr>
          <w:rFonts w:ascii="Times New Roman" w:hAnsi="Times New Roman" w:cs="Times New Roman"/>
          <w:sz w:val="28"/>
          <w:szCs w:val="28"/>
        </w:rPr>
        <w:pict>
          <v:rect id="_x0000_i1025" style="width:0;height:1.5pt" o:hralign="center" o:hrstd="t" o:hr="t" fillcolor="#a0a0a0" stroked="f"/>
        </w:pict>
      </w:r>
    </w:p>
    <w:p w:rsidR="00F464C8" w:rsidRPr="00E4401D" w:rsidRDefault="00E4401D" w:rsidP="00DD38F4">
      <w:pPr>
        <w:pStyle w:val="Encabezado"/>
        <w:tabs>
          <w:tab w:val="center" w:pos="4678"/>
        </w:tabs>
        <w:jc w:val="center"/>
        <w:rPr>
          <w:rFonts w:ascii="Times New Roman" w:hAnsi="Times New Roman" w:cs="Times New Roman"/>
          <w:b/>
          <w:bCs/>
          <w:sz w:val="28"/>
          <w:szCs w:val="28"/>
          <w:lang w:val="es-ES"/>
        </w:rPr>
      </w:pPr>
      <w:r w:rsidRPr="00E4401D">
        <w:rPr>
          <w:rFonts w:ascii="Times New Roman" w:hAnsi="Times New Roman" w:cs="Times New Roman"/>
          <w:b/>
          <w:bCs/>
          <w:sz w:val="28"/>
          <w:szCs w:val="28"/>
          <w:lang w:val="es-ES"/>
        </w:rPr>
        <w:t>REPÚBLICA DE COLOMBIA</w:t>
      </w:r>
    </w:p>
    <w:p w:rsidR="00F464C8" w:rsidRPr="00E4401D" w:rsidRDefault="00E4401D" w:rsidP="00DD38F4">
      <w:pPr>
        <w:pStyle w:val="Encabezado"/>
        <w:jc w:val="center"/>
        <w:rPr>
          <w:rFonts w:ascii="Times New Roman" w:hAnsi="Times New Roman" w:cs="Times New Roman"/>
          <w:b/>
          <w:bCs/>
          <w:sz w:val="28"/>
          <w:szCs w:val="28"/>
          <w:lang w:val="es-ES"/>
        </w:rPr>
      </w:pPr>
      <w:r w:rsidRPr="00E4401D">
        <w:rPr>
          <w:rFonts w:ascii="Times New Roman" w:hAnsi="Times New Roman" w:cs="Times New Roman"/>
          <w:b/>
          <w:bCs/>
          <w:noProof/>
          <w:sz w:val="28"/>
          <w:szCs w:val="28"/>
          <w:lang w:val="es-ES"/>
        </w:rPr>
        <w:drawing>
          <wp:inline distT="0" distB="0" distL="0" distR="0" wp14:anchorId="7573C8A7" wp14:editId="1FBE5CEF">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F464C8" w:rsidRPr="00E4401D" w:rsidRDefault="00E4401D" w:rsidP="00DD38F4">
      <w:pPr>
        <w:pStyle w:val="Encabezado"/>
        <w:jc w:val="center"/>
        <w:rPr>
          <w:rFonts w:ascii="Times New Roman" w:hAnsi="Times New Roman" w:cs="Times New Roman"/>
          <w:b/>
          <w:bCs/>
          <w:sz w:val="28"/>
          <w:szCs w:val="28"/>
          <w:lang w:val="es-ES"/>
        </w:rPr>
      </w:pPr>
      <w:r w:rsidRPr="00E4401D">
        <w:rPr>
          <w:rFonts w:ascii="Times New Roman" w:hAnsi="Times New Roman" w:cs="Times New Roman"/>
          <w:b/>
          <w:bCs/>
          <w:sz w:val="28"/>
          <w:szCs w:val="28"/>
          <w:lang w:val="es-ES"/>
        </w:rPr>
        <w:t>CORTE CONSTITUCIONAL</w:t>
      </w:r>
    </w:p>
    <w:p w:rsidR="00F464C8" w:rsidRPr="00E4401D" w:rsidRDefault="00E4401D" w:rsidP="00DD38F4">
      <w:pPr>
        <w:pStyle w:val="Encabezado"/>
        <w:jc w:val="center"/>
        <w:rPr>
          <w:rFonts w:ascii="Times New Roman" w:hAnsi="Times New Roman" w:cs="Times New Roman"/>
          <w:b/>
          <w:bCs/>
          <w:sz w:val="28"/>
          <w:szCs w:val="28"/>
          <w:lang w:val="es-ES"/>
        </w:rPr>
      </w:pPr>
      <w:r w:rsidRPr="00E4401D">
        <w:rPr>
          <w:rFonts w:ascii="Times New Roman" w:hAnsi="Times New Roman" w:cs="Times New Roman"/>
          <w:b/>
          <w:bCs/>
          <w:sz w:val="28"/>
          <w:szCs w:val="28"/>
          <w:lang w:val="es-ES"/>
        </w:rPr>
        <w:t>Sala Plena</w:t>
      </w:r>
    </w:p>
    <w:p w:rsidR="00F464C8" w:rsidRPr="00E4401D" w:rsidRDefault="00E4401D" w:rsidP="00F464C8">
      <w:pPr>
        <w:jc w:val="center"/>
        <w:rPr>
          <w:rFonts w:ascii="Times New Roman" w:hAnsi="Times New Roman" w:cs="Times New Roman"/>
          <w:b/>
          <w:bCs/>
          <w:sz w:val="28"/>
          <w:szCs w:val="28"/>
          <w:lang w:val="es-ES"/>
        </w:rPr>
      </w:pPr>
    </w:p>
    <w:p w:rsidR="00F464C8" w:rsidRPr="00E4401D" w:rsidRDefault="00E4401D" w:rsidP="00F464C8">
      <w:pPr>
        <w:jc w:val="center"/>
        <w:rPr>
          <w:rFonts w:ascii="Times New Roman" w:hAnsi="Times New Roman" w:cs="Times New Roman"/>
          <w:b/>
          <w:bCs/>
          <w:sz w:val="28"/>
          <w:szCs w:val="28"/>
          <w:lang w:val="es-ES"/>
        </w:rPr>
      </w:pPr>
      <w:r w:rsidRPr="00E4401D">
        <w:rPr>
          <w:rFonts w:ascii="Times New Roman" w:hAnsi="Times New Roman" w:cs="Times New Roman"/>
          <w:b/>
          <w:bCs/>
          <w:sz w:val="28"/>
          <w:szCs w:val="28"/>
          <w:lang w:val="es-ES"/>
        </w:rPr>
        <w:t>SENTENCIA C-</w:t>
      </w:r>
      <w:r w:rsidRPr="00E4401D">
        <w:rPr>
          <w:rFonts w:ascii="Times New Roman" w:hAnsi="Times New Roman" w:cs="Times New Roman"/>
          <w:b/>
          <w:bCs/>
          <w:sz w:val="28"/>
          <w:szCs w:val="28"/>
          <w:lang w:val="es-ES"/>
        </w:rPr>
        <w:t>142</w:t>
      </w:r>
      <w:r w:rsidRPr="00E4401D">
        <w:rPr>
          <w:rFonts w:ascii="Times New Roman" w:hAnsi="Times New Roman" w:cs="Times New Roman"/>
          <w:b/>
          <w:bCs/>
          <w:sz w:val="28"/>
          <w:szCs w:val="28"/>
          <w:lang w:val="es-ES"/>
        </w:rPr>
        <w:t xml:space="preserve"> DE 202</w:t>
      </w:r>
      <w:r w:rsidRPr="00E4401D">
        <w:rPr>
          <w:rFonts w:ascii="Times New Roman" w:hAnsi="Times New Roman" w:cs="Times New Roman"/>
          <w:b/>
          <w:bCs/>
          <w:sz w:val="28"/>
          <w:szCs w:val="28"/>
          <w:lang w:val="es-ES"/>
        </w:rPr>
        <w:t>5</w:t>
      </w:r>
    </w:p>
    <w:p w:rsidR="00F464C8" w:rsidRPr="00E4401D" w:rsidRDefault="00E4401D" w:rsidP="00F464C8">
      <w:pPr>
        <w:jc w:val="center"/>
        <w:rPr>
          <w:rFonts w:ascii="Times New Roman" w:hAnsi="Times New Roman" w:cs="Times New Roman"/>
          <w:b/>
          <w:sz w:val="28"/>
          <w:szCs w:val="28"/>
          <w:lang w:val="es-ES"/>
        </w:rPr>
      </w:pPr>
    </w:p>
    <w:p w:rsidR="00F464C8" w:rsidRPr="00E4401D" w:rsidRDefault="00E4401D" w:rsidP="00F464C8">
      <w:pPr>
        <w:ind w:left="3855"/>
        <w:jc w:val="both"/>
        <w:rPr>
          <w:rFonts w:ascii="Times New Roman" w:hAnsi="Times New Roman" w:cs="Times New Roman"/>
          <w:sz w:val="28"/>
          <w:szCs w:val="28"/>
          <w:lang w:val="es-ES"/>
        </w:rPr>
      </w:pPr>
      <w:r w:rsidRPr="00E4401D">
        <w:rPr>
          <w:rFonts w:ascii="Times New Roman" w:hAnsi="Times New Roman" w:cs="Times New Roman"/>
          <w:b/>
          <w:bCs/>
          <w:sz w:val="28"/>
          <w:szCs w:val="28"/>
          <w:lang w:val="es-ES"/>
        </w:rPr>
        <w:t>Expediente:</w:t>
      </w:r>
      <w:bookmarkStart w:id="1" w:name="_Hlk54189211"/>
      <w:r w:rsidRPr="00E4401D">
        <w:rPr>
          <w:rFonts w:ascii="Times New Roman" w:hAnsi="Times New Roman" w:cs="Times New Roman"/>
          <w:b/>
          <w:sz w:val="28"/>
          <w:szCs w:val="28"/>
          <w:lang w:val="es-ES"/>
        </w:rPr>
        <w:t xml:space="preserve"> </w:t>
      </w:r>
      <w:r w:rsidRPr="00E4401D">
        <w:rPr>
          <w:rFonts w:ascii="Times New Roman" w:hAnsi="Times New Roman" w:cs="Times New Roman"/>
          <w:bCs/>
          <w:sz w:val="28"/>
          <w:szCs w:val="28"/>
          <w:lang w:val="es-ES"/>
        </w:rPr>
        <w:t>D-15.345</w:t>
      </w:r>
    </w:p>
    <w:bookmarkEnd w:id="1"/>
    <w:p w:rsidR="00F464C8" w:rsidRPr="00E4401D" w:rsidRDefault="00E4401D" w:rsidP="00F464C8">
      <w:pPr>
        <w:ind w:left="3855"/>
        <w:rPr>
          <w:rFonts w:ascii="Times New Roman" w:hAnsi="Times New Roman" w:cs="Times New Roman"/>
          <w:sz w:val="28"/>
          <w:szCs w:val="28"/>
          <w:lang w:val="es-ES"/>
        </w:rPr>
      </w:pPr>
    </w:p>
    <w:p w:rsidR="00F464C8" w:rsidRPr="00E4401D" w:rsidRDefault="00E4401D" w:rsidP="00F464C8">
      <w:pPr>
        <w:pStyle w:val="Style5"/>
        <w:widowControl/>
        <w:spacing w:line="240" w:lineRule="auto"/>
        <w:ind w:left="3855"/>
        <w:rPr>
          <w:rFonts w:ascii="Times New Roman" w:eastAsia="Times New Roman" w:hAnsi="Times New Roman" w:cs="Times New Roman"/>
          <w:i/>
          <w:iCs/>
          <w:sz w:val="28"/>
          <w:szCs w:val="28"/>
          <w:lang w:eastAsia="es-ES"/>
        </w:rPr>
      </w:pPr>
      <w:r w:rsidRPr="00E4401D">
        <w:rPr>
          <w:rFonts w:ascii="Times New Roman" w:eastAsia="Times New Roman" w:hAnsi="Times New Roman" w:cs="Times New Roman"/>
          <w:sz w:val="28"/>
          <w:szCs w:val="28"/>
          <w:lang w:eastAsia="es-ES"/>
        </w:rPr>
        <w:t xml:space="preserve">Demanda de inconstitucionalidad contra la Ley 2294 de 2023, </w:t>
      </w:r>
      <w:r w:rsidRPr="00E4401D">
        <w:rPr>
          <w:rFonts w:ascii="Times New Roman" w:eastAsia="Times New Roman" w:hAnsi="Times New Roman" w:cs="Times New Roman"/>
          <w:i/>
          <w:iCs/>
          <w:sz w:val="28"/>
          <w:szCs w:val="28"/>
          <w:lang w:eastAsia="es-ES"/>
        </w:rPr>
        <w:t>“</w:t>
      </w:r>
      <w:r w:rsidRPr="00E4401D">
        <w:rPr>
          <w:rFonts w:ascii="Times New Roman" w:hAnsi="Times New Roman" w:cs="Times New Roman"/>
          <w:i/>
          <w:iCs/>
          <w:sz w:val="28"/>
          <w:szCs w:val="28"/>
        </w:rPr>
        <w:t xml:space="preserve">por el cual se expide el Plan </w:t>
      </w:r>
      <w:r w:rsidRPr="00E4401D">
        <w:rPr>
          <w:rFonts w:ascii="Times New Roman" w:hAnsi="Times New Roman" w:cs="Times New Roman"/>
          <w:i/>
          <w:iCs/>
          <w:sz w:val="28"/>
          <w:szCs w:val="28"/>
        </w:rPr>
        <w:t>Nacional de Desarrollo 2022-2026 “Colombia Potencia Mundial de la Vida”.”</w:t>
      </w:r>
    </w:p>
    <w:p w:rsidR="00F464C8" w:rsidRPr="00E4401D" w:rsidRDefault="00E4401D" w:rsidP="00F464C8">
      <w:pPr>
        <w:autoSpaceDE w:val="0"/>
        <w:autoSpaceDN w:val="0"/>
        <w:ind w:left="3855"/>
        <w:jc w:val="both"/>
        <w:rPr>
          <w:rFonts w:ascii="Times New Roman" w:hAnsi="Times New Roman" w:cs="Times New Roman"/>
          <w:b/>
          <w:sz w:val="28"/>
          <w:szCs w:val="28"/>
        </w:rPr>
      </w:pPr>
    </w:p>
    <w:p w:rsidR="00F464C8" w:rsidRPr="00E4401D" w:rsidRDefault="00E4401D" w:rsidP="00F464C8">
      <w:pPr>
        <w:autoSpaceDE w:val="0"/>
        <w:autoSpaceDN w:val="0"/>
        <w:ind w:left="3855"/>
        <w:jc w:val="both"/>
        <w:rPr>
          <w:rFonts w:ascii="Times New Roman" w:hAnsi="Times New Roman" w:cs="Times New Roman"/>
          <w:bCs/>
          <w:sz w:val="28"/>
          <w:szCs w:val="28"/>
        </w:rPr>
      </w:pPr>
      <w:r w:rsidRPr="00E4401D">
        <w:rPr>
          <w:rFonts w:ascii="Times New Roman" w:hAnsi="Times New Roman" w:cs="Times New Roman"/>
          <w:b/>
          <w:sz w:val="28"/>
          <w:szCs w:val="28"/>
        </w:rPr>
        <w:t xml:space="preserve">Demandante: </w:t>
      </w:r>
      <w:r w:rsidRPr="00E4401D">
        <w:rPr>
          <w:rFonts w:ascii="Times New Roman" w:hAnsi="Times New Roman" w:cs="Times New Roman"/>
          <w:bCs/>
          <w:sz w:val="28"/>
          <w:szCs w:val="28"/>
        </w:rPr>
        <w:t>Miguel Uribe Turbay y Carlos Edward Osorio Aguiar</w:t>
      </w:r>
    </w:p>
    <w:p w:rsidR="00F464C8" w:rsidRPr="00E4401D" w:rsidRDefault="00E4401D" w:rsidP="00F464C8">
      <w:pPr>
        <w:ind w:left="3855"/>
        <w:rPr>
          <w:rFonts w:ascii="Times New Roman" w:hAnsi="Times New Roman" w:cs="Times New Roman"/>
          <w:sz w:val="28"/>
          <w:szCs w:val="28"/>
        </w:rPr>
      </w:pPr>
    </w:p>
    <w:p w:rsidR="00F464C8" w:rsidRPr="00E4401D" w:rsidRDefault="00E4401D" w:rsidP="00F464C8">
      <w:pPr>
        <w:ind w:left="3855"/>
        <w:jc w:val="both"/>
        <w:rPr>
          <w:rFonts w:ascii="Times New Roman" w:hAnsi="Times New Roman" w:cs="Times New Roman"/>
          <w:sz w:val="28"/>
          <w:szCs w:val="28"/>
        </w:rPr>
      </w:pPr>
      <w:r w:rsidRPr="00E4401D">
        <w:rPr>
          <w:rFonts w:ascii="Times New Roman" w:hAnsi="Times New Roman" w:cs="Times New Roman"/>
          <w:b/>
          <w:sz w:val="28"/>
          <w:szCs w:val="28"/>
        </w:rPr>
        <w:t xml:space="preserve">Magistrado ponente: </w:t>
      </w:r>
      <w:r w:rsidRPr="00E4401D">
        <w:rPr>
          <w:rFonts w:ascii="Times New Roman" w:hAnsi="Times New Roman" w:cs="Times New Roman"/>
          <w:sz w:val="28"/>
          <w:szCs w:val="28"/>
        </w:rPr>
        <w:t>Jorge Enrique Ibáñez Najar</w:t>
      </w:r>
    </w:p>
    <w:p w:rsidR="00F464C8" w:rsidRPr="00E4401D" w:rsidRDefault="00E4401D" w:rsidP="00F464C8">
      <w:pPr>
        <w:tabs>
          <w:tab w:val="left" w:pos="8505"/>
        </w:tabs>
        <w:jc w:val="both"/>
        <w:rPr>
          <w:rFonts w:ascii="Times New Roman" w:hAnsi="Times New Roman" w:cs="Times New Roman"/>
          <w:sz w:val="28"/>
          <w:szCs w:val="28"/>
          <w:lang w:val="es-ES" w:eastAsia="es-ES"/>
        </w:rPr>
      </w:pPr>
    </w:p>
    <w:p w:rsidR="00F464C8" w:rsidRPr="00E4401D" w:rsidRDefault="00E4401D" w:rsidP="00F464C8">
      <w:pPr>
        <w:tabs>
          <w:tab w:val="left" w:pos="8505"/>
        </w:tabs>
        <w:jc w:val="both"/>
        <w:rPr>
          <w:rFonts w:ascii="Times New Roman" w:hAnsi="Times New Roman" w:cs="Times New Roman"/>
          <w:sz w:val="28"/>
          <w:szCs w:val="28"/>
          <w:lang w:val="es-ES" w:eastAsia="es-ES"/>
        </w:rPr>
      </w:pPr>
      <w:r w:rsidRPr="00E4401D">
        <w:rPr>
          <w:rFonts w:ascii="Times New Roman" w:hAnsi="Times New Roman" w:cs="Times New Roman"/>
          <w:sz w:val="28"/>
          <w:szCs w:val="28"/>
          <w:lang w:val="es-ES" w:eastAsia="es-ES"/>
        </w:rPr>
        <w:t xml:space="preserve">Bogotá D.C., </w:t>
      </w:r>
      <w:r w:rsidRPr="00E4401D">
        <w:rPr>
          <w:rFonts w:ascii="Times New Roman" w:hAnsi="Times New Roman" w:cs="Times New Roman"/>
          <w:sz w:val="28"/>
          <w:szCs w:val="28"/>
          <w:lang w:val="es-ES" w:eastAsia="es-ES"/>
        </w:rPr>
        <w:t>veinticuatro</w:t>
      </w:r>
      <w:r w:rsidRPr="00E4401D">
        <w:rPr>
          <w:rFonts w:ascii="Times New Roman" w:hAnsi="Times New Roman" w:cs="Times New Roman"/>
          <w:sz w:val="28"/>
          <w:szCs w:val="28"/>
          <w:lang w:val="es-ES" w:eastAsia="es-ES"/>
        </w:rPr>
        <w:t xml:space="preserve"> (</w:t>
      </w:r>
      <w:r w:rsidRPr="00E4401D">
        <w:rPr>
          <w:rFonts w:ascii="Times New Roman" w:hAnsi="Times New Roman" w:cs="Times New Roman"/>
          <w:sz w:val="28"/>
          <w:szCs w:val="28"/>
          <w:lang w:val="es-ES" w:eastAsia="es-ES"/>
        </w:rPr>
        <w:t>24</w:t>
      </w:r>
      <w:r w:rsidRPr="00E4401D">
        <w:rPr>
          <w:rFonts w:ascii="Times New Roman" w:hAnsi="Times New Roman" w:cs="Times New Roman"/>
          <w:sz w:val="28"/>
          <w:szCs w:val="28"/>
          <w:lang w:val="es-ES" w:eastAsia="es-ES"/>
        </w:rPr>
        <w:t xml:space="preserve">) de </w:t>
      </w:r>
      <w:r w:rsidRPr="00E4401D">
        <w:rPr>
          <w:rFonts w:ascii="Times New Roman" w:hAnsi="Times New Roman" w:cs="Times New Roman"/>
          <w:sz w:val="28"/>
          <w:szCs w:val="28"/>
          <w:lang w:val="es-ES" w:eastAsia="es-ES"/>
        </w:rPr>
        <w:t>abril</w:t>
      </w:r>
      <w:r w:rsidRPr="00E4401D">
        <w:rPr>
          <w:rFonts w:ascii="Times New Roman" w:hAnsi="Times New Roman" w:cs="Times New Roman"/>
          <w:sz w:val="28"/>
          <w:szCs w:val="28"/>
          <w:lang w:val="es-ES" w:eastAsia="es-ES"/>
        </w:rPr>
        <w:t xml:space="preserve"> de dos mil </w:t>
      </w:r>
      <w:r w:rsidRPr="00E4401D">
        <w:rPr>
          <w:rFonts w:ascii="Times New Roman" w:hAnsi="Times New Roman" w:cs="Times New Roman"/>
          <w:sz w:val="28"/>
          <w:szCs w:val="28"/>
          <w:lang w:val="es-ES" w:eastAsia="es-ES"/>
        </w:rPr>
        <w:t xml:space="preserve">veinticinco </w:t>
      </w:r>
      <w:r w:rsidRPr="00E4401D">
        <w:rPr>
          <w:rFonts w:ascii="Times New Roman" w:hAnsi="Times New Roman" w:cs="Times New Roman"/>
          <w:sz w:val="28"/>
          <w:szCs w:val="28"/>
          <w:lang w:val="es-ES" w:eastAsia="es-ES"/>
        </w:rPr>
        <w:t>(202</w:t>
      </w:r>
      <w:r w:rsidRPr="00E4401D">
        <w:rPr>
          <w:rFonts w:ascii="Times New Roman" w:hAnsi="Times New Roman" w:cs="Times New Roman"/>
          <w:sz w:val="28"/>
          <w:szCs w:val="28"/>
          <w:lang w:val="es-ES" w:eastAsia="es-ES"/>
        </w:rPr>
        <w:t>5</w:t>
      </w:r>
      <w:r w:rsidRPr="00E4401D">
        <w:rPr>
          <w:rFonts w:ascii="Times New Roman" w:hAnsi="Times New Roman" w:cs="Times New Roman"/>
          <w:sz w:val="28"/>
          <w:szCs w:val="28"/>
          <w:lang w:val="es-ES" w:eastAsia="es-ES"/>
        </w:rPr>
        <w:t>)</w:t>
      </w:r>
    </w:p>
    <w:p w:rsidR="00F464C8" w:rsidRPr="00E4401D" w:rsidRDefault="00E4401D" w:rsidP="00F464C8">
      <w:pPr>
        <w:rPr>
          <w:rFonts w:ascii="Times New Roman" w:hAnsi="Times New Roman" w:cs="Times New Roman"/>
          <w:sz w:val="28"/>
          <w:szCs w:val="28"/>
          <w:lang w:val="es-ES"/>
        </w:rPr>
      </w:pPr>
    </w:p>
    <w:p w:rsidR="00F464C8" w:rsidRPr="00E4401D" w:rsidRDefault="00E4401D" w:rsidP="00F464C8">
      <w:pPr>
        <w:shd w:val="clear" w:color="auto" w:fill="FFFFFF"/>
        <w:jc w:val="both"/>
        <w:rPr>
          <w:rFonts w:ascii="Times New Roman" w:hAnsi="Times New Roman" w:cs="Times New Roman"/>
          <w:sz w:val="28"/>
          <w:szCs w:val="28"/>
        </w:rPr>
      </w:pPr>
      <w:r w:rsidRPr="00E4401D">
        <w:rPr>
          <w:rFonts w:ascii="Times New Roman" w:hAnsi="Times New Roman" w:cs="Times New Roman"/>
          <w:sz w:val="28"/>
          <w:szCs w:val="28"/>
          <w:lang w:val="es-ES_tradnl"/>
        </w:rPr>
        <w:t>La Sala Plena de la Corte Constitucional en el proceso de la referencia, en ejercicio de sus competencias constitucionales y legales, en especial las previstas por los artículos 241 y 242 de la Constitución Política y en el Decreto Ley 2067 de 1991, profi</w:t>
      </w:r>
      <w:r w:rsidRPr="00E4401D">
        <w:rPr>
          <w:rFonts w:ascii="Times New Roman" w:hAnsi="Times New Roman" w:cs="Times New Roman"/>
          <w:sz w:val="28"/>
          <w:szCs w:val="28"/>
          <w:lang w:val="es-ES_tradnl"/>
        </w:rPr>
        <w:t>ere la siguiente</w:t>
      </w:r>
    </w:p>
    <w:p w:rsidR="00F464C8" w:rsidRPr="00E4401D" w:rsidRDefault="00E4401D" w:rsidP="00F464C8">
      <w:pPr>
        <w:shd w:val="clear" w:color="auto" w:fill="FFFFFF"/>
        <w:jc w:val="both"/>
        <w:rPr>
          <w:rFonts w:ascii="Times New Roman" w:hAnsi="Times New Roman" w:cs="Times New Roman"/>
          <w:sz w:val="28"/>
          <w:szCs w:val="28"/>
          <w:lang w:val="es-ES_tradnl"/>
        </w:rPr>
      </w:pPr>
    </w:p>
    <w:p w:rsidR="00F464C8" w:rsidRPr="00E4401D" w:rsidRDefault="00E4401D" w:rsidP="00F464C8">
      <w:pPr>
        <w:shd w:val="clear" w:color="auto" w:fill="FFFFFF"/>
        <w:jc w:val="both"/>
        <w:rPr>
          <w:rFonts w:ascii="Times New Roman" w:hAnsi="Times New Roman" w:cs="Times New Roman"/>
          <w:sz w:val="28"/>
          <w:szCs w:val="28"/>
          <w:lang w:val="es-ES_tradnl"/>
        </w:rPr>
      </w:pPr>
    </w:p>
    <w:p w:rsidR="00F464C8" w:rsidRPr="00E4401D" w:rsidRDefault="00E4401D" w:rsidP="00F464C8">
      <w:pPr>
        <w:shd w:val="clear" w:color="auto" w:fill="FFFFFF"/>
        <w:jc w:val="center"/>
        <w:rPr>
          <w:rFonts w:ascii="Times New Roman" w:hAnsi="Times New Roman" w:cs="Times New Roman"/>
          <w:b/>
          <w:bCs/>
          <w:sz w:val="28"/>
          <w:szCs w:val="28"/>
          <w:lang w:val="es-ES_tradnl"/>
        </w:rPr>
      </w:pPr>
      <w:r w:rsidRPr="00E4401D">
        <w:rPr>
          <w:rFonts w:ascii="Times New Roman" w:hAnsi="Times New Roman" w:cs="Times New Roman"/>
          <w:b/>
          <w:bCs/>
          <w:sz w:val="28"/>
          <w:szCs w:val="28"/>
          <w:lang w:val="es-ES_tradnl"/>
        </w:rPr>
        <w:t>SENTENCIA</w:t>
      </w:r>
    </w:p>
    <w:p w:rsidR="00F464C8" w:rsidRPr="00E4401D" w:rsidRDefault="00E4401D" w:rsidP="00F464C8">
      <w:pPr>
        <w:rPr>
          <w:rFonts w:ascii="Times New Roman" w:hAnsi="Times New Roman" w:cs="Times New Roman"/>
          <w:sz w:val="28"/>
          <w:szCs w:val="28"/>
        </w:rPr>
      </w:pPr>
    </w:p>
    <w:p w:rsidR="00176DA7" w:rsidRPr="00E4401D" w:rsidRDefault="00E4401D" w:rsidP="00176DA7">
      <w:pPr>
        <w:pStyle w:val="Prrafodelista"/>
        <w:rPr>
          <w:rFonts w:ascii="Times New Roman" w:hAnsi="Times New Roman" w:cs="Times New Roman"/>
          <w:sz w:val="28"/>
          <w:szCs w:val="28"/>
        </w:rPr>
      </w:pPr>
    </w:p>
    <w:p w:rsidR="00176DA7" w:rsidRPr="00E4401D" w:rsidRDefault="00E4401D" w:rsidP="003B296A">
      <w:pPr>
        <w:pStyle w:val="Ttulo2"/>
        <w:rPr>
          <w:rFonts w:ascii="Times New Roman" w:hAnsi="Times New Roman" w:cs="Times New Roman"/>
          <w:b/>
          <w:bCs/>
          <w:color w:val="auto"/>
          <w:sz w:val="28"/>
          <w:szCs w:val="28"/>
        </w:rPr>
      </w:pPr>
      <w:r w:rsidRPr="00E4401D">
        <w:rPr>
          <w:rFonts w:ascii="Times New Roman" w:hAnsi="Times New Roman" w:cs="Times New Roman"/>
          <w:b/>
          <w:bCs/>
          <w:color w:val="auto"/>
          <w:sz w:val="28"/>
          <w:szCs w:val="28"/>
        </w:rPr>
        <w:t>Síntesis de la decisión</w:t>
      </w:r>
    </w:p>
    <w:p w:rsidR="00176DA7" w:rsidRPr="00E4401D" w:rsidRDefault="00E4401D" w:rsidP="00176DA7">
      <w:pPr>
        <w:jc w:val="both"/>
        <w:rPr>
          <w:rFonts w:ascii="Times New Roman" w:hAnsi="Times New Roman" w:cs="Times New Roman"/>
          <w:sz w:val="28"/>
          <w:szCs w:val="28"/>
        </w:rPr>
      </w:pPr>
    </w:p>
    <w:p w:rsidR="00E730E7" w:rsidRPr="00E4401D" w:rsidRDefault="00E4401D" w:rsidP="00176DA7">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La Sala Plena de la Corte Constitucional analizó una demanda de inconstitucionalidad presentada contra la Ley 2294 de 2023 “</w:t>
      </w:r>
      <w:r w:rsidRPr="00E4401D">
        <w:rPr>
          <w:rFonts w:ascii="Times New Roman" w:hAnsi="Times New Roman" w:cs="Times New Roman"/>
          <w:i/>
          <w:iCs/>
          <w:sz w:val="28"/>
          <w:szCs w:val="28"/>
        </w:rPr>
        <w:t xml:space="preserve">por la cual se expide el Plan Nacional de Desarrollo 2022-2026 “Colombia </w:t>
      </w:r>
      <w:r w:rsidRPr="00E4401D">
        <w:rPr>
          <w:rFonts w:ascii="Times New Roman" w:hAnsi="Times New Roman" w:cs="Times New Roman"/>
          <w:i/>
          <w:iCs/>
          <w:sz w:val="28"/>
          <w:szCs w:val="28"/>
        </w:rPr>
        <w:t>Potencia Mundial de la Vida”</w:t>
      </w:r>
      <w:r w:rsidRPr="00E4401D">
        <w:rPr>
          <w:rFonts w:ascii="Times New Roman" w:hAnsi="Times New Roman" w:cs="Times New Roman"/>
          <w:sz w:val="28"/>
          <w:szCs w:val="28"/>
        </w:rPr>
        <w:t>”. En un principio, los accionantes dirigieron su demanda contra la totalidad del articulado de la ley. Alegaron, entre otros cargos, vicios de procedimiento por la presunta vulneración del principio de publicidad previsto en lo</w:t>
      </w:r>
      <w:r w:rsidRPr="00E4401D">
        <w:rPr>
          <w:rFonts w:ascii="Times New Roman" w:hAnsi="Times New Roman" w:cs="Times New Roman"/>
          <w:sz w:val="28"/>
          <w:szCs w:val="28"/>
        </w:rPr>
        <w:t>s artículos 157 y 160 de la Constitución Política.</w:t>
      </w:r>
    </w:p>
    <w:p w:rsidR="00E730E7" w:rsidRPr="00E4401D" w:rsidRDefault="00E4401D" w:rsidP="00176DA7">
      <w:pPr>
        <w:pStyle w:val="Prrafodelista"/>
        <w:ind w:left="0"/>
        <w:jc w:val="both"/>
        <w:rPr>
          <w:rFonts w:ascii="Times New Roman" w:hAnsi="Times New Roman" w:cs="Times New Roman"/>
          <w:sz w:val="28"/>
          <w:szCs w:val="28"/>
        </w:rPr>
      </w:pPr>
    </w:p>
    <w:p w:rsidR="00E730E7" w:rsidRPr="00E4401D" w:rsidRDefault="00E4401D" w:rsidP="00E730E7">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Durante el término de subsanación de la demanda, los demandantes precisaron su acusación y centraron el reproche en los artículos 5, 61, 287 y 295 de la ley demandada. En virtud de ello, se admitió parcia</w:t>
      </w:r>
      <w:r w:rsidRPr="00E4401D">
        <w:rPr>
          <w:rFonts w:ascii="Times New Roman" w:hAnsi="Times New Roman" w:cs="Times New Roman"/>
          <w:sz w:val="28"/>
          <w:szCs w:val="28"/>
        </w:rPr>
        <w:t xml:space="preserve">lmente la demanda y </w:t>
      </w:r>
      <w:r w:rsidRPr="00E4401D">
        <w:rPr>
          <w:rFonts w:ascii="Times New Roman" w:hAnsi="Times New Roman" w:cs="Times New Roman"/>
          <w:sz w:val="28"/>
          <w:szCs w:val="28"/>
        </w:rPr>
        <w:t xml:space="preserve">se </w:t>
      </w:r>
      <w:r w:rsidRPr="00E4401D">
        <w:rPr>
          <w:rFonts w:ascii="Times New Roman" w:hAnsi="Times New Roman" w:cs="Times New Roman"/>
          <w:sz w:val="28"/>
          <w:szCs w:val="28"/>
        </w:rPr>
        <w:t>limitó el análisis constitucional únicamente en relación con los artículos 5, 61, 287 y 295 de la ley demandada.</w:t>
      </w:r>
    </w:p>
    <w:p w:rsidR="00E730E7" w:rsidRPr="00E4401D" w:rsidRDefault="00E4401D" w:rsidP="00E730E7">
      <w:pPr>
        <w:pStyle w:val="Prrafodelista"/>
        <w:ind w:left="0"/>
        <w:jc w:val="both"/>
        <w:rPr>
          <w:rFonts w:ascii="Times New Roman" w:hAnsi="Times New Roman" w:cs="Times New Roman"/>
          <w:sz w:val="28"/>
          <w:szCs w:val="28"/>
        </w:rPr>
      </w:pPr>
    </w:p>
    <w:p w:rsidR="00E730E7" w:rsidRPr="00E4401D" w:rsidRDefault="00E4401D" w:rsidP="00E730E7">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 xml:space="preserve">Al examinar el contenido sustancial de la demanda corregida, la Corte advirtió que los artículos identificados </w:t>
      </w:r>
      <w:r w:rsidRPr="00E4401D">
        <w:rPr>
          <w:rFonts w:ascii="Times New Roman" w:hAnsi="Times New Roman" w:cs="Times New Roman"/>
          <w:sz w:val="28"/>
          <w:szCs w:val="28"/>
        </w:rPr>
        <w:t>formalmente como 287 y 295 no correspondían en realidad a los fragmentos normativos objeto de reproche. Se evidenció que el verdadero cuestionamiento recaía sobre los artículos 289 y 297. En aplicación del principio de prevalencia del derecho sustancial so</w:t>
      </w:r>
      <w:r w:rsidRPr="00E4401D">
        <w:rPr>
          <w:rFonts w:ascii="Times New Roman" w:hAnsi="Times New Roman" w:cs="Times New Roman"/>
          <w:sz w:val="28"/>
          <w:szCs w:val="28"/>
        </w:rPr>
        <w:t>bre las formas, la Corte concluyó que el error mecanográfico cometido por los demandantes no impedía un pronunciamiento de fondo.</w:t>
      </w:r>
    </w:p>
    <w:p w:rsidR="00E730E7" w:rsidRPr="00E4401D" w:rsidRDefault="00E4401D" w:rsidP="00E730E7">
      <w:pPr>
        <w:pStyle w:val="Prrafodelista"/>
        <w:ind w:left="0"/>
        <w:jc w:val="both"/>
        <w:rPr>
          <w:rFonts w:ascii="Times New Roman" w:hAnsi="Times New Roman" w:cs="Times New Roman"/>
          <w:sz w:val="28"/>
          <w:szCs w:val="28"/>
        </w:rPr>
      </w:pPr>
    </w:p>
    <w:p w:rsidR="00E730E7" w:rsidRPr="00E4401D" w:rsidRDefault="00E4401D" w:rsidP="00E730E7">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Como cuestión previa, la Corte verificó que la Sentencia C-294 de 2024 constituye cosa juzgada constitucional formal absoluta</w:t>
      </w:r>
      <w:r w:rsidRPr="00E4401D">
        <w:rPr>
          <w:rFonts w:ascii="Times New Roman" w:hAnsi="Times New Roman" w:cs="Times New Roman"/>
          <w:sz w:val="28"/>
          <w:szCs w:val="28"/>
        </w:rPr>
        <w:t xml:space="preserve"> respecto del numeral 6° y el parágrafo 3° del artículo 61 de la Ley 229</w:t>
      </w:r>
      <w:r w:rsidRPr="00E4401D">
        <w:rPr>
          <w:rFonts w:ascii="Times New Roman" w:hAnsi="Times New Roman" w:cs="Times New Roman"/>
          <w:sz w:val="28"/>
          <w:szCs w:val="28"/>
        </w:rPr>
        <w:t>4</w:t>
      </w:r>
      <w:r w:rsidRPr="00E4401D">
        <w:rPr>
          <w:rFonts w:ascii="Times New Roman" w:hAnsi="Times New Roman" w:cs="Times New Roman"/>
          <w:sz w:val="28"/>
          <w:szCs w:val="28"/>
        </w:rPr>
        <w:t xml:space="preserve"> de 2023. En consecuencia, se declaró inhibida para emitir un nuevo juicio sobre esos apartados.</w:t>
      </w:r>
    </w:p>
    <w:p w:rsidR="00E730E7" w:rsidRPr="00E4401D" w:rsidRDefault="00E4401D" w:rsidP="00E730E7">
      <w:pPr>
        <w:pStyle w:val="Prrafodelista"/>
        <w:ind w:left="0"/>
        <w:jc w:val="both"/>
        <w:rPr>
          <w:rFonts w:ascii="Times New Roman" w:hAnsi="Times New Roman" w:cs="Times New Roman"/>
          <w:sz w:val="28"/>
          <w:szCs w:val="28"/>
        </w:rPr>
      </w:pPr>
    </w:p>
    <w:p w:rsidR="00E730E7" w:rsidRPr="00E4401D" w:rsidRDefault="00E4401D" w:rsidP="00E730E7">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Una vez delimitado el objeto del control, la Corte procedió a resolver el cargo admit</w:t>
      </w:r>
      <w:r w:rsidRPr="00E4401D">
        <w:rPr>
          <w:rFonts w:ascii="Times New Roman" w:hAnsi="Times New Roman" w:cs="Times New Roman"/>
          <w:sz w:val="28"/>
          <w:szCs w:val="28"/>
        </w:rPr>
        <w:t xml:space="preserve">ido a trámite. Para el efecto, verificó si se cumplió el principio de publicidad en el trámite de las proposiciones que dieron lugar a los artículos demandados. En particular, constató si estas habían sido publicadas por medios oficiales o alternativos, o </w:t>
      </w:r>
      <w:r w:rsidRPr="00E4401D">
        <w:rPr>
          <w:rFonts w:ascii="Times New Roman" w:hAnsi="Times New Roman" w:cs="Times New Roman"/>
          <w:sz w:val="28"/>
          <w:szCs w:val="28"/>
        </w:rPr>
        <w:t>fueron debidamente leídas o explicadas durante los debates legislativos previo</w:t>
      </w:r>
      <w:r w:rsidRPr="00E4401D">
        <w:rPr>
          <w:rFonts w:ascii="Times New Roman" w:hAnsi="Times New Roman" w:cs="Times New Roman"/>
          <w:sz w:val="28"/>
          <w:szCs w:val="28"/>
        </w:rPr>
        <w:t>s</w:t>
      </w:r>
      <w:r w:rsidRPr="00E4401D">
        <w:rPr>
          <w:rFonts w:ascii="Times New Roman" w:hAnsi="Times New Roman" w:cs="Times New Roman"/>
          <w:sz w:val="28"/>
          <w:szCs w:val="28"/>
        </w:rPr>
        <w:t xml:space="preserve"> a su debate y votación.</w:t>
      </w:r>
    </w:p>
    <w:p w:rsidR="00E730E7" w:rsidRPr="00E4401D" w:rsidRDefault="00E4401D" w:rsidP="00E730E7">
      <w:pPr>
        <w:pStyle w:val="Prrafodelista"/>
        <w:ind w:left="0"/>
        <w:jc w:val="both"/>
        <w:rPr>
          <w:rFonts w:ascii="Times New Roman" w:hAnsi="Times New Roman" w:cs="Times New Roman"/>
          <w:sz w:val="28"/>
          <w:szCs w:val="28"/>
        </w:rPr>
      </w:pPr>
    </w:p>
    <w:p w:rsidR="00E730E7" w:rsidRPr="00E4401D" w:rsidRDefault="00E4401D" w:rsidP="00E730E7">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La Corte reiteró el precedente constitucional según el cual el principio de publicidad no se reduce a una formalidad procesal. Reconoció que, además de</w:t>
      </w:r>
      <w:r w:rsidRPr="00E4401D">
        <w:rPr>
          <w:rFonts w:ascii="Times New Roman" w:hAnsi="Times New Roman" w:cs="Times New Roman"/>
          <w:sz w:val="28"/>
          <w:szCs w:val="28"/>
        </w:rPr>
        <w:t xml:space="preserve"> la lectura literal e integral de los textos a aprobar durante las sesiones del Congreso, la publicidad de las proposiciones puede cumplirse por distintos medios como la divulgación anticipada de los textos a aprobar en las gacetas del Congreso, su publica</w:t>
      </w:r>
      <w:r w:rsidRPr="00E4401D">
        <w:rPr>
          <w:rFonts w:ascii="Times New Roman" w:hAnsi="Times New Roman" w:cs="Times New Roman"/>
          <w:sz w:val="28"/>
          <w:szCs w:val="28"/>
        </w:rPr>
        <w:t>ción en plataformas institucionales o canales digitales oficiales, o su explicación oral suficiente en el curso del debate. Insistió en que estos mecanismos alternativos solo son válidos en la medida en que aseguren un conocimiento real, suficiente y oport</w:t>
      </w:r>
      <w:r w:rsidRPr="00E4401D">
        <w:rPr>
          <w:rFonts w:ascii="Times New Roman" w:hAnsi="Times New Roman" w:cs="Times New Roman"/>
          <w:sz w:val="28"/>
          <w:szCs w:val="28"/>
        </w:rPr>
        <w:t>uno del contenido normativo a aprobar por parte de los congresistas.</w:t>
      </w:r>
    </w:p>
    <w:p w:rsidR="00E730E7" w:rsidRPr="00E4401D" w:rsidRDefault="00E4401D" w:rsidP="00E730E7">
      <w:pPr>
        <w:pStyle w:val="Prrafodelista"/>
        <w:ind w:left="0"/>
        <w:jc w:val="both"/>
        <w:rPr>
          <w:rFonts w:ascii="Times New Roman" w:hAnsi="Times New Roman" w:cs="Times New Roman"/>
          <w:sz w:val="28"/>
          <w:szCs w:val="28"/>
        </w:rPr>
      </w:pPr>
    </w:p>
    <w:p w:rsidR="00E730E7" w:rsidRPr="00E4401D" w:rsidRDefault="00E4401D" w:rsidP="00E730E7">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Con base en las pruebas recaudadas, la Sala Plena constató que varias de las proposiciones incorporadas a los artículos 5, 61, 289 y 297 no fueron leídas en su totalidad ni explicadas su</w:t>
      </w:r>
      <w:r w:rsidRPr="00E4401D">
        <w:rPr>
          <w:rFonts w:ascii="Times New Roman" w:hAnsi="Times New Roman" w:cs="Times New Roman"/>
          <w:sz w:val="28"/>
          <w:szCs w:val="28"/>
        </w:rPr>
        <w:t>ficientemente al momento de su aprobación. Esta omisión comprometió el principio de publicidad, pues impidió que los congresistas tuvieran un conocimiento claro y completo del texto sometido a votación.</w:t>
      </w:r>
    </w:p>
    <w:p w:rsidR="00E730E7" w:rsidRPr="00E4401D" w:rsidRDefault="00E4401D" w:rsidP="00E730E7">
      <w:pPr>
        <w:pStyle w:val="Prrafodelista"/>
        <w:jc w:val="both"/>
        <w:rPr>
          <w:rFonts w:ascii="Times New Roman" w:hAnsi="Times New Roman" w:cs="Times New Roman"/>
          <w:sz w:val="28"/>
          <w:szCs w:val="28"/>
        </w:rPr>
      </w:pPr>
    </w:p>
    <w:p w:rsidR="00F464C8" w:rsidRPr="00E4401D" w:rsidRDefault="00E4401D" w:rsidP="00E730E7">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La Corte concluyó que se configuró un vicio de proce</w:t>
      </w:r>
      <w:r w:rsidRPr="00E4401D">
        <w:rPr>
          <w:rFonts w:ascii="Times New Roman" w:hAnsi="Times New Roman" w:cs="Times New Roman"/>
          <w:sz w:val="28"/>
          <w:szCs w:val="28"/>
        </w:rPr>
        <w:t>dimiento insubsanable en el trámite de esas disposiciones. En consecuencia, declaró la inexequibilidad de los apartes que adolecían de dicho vicio dentro de los artículos 5, 61, 289 y 297 de la Ley 2294 de 2023. Al mismo tiempo, y tras constatar que el lit</w:t>
      </w:r>
      <w:r w:rsidRPr="00E4401D">
        <w:rPr>
          <w:rFonts w:ascii="Times New Roman" w:hAnsi="Times New Roman" w:cs="Times New Roman"/>
          <w:sz w:val="28"/>
          <w:szCs w:val="28"/>
        </w:rPr>
        <w:t>eral a. del numeral 2, los parágrafos 2 y 4 del artículo 61, así como del parágrafo 3° del artículo 297 sí habían sido objeto de una adecuada divulgación previa y de una deliberación efectiva, las declaró exequibles.</w:t>
      </w:r>
    </w:p>
    <w:p w:rsidR="00E730E7" w:rsidRPr="00E4401D" w:rsidRDefault="00E4401D" w:rsidP="00E730E7">
      <w:pPr>
        <w:pStyle w:val="Prrafodelista"/>
        <w:ind w:left="0"/>
        <w:jc w:val="both"/>
        <w:rPr>
          <w:rFonts w:ascii="Times New Roman" w:hAnsi="Times New Roman" w:cs="Times New Roman"/>
          <w:sz w:val="28"/>
          <w:szCs w:val="28"/>
        </w:rPr>
      </w:pPr>
    </w:p>
    <w:p w:rsidR="00E730E7" w:rsidRPr="00E4401D" w:rsidRDefault="00E4401D" w:rsidP="00E730E7">
      <w:pPr>
        <w:pStyle w:val="Prrafodelista"/>
        <w:ind w:left="0"/>
        <w:jc w:val="both"/>
        <w:rPr>
          <w:rFonts w:ascii="Times New Roman" w:hAnsi="Times New Roman" w:cs="Times New Roman"/>
          <w:sz w:val="28"/>
          <w:szCs w:val="28"/>
        </w:rPr>
      </w:pPr>
    </w:p>
    <w:p w:rsidR="00F464C8" w:rsidRPr="00E4401D" w:rsidRDefault="00E4401D" w:rsidP="00F464C8">
      <w:pPr>
        <w:pStyle w:val="Ttulo1"/>
        <w:numPr>
          <w:ilvl w:val="0"/>
          <w:numId w:val="2"/>
        </w:numPr>
        <w:spacing w:before="0"/>
        <w:ind w:left="720"/>
        <w:rPr>
          <w:rFonts w:ascii="Times New Roman" w:hAnsi="Times New Roman" w:cs="Times New Roman"/>
          <w:b/>
          <w:bCs/>
          <w:color w:val="auto"/>
          <w:sz w:val="28"/>
          <w:szCs w:val="28"/>
        </w:rPr>
      </w:pPr>
      <w:r w:rsidRPr="00E4401D">
        <w:rPr>
          <w:rFonts w:ascii="Times New Roman" w:hAnsi="Times New Roman" w:cs="Times New Roman"/>
          <w:b/>
          <w:bCs/>
          <w:color w:val="auto"/>
          <w:sz w:val="28"/>
          <w:szCs w:val="28"/>
        </w:rPr>
        <w:t>ANTECEDENTES</w:t>
      </w:r>
    </w:p>
    <w:p w:rsidR="00F464C8" w:rsidRPr="00E4401D" w:rsidRDefault="00E4401D" w:rsidP="00F464C8">
      <w:pPr>
        <w:rPr>
          <w:rFonts w:ascii="Times New Roman" w:hAnsi="Times New Roman" w:cs="Times New Roman"/>
          <w:sz w:val="28"/>
          <w:szCs w:val="28"/>
        </w:rPr>
      </w:pPr>
    </w:p>
    <w:p w:rsidR="00F464C8" w:rsidRPr="00E4401D" w:rsidRDefault="00E4401D" w:rsidP="00F464C8">
      <w:pPr>
        <w:pStyle w:val="Prrafodelista"/>
        <w:numPr>
          <w:ilvl w:val="0"/>
          <w:numId w:val="3"/>
        </w:numPr>
        <w:autoSpaceDE w:val="0"/>
        <w:autoSpaceDN w:val="0"/>
        <w:spacing w:before="120" w:after="120"/>
        <w:ind w:left="0" w:firstLine="0"/>
        <w:jc w:val="both"/>
        <w:rPr>
          <w:rFonts w:ascii="Times New Roman" w:hAnsi="Times New Roman" w:cs="Times New Roman"/>
          <w:sz w:val="28"/>
          <w:szCs w:val="28"/>
        </w:rPr>
      </w:pPr>
      <w:r w:rsidRPr="00E4401D">
        <w:rPr>
          <w:rFonts w:ascii="Times New Roman" w:hAnsi="Times New Roman" w:cs="Times New Roman"/>
          <w:sz w:val="28"/>
          <w:szCs w:val="28"/>
        </w:rPr>
        <w:t>Los señores Miguel Urib</w:t>
      </w:r>
      <w:r w:rsidRPr="00E4401D">
        <w:rPr>
          <w:rFonts w:ascii="Times New Roman" w:hAnsi="Times New Roman" w:cs="Times New Roman"/>
          <w:sz w:val="28"/>
          <w:szCs w:val="28"/>
        </w:rPr>
        <w:t xml:space="preserve">e Turbay y Carlos Edward Osorio Aguiar, vía correo electrónico recibido en la Secretaría de la Corte Constitucional, presentaron una demanda de inconstitucionalidad contra la Ley 2294 de 2023, </w:t>
      </w:r>
      <w:r w:rsidRPr="00E4401D">
        <w:rPr>
          <w:rFonts w:ascii="Times New Roman" w:hAnsi="Times New Roman" w:cs="Times New Roman"/>
          <w:sz w:val="28"/>
          <w:szCs w:val="28"/>
        </w:rPr>
        <w:t>“</w:t>
      </w:r>
      <w:r w:rsidRPr="00E4401D">
        <w:rPr>
          <w:rFonts w:ascii="Times New Roman" w:hAnsi="Times New Roman" w:cs="Times New Roman"/>
          <w:i/>
          <w:iCs/>
          <w:sz w:val="28"/>
          <w:szCs w:val="28"/>
        </w:rPr>
        <w:t>por la cual se expide el Plan Nacional de Desarrollo 2022-2026</w:t>
      </w:r>
      <w:r w:rsidRPr="00E4401D">
        <w:rPr>
          <w:rFonts w:ascii="Times New Roman" w:hAnsi="Times New Roman" w:cs="Times New Roman"/>
          <w:i/>
          <w:iCs/>
          <w:sz w:val="28"/>
          <w:szCs w:val="28"/>
        </w:rPr>
        <w:t xml:space="preserve"> “Colombia potencia mundial de la vida”</w:t>
      </w:r>
      <w:r w:rsidRPr="00E4401D">
        <w:rPr>
          <w:rFonts w:ascii="Times New Roman" w:hAnsi="Times New Roman" w:cs="Times New Roman"/>
          <w:sz w:val="28"/>
          <w:szCs w:val="28"/>
        </w:rPr>
        <w:t>”</w:t>
      </w:r>
      <w:r w:rsidRPr="00E4401D">
        <w:rPr>
          <w:rFonts w:ascii="Times New Roman" w:hAnsi="Times New Roman" w:cs="Times New Roman"/>
          <w:i/>
          <w:iCs/>
          <w:sz w:val="28"/>
          <w:szCs w:val="28"/>
        </w:rPr>
        <w:t>.</w:t>
      </w:r>
      <w:r w:rsidRPr="00E4401D">
        <w:rPr>
          <w:rFonts w:ascii="Times New Roman" w:hAnsi="Times New Roman" w:cs="Times New Roman"/>
          <w:sz w:val="28"/>
          <w:szCs w:val="28"/>
        </w:rPr>
        <w:t xml:space="preserve"> </w:t>
      </w:r>
    </w:p>
    <w:p w:rsidR="00F464C8" w:rsidRPr="00E4401D" w:rsidRDefault="00E4401D" w:rsidP="00F464C8">
      <w:pPr>
        <w:pStyle w:val="Style7"/>
        <w:widowControl/>
        <w:spacing w:line="240" w:lineRule="auto"/>
        <w:rPr>
          <w:rStyle w:val="FontStyle19"/>
          <w:b/>
          <w:bCs/>
          <w:iCs/>
          <w:sz w:val="28"/>
          <w:szCs w:val="28"/>
        </w:rPr>
      </w:pPr>
    </w:p>
    <w:p w:rsidR="00F464C8" w:rsidRPr="00E4401D" w:rsidRDefault="00E4401D" w:rsidP="00F464C8">
      <w:pPr>
        <w:pStyle w:val="Prrafodelista"/>
        <w:numPr>
          <w:ilvl w:val="0"/>
          <w:numId w:val="3"/>
        </w:numPr>
        <w:ind w:left="0" w:firstLine="0"/>
        <w:jc w:val="both"/>
        <w:rPr>
          <w:rFonts w:ascii="Times New Roman" w:hAnsi="Times New Roman" w:cs="Times New Roman"/>
          <w:i/>
          <w:iCs/>
          <w:sz w:val="28"/>
          <w:szCs w:val="28"/>
        </w:rPr>
      </w:pPr>
      <w:r w:rsidRPr="00E4401D">
        <w:rPr>
          <w:rFonts w:ascii="Times New Roman" w:hAnsi="Times New Roman" w:cs="Times New Roman"/>
          <w:sz w:val="28"/>
          <w:szCs w:val="28"/>
        </w:rPr>
        <w:t xml:space="preserve">Los demandantes señalaron que la ley acusada viola los artículos 157, 160, 161 y 228 de la Constitución Política, y los artículos 36, 43, 94, 113, 123, 125, 158, 173, 178 y 185 de la Ley 5 de 1992. Para </w:t>
      </w:r>
      <w:r w:rsidRPr="00E4401D">
        <w:rPr>
          <w:rFonts w:ascii="Times New Roman" w:hAnsi="Times New Roman" w:cs="Times New Roman"/>
          <w:sz w:val="28"/>
          <w:szCs w:val="28"/>
        </w:rPr>
        <w:t>argumentar su reproche, los accionantes propusieron tres cargos, así: “</w:t>
      </w:r>
      <w:r w:rsidRPr="00E4401D">
        <w:rPr>
          <w:rFonts w:ascii="Times New Roman" w:hAnsi="Times New Roman" w:cs="Times New Roman"/>
          <w:i/>
          <w:iCs/>
          <w:sz w:val="28"/>
          <w:szCs w:val="28"/>
        </w:rPr>
        <w:t>i)</w:t>
      </w:r>
      <w:r w:rsidRPr="00E4401D">
        <w:rPr>
          <w:rFonts w:ascii="Times New Roman" w:hAnsi="Times New Roman" w:cs="Times New Roman"/>
          <w:sz w:val="28"/>
          <w:szCs w:val="28"/>
        </w:rPr>
        <w:t xml:space="preserve"> </w:t>
      </w:r>
      <w:r w:rsidRPr="00E4401D">
        <w:rPr>
          <w:rFonts w:ascii="Times New Roman" w:hAnsi="Times New Roman" w:cs="Times New Roman"/>
          <w:i/>
          <w:iCs/>
          <w:sz w:val="28"/>
          <w:szCs w:val="28"/>
        </w:rPr>
        <w:t>Primer cargo: vicio del procedimiento por vulneración del principio constitucional democrático en el marco del artículo 157 superior y otros principios constitucionales vulnerados; i</w:t>
      </w:r>
      <w:r w:rsidRPr="00E4401D">
        <w:rPr>
          <w:rFonts w:ascii="Times New Roman" w:hAnsi="Times New Roman" w:cs="Times New Roman"/>
          <w:i/>
          <w:iCs/>
          <w:sz w:val="28"/>
          <w:szCs w:val="28"/>
        </w:rPr>
        <w:t>i) Segundo cargo: vicio del procedimiento por vulneración del principio constitucional democrático en el marco del artículo 160 superior, y; iii) Tercer cargo: vicio del procedimiento por vulneración del principio constitucional democrático en el marco del</w:t>
      </w:r>
      <w:r w:rsidRPr="00E4401D">
        <w:rPr>
          <w:rFonts w:ascii="Times New Roman" w:hAnsi="Times New Roman" w:cs="Times New Roman"/>
          <w:i/>
          <w:iCs/>
          <w:sz w:val="28"/>
          <w:szCs w:val="28"/>
        </w:rPr>
        <w:t xml:space="preserve"> artículo 161 superior</w:t>
      </w:r>
      <w:r w:rsidRPr="00E4401D">
        <w:rPr>
          <w:rFonts w:ascii="Times New Roman" w:hAnsi="Times New Roman" w:cs="Times New Roman"/>
          <w:sz w:val="28"/>
          <w:szCs w:val="28"/>
        </w:rPr>
        <w:t>”.</w:t>
      </w:r>
    </w:p>
    <w:p w:rsidR="00F464C8" w:rsidRPr="00E4401D" w:rsidRDefault="00E4401D" w:rsidP="00F464C8">
      <w:pPr>
        <w:pStyle w:val="Prrafodelista"/>
        <w:jc w:val="both"/>
        <w:rPr>
          <w:rFonts w:ascii="Times New Roman" w:hAnsi="Times New Roman" w:cs="Times New Roman"/>
          <w:i/>
          <w:iCs/>
          <w:sz w:val="28"/>
          <w:szCs w:val="28"/>
        </w:rPr>
      </w:pPr>
    </w:p>
    <w:p w:rsidR="00F464C8" w:rsidRPr="00E4401D" w:rsidRDefault="00E4401D" w:rsidP="00F464C8">
      <w:pPr>
        <w:pStyle w:val="Prrafodelista"/>
        <w:numPr>
          <w:ilvl w:val="0"/>
          <w:numId w:val="3"/>
        </w:numPr>
        <w:autoSpaceDE w:val="0"/>
        <w:autoSpaceDN w:val="0"/>
        <w:ind w:left="0" w:firstLine="0"/>
        <w:jc w:val="both"/>
        <w:rPr>
          <w:rFonts w:ascii="Times New Roman" w:hAnsi="Times New Roman" w:cs="Times New Roman"/>
          <w:b/>
          <w:sz w:val="28"/>
          <w:szCs w:val="28"/>
        </w:rPr>
      </w:pPr>
      <w:r w:rsidRPr="00E4401D">
        <w:rPr>
          <w:rFonts w:ascii="Times New Roman" w:hAnsi="Times New Roman" w:cs="Times New Roman"/>
          <w:color w:val="000000"/>
          <w:sz w:val="28"/>
          <w:szCs w:val="28"/>
          <w:bdr w:val="none" w:sz="0" w:space="0" w:color="auto" w:frame="1"/>
          <w:shd w:val="clear" w:color="auto" w:fill="FFFFFF"/>
        </w:rPr>
        <w:t>Mediante</w:t>
      </w:r>
      <w:r w:rsidRPr="00E4401D">
        <w:rPr>
          <w:rFonts w:ascii="Times New Roman" w:hAnsi="Times New Roman" w:cs="Times New Roman"/>
          <w:color w:val="000000"/>
          <w:sz w:val="28"/>
          <w:szCs w:val="28"/>
          <w:bdr w:val="none" w:sz="0" w:space="0" w:color="auto" w:frame="1"/>
          <w:shd w:val="clear" w:color="auto" w:fill="FFFFFF"/>
        </w:rPr>
        <w:t xml:space="preserve"> a</w:t>
      </w:r>
      <w:r w:rsidRPr="00E4401D">
        <w:rPr>
          <w:rFonts w:ascii="Times New Roman" w:hAnsi="Times New Roman" w:cs="Times New Roman"/>
          <w:color w:val="000000"/>
          <w:sz w:val="28"/>
          <w:szCs w:val="28"/>
          <w:bdr w:val="none" w:sz="0" w:space="0" w:color="auto" w:frame="1"/>
          <w:shd w:val="clear" w:color="auto" w:fill="FFFFFF"/>
        </w:rPr>
        <w:t>uto</w:t>
      </w:r>
      <w:r w:rsidRPr="00E4401D">
        <w:rPr>
          <w:rFonts w:ascii="Times New Roman" w:hAnsi="Times New Roman" w:cs="Times New Roman"/>
          <w:color w:val="000000"/>
          <w:sz w:val="28"/>
          <w:szCs w:val="28"/>
          <w:bdr w:val="none" w:sz="0" w:space="0" w:color="auto" w:frame="1"/>
          <w:shd w:val="clear" w:color="auto" w:fill="FFFFFF"/>
        </w:rPr>
        <w:t>,</w:t>
      </w:r>
      <w:r w:rsidRPr="00E4401D">
        <w:rPr>
          <w:rFonts w:ascii="Times New Roman" w:hAnsi="Times New Roman" w:cs="Times New Roman"/>
          <w:color w:val="000000"/>
          <w:sz w:val="28"/>
          <w:szCs w:val="28"/>
          <w:bdr w:val="none" w:sz="0" w:space="0" w:color="auto" w:frame="1"/>
          <w:shd w:val="clear" w:color="auto" w:fill="FFFFFF"/>
        </w:rPr>
        <w:t xml:space="preserve"> del 14 de junio de 2023, el Magistrado sustanciador inadmitió los tres cargos presentados en la demanda, toda vez que</w:t>
      </w:r>
      <w:r w:rsidRPr="00E4401D">
        <w:rPr>
          <w:rFonts w:ascii="Times New Roman" w:hAnsi="Times New Roman" w:cs="Times New Roman"/>
          <w:bCs/>
          <w:sz w:val="28"/>
          <w:szCs w:val="28"/>
        </w:rPr>
        <w:t xml:space="preserve"> encontró que </w:t>
      </w:r>
      <w:r w:rsidRPr="00E4401D">
        <w:rPr>
          <w:rFonts w:ascii="Times New Roman" w:hAnsi="Times New Roman" w:cs="Times New Roman"/>
          <w:sz w:val="28"/>
          <w:szCs w:val="28"/>
        </w:rPr>
        <w:t>los argumentos alegados por los demandantes no satisfacían los requisitos de especif</w:t>
      </w:r>
      <w:r w:rsidRPr="00E4401D">
        <w:rPr>
          <w:rFonts w:ascii="Times New Roman" w:hAnsi="Times New Roman" w:cs="Times New Roman"/>
          <w:sz w:val="28"/>
          <w:szCs w:val="28"/>
        </w:rPr>
        <w:t>icidad, certeza, pertinencia y suficiencia requeridos para el control constitucional. Señaló que los cargos no proponían argumentos precisos, razones objetivas, ni evidencias de que la totalidad del articulado infringiera la Constitución Política. Indicó q</w:t>
      </w:r>
      <w:r w:rsidRPr="00E4401D">
        <w:rPr>
          <w:rFonts w:ascii="Times New Roman" w:hAnsi="Times New Roman" w:cs="Times New Roman"/>
          <w:sz w:val="28"/>
          <w:szCs w:val="28"/>
        </w:rPr>
        <w:t>ue, por el contrario, la demanda partía de críticas generales, negaciones indefinidas, razones personales e incluso premisas jurídicas incorrectas sobre el proceso legislativo.</w:t>
      </w:r>
    </w:p>
    <w:p w:rsidR="00F464C8" w:rsidRPr="00E4401D" w:rsidRDefault="00E4401D" w:rsidP="00F464C8">
      <w:pPr>
        <w:pStyle w:val="Prrafodelista"/>
        <w:autoSpaceDE w:val="0"/>
        <w:autoSpaceDN w:val="0"/>
        <w:ind w:left="0"/>
        <w:jc w:val="both"/>
        <w:rPr>
          <w:rFonts w:ascii="Times New Roman" w:hAnsi="Times New Roman" w:cs="Times New Roman"/>
          <w:b/>
          <w:sz w:val="28"/>
          <w:szCs w:val="28"/>
        </w:rPr>
      </w:pPr>
    </w:p>
    <w:p w:rsidR="00F464C8" w:rsidRPr="00E4401D" w:rsidRDefault="00E4401D" w:rsidP="00F464C8">
      <w:pPr>
        <w:pStyle w:val="Prrafodelista"/>
        <w:numPr>
          <w:ilvl w:val="0"/>
          <w:numId w:val="3"/>
        </w:numPr>
        <w:ind w:left="0" w:firstLine="0"/>
        <w:jc w:val="both"/>
        <w:rPr>
          <w:rFonts w:ascii="Times New Roman" w:hAnsi="Times New Roman" w:cs="Times New Roman"/>
          <w:b/>
          <w:sz w:val="28"/>
          <w:szCs w:val="28"/>
        </w:rPr>
      </w:pPr>
      <w:r w:rsidRPr="00E4401D">
        <w:rPr>
          <w:rFonts w:ascii="Times New Roman" w:hAnsi="Times New Roman" w:cs="Times New Roman"/>
          <w:bCs/>
          <w:sz w:val="28"/>
          <w:szCs w:val="28"/>
        </w:rPr>
        <w:t xml:space="preserve">El </w:t>
      </w:r>
      <w:r w:rsidRPr="00E4401D">
        <w:rPr>
          <w:rFonts w:ascii="Times New Roman" w:hAnsi="Times New Roman" w:cs="Times New Roman"/>
          <w:bCs/>
          <w:sz w:val="28"/>
          <w:szCs w:val="28"/>
        </w:rPr>
        <w:t>a</w:t>
      </w:r>
      <w:r w:rsidRPr="00E4401D">
        <w:rPr>
          <w:rFonts w:ascii="Times New Roman" w:hAnsi="Times New Roman" w:cs="Times New Roman"/>
          <w:bCs/>
          <w:sz w:val="28"/>
          <w:szCs w:val="28"/>
        </w:rPr>
        <w:t>uto que inadmitió la demanda fue notificado mediante estado, del 16 de jun</w:t>
      </w:r>
      <w:r w:rsidRPr="00E4401D">
        <w:rPr>
          <w:rFonts w:ascii="Times New Roman" w:hAnsi="Times New Roman" w:cs="Times New Roman"/>
          <w:bCs/>
          <w:sz w:val="28"/>
          <w:szCs w:val="28"/>
        </w:rPr>
        <w:t xml:space="preserve">io de 2023, según la constancia emitida por la Secretaría General de la Corte Constitucional, y concedió un término de </w:t>
      </w:r>
      <w:r w:rsidRPr="00E4401D">
        <w:rPr>
          <w:rFonts w:ascii="Times New Roman" w:hAnsi="Times New Roman" w:cs="Times New Roman"/>
          <w:sz w:val="28"/>
          <w:szCs w:val="28"/>
        </w:rPr>
        <w:t>tres días hábiles</w:t>
      </w:r>
      <w:r w:rsidRPr="00E4401D">
        <w:rPr>
          <w:rFonts w:ascii="Times New Roman" w:hAnsi="Times New Roman" w:cs="Times New Roman"/>
          <w:bCs/>
          <w:sz w:val="28"/>
          <w:szCs w:val="28"/>
        </w:rPr>
        <w:t xml:space="preserve"> a los accionantes para que subsanara</w:t>
      </w:r>
      <w:r w:rsidRPr="00E4401D">
        <w:rPr>
          <w:rFonts w:ascii="Times New Roman" w:hAnsi="Times New Roman" w:cs="Times New Roman"/>
          <w:bCs/>
          <w:sz w:val="28"/>
          <w:szCs w:val="28"/>
        </w:rPr>
        <w:t>n</w:t>
      </w:r>
      <w:r w:rsidRPr="00E4401D">
        <w:rPr>
          <w:rFonts w:ascii="Times New Roman" w:hAnsi="Times New Roman" w:cs="Times New Roman"/>
          <w:bCs/>
          <w:sz w:val="28"/>
          <w:szCs w:val="28"/>
        </w:rPr>
        <w:t xml:space="preserve"> las falencias advertidas</w:t>
      </w:r>
      <w:r w:rsidRPr="00E4401D">
        <w:rPr>
          <w:rFonts w:ascii="Times New Roman" w:hAnsi="Times New Roman" w:cs="Times New Roman"/>
          <w:sz w:val="28"/>
          <w:szCs w:val="28"/>
        </w:rPr>
        <w:t>, so pena de rechazo de la demanda.</w:t>
      </w:r>
    </w:p>
    <w:p w:rsidR="00F464C8" w:rsidRPr="00E4401D" w:rsidRDefault="00E4401D" w:rsidP="00F464C8">
      <w:pPr>
        <w:pStyle w:val="Prrafodelista"/>
        <w:jc w:val="both"/>
        <w:rPr>
          <w:rFonts w:ascii="Times New Roman" w:hAnsi="Times New Roman" w:cs="Times New Roman"/>
          <w:b/>
          <w:sz w:val="28"/>
          <w:szCs w:val="28"/>
        </w:rPr>
      </w:pPr>
    </w:p>
    <w:p w:rsidR="00F464C8" w:rsidRPr="00E4401D" w:rsidRDefault="00E4401D" w:rsidP="00F464C8">
      <w:pPr>
        <w:pStyle w:val="Prrafodelista"/>
        <w:numPr>
          <w:ilvl w:val="0"/>
          <w:numId w:val="3"/>
        </w:numPr>
        <w:ind w:left="0" w:firstLine="0"/>
        <w:jc w:val="both"/>
        <w:rPr>
          <w:rFonts w:ascii="Times New Roman" w:hAnsi="Times New Roman" w:cs="Times New Roman"/>
          <w:b/>
          <w:sz w:val="28"/>
          <w:szCs w:val="28"/>
        </w:rPr>
      </w:pPr>
      <w:r w:rsidRPr="00E4401D">
        <w:rPr>
          <w:rFonts w:ascii="Times New Roman" w:hAnsi="Times New Roman" w:cs="Times New Roman"/>
          <w:bCs/>
          <w:sz w:val="28"/>
          <w:szCs w:val="28"/>
        </w:rPr>
        <w:t>La Secretaría Genera</w:t>
      </w:r>
      <w:r w:rsidRPr="00E4401D">
        <w:rPr>
          <w:rFonts w:ascii="Times New Roman" w:hAnsi="Times New Roman" w:cs="Times New Roman"/>
          <w:bCs/>
          <w:sz w:val="28"/>
          <w:szCs w:val="28"/>
        </w:rPr>
        <w:t>l de esta Corporación mediante oficio, del 23 de junio de 2023, certificó que los demandantes presentaron el escrito de corrección de la demanda, el 22 de junio de 2023, dentro del término concedido para el efecto.</w:t>
      </w:r>
    </w:p>
    <w:p w:rsidR="00F464C8" w:rsidRPr="00E4401D" w:rsidRDefault="00E4401D" w:rsidP="00F464C8">
      <w:pPr>
        <w:pStyle w:val="Prrafodelista"/>
        <w:ind w:left="0"/>
        <w:jc w:val="both"/>
        <w:rPr>
          <w:rFonts w:ascii="Times New Roman" w:hAnsi="Times New Roman" w:cs="Times New Roman"/>
          <w:b/>
          <w:sz w:val="28"/>
          <w:szCs w:val="28"/>
        </w:rPr>
      </w:pPr>
    </w:p>
    <w:p w:rsidR="00F464C8" w:rsidRPr="00E4401D" w:rsidRDefault="00E4401D" w:rsidP="00C039CA">
      <w:pPr>
        <w:pStyle w:val="Prrafodelista"/>
        <w:numPr>
          <w:ilvl w:val="0"/>
          <w:numId w:val="3"/>
        </w:numPr>
        <w:tabs>
          <w:tab w:val="left" w:pos="90"/>
          <w:tab w:val="left" w:pos="180"/>
        </w:tabs>
        <w:autoSpaceDE w:val="0"/>
        <w:autoSpaceDN w:val="0"/>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Mediante </w:t>
      </w:r>
      <w:r w:rsidRPr="00E4401D">
        <w:rPr>
          <w:rFonts w:ascii="Times New Roman" w:hAnsi="Times New Roman" w:cs="Times New Roman"/>
          <w:sz w:val="28"/>
          <w:szCs w:val="28"/>
        </w:rPr>
        <w:t>a</w:t>
      </w:r>
      <w:r w:rsidRPr="00E4401D">
        <w:rPr>
          <w:rFonts w:ascii="Times New Roman" w:hAnsi="Times New Roman" w:cs="Times New Roman"/>
          <w:sz w:val="28"/>
          <w:szCs w:val="28"/>
        </w:rPr>
        <w:t xml:space="preserve">uto, del 11 de julio de 2023, </w:t>
      </w:r>
      <w:r w:rsidRPr="00E4401D">
        <w:rPr>
          <w:rFonts w:ascii="Times New Roman" w:hAnsi="Times New Roman" w:cs="Times New Roman"/>
          <w:sz w:val="28"/>
          <w:szCs w:val="28"/>
        </w:rPr>
        <w:t xml:space="preserve">el Magistrado sustanciador admitió el segundo cargo de la demanda únicamente en lo relativo a los artículos 5, 61, 287 y 295 de la Ley 2294 de 2023, rechazó los otros dos cargos, ordenó comunicar el inicio de este proceso a la Presidencia del Senado de la </w:t>
      </w:r>
      <w:r w:rsidRPr="00E4401D">
        <w:rPr>
          <w:rFonts w:ascii="Times New Roman" w:hAnsi="Times New Roman" w:cs="Times New Roman"/>
          <w:sz w:val="28"/>
          <w:szCs w:val="28"/>
        </w:rPr>
        <w:t xml:space="preserve">República, a la Presidencia de la Cámara de Representantes, al Departamento Administrativo de la Presidencia de la República, al Ministerio de Hacienda y Crédito Público y al Departamento Nacional de Planeación y requirió a las secretarías del Senado y de </w:t>
      </w:r>
      <w:r w:rsidRPr="00E4401D">
        <w:rPr>
          <w:rFonts w:ascii="Times New Roman" w:hAnsi="Times New Roman" w:cs="Times New Roman"/>
          <w:sz w:val="28"/>
          <w:szCs w:val="28"/>
        </w:rPr>
        <w:t>la Cámara de Representantes para que aportaran los documentos relacionados con el trámite legislativo, incluidas las gacetas oficiales y las actas de las reuniones de ponentes.</w:t>
      </w:r>
    </w:p>
    <w:p w:rsidR="00C039CA" w:rsidRPr="00E4401D" w:rsidRDefault="00E4401D" w:rsidP="00C039CA">
      <w:pPr>
        <w:pStyle w:val="Prrafodelista"/>
        <w:tabs>
          <w:tab w:val="left" w:pos="90"/>
          <w:tab w:val="left" w:pos="180"/>
        </w:tabs>
        <w:autoSpaceDE w:val="0"/>
        <w:autoSpaceDN w:val="0"/>
        <w:ind w:left="0"/>
        <w:jc w:val="both"/>
        <w:rPr>
          <w:rFonts w:ascii="Times New Roman" w:hAnsi="Times New Roman" w:cs="Times New Roman"/>
          <w:sz w:val="28"/>
          <w:szCs w:val="28"/>
        </w:rPr>
      </w:pPr>
    </w:p>
    <w:p w:rsidR="00F464C8" w:rsidRPr="00E4401D" w:rsidRDefault="00E4401D" w:rsidP="00F464C8">
      <w:pPr>
        <w:pStyle w:val="centrado"/>
        <w:spacing w:before="0" w:beforeAutospacing="0" w:after="0" w:afterAutospacing="0" w:line="270" w:lineRule="atLeast"/>
        <w:jc w:val="both"/>
        <w:rPr>
          <w:rFonts w:ascii="Times New Roman" w:hAnsi="Times New Roman" w:cs="Times New Roman"/>
          <w:sz w:val="28"/>
          <w:szCs w:val="28"/>
        </w:rPr>
      </w:pPr>
    </w:p>
    <w:p w:rsidR="00F464C8" w:rsidRPr="00E4401D" w:rsidRDefault="00E4401D" w:rsidP="00F464C8">
      <w:pPr>
        <w:pStyle w:val="Ttulo2"/>
        <w:numPr>
          <w:ilvl w:val="0"/>
          <w:numId w:val="4"/>
        </w:numPr>
        <w:spacing w:before="0"/>
        <w:ind w:left="0" w:firstLine="0"/>
        <w:jc w:val="both"/>
        <w:rPr>
          <w:rFonts w:ascii="Times New Roman" w:hAnsi="Times New Roman" w:cs="Times New Roman"/>
          <w:b/>
          <w:bCs/>
          <w:color w:val="auto"/>
          <w:sz w:val="28"/>
          <w:szCs w:val="28"/>
          <w:u w:val="single"/>
        </w:rPr>
      </w:pPr>
      <w:r w:rsidRPr="00E4401D">
        <w:rPr>
          <w:rFonts w:ascii="Times New Roman" w:hAnsi="Times New Roman" w:cs="Times New Roman"/>
          <w:b/>
          <w:bCs/>
          <w:color w:val="auto"/>
          <w:sz w:val="28"/>
          <w:szCs w:val="28"/>
          <w:u w:val="single"/>
        </w:rPr>
        <w:t>Único cargo admitido</w:t>
      </w:r>
    </w:p>
    <w:p w:rsidR="00F464C8" w:rsidRPr="00E4401D" w:rsidRDefault="00E4401D" w:rsidP="00F464C8">
      <w:pPr>
        <w:rPr>
          <w:rFonts w:ascii="Times New Roman" w:hAnsi="Times New Roman" w:cs="Times New Roman"/>
          <w:sz w:val="28"/>
          <w:szCs w:val="28"/>
        </w:rPr>
      </w:pPr>
    </w:p>
    <w:p w:rsidR="00F464C8" w:rsidRPr="00E4401D" w:rsidRDefault="00E4401D" w:rsidP="00F464C8">
      <w:pPr>
        <w:pStyle w:val="Ttulo3"/>
        <w:jc w:val="both"/>
        <w:rPr>
          <w:rFonts w:ascii="Times New Roman" w:hAnsi="Times New Roman" w:cs="Times New Roman"/>
          <w:b/>
          <w:bCs/>
          <w:i/>
          <w:iCs/>
          <w:color w:val="auto"/>
          <w:sz w:val="28"/>
          <w:szCs w:val="28"/>
        </w:rPr>
      </w:pPr>
      <w:r w:rsidRPr="00E4401D">
        <w:rPr>
          <w:rFonts w:ascii="Times New Roman" w:hAnsi="Times New Roman" w:cs="Times New Roman"/>
          <w:b/>
          <w:bCs/>
          <w:i/>
          <w:iCs/>
          <w:color w:val="auto"/>
          <w:sz w:val="28"/>
          <w:szCs w:val="28"/>
        </w:rPr>
        <w:t xml:space="preserve">Vulneración de los artículos 157 y 160 de la </w:t>
      </w:r>
      <w:r w:rsidRPr="00E4401D">
        <w:rPr>
          <w:rFonts w:ascii="Times New Roman" w:hAnsi="Times New Roman" w:cs="Times New Roman"/>
          <w:b/>
          <w:bCs/>
          <w:i/>
          <w:iCs/>
          <w:color w:val="auto"/>
          <w:sz w:val="28"/>
          <w:szCs w:val="28"/>
        </w:rPr>
        <w:t>Constitución Política (Principio de publicidad)</w:t>
      </w:r>
    </w:p>
    <w:p w:rsidR="00F464C8" w:rsidRPr="00E4401D" w:rsidRDefault="00E4401D" w:rsidP="00F464C8">
      <w:pPr>
        <w:jc w:val="both"/>
        <w:rPr>
          <w:rFonts w:ascii="Times New Roman" w:hAnsi="Times New Roman" w:cs="Times New Roman"/>
          <w:sz w:val="28"/>
          <w:szCs w:val="28"/>
        </w:rPr>
      </w:pPr>
    </w:p>
    <w:p w:rsidR="00F464C8" w:rsidRPr="00E4401D" w:rsidRDefault="00E4401D" w:rsidP="00C73C8A">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A continuación, se expondrán los reproches concretos presentados por los demandantes que fueron admitidos por el Magistrado sustanciador.</w:t>
      </w:r>
    </w:p>
    <w:p w:rsidR="00F464C8" w:rsidRPr="00E4401D" w:rsidRDefault="00E4401D" w:rsidP="00C73C8A">
      <w:pPr>
        <w:pStyle w:val="Prrafodelista"/>
        <w:ind w:left="0"/>
        <w:jc w:val="both"/>
        <w:rPr>
          <w:rFonts w:ascii="Times New Roman" w:hAnsi="Times New Roman" w:cs="Times New Roman"/>
          <w:sz w:val="28"/>
          <w:szCs w:val="28"/>
        </w:rPr>
      </w:pPr>
    </w:p>
    <w:p w:rsidR="00F464C8" w:rsidRPr="00E4401D" w:rsidRDefault="00E4401D" w:rsidP="00C73C8A">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Los demandantes argumentan que los artículos 5, 61, 287 y 295 de la </w:t>
      </w:r>
      <w:r w:rsidRPr="00E4401D">
        <w:rPr>
          <w:rFonts w:ascii="Times New Roman" w:hAnsi="Times New Roman" w:cs="Times New Roman"/>
          <w:sz w:val="28"/>
          <w:szCs w:val="28"/>
        </w:rPr>
        <w:t>Ley 2294 de 2023 son inexequibles porque contravienen el principio de publicidad previsto en los artículos 157 y 160 de la Constitución Política. Sostuvieron que las proposiciones modificativas aprobadas por la plenaria del Senado de la República, que lueg</w:t>
      </w:r>
      <w:r w:rsidRPr="00E4401D">
        <w:rPr>
          <w:rFonts w:ascii="Times New Roman" w:hAnsi="Times New Roman" w:cs="Times New Roman"/>
          <w:sz w:val="28"/>
          <w:szCs w:val="28"/>
        </w:rPr>
        <w:t>o formaron parte definitiva del texto de dichos artículos, no fueron leídas de manera completa e integral. Esto impidió que los miembros de la plenaria tuvieran conocimiento pleno de las modificaciones propuestas.</w:t>
      </w:r>
    </w:p>
    <w:p w:rsidR="00F464C8" w:rsidRPr="00E4401D" w:rsidRDefault="00E4401D" w:rsidP="00C73C8A">
      <w:pPr>
        <w:pStyle w:val="Prrafodelista"/>
        <w:ind w:left="0"/>
        <w:jc w:val="both"/>
        <w:rPr>
          <w:rFonts w:ascii="Times New Roman" w:hAnsi="Times New Roman" w:cs="Times New Roman"/>
          <w:sz w:val="28"/>
          <w:szCs w:val="28"/>
        </w:rPr>
      </w:pPr>
    </w:p>
    <w:p w:rsidR="00F464C8" w:rsidRPr="00E4401D" w:rsidRDefault="00E4401D" w:rsidP="00C73C8A">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Presentaron un cuadro comparativo que inc</w:t>
      </w:r>
      <w:r w:rsidRPr="00E4401D">
        <w:rPr>
          <w:rFonts w:ascii="Times New Roman" w:hAnsi="Times New Roman" w:cs="Times New Roman"/>
          <w:sz w:val="28"/>
          <w:szCs w:val="28"/>
        </w:rPr>
        <w:t>luye: (i) los textos de los artículos en la versión incluida en la ponencia para el debate en la sesión plenaria del Senado de la República; (ii) el texto con la proposición modificativa finalmente aprobada; y (iii) la transcripción de la lectura realizada</w:t>
      </w:r>
      <w:r w:rsidRPr="00E4401D">
        <w:rPr>
          <w:rFonts w:ascii="Times New Roman" w:hAnsi="Times New Roman" w:cs="Times New Roman"/>
          <w:sz w:val="28"/>
          <w:szCs w:val="28"/>
        </w:rPr>
        <w:t xml:space="preserve"> por el presidente del Senado de la Rep</w:t>
      </w:r>
      <w:r w:rsidRPr="00E4401D">
        <w:rPr>
          <w:rFonts w:ascii="Times New Roman" w:hAnsi="Times New Roman" w:cs="Times New Roman"/>
          <w:sz w:val="28"/>
          <w:szCs w:val="28"/>
        </w:rPr>
        <w:t>ú</w:t>
      </w:r>
      <w:r w:rsidRPr="00E4401D">
        <w:rPr>
          <w:rFonts w:ascii="Times New Roman" w:hAnsi="Times New Roman" w:cs="Times New Roman"/>
          <w:sz w:val="28"/>
          <w:szCs w:val="28"/>
        </w:rPr>
        <w:t>blica para explicar la proposición. En el segundo ítem, los demandantes subrayaron las secciones del texto que representaban las novedades introducidas por la proposición. A continuación, se transcribe dicho cuadro:</w:t>
      </w:r>
    </w:p>
    <w:p w:rsidR="00F464C8" w:rsidRPr="00E4401D" w:rsidRDefault="00E4401D" w:rsidP="00F464C8">
      <w:pPr>
        <w:rPr>
          <w:rFonts w:ascii="Times New Roman" w:hAnsi="Times New Roman" w:cs="Times New Roman"/>
          <w:sz w:val="28"/>
          <w:szCs w:val="26"/>
        </w:rPr>
      </w:pPr>
    </w:p>
    <w:tbl>
      <w:tblPr>
        <w:tblStyle w:val="Tablaconcuadrcula"/>
        <w:tblW w:w="0" w:type="auto"/>
        <w:tblLook w:val="04A0" w:firstRow="1" w:lastRow="0" w:firstColumn="1" w:lastColumn="0" w:noHBand="0" w:noVBand="1"/>
      </w:tblPr>
      <w:tblGrid>
        <w:gridCol w:w="2327"/>
        <w:gridCol w:w="2569"/>
        <w:gridCol w:w="3934"/>
      </w:tblGrid>
      <w:tr w:rsidR="00F464C8" w:rsidRPr="00E4401D" w:rsidTr="008A3C27">
        <w:tc>
          <w:tcPr>
            <w:tcW w:w="3226" w:type="dxa"/>
          </w:tcPr>
          <w:p w:rsidR="00F464C8" w:rsidRPr="00E4401D" w:rsidRDefault="00E4401D" w:rsidP="008A3C27">
            <w:pPr>
              <w:rPr>
                <w:rFonts w:ascii="Times New Roman" w:hAnsi="Times New Roman" w:cs="Times New Roman"/>
                <w:b/>
                <w:bCs/>
                <w:i/>
                <w:iCs/>
                <w:sz w:val="28"/>
              </w:rPr>
            </w:pPr>
            <w:r w:rsidRPr="00E4401D">
              <w:rPr>
                <w:rFonts w:ascii="Times New Roman" w:hAnsi="Times New Roman" w:cs="Times New Roman"/>
                <w:b/>
                <w:bCs/>
                <w:i/>
                <w:iCs/>
                <w:sz w:val="28"/>
              </w:rPr>
              <w:t>PONENCIA SEGUNDO DEBATE</w:t>
            </w:r>
          </w:p>
        </w:tc>
        <w:tc>
          <w:tcPr>
            <w:tcW w:w="3227" w:type="dxa"/>
          </w:tcPr>
          <w:p w:rsidR="00F464C8" w:rsidRPr="00E4401D" w:rsidRDefault="00E4401D" w:rsidP="008A3C27">
            <w:pPr>
              <w:rPr>
                <w:rFonts w:ascii="Times New Roman" w:hAnsi="Times New Roman" w:cs="Times New Roman"/>
                <w:b/>
                <w:bCs/>
                <w:i/>
                <w:iCs/>
                <w:sz w:val="28"/>
              </w:rPr>
            </w:pPr>
            <w:r w:rsidRPr="00E4401D">
              <w:rPr>
                <w:rFonts w:ascii="Times New Roman" w:hAnsi="Times New Roman" w:cs="Times New Roman"/>
                <w:b/>
                <w:bCs/>
                <w:i/>
                <w:iCs/>
                <w:sz w:val="28"/>
              </w:rPr>
              <w:t>PROPOSICIÓN PRESENTADA</w:t>
            </w:r>
          </w:p>
        </w:tc>
        <w:tc>
          <w:tcPr>
            <w:tcW w:w="3227" w:type="dxa"/>
          </w:tcPr>
          <w:p w:rsidR="00F464C8" w:rsidRPr="00E4401D" w:rsidRDefault="00E4401D" w:rsidP="008A3C27">
            <w:pPr>
              <w:rPr>
                <w:rFonts w:ascii="Times New Roman" w:hAnsi="Times New Roman" w:cs="Times New Roman"/>
                <w:b/>
                <w:bCs/>
                <w:i/>
                <w:iCs/>
                <w:sz w:val="28"/>
              </w:rPr>
            </w:pPr>
            <w:r w:rsidRPr="00E4401D">
              <w:rPr>
                <w:rFonts w:ascii="Times New Roman" w:hAnsi="Times New Roman" w:cs="Times New Roman"/>
                <w:b/>
                <w:bCs/>
                <w:i/>
                <w:iCs/>
                <w:sz w:val="28"/>
              </w:rPr>
              <w:t>TRANSCRIPCIÓN LECTURA DADA POR EL PRESIDENTE ROY BARRERAS</w:t>
            </w:r>
          </w:p>
        </w:tc>
      </w:tr>
      <w:tr w:rsidR="00F464C8" w:rsidRPr="00E4401D" w:rsidTr="008A3C27">
        <w:tc>
          <w:tcPr>
            <w:tcW w:w="3226" w:type="dxa"/>
          </w:tcPr>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Artículo 5 de la Ley 2294 de 2023 </w:t>
            </w:r>
            <w:r w:rsidRPr="00E4401D">
              <w:rPr>
                <w:rFonts w:ascii="Times New Roman" w:hAnsi="Times New Roman" w:cs="Times New Roman"/>
                <w:i/>
                <w:iCs/>
                <w:sz w:val="28"/>
              </w:rPr>
              <w:t>PARÁGRAFO TERCERO. Como parte integral del Plan Plurianual de Inversiones se incluye una proyección indicativa para las comunidades Negras, Afrocolombianas, Raizales y Palanqueras por un monto de cinco coma nueve (5,9) billones que corresponden a la proye</w:t>
            </w:r>
            <w:r w:rsidRPr="00E4401D">
              <w:rPr>
                <w:rFonts w:ascii="Times New Roman" w:hAnsi="Times New Roman" w:cs="Times New Roman"/>
                <w:i/>
                <w:iCs/>
                <w:sz w:val="28"/>
              </w:rPr>
              <w:t>cción indicativa de los recursos del Presupuesto General de la Nación para el cumplimiento de los acuerdos de la consulta previa con estas comunidades étnicas. Estos recursos se proyectan respetando el Marco de Gasto de Mediano Plazo y el Marco Fiscal de M</w:t>
            </w:r>
            <w:r w:rsidRPr="00E4401D">
              <w:rPr>
                <w:rFonts w:ascii="Times New Roman" w:hAnsi="Times New Roman" w:cs="Times New Roman"/>
                <w:i/>
                <w:iCs/>
                <w:sz w:val="28"/>
              </w:rPr>
              <w:t>ediano Plazo.</w:t>
            </w:r>
          </w:p>
        </w:tc>
        <w:tc>
          <w:tcPr>
            <w:tcW w:w="3227" w:type="dxa"/>
          </w:tcPr>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Artículo 5 de la Ley 2294 de 2023 PARÁGRAFO TERCERO. Como parte integral del Plan Plurianual de Inversiones se incluye una proyección indicativa para las comunidades Negras, Afrocolombianas, Raizales y Palanqueras por un monto de </w:t>
            </w:r>
            <w:r w:rsidRPr="00E4401D">
              <w:rPr>
                <w:rFonts w:ascii="Times New Roman" w:hAnsi="Times New Roman" w:cs="Times New Roman"/>
                <w:b/>
                <w:bCs/>
                <w:i/>
                <w:iCs/>
                <w:sz w:val="28"/>
                <w:u w:val="single"/>
              </w:rPr>
              <w:t>veintinueve</w:t>
            </w:r>
            <w:r w:rsidRPr="00E4401D">
              <w:rPr>
                <w:rFonts w:ascii="Times New Roman" w:hAnsi="Times New Roman" w:cs="Times New Roman"/>
                <w:b/>
                <w:bCs/>
                <w:i/>
                <w:iCs/>
                <w:sz w:val="28"/>
                <w:u w:val="single"/>
              </w:rPr>
              <w:t xml:space="preserve"> (29,265) billones de pesos, que incluye todos los recursos del Presupuesto General de la Nación, el Sistema General de Participaciones y el Sistema General de Regalías, de los cuales cinco, nueve</w:t>
            </w:r>
            <w:r w:rsidRPr="00E4401D">
              <w:rPr>
                <w:rFonts w:ascii="Times New Roman" w:hAnsi="Times New Roman" w:cs="Times New Roman"/>
                <w:i/>
                <w:iCs/>
                <w:sz w:val="28"/>
              </w:rPr>
              <w:t xml:space="preserve"> (5,9) billones corresponden a la proyección indicativa de l</w:t>
            </w:r>
            <w:r w:rsidRPr="00E4401D">
              <w:rPr>
                <w:rFonts w:ascii="Times New Roman" w:hAnsi="Times New Roman" w:cs="Times New Roman"/>
                <w:i/>
                <w:iCs/>
                <w:sz w:val="28"/>
              </w:rPr>
              <w:t>os recursos del Presupuesto General de la Nación para el cumplimiento de los acuerdos de la consulta previa con estas comunidades étnicas. Estos recursos se proyectan respetando el Marco de Gasto de Mediano Plazo y el Marco Fiscal de Mediano Plazo.</w:t>
            </w:r>
          </w:p>
        </w:tc>
        <w:tc>
          <w:tcPr>
            <w:tcW w:w="3227" w:type="dxa"/>
          </w:tcPr>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“PARÁG</w:t>
            </w:r>
            <w:r w:rsidRPr="00E4401D">
              <w:rPr>
                <w:rFonts w:ascii="Times New Roman" w:hAnsi="Times New Roman" w:cs="Times New Roman"/>
                <w:i/>
                <w:iCs/>
                <w:sz w:val="28"/>
              </w:rPr>
              <w:t xml:space="preserve">RAFO TERCERO. Como parte integral del Plan Plurianual de Inversiones se incluye una proyección indicativa para las comunidades Negras, Afrocolombianas, Raizales y Palanqueras”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Lo transcrito se podrá verificar en la grabación disponible en el canal de You</w:t>
            </w:r>
            <w:r w:rsidRPr="00E4401D">
              <w:rPr>
                <w:rFonts w:ascii="Times New Roman" w:hAnsi="Times New Roman" w:cs="Times New Roman"/>
                <w:i/>
                <w:iCs/>
                <w:sz w:val="28"/>
              </w:rPr>
              <w:t>Tube del Congreso Colombia denominada Plenaria del Senado del 2 de mayo de 2023. (Minuto 7:48:55-7:49:15) https://www.youtube.com/watch?v=iKHzz SDcJ9k</w:t>
            </w:r>
          </w:p>
        </w:tc>
      </w:tr>
      <w:tr w:rsidR="00F464C8" w:rsidRPr="00E4401D" w:rsidTr="008A3C27">
        <w:tc>
          <w:tcPr>
            <w:tcW w:w="3226" w:type="dxa"/>
          </w:tcPr>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Artículo 55 de la ponencia de segundo debate – Artículo 61 de la Ley 2294 de 2023 ARTÍCULO 55°. MECANISM</w:t>
            </w:r>
            <w:r w:rsidRPr="00E4401D">
              <w:rPr>
                <w:rFonts w:ascii="Times New Roman" w:hAnsi="Times New Roman" w:cs="Times New Roman"/>
                <w:i/>
                <w:iCs/>
                <w:sz w:val="28"/>
              </w:rPr>
              <w:t>OS PARA FACILITAR Y DINAMIZAR LOS PROCESOSDE COMPRA DE TIERRAS POR OFERTA VOLUNTARIA. En el marco del procedimiento de compra por oferta voluntaria de tierras, que se destinarán al fondo de tierras a cargo de la Agencia Nacional de Tierras (ANT), podrán ad</w:t>
            </w:r>
            <w:r w:rsidRPr="00E4401D">
              <w:rPr>
                <w:rFonts w:ascii="Times New Roman" w:hAnsi="Times New Roman" w:cs="Times New Roman"/>
                <w:i/>
                <w:iCs/>
                <w:sz w:val="28"/>
              </w:rPr>
              <w:t xml:space="preserve">elantarse las siguientes medidas: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1. Saneamiento para la compra de tierras. En los eventos en que la ANT, en el marco de sus funciones, adquiera inmuebles por negociación directa, operará a su favor el saneamiento sobre la existencia de limitaciones, gra</w:t>
            </w:r>
            <w:r w:rsidRPr="00E4401D">
              <w:rPr>
                <w:rFonts w:ascii="Times New Roman" w:hAnsi="Times New Roman" w:cs="Times New Roman"/>
                <w:i/>
                <w:iCs/>
                <w:sz w:val="28"/>
              </w:rPr>
              <w:t xml:space="preserve">vámenes, afectaciones o medidas cautelares que impidan el uso, goce y disposición plena del predio, incluso las que surjan con posterioridad al proceso de adquisición. Lo anterior, sin perjuicio de las acciones indemnizatorias que procedan según la ley.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En caso de ser necesario, con cargo al precio de compra del inmueble, se asumirán las obligaciones causadas, tales como servicios públicos, obligaciones tributarias del orden nacional y territorial, valorización y otras que recaigan sobre los inmuebles obj</w:t>
            </w:r>
            <w:r w:rsidRPr="00E4401D">
              <w:rPr>
                <w:rFonts w:ascii="Times New Roman" w:hAnsi="Times New Roman" w:cs="Times New Roman"/>
                <w:i/>
                <w:iCs/>
                <w:sz w:val="28"/>
              </w:rPr>
              <w:t xml:space="preserve">eto de compra.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El saneamiento previsto en el inciso anterior no operará en perjuicio de la presunción de bien baldío prevista en la Ley 160 de 1994. Así́ mismo, no operará cuando i) se presente despojo por el conflicto armado, en términos de la Ley 1448 </w:t>
            </w:r>
            <w:r w:rsidRPr="00E4401D">
              <w:rPr>
                <w:rFonts w:ascii="Times New Roman" w:hAnsi="Times New Roman" w:cs="Times New Roman"/>
                <w:i/>
                <w:iCs/>
                <w:sz w:val="28"/>
              </w:rPr>
              <w:t xml:space="preserve">de 2011 y los Decretos ley 4633, 4634 y 4635 de 2011; ii) existan medidas o limitaciones asociadas a procesos de restitución de tierras, conforme lo prescrito por la Ley 1448 de 2011; iii) existan medidas de protección de conformidad con lo previsto en la </w:t>
            </w:r>
            <w:r w:rsidRPr="00E4401D">
              <w:rPr>
                <w:rFonts w:ascii="Times New Roman" w:hAnsi="Times New Roman" w:cs="Times New Roman"/>
                <w:i/>
                <w:iCs/>
                <w:sz w:val="28"/>
              </w:rPr>
              <w:t xml:space="preserve">Ley 387 de 1997; y iv) se estén adelantando procesos de clarificación de la propiedad, extinción del dominio por incumplimiento de la función social y ecológica de la propiedad, deslinde y recuperación de baldíos de que trata la Ley 160 de 1994. Sobre las </w:t>
            </w:r>
            <w:r w:rsidRPr="00E4401D">
              <w:rPr>
                <w:rFonts w:ascii="Times New Roman" w:hAnsi="Times New Roman" w:cs="Times New Roman"/>
                <w:i/>
                <w:iCs/>
                <w:sz w:val="28"/>
              </w:rPr>
              <w:t>tierras que pretenda adquirir la ANT se debe acreditar propiedad privada de conformidad con lo previsto en el artículo 48 de la Ley 160 de 1994, se debe cumplir con las normas ambientales y agrarias, y deben estar en posesión de sus propietarios o del admi</w:t>
            </w:r>
            <w:r w:rsidRPr="00E4401D">
              <w:rPr>
                <w:rFonts w:ascii="Times New Roman" w:hAnsi="Times New Roman" w:cs="Times New Roman"/>
                <w:i/>
                <w:iCs/>
                <w:sz w:val="28"/>
              </w:rPr>
              <w:t xml:space="preserve">nistrador del Frisco.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2. Compra directa de tierras al FRISCO. La ANT podrá́ adquirir de manera directa: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a. Inmuebles rurales no sociales con medidas cautelares dentro del proceso de extinción de dominio, bajo el mecanismo de enajenación temprana, de co</w:t>
            </w:r>
            <w:r w:rsidRPr="00E4401D">
              <w:rPr>
                <w:rFonts w:ascii="Times New Roman" w:hAnsi="Times New Roman" w:cs="Times New Roman"/>
                <w:i/>
                <w:iCs/>
                <w:sz w:val="28"/>
              </w:rPr>
              <w:t xml:space="preserve">nformidad con lo establecido en el artículo 93 de la Ley 1708 de 2014.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Los predios deberán ser adquiridos por el precio base de venta definido en el avalúo comercial vigente al momento de la venta. Con los dineros producto de la enajenación temprana, el </w:t>
            </w:r>
            <w:r w:rsidRPr="00E4401D">
              <w:rPr>
                <w:rFonts w:ascii="Times New Roman" w:hAnsi="Times New Roman" w:cs="Times New Roman"/>
                <w:i/>
                <w:iCs/>
                <w:sz w:val="28"/>
              </w:rPr>
              <w:t>administrador del FRISCO constituirá́ una reserva técnica del cien por ciento (100%), destinada a cumplir las órdenes judiciales de devolución que recaigan sobre los bienes objeto de venta. En los eventos en los que sea declarada la extinción de dominio, l</w:t>
            </w:r>
            <w:r w:rsidRPr="00E4401D">
              <w:rPr>
                <w:rFonts w:ascii="Times New Roman" w:hAnsi="Times New Roman" w:cs="Times New Roman"/>
                <w:i/>
                <w:iCs/>
                <w:sz w:val="28"/>
              </w:rPr>
              <w:t xml:space="preserve">a reserva técnica referida será reintegrada en su totalidad al Fondo de Tierras.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b. Inmuebles rurales propiedad de personas jurídicas incursas en procesos de liquidación y con medidas cautelares dentro del proceso de extinción de dominio, bajo el mecanis</w:t>
            </w:r>
            <w:r w:rsidRPr="00E4401D">
              <w:rPr>
                <w:rFonts w:ascii="Times New Roman" w:hAnsi="Times New Roman" w:cs="Times New Roman"/>
                <w:i/>
                <w:iCs/>
                <w:sz w:val="28"/>
              </w:rPr>
              <w:t xml:space="preserve">mo de enajenación temprana, de conformidad con lo establecido en el artículo 93 de la Ley 1708 de 2014.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Los predios deberán ser adquiridos por el precio base de venta definido en el avalúo comercial vigente al momento de la venta. El producto de la venta de estos bienes estará́ destinado a cancelar las deudas a cargo de la sociedad, respetando el proceso de </w:t>
            </w:r>
            <w:r w:rsidRPr="00E4401D">
              <w:rPr>
                <w:rFonts w:ascii="Times New Roman" w:hAnsi="Times New Roman" w:cs="Times New Roman"/>
                <w:i/>
                <w:iCs/>
                <w:sz w:val="28"/>
              </w:rPr>
              <w:t xml:space="preserve">liquidación, sus etapas y las prelaciones legales.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c. Inmuebles rurales propiedad de personas jurídicas incursas en procesos de liquidación y sobre las que se declare la extinción de dominio, conforme lo establecido en el inciso segundo del artículo 105 </w:t>
            </w:r>
            <w:r w:rsidRPr="00E4401D">
              <w:rPr>
                <w:rFonts w:ascii="Times New Roman" w:hAnsi="Times New Roman" w:cs="Times New Roman"/>
                <w:i/>
                <w:iCs/>
                <w:sz w:val="28"/>
              </w:rPr>
              <w:t xml:space="preserve">de la Ley 1708 de 2014.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Los predios deberán ser adquiridos por el precio base de venta definido en el avalúo comercial vigente al momento de la venta. El producto de la venta de estos bienes estará́ destinado a cancelar las deudas a cargo de la sociedad,</w:t>
            </w:r>
            <w:r w:rsidRPr="00E4401D">
              <w:rPr>
                <w:rFonts w:ascii="Times New Roman" w:hAnsi="Times New Roman" w:cs="Times New Roman"/>
                <w:i/>
                <w:iCs/>
                <w:sz w:val="28"/>
              </w:rPr>
              <w:t xml:space="preserve"> respetando el proceso de liquidación, sus etapas y las prelaciones legales.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3. Compra directa de tierras al Fondo de Reparación de Víctimas. La ANT podrá adquirir de manera directa los inmuebles rurales del Fondo para la Reparación de las Víctimas, que </w:t>
            </w:r>
            <w:r w:rsidRPr="00E4401D">
              <w:rPr>
                <w:rFonts w:ascii="Times New Roman" w:hAnsi="Times New Roman" w:cs="Times New Roman"/>
                <w:i/>
                <w:iCs/>
                <w:sz w:val="28"/>
              </w:rPr>
              <w:t xml:space="preserve">sean susceptibles de comercialización, los cuales serán adquiridos por el monto fijado mediante avalúo comercial vigente.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4. Transferencia directa por parte de otras entidades públicas. La ANT podrá́ adquirir de manera directa bienes inmuebles rurales de</w:t>
            </w:r>
            <w:r w:rsidRPr="00E4401D">
              <w:rPr>
                <w:rFonts w:ascii="Times New Roman" w:hAnsi="Times New Roman" w:cs="Times New Roman"/>
                <w:i/>
                <w:iCs/>
                <w:sz w:val="28"/>
              </w:rPr>
              <w:t xml:space="preserve"> propiedad de las entidades públicas que cumplan con las condiciones para la implementación de programas de dotación de tierras.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Las entidades de derecho público podrán realizar la transferencia a título gratuito. En estos casos, la transferencia puede c</w:t>
            </w:r>
            <w:r w:rsidRPr="00E4401D">
              <w:rPr>
                <w:rFonts w:ascii="Times New Roman" w:hAnsi="Times New Roman" w:cs="Times New Roman"/>
                <w:i/>
                <w:iCs/>
                <w:sz w:val="28"/>
              </w:rPr>
              <w:t xml:space="preserve">ondicionar que la ANT comprometa la inversión de recursos. Estos recursos se destinarán a la compra de inmuebles para nuevas adjudicaciones, la adecuación de los bienes transferidos o su saneamiento.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PARÁGRAFO PRIMERO. Los literales a y b del numeral 2 </w:t>
            </w:r>
            <w:r w:rsidRPr="00E4401D">
              <w:rPr>
                <w:rFonts w:ascii="Times New Roman" w:hAnsi="Times New Roman" w:cs="Times New Roman"/>
                <w:i/>
                <w:iCs/>
                <w:sz w:val="28"/>
              </w:rPr>
              <w:t xml:space="preserve">del presente artículo constituyen supuestos adicionales a las reglas aplicables para la enajenación temprana, previstos en la legislación vigente.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PARÁGRAFO SEGUNDO. El cumplimiento de lo dispuesto en este artículo estará́ sujeto al Marco Fiscal de Medi</w:t>
            </w:r>
            <w:r w:rsidRPr="00E4401D">
              <w:rPr>
                <w:rFonts w:ascii="Times New Roman" w:hAnsi="Times New Roman" w:cs="Times New Roman"/>
                <w:i/>
                <w:iCs/>
                <w:sz w:val="28"/>
              </w:rPr>
              <w:t>ano Plazo, el Marco de Gasto de Mediano Plazo del correspondiente sector y a las disponibilidades presupuestales.</w:t>
            </w:r>
          </w:p>
        </w:tc>
        <w:tc>
          <w:tcPr>
            <w:tcW w:w="3227" w:type="dxa"/>
          </w:tcPr>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Artículo 55 de la ponencia de segundo debate – Artículo 61 de la Ley 2294 de 2023 ARTÍCULO 61°. MECANISMOS PARA FACILITAR Y DINAMIZAR LOS PROC</w:t>
            </w:r>
            <w:r w:rsidRPr="00E4401D">
              <w:rPr>
                <w:rFonts w:ascii="Times New Roman" w:hAnsi="Times New Roman" w:cs="Times New Roman"/>
                <w:i/>
                <w:iCs/>
                <w:sz w:val="28"/>
              </w:rPr>
              <w:t xml:space="preserve">ESOS DE COMPRA DE TIERRAS POR OFERTA VOLUNTARIA. En el marco del procedimiento de compra por oferta voluntaria de tierras, que se destinarán al fondo de tierras a cargo de la Agencia Nacional de Tierras (ANT), podrán adelantarse las siguientes medidas: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1</w:t>
            </w:r>
            <w:r w:rsidRPr="00E4401D">
              <w:rPr>
                <w:rFonts w:ascii="Times New Roman" w:hAnsi="Times New Roman" w:cs="Times New Roman"/>
                <w:i/>
                <w:iCs/>
                <w:sz w:val="28"/>
              </w:rPr>
              <w:t>. Saneamiento para la compra de tierras. En los eventos en que la ANT, en el marco de sus funciones, adquiera inmuebles por negociación directa, operará a su favor el saneamiento sobre la existencia de limitaciones, gravámenes, afectaciones o medidas caute</w:t>
            </w:r>
            <w:r w:rsidRPr="00E4401D">
              <w:rPr>
                <w:rFonts w:ascii="Times New Roman" w:hAnsi="Times New Roman" w:cs="Times New Roman"/>
                <w:i/>
                <w:iCs/>
                <w:sz w:val="28"/>
              </w:rPr>
              <w:t xml:space="preserve">lares que impidan el uso, goce y disposición plena del predio, incluso las que surjan con posterioridad al proceso de adquisición. Lo anterior, sin perjuicio de las acciones indemnizatorias que procedan según la ley. En caso de ser necesario, con cargo al </w:t>
            </w:r>
            <w:r w:rsidRPr="00E4401D">
              <w:rPr>
                <w:rFonts w:ascii="Times New Roman" w:hAnsi="Times New Roman" w:cs="Times New Roman"/>
                <w:i/>
                <w:iCs/>
                <w:sz w:val="28"/>
              </w:rPr>
              <w:t>precio de compra del inmueble, se asumirán las obligaciones causadas, tales como servicios públicos, obligaciones tributarias del orden nacional y territorial, valorización y otras que recaigan sobre los inmuebles objeto de compra.</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El saneamiento previsto</w:t>
            </w:r>
            <w:r w:rsidRPr="00E4401D">
              <w:rPr>
                <w:rFonts w:ascii="Times New Roman" w:hAnsi="Times New Roman" w:cs="Times New Roman"/>
                <w:i/>
                <w:iCs/>
                <w:sz w:val="28"/>
              </w:rPr>
              <w:t xml:space="preserve"> en el inciso anterior no operará en perjuicio de la presunción de bien baldío prevista en la Ley 160 de 1994. Así mismo, no operará cuando i) se presente despojo por el conflicto armado, en términos de la Ley 1448 de 2011 y los Decretos ley 4633, 4634 y 4</w:t>
            </w:r>
            <w:r w:rsidRPr="00E4401D">
              <w:rPr>
                <w:rFonts w:ascii="Times New Roman" w:hAnsi="Times New Roman" w:cs="Times New Roman"/>
                <w:i/>
                <w:iCs/>
                <w:sz w:val="28"/>
              </w:rPr>
              <w:t>635 de 2011; ii) existan medidas o limitaciones asociadas a procesos de restitución de tierras, conforme lo prescrito por la Ley 1448 de 2011; iii) existan medidas de protección de conformidad con lo previsto en la Ley 387 de 1997; y iv) se estén adelantan</w:t>
            </w:r>
            <w:r w:rsidRPr="00E4401D">
              <w:rPr>
                <w:rFonts w:ascii="Times New Roman" w:hAnsi="Times New Roman" w:cs="Times New Roman"/>
                <w:i/>
                <w:iCs/>
                <w:sz w:val="28"/>
              </w:rPr>
              <w:t>do procesos de clarificación de la propiedad, extinción del dominio por incumplimiento de la función social y ecológica de la propiedad, deslinde y recuperación de baldíos de que trata la Ley 160 de 1994. Sobre las tierras que pretenda adquirir la ANT se d</w:t>
            </w:r>
            <w:r w:rsidRPr="00E4401D">
              <w:rPr>
                <w:rFonts w:ascii="Times New Roman" w:hAnsi="Times New Roman" w:cs="Times New Roman"/>
                <w:i/>
                <w:iCs/>
                <w:sz w:val="28"/>
              </w:rPr>
              <w:t xml:space="preserve">ebe acreditar propiedad privada de conformidad con lo previsto en el artículo 48 de la Ley 160 de 1994, se debe cumplir con las normas ambientales y agrarias, y deben estar en posesión de sus propietarios o del administrador del Frisco.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2. Compra directa</w:t>
            </w:r>
            <w:r w:rsidRPr="00E4401D">
              <w:rPr>
                <w:rFonts w:ascii="Times New Roman" w:hAnsi="Times New Roman" w:cs="Times New Roman"/>
                <w:i/>
                <w:iCs/>
                <w:sz w:val="28"/>
              </w:rPr>
              <w:t xml:space="preserve"> de tierras al FRISCO. La ANT podrá́ adquirir de manera directa: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a. Inmuebles rurales no sociales con medidas cautelares dentro del proceso de extinción de dominio, </w:t>
            </w:r>
            <w:r w:rsidRPr="00E4401D">
              <w:rPr>
                <w:rFonts w:ascii="Times New Roman" w:hAnsi="Times New Roman" w:cs="Times New Roman"/>
                <w:b/>
                <w:bCs/>
                <w:i/>
                <w:iCs/>
                <w:sz w:val="28"/>
                <w:u w:val="single"/>
              </w:rPr>
              <w:t>bajo la figura de enajenación temprana, o cualquier otro mecanismo que establezca la Ley.</w:t>
            </w:r>
            <w:r w:rsidRPr="00E4401D">
              <w:rPr>
                <w:rFonts w:ascii="Times New Roman" w:hAnsi="Times New Roman" w:cs="Times New Roman"/>
                <w:b/>
                <w:bCs/>
                <w:i/>
                <w:iCs/>
                <w:sz w:val="28"/>
                <w:u w:val="single"/>
              </w:rPr>
              <w:t xml:space="preserve"> En los eventos en los que se hubiera constituido reserva técnica, o se hubiere pagado el valor de venta y siempre que sea declarada la extinción de dominio, estos serán reintegrados en su totalidad al Fondo de Tierras.</w:t>
            </w:r>
            <w:r w:rsidRPr="00E4401D">
              <w:rPr>
                <w:rFonts w:ascii="Times New Roman" w:hAnsi="Times New Roman" w:cs="Times New Roman"/>
                <w:i/>
                <w:iCs/>
                <w:sz w:val="28"/>
              </w:rPr>
              <w:t xml:space="preserve">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b. Inmuebles rurales propiedad de </w:t>
            </w:r>
            <w:r w:rsidRPr="00E4401D">
              <w:rPr>
                <w:rFonts w:ascii="Times New Roman" w:hAnsi="Times New Roman" w:cs="Times New Roman"/>
                <w:i/>
                <w:iCs/>
                <w:sz w:val="28"/>
              </w:rPr>
              <w:t xml:space="preserve">personas jurídicas incursas en procesos de liquidación y con medidas cautelares dentro del proceso de extinción de dominio, bajo el mecanismo de enajenación temprana, de conformidad con lo establecido en el artículo 93 de la Ley 1708 de 2014.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Los predios deberán ser adquiridos por el precio base de venta definido en el avalúo comercial vigente al momento de la venta.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El producto de la venta de estos bienes estará destinado a cancelar las deudas a cargo de la sociedad, respetando el proceso de</w:t>
            </w:r>
            <w:r w:rsidRPr="00E4401D">
              <w:rPr>
                <w:rFonts w:ascii="Times New Roman" w:hAnsi="Times New Roman" w:cs="Times New Roman"/>
                <w:i/>
                <w:iCs/>
                <w:sz w:val="28"/>
              </w:rPr>
              <w:t xml:space="preserve"> liquidación, sus etapas y las prelaciones legales.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c. Inmuebles rurales propiedad de personas jurídicas incursas en procesos de liquidación y sobre las que se declare la extinción de dominio, conforme lo establecido en el inciso segundo del artículo 105</w:t>
            </w:r>
            <w:r w:rsidRPr="00E4401D">
              <w:rPr>
                <w:rFonts w:ascii="Times New Roman" w:hAnsi="Times New Roman" w:cs="Times New Roman"/>
                <w:i/>
                <w:iCs/>
                <w:sz w:val="28"/>
              </w:rPr>
              <w:t xml:space="preserve"> de la Ley 1708 de 2014. Los predios deberán ser adquiridos por el precio base de venta definido en el avalúo comercial vigente al momento de la venta. El producto de la venta de estos bienes estará́ destinado a cancelar las deudas a cargo de la sociedad, </w:t>
            </w:r>
            <w:r w:rsidRPr="00E4401D">
              <w:rPr>
                <w:rFonts w:ascii="Times New Roman" w:hAnsi="Times New Roman" w:cs="Times New Roman"/>
                <w:i/>
                <w:iCs/>
                <w:sz w:val="28"/>
              </w:rPr>
              <w:t xml:space="preserve">respetando el proceso de liquidación, sus etapas y las prelaciones legales.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3. Compra directa de tierras al Fondo de Reparación de Víctimas. La ANT podrá́ adquirir de manera directa los inmuebles rurales del Fondo para la Reparación de las Víctimas susce</w:t>
            </w:r>
            <w:r w:rsidRPr="00E4401D">
              <w:rPr>
                <w:rFonts w:ascii="Times New Roman" w:hAnsi="Times New Roman" w:cs="Times New Roman"/>
                <w:b/>
                <w:bCs/>
                <w:i/>
                <w:iCs/>
                <w:sz w:val="28"/>
                <w:u w:val="single"/>
              </w:rPr>
              <w:t xml:space="preserve">ptibles de comercialización, de que trata el artículo 54 de la Ley 975 de 2005, los cuales serán adquiridos por el monto fijado mediante avalúo comercial vigente. </w:t>
            </w:r>
          </w:p>
          <w:p w:rsidR="00F464C8" w:rsidRPr="00E4401D" w:rsidRDefault="00E4401D" w:rsidP="008A3C27">
            <w:pPr>
              <w:jc w:val="both"/>
              <w:rPr>
                <w:rFonts w:ascii="Times New Roman" w:hAnsi="Times New Roman" w:cs="Times New Roman"/>
                <w:b/>
                <w:bCs/>
                <w:i/>
                <w:iCs/>
                <w:sz w:val="28"/>
                <w:u w:val="single"/>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Cuando se trate de inmuebles rurales vinculados a acciones de extinción del derecho de domi</w:t>
            </w:r>
            <w:r w:rsidRPr="00E4401D">
              <w:rPr>
                <w:rFonts w:ascii="Times New Roman" w:hAnsi="Times New Roman" w:cs="Times New Roman"/>
                <w:b/>
                <w:bCs/>
                <w:i/>
                <w:iCs/>
                <w:sz w:val="28"/>
                <w:u w:val="single"/>
              </w:rPr>
              <w:t>nio en curso, la ANT los podrá́ adquirir tempranamente por el precio base de venta definido en el avalúo comercial vigente al momento de la venta. Para ello se aplicará el mecanismo de adquisición temprana establecido a continuación:</w:t>
            </w:r>
          </w:p>
          <w:p w:rsidR="00F464C8" w:rsidRPr="00E4401D" w:rsidRDefault="00E4401D" w:rsidP="008A3C27">
            <w:pPr>
              <w:jc w:val="both"/>
              <w:rPr>
                <w:rFonts w:ascii="Times New Roman" w:hAnsi="Times New Roman" w:cs="Times New Roman"/>
                <w:b/>
                <w:bCs/>
                <w:i/>
                <w:iCs/>
                <w:sz w:val="28"/>
                <w:u w:val="single"/>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a. La Unidad Administrativa para la Reparación Integral de las Víctimas, en su condición de administradora del Fondo para la Reparación de las Víctimas, podrá aplicar su reglamento interno para la enajenación de inmuebles rurales vinculados a acciones de e</w:t>
            </w:r>
            <w:r w:rsidRPr="00E4401D">
              <w:rPr>
                <w:rFonts w:ascii="Times New Roman" w:hAnsi="Times New Roman" w:cs="Times New Roman"/>
                <w:b/>
                <w:bCs/>
                <w:i/>
                <w:iCs/>
                <w:sz w:val="28"/>
                <w:u w:val="single"/>
              </w:rPr>
              <w:t xml:space="preserve">xtinción de dominio, siempre y cuando el comprador sea la ANT. </w:t>
            </w:r>
          </w:p>
          <w:p w:rsidR="00F464C8" w:rsidRPr="00E4401D" w:rsidRDefault="00E4401D" w:rsidP="008A3C27">
            <w:pPr>
              <w:jc w:val="both"/>
              <w:rPr>
                <w:rFonts w:ascii="Times New Roman" w:hAnsi="Times New Roman" w:cs="Times New Roman"/>
                <w:b/>
                <w:bCs/>
                <w:i/>
                <w:iCs/>
                <w:sz w:val="28"/>
                <w:u w:val="single"/>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b. Una vez el inmueble sea vendido a la ANT, el administrador del Fondo para la Reparación de las Víctimas deberá́ informar a la autoridad judicial que conoce del proceso de extinción de domi</w:t>
            </w:r>
            <w:r w:rsidRPr="00E4401D">
              <w:rPr>
                <w:rFonts w:ascii="Times New Roman" w:hAnsi="Times New Roman" w:cs="Times New Roman"/>
                <w:b/>
                <w:bCs/>
                <w:i/>
                <w:iCs/>
                <w:sz w:val="28"/>
                <w:u w:val="single"/>
              </w:rPr>
              <w:t xml:space="preserve">nio. </w:t>
            </w:r>
          </w:p>
          <w:p w:rsidR="00F464C8" w:rsidRPr="00E4401D" w:rsidRDefault="00E4401D" w:rsidP="008A3C27">
            <w:pPr>
              <w:jc w:val="both"/>
              <w:rPr>
                <w:rFonts w:ascii="Times New Roman" w:hAnsi="Times New Roman" w:cs="Times New Roman"/>
                <w:b/>
                <w:bCs/>
                <w:i/>
                <w:iCs/>
                <w:sz w:val="28"/>
                <w:u w:val="single"/>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c. Con los dineros producto de la venta, el administrador del Fondo para la Reparación de las Víctimas constituirá una reserva técnica del treinta por ciento (30%), destinada a cumplir las órdenes judiciales de devolución que recaigan sobre los inmu</w:t>
            </w:r>
            <w:r w:rsidRPr="00E4401D">
              <w:rPr>
                <w:rFonts w:ascii="Times New Roman" w:hAnsi="Times New Roman" w:cs="Times New Roman"/>
                <w:b/>
                <w:bCs/>
                <w:i/>
                <w:iCs/>
                <w:sz w:val="28"/>
                <w:u w:val="single"/>
              </w:rPr>
              <w:t xml:space="preserve">ebles objeto de venta.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4. Transferencia directa por parte de otras entidades públicas. La ANT podrá adquirir de manera directa bienes inmuebles rurales de propiedad de las entidades públicas que cumplan con las condiciones para la implementación de progr</w:t>
            </w:r>
            <w:r w:rsidRPr="00E4401D">
              <w:rPr>
                <w:rFonts w:ascii="Times New Roman" w:hAnsi="Times New Roman" w:cs="Times New Roman"/>
                <w:i/>
                <w:iCs/>
                <w:sz w:val="28"/>
              </w:rPr>
              <w:t xml:space="preserve">amas de dotación de tierras.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Las entidades de derecho público podrán realizar la transferencia a título gratuito. En estos casos, la transferencia puede condicionar que la ANT comprometa la inversión de recursos. Estos recursos se destinarán a la compra </w:t>
            </w:r>
            <w:r w:rsidRPr="00E4401D">
              <w:rPr>
                <w:rFonts w:ascii="Times New Roman" w:hAnsi="Times New Roman" w:cs="Times New Roman"/>
                <w:i/>
                <w:iCs/>
                <w:sz w:val="28"/>
              </w:rPr>
              <w:t>de inmuebles para nuevas adjudicaciones, la adecuación de los bienes transferidos o su saneamiento.</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5. Identificación, priorización y compra de predios para la Reforma Rural Integral. Con el propósito de identificar predios idóneos para la reforma rural i</w:t>
            </w:r>
            <w:r w:rsidRPr="00E4401D">
              <w:rPr>
                <w:rFonts w:ascii="Times New Roman" w:hAnsi="Times New Roman" w:cs="Times New Roman"/>
                <w:b/>
                <w:bCs/>
                <w:i/>
                <w:iCs/>
                <w:sz w:val="28"/>
                <w:u w:val="single"/>
              </w:rPr>
              <w:t>ntegral, el Ministerio de Agricultura y Desarrollo Rural (MADR), con el apoyo de la Unidad de Planificación Rural Agropecuaria (UPRA), adelantará análisis prediales a través de la consulta de información pública, plataformas institucionales, capas geográfi</w:t>
            </w:r>
            <w:r w:rsidRPr="00E4401D">
              <w:rPr>
                <w:rFonts w:ascii="Times New Roman" w:hAnsi="Times New Roman" w:cs="Times New Roman"/>
                <w:b/>
                <w:bCs/>
                <w:i/>
                <w:iCs/>
                <w:sz w:val="28"/>
                <w:u w:val="single"/>
              </w:rPr>
              <w:t>cas, uso de las tecnologías de la información y demás métodos indirectos. El análisis identificará los predios con áreas superiores a dos (2) Unidades Agrícolas Familiares (UAF), calculadas por la metodología de Zonas Relativamente Homogéneas.</w:t>
            </w:r>
          </w:p>
          <w:p w:rsidR="00F464C8" w:rsidRPr="00E4401D" w:rsidRDefault="00E4401D" w:rsidP="008A3C27">
            <w:pPr>
              <w:jc w:val="both"/>
              <w:rPr>
                <w:rFonts w:ascii="Times New Roman" w:hAnsi="Times New Roman" w:cs="Times New Roman"/>
                <w:b/>
                <w:bCs/>
                <w:i/>
                <w:iCs/>
                <w:sz w:val="28"/>
                <w:u w:val="single"/>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Los predios</w:t>
            </w:r>
            <w:r w:rsidRPr="00E4401D">
              <w:rPr>
                <w:rFonts w:ascii="Times New Roman" w:hAnsi="Times New Roman" w:cs="Times New Roman"/>
                <w:b/>
                <w:bCs/>
                <w:i/>
                <w:iCs/>
                <w:sz w:val="28"/>
                <w:u w:val="single"/>
              </w:rPr>
              <w:t xml:space="preserve"> que cumplan con las condiciones anteriormente referidas constituirán la base para definir núcleos territoriales para su intervención prioritaria. El MADR remitirá la información de </w:t>
            </w:r>
            <w:r w:rsidRPr="00E4401D">
              <w:rPr>
                <w:rFonts w:ascii="Times New Roman" w:hAnsi="Times New Roman" w:cs="Times New Roman"/>
                <w:b/>
                <w:bCs/>
                <w:i/>
                <w:iCs/>
                <w:sz w:val="28"/>
                <w:u w:val="single"/>
              </w:rPr>
              <w:t>l</w:t>
            </w:r>
            <w:r w:rsidRPr="00E4401D">
              <w:rPr>
                <w:rFonts w:ascii="Times New Roman" w:hAnsi="Times New Roman" w:cs="Times New Roman"/>
                <w:b/>
                <w:bCs/>
                <w:i/>
                <w:iCs/>
                <w:sz w:val="28"/>
                <w:u w:val="single"/>
              </w:rPr>
              <w:t>os núcleos territoriales priorizados a la Agencia Nacional de Tierras (AN</w:t>
            </w:r>
            <w:r w:rsidRPr="00E4401D">
              <w:rPr>
                <w:rFonts w:ascii="Times New Roman" w:hAnsi="Times New Roman" w:cs="Times New Roman"/>
                <w:b/>
                <w:bCs/>
                <w:i/>
                <w:iCs/>
                <w:sz w:val="28"/>
                <w:u w:val="single"/>
              </w:rPr>
              <w:t>T), con el propósito de que esta entidad proceda a la identificación de predios idóneos para la Reforma Rural Integral, y posterior aplicación del procedimiento de compra por oferta voluntaria. En aquellos casos en los que los propietarios no procedan a la</w:t>
            </w:r>
            <w:r w:rsidRPr="00E4401D">
              <w:rPr>
                <w:rFonts w:ascii="Times New Roman" w:hAnsi="Times New Roman" w:cs="Times New Roman"/>
                <w:b/>
                <w:bCs/>
                <w:i/>
                <w:iCs/>
                <w:sz w:val="28"/>
                <w:u w:val="single"/>
              </w:rPr>
              <w:t xml:space="preserve"> venta, la ANT adelantará el análisis de la explotación económica del predio, requiriendo a su propietario por una única vez, para que proceda a la enajenación de aquellas áreas que no se encuentren bajo aprovechamiento económico y que excedan la extensión</w:t>
            </w:r>
            <w:r w:rsidRPr="00E4401D">
              <w:rPr>
                <w:rFonts w:ascii="Times New Roman" w:hAnsi="Times New Roman" w:cs="Times New Roman"/>
                <w:b/>
                <w:bCs/>
                <w:i/>
                <w:iCs/>
                <w:sz w:val="28"/>
                <w:u w:val="single"/>
              </w:rPr>
              <w:t xml:space="preserve"> de la UAF. Cuando el propietario no acceda a la enajenación, la ANT aplicará los procedimientos agrarios a los que haya lugar. De manera simultánea, el Instituto Geográfico Agustín Codazzi (IGAC) priorizará la actualización catastral en las zonas definida</w:t>
            </w:r>
            <w:r w:rsidRPr="00E4401D">
              <w:rPr>
                <w:rFonts w:ascii="Times New Roman" w:hAnsi="Times New Roman" w:cs="Times New Roman"/>
                <w:b/>
                <w:bCs/>
                <w:i/>
                <w:iCs/>
                <w:sz w:val="28"/>
                <w:u w:val="single"/>
              </w:rPr>
              <w:t>s por el MADR, a partir de la metodología que el Instituto defina para tal fin. En las áreas restantes de los municipios, el IGAC adelantará la actualización catastral de manera progresiva. Los gestores catastrales deberán aplicar e incorporar dicha modifi</w:t>
            </w:r>
            <w:r w:rsidRPr="00E4401D">
              <w:rPr>
                <w:rFonts w:ascii="Times New Roman" w:hAnsi="Times New Roman" w:cs="Times New Roman"/>
                <w:b/>
                <w:bCs/>
                <w:i/>
                <w:iCs/>
                <w:sz w:val="28"/>
                <w:u w:val="single"/>
              </w:rPr>
              <w:t xml:space="preserve">cación en sus respectivas bases catastrales. </w:t>
            </w:r>
          </w:p>
          <w:p w:rsidR="00F464C8" w:rsidRPr="00E4401D" w:rsidRDefault="00E4401D" w:rsidP="008A3C27">
            <w:pPr>
              <w:jc w:val="both"/>
              <w:rPr>
                <w:rFonts w:ascii="Times New Roman" w:hAnsi="Times New Roman" w:cs="Times New Roman"/>
                <w:b/>
                <w:bCs/>
                <w:i/>
                <w:iCs/>
                <w:sz w:val="28"/>
                <w:u w:val="single"/>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6. Procedimientos de la autoridad de tierras que deberán ser resueltos en fase administrativa. Para los asuntos de que trata los numerales 4, 5 y 7 del artículo 58 del Decreto Ley 902 de 2017, la Agencia Nacio</w:t>
            </w:r>
            <w:r w:rsidRPr="00E4401D">
              <w:rPr>
                <w:rFonts w:ascii="Times New Roman" w:hAnsi="Times New Roman" w:cs="Times New Roman"/>
                <w:b/>
                <w:bCs/>
                <w:i/>
                <w:iCs/>
                <w:sz w:val="28"/>
                <w:u w:val="single"/>
              </w:rPr>
              <w:t>nal de Tierras (ANT), mediante acto administrativo fundamentado en el informe técnico jurídico definitivo y demás pruebas recaudadas, tomará la decisión de fondo que corresponda. En firme dicho acto administrativo, la ANT procederá́ a su radicación en la O</w:t>
            </w:r>
            <w:r w:rsidRPr="00E4401D">
              <w:rPr>
                <w:rFonts w:ascii="Times New Roman" w:hAnsi="Times New Roman" w:cs="Times New Roman"/>
                <w:b/>
                <w:bCs/>
                <w:i/>
                <w:iCs/>
                <w:sz w:val="28"/>
                <w:u w:val="single"/>
              </w:rPr>
              <w:t xml:space="preserve">ficina de Registro de Instrumentos Públicos del círculo donde se encuentra el predio, con el fin de que se realice el respectivo registro en el folio de matrícula inmobiliaria. Los particulares que aduzcan tener derechos reales sobre los predios sometidos </w:t>
            </w:r>
            <w:r w:rsidRPr="00E4401D">
              <w:rPr>
                <w:rFonts w:ascii="Times New Roman" w:hAnsi="Times New Roman" w:cs="Times New Roman"/>
                <w:b/>
                <w:bCs/>
                <w:i/>
                <w:iCs/>
                <w:sz w:val="28"/>
                <w:u w:val="single"/>
              </w:rPr>
              <w:t>a los asuntos indicados podrán ejercer únicamente la acción de nulidad agraria de que trata el artículo 39 de dicho decreto. Dicha acción operará como control judicial frente al acto administrativo en el que se toma la decisión de fondo. Para su interposic</w:t>
            </w:r>
            <w:r w:rsidRPr="00E4401D">
              <w:rPr>
                <w:rFonts w:ascii="Times New Roman" w:hAnsi="Times New Roman" w:cs="Times New Roman"/>
                <w:b/>
                <w:bCs/>
                <w:i/>
                <w:iCs/>
                <w:sz w:val="28"/>
                <w:u w:val="single"/>
              </w:rPr>
              <w:t>ión, el accionante contará con un término de tres (3) años, contados a partir de la fecha de inscripción del acto administrativo en el folio de matrícula inmobiliaria. Esta acción podrá́ interponerse directamente, sin necesidad de haber agotado los recurso</w:t>
            </w:r>
            <w:r w:rsidRPr="00E4401D">
              <w:rPr>
                <w:rFonts w:ascii="Times New Roman" w:hAnsi="Times New Roman" w:cs="Times New Roman"/>
                <w:b/>
                <w:bCs/>
                <w:i/>
                <w:iCs/>
                <w:sz w:val="28"/>
                <w:u w:val="single"/>
              </w:rPr>
              <w:t>s contra el acto administrativo. En los eventos en los que el juez disponga la suspensión provisional del acto administrativo en el marco de la acción de nulidad agraria, la ANT podrá́ disponer del inmueble conforme a sus competencias legales, siempre y cu</w:t>
            </w:r>
            <w:r w:rsidRPr="00E4401D">
              <w:rPr>
                <w:rFonts w:ascii="Times New Roman" w:hAnsi="Times New Roman" w:cs="Times New Roman"/>
                <w:b/>
                <w:bCs/>
                <w:i/>
                <w:iCs/>
                <w:sz w:val="28"/>
                <w:u w:val="single"/>
              </w:rPr>
              <w:t>ando constituya una reserva destinada a cumplir las órdenes judiciales que se puedan dar en favor de los accionantes. Dicha reserva podrá́ ser constituida con recursos de su presupuesto, vehículos financieros públicos y/o cuentas especiales de la Nación. L</w:t>
            </w:r>
            <w:r w:rsidRPr="00E4401D">
              <w:rPr>
                <w:rFonts w:ascii="Times New Roman" w:hAnsi="Times New Roman" w:cs="Times New Roman"/>
                <w:b/>
                <w:bCs/>
                <w:i/>
                <w:iCs/>
                <w:sz w:val="28"/>
                <w:u w:val="single"/>
              </w:rPr>
              <w:t>os procedimientos especiales agrarios que hubiesen pasado a etapa judicial empero no hayan surtido la fase probatoria en dicha instancia, podrán ser reasumidos, mediante acto administrativo, por la Agencia Nacional de Tierras y tramitarse atendiendo las di</w:t>
            </w:r>
            <w:r w:rsidRPr="00E4401D">
              <w:rPr>
                <w:rFonts w:ascii="Times New Roman" w:hAnsi="Times New Roman" w:cs="Times New Roman"/>
                <w:b/>
                <w:bCs/>
                <w:i/>
                <w:iCs/>
                <w:sz w:val="28"/>
                <w:u w:val="single"/>
              </w:rPr>
              <w:t xml:space="preserve">sposiciones acá contenidas. </w:t>
            </w:r>
          </w:p>
          <w:p w:rsidR="00F464C8" w:rsidRPr="00E4401D" w:rsidRDefault="00E4401D" w:rsidP="008A3C27">
            <w:pPr>
              <w:jc w:val="both"/>
              <w:rPr>
                <w:rFonts w:ascii="Times New Roman" w:hAnsi="Times New Roman" w:cs="Times New Roman"/>
                <w:b/>
                <w:bCs/>
                <w:i/>
                <w:iCs/>
                <w:sz w:val="28"/>
                <w:u w:val="single"/>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 xml:space="preserve">PARÁGRAFO PRIMERO. En los mecanismos de compra previstos en los numerales 2, 3 y 4 del presente artículo, la ANT tendrá́ la primera opción de compra. </w:t>
            </w:r>
          </w:p>
          <w:p w:rsidR="00F464C8" w:rsidRPr="00E4401D" w:rsidRDefault="00E4401D" w:rsidP="008A3C27">
            <w:pPr>
              <w:jc w:val="both"/>
              <w:rPr>
                <w:rFonts w:ascii="Times New Roman" w:hAnsi="Times New Roman" w:cs="Times New Roman"/>
                <w:b/>
                <w:bCs/>
                <w:i/>
                <w:iCs/>
                <w:sz w:val="28"/>
                <w:u w:val="single"/>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 xml:space="preserve">PARÁGRAFO SEGUNDO. Los literales a y b del numeral 2 del presente artículo constituyen supuestos adicionales a las reglas aplicables para la enajenación temprana, previstos en la legislación vigente. </w:t>
            </w:r>
          </w:p>
          <w:p w:rsidR="00F464C8" w:rsidRPr="00E4401D" w:rsidRDefault="00E4401D" w:rsidP="008A3C27">
            <w:pPr>
              <w:jc w:val="both"/>
              <w:rPr>
                <w:rFonts w:ascii="Times New Roman" w:hAnsi="Times New Roman" w:cs="Times New Roman"/>
                <w:b/>
                <w:bCs/>
                <w:i/>
                <w:iCs/>
                <w:sz w:val="28"/>
                <w:u w:val="single"/>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PARÁGRAFO TERCERO. El numeral 6 del presente artícul</w:t>
            </w:r>
            <w:r w:rsidRPr="00E4401D">
              <w:rPr>
                <w:rFonts w:ascii="Times New Roman" w:hAnsi="Times New Roman" w:cs="Times New Roman"/>
                <w:b/>
                <w:bCs/>
                <w:i/>
                <w:iCs/>
                <w:sz w:val="28"/>
                <w:u w:val="single"/>
              </w:rPr>
              <w:t>o deroga el inciso segundo del artículo 39, el numeral 2 del artículo 60, el inciso segundo del artículo 61, el artículo 75 y el inciso tercero del artículo 76, solo en lo que respecta a los asuntos de que trata los numerales 4, 5 y 7 del artículo 58 del D</w:t>
            </w:r>
            <w:r w:rsidRPr="00E4401D">
              <w:rPr>
                <w:rFonts w:ascii="Times New Roman" w:hAnsi="Times New Roman" w:cs="Times New Roman"/>
                <w:b/>
                <w:bCs/>
                <w:i/>
                <w:iCs/>
                <w:sz w:val="28"/>
                <w:u w:val="single"/>
              </w:rPr>
              <w:t xml:space="preserve">ecreto Ley 902 de 2017; y las demás normas procedimentales que contradigan su contenido. </w:t>
            </w:r>
          </w:p>
          <w:p w:rsidR="00F464C8" w:rsidRPr="00E4401D" w:rsidRDefault="00E4401D" w:rsidP="008A3C27">
            <w:pPr>
              <w:jc w:val="both"/>
              <w:rPr>
                <w:rFonts w:ascii="Times New Roman" w:hAnsi="Times New Roman" w:cs="Times New Roman"/>
                <w:b/>
                <w:bCs/>
                <w:i/>
                <w:iCs/>
                <w:sz w:val="28"/>
                <w:u w:val="single"/>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PARÁGRAFO CUARTO. El cumplimiento de lo dispuesto en este artículo estará́ sujeto al Marco Fiscal de Mediano Plazo, el Marco de Gasto de Mediano Plazo del correspon</w:t>
            </w:r>
            <w:r w:rsidRPr="00E4401D">
              <w:rPr>
                <w:rFonts w:ascii="Times New Roman" w:hAnsi="Times New Roman" w:cs="Times New Roman"/>
                <w:b/>
                <w:bCs/>
                <w:i/>
                <w:iCs/>
                <w:sz w:val="28"/>
                <w:u w:val="single"/>
              </w:rPr>
              <w:t>diente sector y a las disponibilidades presupuestales.</w:t>
            </w:r>
          </w:p>
        </w:tc>
        <w:tc>
          <w:tcPr>
            <w:tcW w:w="3227" w:type="dxa"/>
          </w:tcPr>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“Esa proposición agrega, entre otros, en el numeral 2: inmuebles rurales no sociales con medidas cautelares dentro del proceso de extinción de dominio bajo la figura de enajenación temprana o cualquier</w:t>
            </w:r>
            <w:r w:rsidRPr="00E4401D">
              <w:rPr>
                <w:rFonts w:ascii="Times New Roman" w:hAnsi="Times New Roman" w:cs="Times New Roman"/>
                <w:i/>
                <w:iCs/>
                <w:sz w:val="28"/>
              </w:rPr>
              <w:t xml:space="preserve"> otro mecanismo que establezca la ley. En los eventos en que se hubiera constituido reserva técnica o se hubiere pagado el valor de venta y siempre que sea declarada la extinción de dominio estos serán reintegrados al fondo de tierras”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Lo transcrito se p</w:t>
            </w:r>
            <w:r w:rsidRPr="00E4401D">
              <w:rPr>
                <w:rFonts w:ascii="Times New Roman" w:hAnsi="Times New Roman" w:cs="Times New Roman"/>
                <w:i/>
                <w:iCs/>
                <w:sz w:val="28"/>
              </w:rPr>
              <w:t>odrá verificar en la grabación disponible en el canal de YouTube del Congreso Colombia denominada Plenaria del Senado del 2 de mayo de 2023. (Minuto 7:56:58 – 7:57:33) https://www.youtube.com/watch?v=iKHzz SDcJ9k</w:t>
            </w:r>
          </w:p>
        </w:tc>
      </w:tr>
      <w:tr w:rsidR="00F464C8" w:rsidRPr="00E4401D" w:rsidTr="008A3C27">
        <w:tc>
          <w:tcPr>
            <w:tcW w:w="3226" w:type="dxa"/>
          </w:tcPr>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Artículo 338 de la ponencia de segundo deb</w:t>
            </w:r>
            <w:r w:rsidRPr="00E4401D">
              <w:rPr>
                <w:rFonts w:ascii="Times New Roman" w:hAnsi="Times New Roman" w:cs="Times New Roman"/>
                <w:i/>
                <w:iCs/>
                <w:sz w:val="28"/>
              </w:rPr>
              <w:t>ate – Artículo 287 de la Ley 2294 de 2023 ARTÍCULO 338° (NUEVO). AUTORIZACIÓN EXCEPCIONAL PARA EL OTORGAMIENT O DE CRÉDITO DIRECTO A LOS PATRIMONIOS AUTÓNOMOS QUE CONSTITUYA LA FINANCIERA DE DESARROLLO TERRITORIAL S.A. - FINDETER PARA EL DESARROLLO DE PRO</w:t>
            </w:r>
            <w:r w:rsidRPr="00E4401D">
              <w:rPr>
                <w:rFonts w:ascii="Times New Roman" w:hAnsi="Times New Roman" w:cs="Times New Roman"/>
                <w:i/>
                <w:iCs/>
                <w:sz w:val="28"/>
              </w:rPr>
              <w:t xml:space="preserve">YECTOS DE INVERSIÓN EN INFRAESTRUCT URA EN SUS SECTORES ELEGIBLES.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Previa verificación de la Superintendencia Financiera de Colombia del cumplimiento de los requisitos para la administración y gestión de los sistemas integrales de gestión de riesgos, se </w:t>
            </w:r>
            <w:r w:rsidRPr="00E4401D">
              <w:rPr>
                <w:rFonts w:ascii="Times New Roman" w:hAnsi="Times New Roman" w:cs="Times New Roman"/>
                <w:i/>
                <w:iCs/>
                <w:sz w:val="28"/>
              </w:rPr>
              <w:t>autoriza a la Financiera de Desarrollo Territorial S.A. - Findeter, para otorgar créditos directos a patrimonios autónomos creados por Findeter como fideicomitente dentro de un contrato de fiducia mercantil en virtud de la autorización contenida en el artí</w:t>
            </w:r>
            <w:r w:rsidRPr="00E4401D">
              <w:rPr>
                <w:rFonts w:ascii="Times New Roman" w:hAnsi="Times New Roman" w:cs="Times New Roman"/>
                <w:i/>
                <w:iCs/>
                <w:sz w:val="28"/>
              </w:rPr>
              <w:t>culo 270 del Estatuto Orgánico del Sistema Financiero (Decreto Ley 663 de 1993), y cuyo objeto sea el desarrollo de proyectos de inversión en infraestructura y los demás que se encuentren dentro de los sectores elegibles de conformidad con las normas vigen</w:t>
            </w:r>
            <w:r w:rsidRPr="00E4401D">
              <w:rPr>
                <w:rFonts w:ascii="Times New Roman" w:hAnsi="Times New Roman" w:cs="Times New Roman"/>
                <w:i/>
                <w:iCs/>
                <w:sz w:val="28"/>
              </w:rPr>
              <w:t xml:space="preserve">tes. El otorgamiento de los créditos provendrá́ de los recursos propios disponibles de la Financiera de Desarrollo Territorial S.A. -Findeter.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Lo dispuesto en este artículo, en ningún caso será́ aplicable a las operaciones de crédito público con cargo a </w:t>
            </w:r>
            <w:r w:rsidRPr="00E4401D">
              <w:rPr>
                <w:rFonts w:ascii="Times New Roman" w:hAnsi="Times New Roman" w:cs="Times New Roman"/>
                <w:i/>
                <w:iCs/>
                <w:sz w:val="28"/>
              </w:rPr>
              <w:t xml:space="preserve">la Asignación de Inversión Regional del Sistema General de Regalías, consagradas en el artículo 25 de la Ley 2279 de 2022 o en las normas que lo modifiquen o sustituyan.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La Financiera de Desarrollo Territorial S.A. -Findeter a través de sus reglamentos i</w:t>
            </w:r>
            <w:r w:rsidRPr="00E4401D">
              <w:rPr>
                <w:rFonts w:ascii="Times New Roman" w:hAnsi="Times New Roman" w:cs="Times New Roman"/>
                <w:i/>
                <w:iCs/>
                <w:sz w:val="28"/>
              </w:rPr>
              <w:t>nternos establecerá los montos máximos de recursos propios que se destinarán para apalancar esta modalidad de crédito, las condiciones financieras generales, especialmente sobre las fuentes de pago ciertas y las garantías admisibles para este tipo de opera</w:t>
            </w:r>
            <w:r w:rsidRPr="00E4401D">
              <w:rPr>
                <w:rFonts w:ascii="Times New Roman" w:hAnsi="Times New Roman" w:cs="Times New Roman"/>
                <w:i/>
                <w:iCs/>
                <w:sz w:val="28"/>
              </w:rPr>
              <w:t xml:space="preserve">ciones.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La Financiera de Desarrollo Territorial S.A. -Findeter deberá́ cumplir en todo momento con las condiciones establecidas en las disposiciones legales y actos administrativos vigentes para realizar este tipo de operaciones en materia de otorgamient</w:t>
            </w:r>
            <w:r w:rsidRPr="00E4401D">
              <w:rPr>
                <w:rFonts w:ascii="Times New Roman" w:hAnsi="Times New Roman" w:cs="Times New Roman"/>
                <w:i/>
                <w:iCs/>
                <w:sz w:val="28"/>
              </w:rPr>
              <w:t xml:space="preserve">o, seguimiento y recuperación de los créditos otorgados y conflictos de interés que puedan configurarse.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PARÁGRAFO PRIMERO. El presente artículo no constituye una autorización general para la constitución de patrimonios autónomos por parte de las entida</w:t>
            </w:r>
            <w:r w:rsidRPr="00E4401D">
              <w:rPr>
                <w:rFonts w:ascii="Times New Roman" w:hAnsi="Times New Roman" w:cs="Times New Roman"/>
                <w:i/>
                <w:iCs/>
                <w:sz w:val="28"/>
              </w:rPr>
              <w:t xml:space="preserve">des públicas del nivel nacional, territorial ni para Findeter.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PARÁGRAFO SEGUNDO. La operación de que trata este artículo no corresponde a</w:t>
            </w:r>
          </w:p>
        </w:tc>
        <w:tc>
          <w:tcPr>
            <w:tcW w:w="3227" w:type="dxa"/>
          </w:tcPr>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Artículo 338 de la ponencia de segundo debate – Artículo 287 de la Ley 2294 de 2023 ARTÍCULO 338° (NUEVO). AUTORIZACIÓN EXCEPCIONAL PARA EL OTORGAMIENT O DE CRÉDITO DIRECTO A </w:t>
            </w:r>
            <w:r w:rsidRPr="00E4401D">
              <w:rPr>
                <w:rFonts w:ascii="Times New Roman" w:hAnsi="Times New Roman" w:cs="Times New Roman"/>
                <w:b/>
                <w:bCs/>
                <w:i/>
                <w:iCs/>
                <w:sz w:val="28"/>
                <w:u w:val="single"/>
              </w:rPr>
              <w:t>ORGANIZACIONES COMUNALES</w:t>
            </w:r>
            <w:r w:rsidRPr="00E4401D">
              <w:rPr>
                <w:rFonts w:ascii="Times New Roman" w:hAnsi="Times New Roman" w:cs="Times New Roman"/>
                <w:i/>
                <w:iCs/>
                <w:sz w:val="28"/>
              </w:rPr>
              <w:t xml:space="preserve"> Y A LOS PATRIMONIOS AUTÓNOMOS QUE CONSTITUYA LA FINANCI</w:t>
            </w:r>
            <w:r w:rsidRPr="00E4401D">
              <w:rPr>
                <w:rFonts w:ascii="Times New Roman" w:hAnsi="Times New Roman" w:cs="Times New Roman"/>
                <w:i/>
                <w:iCs/>
                <w:sz w:val="28"/>
              </w:rPr>
              <w:t xml:space="preserve">ERA DE DESARROLLO TERRITORIAL S.A. - FINDETER PARA EL DESARROLLO DE PROYECTOS DE INVERSIÓN EN INFRAESTRUCT URA EN SUS SECTORES ELEGIBLES.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Previa verificación de la Superintendencia Financiera de Colombia del cumplimiento de los requisitos para la adminis</w:t>
            </w:r>
            <w:r w:rsidRPr="00E4401D">
              <w:rPr>
                <w:rFonts w:ascii="Times New Roman" w:hAnsi="Times New Roman" w:cs="Times New Roman"/>
                <w:i/>
                <w:iCs/>
                <w:sz w:val="28"/>
              </w:rPr>
              <w:t xml:space="preserve">tración y gestión de los sistemas integrales de gestión de riesgos, se autoriza a la Financiera de Desarrollo Territorial S.A. - Findeter, para otorgar créditos directos </w:t>
            </w:r>
            <w:r w:rsidRPr="00E4401D">
              <w:rPr>
                <w:rFonts w:ascii="Times New Roman" w:hAnsi="Times New Roman" w:cs="Times New Roman"/>
                <w:b/>
                <w:bCs/>
                <w:i/>
                <w:iCs/>
                <w:sz w:val="28"/>
                <w:u w:val="single"/>
              </w:rPr>
              <w:t>a organizaciones comunales de las que trata el artículo 7 de la Ley 2166 de 2021</w:t>
            </w:r>
            <w:r w:rsidRPr="00E4401D">
              <w:rPr>
                <w:rFonts w:ascii="Times New Roman" w:hAnsi="Times New Roman" w:cs="Times New Roman"/>
                <w:i/>
                <w:iCs/>
                <w:sz w:val="28"/>
              </w:rPr>
              <w:t>, y pa</w:t>
            </w:r>
            <w:r w:rsidRPr="00E4401D">
              <w:rPr>
                <w:rFonts w:ascii="Times New Roman" w:hAnsi="Times New Roman" w:cs="Times New Roman"/>
                <w:i/>
                <w:iCs/>
                <w:sz w:val="28"/>
              </w:rPr>
              <w:t>trimonios autónomos creados por Findeter como fideicomitente dentro de un contrato de fiducia mercantil en virtud de la autorización contenida en el artículo 270 del Estatuto Orgánico del Sistema Financiero (Decreto Ley 663 de 1993), y cuyo objeto sea el d</w:t>
            </w:r>
            <w:r w:rsidRPr="00E4401D">
              <w:rPr>
                <w:rFonts w:ascii="Times New Roman" w:hAnsi="Times New Roman" w:cs="Times New Roman"/>
                <w:i/>
                <w:iCs/>
                <w:sz w:val="28"/>
              </w:rPr>
              <w:t xml:space="preserve">esarrollo de proyectos de inversión en infraestructura y los demás que se encuentren dentro de los sectores elegibles de conformidad con las normas vigentes. El otorgamiento de los créditos </w:t>
            </w:r>
            <w:r w:rsidRPr="00E4401D">
              <w:rPr>
                <w:rFonts w:ascii="Times New Roman" w:hAnsi="Times New Roman" w:cs="Times New Roman"/>
                <w:b/>
                <w:bCs/>
                <w:i/>
                <w:iCs/>
                <w:sz w:val="28"/>
                <w:u w:val="single"/>
              </w:rPr>
              <w:t xml:space="preserve">estará́ sujeto al cumplimiento de las condiciones definidas en el </w:t>
            </w:r>
            <w:r w:rsidRPr="00E4401D">
              <w:rPr>
                <w:rFonts w:ascii="Times New Roman" w:hAnsi="Times New Roman" w:cs="Times New Roman"/>
                <w:b/>
                <w:bCs/>
                <w:i/>
                <w:iCs/>
                <w:sz w:val="28"/>
                <w:u w:val="single"/>
              </w:rPr>
              <w:t>literal k) del numeral 1 del artículo 270 del Estatuto Orgánico del Sistema Financiero</w:t>
            </w:r>
            <w:r w:rsidRPr="00E4401D">
              <w:rPr>
                <w:rFonts w:ascii="Times New Roman" w:hAnsi="Times New Roman" w:cs="Times New Roman"/>
                <w:i/>
                <w:iCs/>
                <w:sz w:val="28"/>
              </w:rPr>
              <w:t xml:space="preserve">, y provendrá́ de los recursos propios disponibles de la Financiera de Desarrollo Territorial S.A. -Findeter.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Lo dispuesto en este artículo, en ningún caso será́ aplicable a las operaciones de crédito público con cargo a la Asignación de Inversión Regional del Sistema General de Regalías, consagradas en el artículo 25 de la Ley 2279 de 2022 o en las normas que lo </w:t>
            </w:r>
            <w:r w:rsidRPr="00E4401D">
              <w:rPr>
                <w:rFonts w:ascii="Times New Roman" w:hAnsi="Times New Roman" w:cs="Times New Roman"/>
                <w:i/>
                <w:iCs/>
                <w:sz w:val="28"/>
              </w:rPr>
              <w:t xml:space="preserve">modifiquen o sustituyan.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La Financiera de Desarrollo Territorial S.A. -Findeter a través de sus reglamentos internos establecerá los montos máximos de recursos propios que se destinarán para apalancar esta modalidad de crédito, las condiciones financiera</w:t>
            </w:r>
            <w:r w:rsidRPr="00E4401D">
              <w:rPr>
                <w:rFonts w:ascii="Times New Roman" w:hAnsi="Times New Roman" w:cs="Times New Roman"/>
                <w:i/>
                <w:iCs/>
                <w:sz w:val="28"/>
              </w:rPr>
              <w:t xml:space="preserve">s generales, especialmente sobre las fuentes de pago ciertas y las garantías admisibles para este tipo de operaciones.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i/>
                <w:iCs/>
                <w:sz w:val="28"/>
              </w:rPr>
              <w:t>La Financiera de Desarrollo Territorial S.A. -Findeter deberá́ cumplir en todo momento con las condiciones establecidas en las disposic</w:t>
            </w:r>
            <w:r w:rsidRPr="00E4401D">
              <w:rPr>
                <w:rFonts w:ascii="Times New Roman" w:hAnsi="Times New Roman" w:cs="Times New Roman"/>
                <w:i/>
                <w:iCs/>
                <w:sz w:val="28"/>
              </w:rPr>
              <w:t xml:space="preserve">iones legales y actos administrativos vigentes para realizar este tipo de operaciones en materia de otorgamiento, seguimiento y recuperación de los créditos otorgados y conflictos de interés que puedan configurarse, </w:t>
            </w:r>
            <w:r w:rsidRPr="00E4401D">
              <w:rPr>
                <w:rFonts w:ascii="Times New Roman" w:hAnsi="Times New Roman" w:cs="Times New Roman"/>
                <w:b/>
                <w:bCs/>
                <w:i/>
                <w:iCs/>
                <w:sz w:val="28"/>
                <w:u w:val="single"/>
              </w:rPr>
              <w:t xml:space="preserve">esto sin perjuicio de las facultades de </w:t>
            </w:r>
            <w:r w:rsidRPr="00E4401D">
              <w:rPr>
                <w:rFonts w:ascii="Times New Roman" w:hAnsi="Times New Roman" w:cs="Times New Roman"/>
                <w:b/>
                <w:bCs/>
                <w:i/>
                <w:iCs/>
                <w:sz w:val="28"/>
                <w:u w:val="single"/>
              </w:rPr>
              <w:t xml:space="preserve">la Superintendencia Financiera de Colombia respecto de la verificación del cumplimiento de los sistemas integrales de gestión de riesgos propios de las operaciones.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PARÁGRAFO PRIMERO. El presente artículo no constituye una autorización general para la c</w:t>
            </w:r>
            <w:r w:rsidRPr="00E4401D">
              <w:rPr>
                <w:rFonts w:ascii="Times New Roman" w:hAnsi="Times New Roman" w:cs="Times New Roman"/>
                <w:i/>
                <w:iCs/>
                <w:sz w:val="28"/>
              </w:rPr>
              <w:t xml:space="preserve">onstitución de patrimonios autónomos por parte de las entidades públicas del nivel nacional, territorial ni para Findeter.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PARÁGRAFO SEGUNDO. La operación de que trata este artículo no corresponde a aquellas calificadas como operaciones de crédito públi</w:t>
            </w:r>
            <w:r w:rsidRPr="00E4401D">
              <w:rPr>
                <w:rFonts w:ascii="Times New Roman" w:hAnsi="Times New Roman" w:cs="Times New Roman"/>
                <w:i/>
                <w:iCs/>
                <w:sz w:val="28"/>
              </w:rPr>
              <w:t>co.</w:t>
            </w:r>
          </w:p>
        </w:tc>
        <w:tc>
          <w:tcPr>
            <w:tcW w:w="3227" w:type="dxa"/>
          </w:tcPr>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La proposición modificatoria del artículo 338 no se leyó dentro del bloque de proposiciones avaladas que se votaron en la Plenaria del 2 de mayo de 2023. Sin embargo, al reiterar el número de los artículos cuyas proposiciones estaban avaladas que se ib</w:t>
            </w:r>
            <w:r w:rsidRPr="00E4401D">
              <w:rPr>
                <w:rFonts w:ascii="Times New Roman" w:hAnsi="Times New Roman" w:cs="Times New Roman"/>
                <w:i/>
                <w:iCs/>
                <w:sz w:val="28"/>
              </w:rPr>
              <w:t xml:space="preserve">an a votar se incluyó la del artículo 338 sin que la Plenaria conociera su contenido: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“Reitero para que sepamos qué van a votar. El artículo 3, 5, 12, 24, 25, 46, 55, 130, 126, 304, 159, 316, 324, 330, 331, 338, 315 y 361”</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Lo transcrito se podrá verific</w:t>
            </w:r>
            <w:r w:rsidRPr="00E4401D">
              <w:rPr>
                <w:rFonts w:ascii="Times New Roman" w:hAnsi="Times New Roman" w:cs="Times New Roman"/>
                <w:i/>
                <w:iCs/>
                <w:sz w:val="28"/>
              </w:rPr>
              <w:t>ar en la grabación disponible en el canal de Youtube del Congreso Colombia denominada Plenaria del Senado del 2 de mayo de 2023. (Minuto 8:04:05 – 8:04:27) https://www.youtube.com/watch?v=iKHzz SDcJ9k</w:t>
            </w:r>
          </w:p>
        </w:tc>
      </w:tr>
      <w:tr w:rsidR="00F464C8" w:rsidRPr="00E4401D" w:rsidTr="008A3C27">
        <w:tc>
          <w:tcPr>
            <w:tcW w:w="3226" w:type="dxa"/>
          </w:tcPr>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Artículo 267 de la ponencia de segundo debate – Artícu</w:t>
            </w:r>
            <w:r w:rsidRPr="00E4401D">
              <w:rPr>
                <w:rFonts w:ascii="Times New Roman" w:hAnsi="Times New Roman" w:cs="Times New Roman"/>
                <w:i/>
                <w:iCs/>
                <w:sz w:val="28"/>
              </w:rPr>
              <w:t xml:space="preserve">lo 295 de la Ley 2294 de 2023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ARTÍCULO 267°. Adiciónese el inciso quinto al artículo 4 de la Ley 2079 de 2021, así́: ARTÍCULO 4°. POLÍTICA DE ESTADO DE VIVIENDA Y HÁBITAT. (...) La política de vivienda y hábitat, a cargo del Gobierno nacional, incluirá un enfoque diferencial que rec</w:t>
            </w:r>
            <w:r w:rsidRPr="00E4401D">
              <w:rPr>
                <w:rFonts w:ascii="Times New Roman" w:hAnsi="Times New Roman" w:cs="Times New Roman"/>
                <w:i/>
                <w:iCs/>
                <w:sz w:val="28"/>
              </w:rPr>
              <w:t xml:space="preserve">onozca las condiciones socio económicas y culturales de los pueblos indígenas, de las comunidades negras, afrocolombianas, raizales, palenqueras, campesinas y de grupos poblacionales específicos, especialmente de la población víctima del conflicto armado, </w:t>
            </w:r>
            <w:r w:rsidRPr="00E4401D">
              <w:rPr>
                <w:rFonts w:ascii="Times New Roman" w:hAnsi="Times New Roman" w:cs="Times New Roman"/>
                <w:i/>
                <w:iCs/>
                <w:sz w:val="28"/>
              </w:rPr>
              <w:t>incluyendo para esta última, el diseño de estrategias encaminadas a superar las barreras para la utilización de subsidios no aplicados en vigencias anteriores.</w:t>
            </w:r>
          </w:p>
        </w:tc>
        <w:tc>
          <w:tcPr>
            <w:tcW w:w="3227" w:type="dxa"/>
          </w:tcPr>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Artículo 267 de la ponencia de segundo debate – Artículo 295 de la Ley 2294 de 2023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ARTÍCULO 2</w:t>
            </w:r>
            <w:r w:rsidRPr="00E4401D">
              <w:rPr>
                <w:rFonts w:ascii="Times New Roman" w:hAnsi="Times New Roman" w:cs="Times New Roman"/>
                <w:i/>
                <w:iCs/>
                <w:sz w:val="28"/>
              </w:rPr>
              <w:t>67°. Adiciónese el inciso quinto al artículo 4 de la Ley 2079 de 2021: La política de vivienda y hábitat, a cargo del Gobierno nacional, incluirá un enfoque diferencial que reconozca las condiciones socio económicas y culturales de los pueblos indígenas, d</w:t>
            </w:r>
            <w:r w:rsidRPr="00E4401D">
              <w:rPr>
                <w:rFonts w:ascii="Times New Roman" w:hAnsi="Times New Roman" w:cs="Times New Roman"/>
                <w:i/>
                <w:iCs/>
                <w:sz w:val="28"/>
              </w:rPr>
              <w:t xml:space="preserve">e las comunidades negras, afrocolombianas, raizales, palenqueras, campesinas y de grupos poblacionales específicos, especialmente de la población víctima del conflicto armado, incluyendo para esta última, el diseño de estrategias encaminadas a superar las </w:t>
            </w:r>
            <w:r w:rsidRPr="00E4401D">
              <w:rPr>
                <w:rFonts w:ascii="Times New Roman" w:hAnsi="Times New Roman" w:cs="Times New Roman"/>
                <w:i/>
                <w:iCs/>
                <w:sz w:val="28"/>
              </w:rPr>
              <w:t xml:space="preserve">barreras para la utilización de subsidios no aplicados en vigencias anteriores.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 xml:space="preserve">Parágrafo 1. Para todos los efectos legales, se entiende que los negocios jurídicos celebrados por los patrimonios autónomos constituidos por FONVIVIENDA, para efectos de la </w:t>
            </w:r>
            <w:r w:rsidRPr="00E4401D">
              <w:rPr>
                <w:rFonts w:ascii="Times New Roman" w:hAnsi="Times New Roman" w:cs="Times New Roman"/>
                <w:b/>
                <w:bCs/>
                <w:i/>
                <w:iCs/>
                <w:sz w:val="28"/>
                <w:u w:val="single"/>
              </w:rPr>
              <w:t xml:space="preserve">ejecución de los subsidios familiares de vivienda otorgados por el Gobierno Nacional en el marco de la política de vivienda y hábitat urbana y rural, son de naturaleza jurídica privada. </w:t>
            </w:r>
          </w:p>
          <w:p w:rsidR="00F464C8" w:rsidRPr="00E4401D" w:rsidRDefault="00E4401D" w:rsidP="008A3C27">
            <w:pPr>
              <w:jc w:val="both"/>
              <w:rPr>
                <w:rFonts w:ascii="Times New Roman" w:hAnsi="Times New Roman" w:cs="Times New Roman"/>
                <w:b/>
                <w:bCs/>
                <w:i/>
                <w:iCs/>
                <w:sz w:val="28"/>
                <w:u w:val="single"/>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Parágrafo 2. Con el fin de generar cohesión y articulación en la eje</w:t>
            </w:r>
            <w:r w:rsidRPr="00E4401D">
              <w:rPr>
                <w:rFonts w:ascii="Times New Roman" w:hAnsi="Times New Roman" w:cs="Times New Roman"/>
                <w:b/>
                <w:bCs/>
                <w:i/>
                <w:iCs/>
                <w:sz w:val="28"/>
                <w:u w:val="single"/>
              </w:rPr>
              <w:t>cución de la política de vivienda y hábitat, el Fondo Nacional de Vivienda “Fonvivienda” tendrá́ como objetivos consolidar el Sistema Nacional de Información de Vivienda y ejecutar las políticas del Gobierno Nacional en materia de vivienda de interés socia</w:t>
            </w:r>
            <w:r w:rsidRPr="00E4401D">
              <w:rPr>
                <w:rFonts w:ascii="Times New Roman" w:hAnsi="Times New Roman" w:cs="Times New Roman"/>
                <w:b/>
                <w:bCs/>
                <w:i/>
                <w:iCs/>
                <w:sz w:val="28"/>
                <w:u w:val="single"/>
              </w:rPr>
              <w:t>l, agua y saneamiento básico, en particular aquellas orientadas a la descentralización territorial de la inversión de los recursos destinados a estas actividades, administrando: Los recursos asignados en el Presupuesto General de la Nación en inversión par</w:t>
            </w:r>
            <w:r w:rsidRPr="00E4401D">
              <w:rPr>
                <w:rFonts w:ascii="Times New Roman" w:hAnsi="Times New Roman" w:cs="Times New Roman"/>
                <w:b/>
                <w:bCs/>
                <w:i/>
                <w:iCs/>
                <w:sz w:val="28"/>
                <w:u w:val="single"/>
              </w:rPr>
              <w:t xml:space="preserve">a vivienda de interés social, agua y saneamiento básico; los recursos que se apropien para la formulación, organización, promoción, desarrollo, mantenimiento y consolidación del Sistema Nacional de Información de Vivienda y en general bienes y recursos de </w:t>
            </w:r>
            <w:r w:rsidRPr="00E4401D">
              <w:rPr>
                <w:rFonts w:ascii="Times New Roman" w:hAnsi="Times New Roman" w:cs="Times New Roman"/>
                <w:b/>
                <w:bCs/>
                <w:i/>
                <w:iCs/>
                <w:sz w:val="28"/>
                <w:u w:val="single"/>
              </w:rPr>
              <w:t xml:space="preserve">que trata la presente ley, para lo cual podrá́ constituir patrimonios autónomos a través de la suscripción de contratos de fiducia mercantil. </w:t>
            </w:r>
          </w:p>
          <w:p w:rsidR="00F464C8" w:rsidRPr="00E4401D" w:rsidRDefault="00E4401D" w:rsidP="008A3C27">
            <w:pPr>
              <w:jc w:val="both"/>
              <w:rPr>
                <w:rFonts w:ascii="Times New Roman" w:hAnsi="Times New Roman" w:cs="Times New Roman"/>
                <w:b/>
                <w:bCs/>
                <w:i/>
                <w:iCs/>
                <w:sz w:val="28"/>
                <w:u w:val="single"/>
              </w:rPr>
            </w:pPr>
          </w:p>
          <w:p w:rsidR="00F464C8" w:rsidRPr="00E4401D" w:rsidRDefault="00E4401D" w:rsidP="008A3C27">
            <w:pPr>
              <w:jc w:val="both"/>
              <w:rPr>
                <w:rFonts w:ascii="Times New Roman" w:hAnsi="Times New Roman" w:cs="Times New Roman"/>
                <w:b/>
                <w:bCs/>
                <w:i/>
                <w:iCs/>
                <w:sz w:val="28"/>
                <w:u w:val="single"/>
              </w:rPr>
            </w:pPr>
            <w:r w:rsidRPr="00E4401D">
              <w:rPr>
                <w:rFonts w:ascii="Times New Roman" w:hAnsi="Times New Roman" w:cs="Times New Roman"/>
                <w:b/>
                <w:bCs/>
                <w:i/>
                <w:iCs/>
                <w:sz w:val="28"/>
                <w:u w:val="single"/>
              </w:rPr>
              <w:t xml:space="preserve">Parágrafo 3. El Fondo Nacional de Vivienda podrá́ estructura y ejecutar proyectos y programas para el sector de </w:t>
            </w:r>
            <w:r w:rsidRPr="00E4401D">
              <w:rPr>
                <w:rFonts w:ascii="Times New Roman" w:hAnsi="Times New Roman" w:cs="Times New Roman"/>
                <w:b/>
                <w:bCs/>
                <w:i/>
                <w:iCs/>
                <w:sz w:val="28"/>
                <w:u w:val="single"/>
              </w:rPr>
              <w:t>agua y saneamiento básico, que permitan garantizar las condiciones de acceso y mínimo vital de la población.</w:t>
            </w:r>
          </w:p>
        </w:tc>
        <w:tc>
          <w:tcPr>
            <w:tcW w:w="3227" w:type="dxa"/>
          </w:tcPr>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“Esa proposición lo que agrega es un parágrafo: El Fondo Nacional de Vivienda podrá́ estructura y ejecutar proyectos y programas para el sector de </w:t>
            </w:r>
            <w:r w:rsidRPr="00E4401D">
              <w:rPr>
                <w:rFonts w:ascii="Times New Roman" w:hAnsi="Times New Roman" w:cs="Times New Roman"/>
                <w:i/>
                <w:iCs/>
                <w:sz w:val="28"/>
              </w:rPr>
              <w:t xml:space="preserve">agua y saneamiento básico, que permitan garantizar las condiciones de acceso y mínimo vital de la población” </w:t>
            </w:r>
          </w:p>
          <w:p w:rsidR="00F464C8" w:rsidRPr="00E4401D" w:rsidRDefault="00E4401D" w:rsidP="008A3C27">
            <w:pPr>
              <w:jc w:val="both"/>
              <w:rPr>
                <w:rFonts w:ascii="Times New Roman" w:hAnsi="Times New Roman" w:cs="Times New Roman"/>
                <w:i/>
                <w:iCs/>
                <w:sz w:val="28"/>
              </w:rPr>
            </w:pPr>
          </w:p>
          <w:p w:rsidR="00F464C8" w:rsidRPr="00E4401D" w:rsidRDefault="00E4401D" w:rsidP="008A3C27">
            <w:pPr>
              <w:jc w:val="both"/>
              <w:rPr>
                <w:rFonts w:ascii="Times New Roman" w:hAnsi="Times New Roman" w:cs="Times New Roman"/>
                <w:i/>
                <w:iCs/>
                <w:sz w:val="28"/>
              </w:rPr>
            </w:pPr>
            <w:r w:rsidRPr="00E4401D">
              <w:rPr>
                <w:rFonts w:ascii="Times New Roman" w:hAnsi="Times New Roman" w:cs="Times New Roman"/>
                <w:i/>
                <w:iCs/>
                <w:sz w:val="28"/>
              </w:rPr>
              <w:t xml:space="preserve">Lo transcrito se podrá verificar en la grabación disponible en el canal de Youtube del Congreso Colombia denominada Plenaria del Senado del 2 de </w:t>
            </w:r>
            <w:r w:rsidRPr="00E4401D">
              <w:rPr>
                <w:rFonts w:ascii="Times New Roman" w:hAnsi="Times New Roman" w:cs="Times New Roman"/>
                <w:i/>
                <w:iCs/>
                <w:sz w:val="28"/>
              </w:rPr>
              <w:t>mayo de 2023. (Minuto 7:54:35 – 7:54:57) https://www.youtube.com/watch?v=iKHzz SDcJ9k</w:t>
            </w:r>
          </w:p>
        </w:tc>
      </w:tr>
    </w:tbl>
    <w:p w:rsidR="00F464C8" w:rsidRPr="00E4401D" w:rsidRDefault="00E4401D" w:rsidP="00F464C8">
      <w:pPr>
        <w:pStyle w:val="Prrafodelista"/>
        <w:ind w:left="0"/>
        <w:jc w:val="both"/>
        <w:rPr>
          <w:rFonts w:ascii="Times New Roman" w:hAnsi="Times New Roman" w:cs="Times New Roman"/>
          <w:sz w:val="28"/>
          <w:szCs w:val="26"/>
        </w:rPr>
      </w:pPr>
    </w:p>
    <w:p w:rsidR="00F464C8" w:rsidRPr="00E4401D" w:rsidRDefault="00E4401D" w:rsidP="00F464C8">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Tras exponer el anterior cuadro, los demandantes concluyeron que “[c]</w:t>
      </w:r>
      <w:r w:rsidRPr="00E4401D">
        <w:rPr>
          <w:rFonts w:ascii="Times New Roman" w:hAnsi="Times New Roman" w:cs="Times New Roman"/>
          <w:i/>
          <w:iCs/>
          <w:sz w:val="28"/>
          <w:szCs w:val="28"/>
        </w:rPr>
        <w:t xml:space="preserve">omo puede observarse de la transcripción de la intervención del entonces presidente del Senado Roy </w:t>
      </w:r>
      <w:r w:rsidRPr="00E4401D">
        <w:rPr>
          <w:rFonts w:ascii="Times New Roman" w:hAnsi="Times New Roman" w:cs="Times New Roman"/>
          <w:i/>
          <w:iCs/>
          <w:sz w:val="28"/>
          <w:szCs w:val="28"/>
        </w:rPr>
        <w:t>Barreras respecto las proposiciones avaladas a los artículos 5, 55, 267 y 338 del informe de ponencia de segundo debate, los cuales terminaron siendo los artículos 5, 61, 295 y 297 respectivamente de la ley 2294 de 2023, comporta una manifiesta violación a</w:t>
      </w:r>
      <w:r w:rsidRPr="00E4401D">
        <w:rPr>
          <w:rFonts w:ascii="Times New Roman" w:hAnsi="Times New Roman" w:cs="Times New Roman"/>
          <w:i/>
          <w:iCs/>
          <w:sz w:val="28"/>
          <w:szCs w:val="28"/>
        </w:rPr>
        <w:t>l principio de publicidad y, en consecuencia, al artículo 125 de la Ley 5 de 1992</w:t>
      </w:r>
      <w:r w:rsidRPr="00E4401D">
        <w:rPr>
          <w:rFonts w:ascii="Times New Roman" w:hAnsi="Times New Roman" w:cs="Times New Roman"/>
          <w:sz w:val="28"/>
          <w:szCs w:val="28"/>
        </w:rPr>
        <w:t xml:space="preserve">”. Argumentaron que este proceder contraviene el artículo 125 de la Ley 5 de 1992, el cual </w:t>
      </w:r>
      <w:r w:rsidRPr="00E4401D">
        <w:rPr>
          <w:rFonts w:ascii="Times New Roman" w:hAnsi="Times New Roman" w:cs="Times New Roman"/>
          <w:sz w:val="28"/>
          <w:szCs w:val="28"/>
        </w:rPr>
        <w:t xml:space="preserve">precisa </w:t>
      </w:r>
      <w:r w:rsidRPr="00E4401D">
        <w:rPr>
          <w:rFonts w:ascii="Times New Roman" w:hAnsi="Times New Roman" w:cs="Times New Roman"/>
          <w:sz w:val="28"/>
          <w:szCs w:val="28"/>
        </w:rPr>
        <w:t>que después del cierre de la discusión de cualquier proposición, se debe lee</w:t>
      </w:r>
      <w:r w:rsidRPr="00E4401D">
        <w:rPr>
          <w:rFonts w:ascii="Times New Roman" w:hAnsi="Times New Roman" w:cs="Times New Roman"/>
          <w:sz w:val="28"/>
          <w:szCs w:val="28"/>
        </w:rPr>
        <w:t>r integralmente antes de proceder a la votación. Los accionantes sostienen que, al no realizarse una lectura completa y efectiva de las modificaciones propuestas, se indujo a error a los senadores en la plenaria, lo que constituye una violación al debido p</w:t>
      </w:r>
      <w:r w:rsidRPr="00E4401D">
        <w:rPr>
          <w:rFonts w:ascii="Times New Roman" w:hAnsi="Times New Roman" w:cs="Times New Roman"/>
          <w:sz w:val="28"/>
          <w:szCs w:val="28"/>
        </w:rPr>
        <w:t>roceso legislativo y, por ende, afecta la constitucionalidad de los artículos mencionados de la Ley 2294 de 2023.</w:t>
      </w:r>
    </w:p>
    <w:p w:rsidR="00F464C8" w:rsidRPr="00E4401D" w:rsidRDefault="00E4401D" w:rsidP="00F464C8">
      <w:pPr>
        <w:pStyle w:val="Prrafodelista"/>
        <w:ind w:left="0"/>
        <w:jc w:val="both"/>
        <w:rPr>
          <w:rFonts w:ascii="Times New Roman" w:hAnsi="Times New Roman" w:cs="Times New Roman"/>
          <w:sz w:val="28"/>
          <w:szCs w:val="28"/>
        </w:rPr>
      </w:pPr>
    </w:p>
    <w:p w:rsidR="00F464C8" w:rsidRPr="00E4401D" w:rsidRDefault="00E4401D" w:rsidP="00F464C8">
      <w:pPr>
        <w:pStyle w:val="Prrafodelista"/>
        <w:ind w:left="0"/>
        <w:jc w:val="both"/>
        <w:rPr>
          <w:rFonts w:ascii="Times New Roman" w:hAnsi="Times New Roman" w:cs="Times New Roman"/>
          <w:sz w:val="28"/>
          <w:szCs w:val="28"/>
        </w:rPr>
      </w:pPr>
    </w:p>
    <w:p w:rsidR="00F464C8" w:rsidRPr="00E4401D" w:rsidRDefault="00E4401D" w:rsidP="00F464C8">
      <w:pPr>
        <w:pStyle w:val="Ttulo2"/>
        <w:numPr>
          <w:ilvl w:val="0"/>
          <w:numId w:val="5"/>
        </w:numPr>
        <w:spacing w:before="0"/>
        <w:ind w:left="0" w:firstLine="0"/>
        <w:jc w:val="both"/>
        <w:rPr>
          <w:rFonts w:ascii="Times New Roman" w:hAnsi="Times New Roman" w:cs="Times New Roman"/>
          <w:b/>
          <w:bCs/>
          <w:color w:val="auto"/>
          <w:sz w:val="28"/>
          <w:szCs w:val="28"/>
          <w:u w:val="single"/>
        </w:rPr>
      </w:pPr>
      <w:r w:rsidRPr="00E4401D">
        <w:rPr>
          <w:rFonts w:ascii="Times New Roman" w:hAnsi="Times New Roman" w:cs="Times New Roman"/>
          <w:b/>
          <w:bCs/>
          <w:color w:val="auto"/>
          <w:sz w:val="28"/>
          <w:szCs w:val="28"/>
          <w:u w:val="single"/>
        </w:rPr>
        <w:t>Pruebas recaudadas</w:t>
      </w:r>
    </w:p>
    <w:p w:rsidR="00F464C8" w:rsidRPr="00E4401D" w:rsidRDefault="00E4401D" w:rsidP="00F464C8">
      <w:pPr>
        <w:jc w:val="both"/>
        <w:rPr>
          <w:rFonts w:ascii="Times New Roman" w:hAnsi="Times New Roman" w:cs="Times New Roman"/>
          <w:sz w:val="28"/>
          <w:szCs w:val="28"/>
        </w:rPr>
      </w:pPr>
    </w:p>
    <w:p w:rsidR="00F464C8" w:rsidRPr="00E4401D" w:rsidRDefault="00E4401D" w:rsidP="00F464C8">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En respuesta al cuestionario formulado en el auto admisorio, del 11 de julio de 2023, la Secretaría General de la Cámara</w:t>
      </w:r>
      <w:r w:rsidRPr="00E4401D">
        <w:rPr>
          <w:rFonts w:ascii="Times New Roman" w:hAnsi="Times New Roman" w:cs="Times New Roman"/>
          <w:sz w:val="28"/>
          <w:szCs w:val="28"/>
        </w:rPr>
        <w:t xml:space="preserve"> de Representantes y la Secretaría General del Senado de la República remitieron los antecedentes del proceso legislativo del Proyecto de Ley 338/23 Cámara – 274/23 Senado, correspondiente a la Ley 2294 de 2023:</w:t>
      </w:r>
      <w:r w:rsidRPr="00E4401D">
        <w:rPr>
          <w:rStyle w:val="Refdenotaalpie"/>
          <w:rFonts w:ascii="Times New Roman" w:hAnsi="Times New Roman" w:cs="Times New Roman"/>
          <w:sz w:val="28"/>
          <w:szCs w:val="28"/>
        </w:rPr>
        <w:footnoteReference w:id="1"/>
      </w:r>
    </w:p>
    <w:p w:rsidR="00F464C8" w:rsidRPr="00E4401D" w:rsidRDefault="00E4401D" w:rsidP="00F464C8">
      <w:pPr>
        <w:pStyle w:val="Prrafodelista"/>
        <w:ind w:left="0"/>
        <w:jc w:val="both"/>
        <w:rPr>
          <w:rFonts w:ascii="Times New Roman" w:hAnsi="Times New Roman" w:cs="Times New Roman"/>
          <w:sz w:val="28"/>
          <w:szCs w:val="28"/>
        </w:rPr>
      </w:pPr>
    </w:p>
    <w:p w:rsidR="00F464C8" w:rsidRPr="00E4401D" w:rsidRDefault="00E4401D" w:rsidP="00F464C8">
      <w:pPr>
        <w:pStyle w:val="Ttulo3"/>
        <w:spacing w:before="0"/>
        <w:jc w:val="center"/>
        <w:rPr>
          <w:rFonts w:ascii="Times New Roman" w:hAnsi="Times New Roman" w:cs="Times New Roman"/>
          <w:b/>
          <w:bCs/>
          <w:i/>
          <w:iCs/>
          <w:color w:val="auto"/>
          <w:sz w:val="28"/>
          <w:szCs w:val="28"/>
        </w:rPr>
      </w:pPr>
      <w:r w:rsidRPr="00E4401D">
        <w:rPr>
          <w:rFonts w:ascii="Times New Roman" w:hAnsi="Times New Roman" w:cs="Times New Roman"/>
          <w:b/>
          <w:bCs/>
          <w:i/>
          <w:iCs/>
          <w:color w:val="auto"/>
          <w:sz w:val="28"/>
          <w:szCs w:val="28"/>
        </w:rPr>
        <w:t>Tabla 1 – Pruebas de antecedentes del proc</w:t>
      </w:r>
      <w:r w:rsidRPr="00E4401D">
        <w:rPr>
          <w:rFonts w:ascii="Times New Roman" w:hAnsi="Times New Roman" w:cs="Times New Roman"/>
          <w:b/>
          <w:bCs/>
          <w:i/>
          <w:iCs/>
          <w:color w:val="auto"/>
          <w:sz w:val="28"/>
          <w:szCs w:val="28"/>
        </w:rPr>
        <w:t>eso legislativo</w:t>
      </w:r>
    </w:p>
    <w:p w:rsidR="00F464C8" w:rsidRPr="00E4401D" w:rsidRDefault="00E4401D" w:rsidP="00F464C8">
      <w:pPr>
        <w:pStyle w:val="Prrafodelista"/>
        <w:ind w:left="0"/>
        <w:jc w:val="both"/>
        <w:rPr>
          <w:rFonts w:ascii="Times New Roman" w:hAnsi="Times New Roman" w:cs="Times New Roman"/>
          <w:sz w:val="28"/>
          <w:szCs w:val="28"/>
        </w:rPr>
      </w:pPr>
    </w:p>
    <w:tbl>
      <w:tblPr>
        <w:tblStyle w:val="Tablaconcuadrcula"/>
        <w:tblpPr w:leftFromText="141" w:rightFromText="141" w:vertAnchor="text" w:horzAnchor="margin" w:tblpX="250" w:tblpY="62"/>
        <w:tblW w:w="0" w:type="auto"/>
        <w:tblLook w:val="04A0" w:firstRow="1" w:lastRow="0" w:firstColumn="1" w:lastColumn="0" w:noHBand="0" w:noVBand="1"/>
      </w:tblPr>
      <w:tblGrid>
        <w:gridCol w:w="625"/>
        <w:gridCol w:w="2778"/>
        <w:gridCol w:w="5427"/>
      </w:tblGrid>
      <w:tr w:rsidR="00F464C8" w:rsidRPr="00E4401D" w:rsidTr="008A3C27">
        <w:trPr>
          <w:trHeight w:val="394"/>
          <w:tblHeader/>
        </w:trPr>
        <w:tc>
          <w:tcPr>
            <w:tcW w:w="629" w:type="dxa"/>
          </w:tcPr>
          <w:p w:rsidR="00F464C8" w:rsidRPr="00E4401D" w:rsidRDefault="00E4401D" w:rsidP="008A3C27">
            <w:pPr>
              <w:pStyle w:val="Prrafodelista"/>
              <w:ind w:left="-17"/>
              <w:jc w:val="center"/>
              <w:rPr>
                <w:rFonts w:ascii="Times New Roman" w:hAnsi="Times New Roman" w:cs="Times New Roman"/>
                <w:b/>
                <w:bCs/>
                <w:sz w:val="28"/>
              </w:rPr>
            </w:pPr>
            <w:r w:rsidRPr="00E4401D">
              <w:rPr>
                <w:rFonts w:ascii="Times New Roman" w:hAnsi="Times New Roman" w:cs="Times New Roman"/>
                <w:b/>
                <w:bCs/>
                <w:sz w:val="28"/>
              </w:rPr>
              <w:t>No.</w:t>
            </w:r>
          </w:p>
        </w:tc>
        <w:tc>
          <w:tcPr>
            <w:tcW w:w="2881" w:type="dxa"/>
          </w:tcPr>
          <w:p w:rsidR="00F464C8" w:rsidRPr="00E4401D" w:rsidRDefault="00E4401D" w:rsidP="008A3C27">
            <w:pPr>
              <w:pStyle w:val="Prrafodelista"/>
              <w:ind w:left="0"/>
              <w:jc w:val="center"/>
              <w:rPr>
                <w:rFonts w:ascii="Times New Roman" w:hAnsi="Times New Roman" w:cs="Times New Roman"/>
                <w:b/>
                <w:bCs/>
                <w:sz w:val="28"/>
              </w:rPr>
            </w:pPr>
            <w:r w:rsidRPr="00E4401D">
              <w:rPr>
                <w:rFonts w:ascii="Times New Roman" w:hAnsi="Times New Roman" w:cs="Times New Roman"/>
                <w:b/>
                <w:bCs/>
                <w:sz w:val="28"/>
              </w:rPr>
              <w:t>Gaceta del Congreso</w:t>
            </w:r>
          </w:p>
        </w:tc>
        <w:tc>
          <w:tcPr>
            <w:tcW w:w="5670" w:type="dxa"/>
          </w:tcPr>
          <w:p w:rsidR="00F464C8" w:rsidRPr="00E4401D" w:rsidRDefault="00E4401D" w:rsidP="008A3C27">
            <w:pPr>
              <w:pStyle w:val="Prrafodelista"/>
              <w:ind w:left="0"/>
              <w:jc w:val="center"/>
              <w:rPr>
                <w:rFonts w:ascii="Times New Roman" w:hAnsi="Times New Roman" w:cs="Times New Roman"/>
                <w:b/>
                <w:bCs/>
                <w:sz w:val="28"/>
              </w:rPr>
            </w:pPr>
            <w:r w:rsidRPr="00E4401D">
              <w:rPr>
                <w:rFonts w:ascii="Times New Roman" w:hAnsi="Times New Roman" w:cs="Times New Roman"/>
                <w:b/>
                <w:bCs/>
                <w:sz w:val="28"/>
              </w:rPr>
              <w:t>Contenido</w:t>
            </w:r>
          </w:p>
        </w:tc>
      </w:tr>
      <w:tr w:rsidR="00F464C8" w:rsidRPr="00E4401D" w:rsidTr="008A3C27">
        <w:trPr>
          <w:trHeight w:val="416"/>
        </w:trPr>
        <w:tc>
          <w:tcPr>
            <w:tcW w:w="629"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1</w:t>
            </w:r>
          </w:p>
        </w:tc>
        <w:tc>
          <w:tcPr>
            <w:tcW w:w="2881" w:type="dxa"/>
          </w:tcPr>
          <w:p w:rsidR="00F464C8" w:rsidRPr="00E4401D" w:rsidRDefault="00E4401D" w:rsidP="008A3C27">
            <w:pPr>
              <w:pStyle w:val="Prrafodelista"/>
              <w:ind w:left="0"/>
              <w:jc w:val="center"/>
              <w:rPr>
                <w:rFonts w:ascii="Times New Roman" w:hAnsi="Times New Roman" w:cs="Times New Roman"/>
                <w:sz w:val="28"/>
              </w:rPr>
            </w:pPr>
            <w:r w:rsidRPr="00E4401D">
              <w:rPr>
                <w:rFonts w:ascii="Times New Roman" w:hAnsi="Times New Roman" w:cs="Times New Roman"/>
                <w:sz w:val="28"/>
              </w:rPr>
              <w:t>Gaceta 18 de 2023</w:t>
            </w:r>
          </w:p>
        </w:tc>
        <w:tc>
          <w:tcPr>
            <w:tcW w:w="5670" w:type="dxa"/>
          </w:tcPr>
          <w:p w:rsidR="00F464C8" w:rsidRPr="00E4401D" w:rsidRDefault="00E4401D" w:rsidP="008A3C27">
            <w:pPr>
              <w:rPr>
                <w:rFonts w:ascii="Times New Roman" w:hAnsi="Times New Roman" w:cs="Times New Roman"/>
                <w:sz w:val="28"/>
              </w:rPr>
            </w:pPr>
            <w:r w:rsidRPr="00E4401D">
              <w:rPr>
                <w:rFonts w:ascii="Times New Roman" w:hAnsi="Times New Roman" w:cs="Times New Roman"/>
                <w:sz w:val="28"/>
              </w:rPr>
              <w:t>Proyecto de ley y exposición de motivos</w:t>
            </w:r>
          </w:p>
        </w:tc>
      </w:tr>
      <w:tr w:rsidR="00F464C8" w:rsidRPr="00E4401D" w:rsidTr="008A3C27">
        <w:trPr>
          <w:trHeight w:val="416"/>
        </w:trPr>
        <w:tc>
          <w:tcPr>
            <w:tcW w:w="629"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2</w:t>
            </w:r>
          </w:p>
        </w:tc>
        <w:tc>
          <w:tcPr>
            <w:tcW w:w="2881" w:type="dxa"/>
          </w:tcPr>
          <w:p w:rsidR="00F464C8" w:rsidRPr="00E4401D" w:rsidRDefault="00E4401D" w:rsidP="008A3C27">
            <w:pPr>
              <w:pStyle w:val="Prrafodelista"/>
              <w:ind w:left="0"/>
              <w:jc w:val="center"/>
              <w:rPr>
                <w:rFonts w:ascii="Times New Roman" w:hAnsi="Times New Roman" w:cs="Times New Roman"/>
                <w:sz w:val="28"/>
              </w:rPr>
            </w:pPr>
            <w:r w:rsidRPr="00E4401D">
              <w:rPr>
                <w:rFonts w:ascii="Times New Roman" w:hAnsi="Times New Roman" w:cs="Times New Roman"/>
                <w:sz w:val="28"/>
              </w:rPr>
              <w:t>Gacetas 180 y 182 de 2023</w:t>
            </w:r>
          </w:p>
        </w:tc>
        <w:tc>
          <w:tcPr>
            <w:tcW w:w="5670" w:type="dxa"/>
          </w:tcPr>
          <w:p w:rsidR="00F464C8" w:rsidRPr="00E4401D" w:rsidRDefault="00E4401D" w:rsidP="008A3C27">
            <w:pPr>
              <w:rPr>
                <w:rFonts w:ascii="Times New Roman" w:hAnsi="Times New Roman" w:cs="Times New Roman"/>
                <w:sz w:val="28"/>
              </w:rPr>
            </w:pPr>
            <w:r w:rsidRPr="00E4401D">
              <w:rPr>
                <w:rFonts w:ascii="Times New Roman" w:hAnsi="Times New Roman" w:cs="Times New Roman"/>
                <w:sz w:val="28"/>
              </w:rPr>
              <w:t>Informe de ponencia para el debate en sesión conjunta de las comisiones permanentes de ambas Cámaras (Positiva)</w:t>
            </w:r>
          </w:p>
        </w:tc>
      </w:tr>
      <w:tr w:rsidR="00F464C8" w:rsidRPr="00E4401D" w:rsidTr="008A3C27">
        <w:trPr>
          <w:trHeight w:val="394"/>
        </w:trPr>
        <w:tc>
          <w:tcPr>
            <w:tcW w:w="629"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3</w:t>
            </w:r>
          </w:p>
        </w:tc>
        <w:tc>
          <w:tcPr>
            <w:tcW w:w="2881" w:type="dxa"/>
          </w:tcPr>
          <w:p w:rsidR="00F464C8" w:rsidRPr="00E4401D" w:rsidRDefault="00E4401D" w:rsidP="008A3C27">
            <w:pPr>
              <w:pStyle w:val="Prrafodelista"/>
              <w:ind w:left="0"/>
              <w:jc w:val="center"/>
              <w:rPr>
                <w:rFonts w:ascii="Times New Roman" w:hAnsi="Times New Roman" w:cs="Times New Roman"/>
                <w:sz w:val="28"/>
              </w:rPr>
            </w:pPr>
            <w:r w:rsidRPr="00E4401D">
              <w:rPr>
                <w:rFonts w:ascii="Times New Roman" w:hAnsi="Times New Roman" w:cs="Times New Roman"/>
                <w:sz w:val="28"/>
              </w:rPr>
              <w:t>Gacetas 181 y 183 de 2023</w:t>
            </w:r>
          </w:p>
        </w:tc>
        <w:tc>
          <w:tcPr>
            <w:tcW w:w="5670" w:type="dxa"/>
          </w:tcPr>
          <w:p w:rsidR="00F464C8" w:rsidRPr="00E4401D" w:rsidRDefault="00E4401D" w:rsidP="008A3C27">
            <w:pPr>
              <w:jc w:val="both"/>
              <w:rPr>
                <w:rFonts w:ascii="Times New Roman" w:hAnsi="Times New Roman" w:cs="Times New Roman"/>
                <w:sz w:val="28"/>
              </w:rPr>
            </w:pPr>
            <w:r w:rsidRPr="00E4401D">
              <w:rPr>
                <w:rFonts w:ascii="Times New Roman" w:hAnsi="Times New Roman" w:cs="Times New Roman"/>
                <w:sz w:val="28"/>
              </w:rPr>
              <w:t>Informe de ponencia para el debate en sesión conjunta de las comisiones permanentes de ambas Cámaras (Negativa)</w:t>
            </w:r>
          </w:p>
        </w:tc>
      </w:tr>
      <w:tr w:rsidR="00F464C8" w:rsidRPr="00E4401D" w:rsidTr="008A3C27">
        <w:trPr>
          <w:trHeight w:val="394"/>
        </w:trPr>
        <w:tc>
          <w:tcPr>
            <w:tcW w:w="629"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4</w:t>
            </w:r>
          </w:p>
        </w:tc>
        <w:tc>
          <w:tcPr>
            <w:tcW w:w="2881" w:type="dxa"/>
          </w:tcPr>
          <w:p w:rsidR="00F464C8" w:rsidRPr="00E4401D" w:rsidRDefault="00E4401D" w:rsidP="008A3C27">
            <w:pPr>
              <w:pStyle w:val="Prrafodelista"/>
              <w:ind w:left="0"/>
              <w:jc w:val="center"/>
              <w:rPr>
                <w:rFonts w:ascii="Times New Roman" w:hAnsi="Times New Roman" w:cs="Times New Roman"/>
                <w:sz w:val="28"/>
              </w:rPr>
            </w:pPr>
            <w:r w:rsidRPr="00E4401D">
              <w:rPr>
                <w:rFonts w:ascii="Times New Roman" w:hAnsi="Times New Roman" w:cs="Times New Roman"/>
                <w:sz w:val="28"/>
              </w:rPr>
              <w:t>Gacetas 858, 859 y 860 de 2023</w:t>
            </w:r>
          </w:p>
        </w:tc>
        <w:tc>
          <w:tcPr>
            <w:tcW w:w="5670" w:type="dxa"/>
          </w:tcPr>
          <w:p w:rsidR="00F464C8" w:rsidRPr="00E4401D" w:rsidRDefault="00E4401D" w:rsidP="008A3C27">
            <w:pPr>
              <w:jc w:val="both"/>
              <w:rPr>
                <w:rFonts w:ascii="Times New Roman" w:hAnsi="Times New Roman" w:cs="Times New Roman"/>
                <w:sz w:val="28"/>
              </w:rPr>
            </w:pPr>
            <w:r w:rsidRPr="00E4401D">
              <w:rPr>
                <w:rFonts w:ascii="Times New Roman" w:hAnsi="Times New Roman" w:cs="Times New Roman"/>
                <w:sz w:val="28"/>
              </w:rPr>
              <w:t>Sesiones conjuntas de las comisiones permanentes de ambas Cámaras</w:t>
            </w:r>
          </w:p>
        </w:tc>
      </w:tr>
      <w:tr w:rsidR="00F464C8" w:rsidRPr="00E4401D" w:rsidTr="008A3C27">
        <w:trPr>
          <w:trHeight w:val="416"/>
        </w:trPr>
        <w:tc>
          <w:tcPr>
            <w:tcW w:w="629"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5</w:t>
            </w:r>
          </w:p>
        </w:tc>
        <w:tc>
          <w:tcPr>
            <w:tcW w:w="2881" w:type="dxa"/>
          </w:tcPr>
          <w:p w:rsidR="00F464C8" w:rsidRPr="00E4401D" w:rsidRDefault="00E4401D" w:rsidP="008A3C27">
            <w:pPr>
              <w:pStyle w:val="Prrafodelista"/>
              <w:ind w:left="0"/>
              <w:jc w:val="center"/>
              <w:rPr>
                <w:rFonts w:ascii="Times New Roman" w:hAnsi="Times New Roman" w:cs="Times New Roman"/>
                <w:sz w:val="28"/>
              </w:rPr>
            </w:pPr>
            <w:r w:rsidRPr="00E4401D">
              <w:rPr>
                <w:rFonts w:ascii="Times New Roman" w:hAnsi="Times New Roman" w:cs="Times New Roman"/>
                <w:sz w:val="28"/>
              </w:rPr>
              <w:t>Gaceta 386 de 2</w:t>
            </w:r>
            <w:r w:rsidRPr="00E4401D">
              <w:rPr>
                <w:rFonts w:ascii="Times New Roman" w:hAnsi="Times New Roman" w:cs="Times New Roman"/>
                <w:sz w:val="28"/>
              </w:rPr>
              <w:t>023</w:t>
            </w:r>
          </w:p>
        </w:tc>
        <w:tc>
          <w:tcPr>
            <w:tcW w:w="5670" w:type="dxa"/>
          </w:tcPr>
          <w:p w:rsidR="00F464C8" w:rsidRPr="00E4401D" w:rsidRDefault="00E4401D" w:rsidP="008A3C27">
            <w:pPr>
              <w:rPr>
                <w:rFonts w:ascii="Times New Roman" w:hAnsi="Times New Roman" w:cs="Times New Roman"/>
                <w:sz w:val="28"/>
              </w:rPr>
            </w:pPr>
            <w:r w:rsidRPr="00E4401D">
              <w:rPr>
                <w:rFonts w:ascii="Times New Roman" w:hAnsi="Times New Roman" w:cs="Times New Roman"/>
                <w:sz w:val="28"/>
              </w:rPr>
              <w:t>Informe de ponencia para el debate en sesión plenaria del Senado de la República</w:t>
            </w:r>
          </w:p>
        </w:tc>
      </w:tr>
      <w:tr w:rsidR="00F464C8" w:rsidRPr="00E4401D" w:rsidTr="008A3C27">
        <w:trPr>
          <w:trHeight w:val="416"/>
        </w:trPr>
        <w:tc>
          <w:tcPr>
            <w:tcW w:w="629"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6</w:t>
            </w:r>
          </w:p>
        </w:tc>
        <w:tc>
          <w:tcPr>
            <w:tcW w:w="2881" w:type="dxa"/>
          </w:tcPr>
          <w:p w:rsidR="00F464C8" w:rsidRPr="00E4401D" w:rsidRDefault="00E4401D" w:rsidP="008A3C27">
            <w:pPr>
              <w:pStyle w:val="Prrafodelista"/>
              <w:ind w:left="0"/>
              <w:jc w:val="center"/>
              <w:rPr>
                <w:rFonts w:ascii="Times New Roman" w:hAnsi="Times New Roman" w:cs="Times New Roman"/>
                <w:sz w:val="28"/>
              </w:rPr>
            </w:pPr>
            <w:r w:rsidRPr="00E4401D">
              <w:rPr>
                <w:rFonts w:ascii="Times New Roman" w:hAnsi="Times New Roman" w:cs="Times New Roman"/>
                <w:sz w:val="28"/>
              </w:rPr>
              <w:t>Gacetas 889 y 902 de 2023</w:t>
            </w:r>
          </w:p>
        </w:tc>
        <w:tc>
          <w:tcPr>
            <w:tcW w:w="5670"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Sesiones plenarias del Senado de la República</w:t>
            </w:r>
          </w:p>
        </w:tc>
      </w:tr>
      <w:tr w:rsidR="00F464C8" w:rsidRPr="00E4401D" w:rsidTr="008A3C27">
        <w:trPr>
          <w:trHeight w:val="416"/>
        </w:trPr>
        <w:tc>
          <w:tcPr>
            <w:tcW w:w="629"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7</w:t>
            </w:r>
          </w:p>
        </w:tc>
        <w:tc>
          <w:tcPr>
            <w:tcW w:w="2881" w:type="dxa"/>
          </w:tcPr>
          <w:p w:rsidR="00F464C8" w:rsidRPr="00E4401D" w:rsidRDefault="00E4401D" w:rsidP="008A3C27">
            <w:pPr>
              <w:pStyle w:val="Prrafodelista"/>
              <w:ind w:left="0"/>
              <w:jc w:val="center"/>
              <w:rPr>
                <w:rFonts w:ascii="Times New Roman" w:hAnsi="Times New Roman" w:cs="Times New Roman"/>
                <w:sz w:val="28"/>
              </w:rPr>
            </w:pPr>
            <w:r w:rsidRPr="00E4401D">
              <w:rPr>
                <w:rFonts w:ascii="Times New Roman" w:hAnsi="Times New Roman" w:cs="Times New Roman"/>
                <w:sz w:val="28"/>
              </w:rPr>
              <w:t>Gaceta 417 de 2023</w:t>
            </w:r>
          </w:p>
        </w:tc>
        <w:tc>
          <w:tcPr>
            <w:tcW w:w="5670"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Texto definitivo aprobado en sesión plenaria del Senado de la República</w:t>
            </w:r>
          </w:p>
        </w:tc>
      </w:tr>
      <w:tr w:rsidR="00F464C8" w:rsidRPr="00E4401D" w:rsidTr="008A3C27">
        <w:trPr>
          <w:trHeight w:val="416"/>
        </w:trPr>
        <w:tc>
          <w:tcPr>
            <w:tcW w:w="629"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8</w:t>
            </w:r>
          </w:p>
        </w:tc>
        <w:tc>
          <w:tcPr>
            <w:tcW w:w="2881" w:type="dxa"/>
          </w:tcPr>
          <w:p w:rsidR="00F464C8" w:rsidRPr="00E4401D" w:rsidRDefault="00E4401D" w:rsidP="008A3C27">
            <w:pPr>
              <w:pStyle w:val="Prrafodelista"/>
              <w:ind w:left="0"/>
              <w:jc w:val="center"/>
              <w:rPr>
                <w:rFonts w:ascii="Times New Roman" w:hAnsi="Times New Roman" w:cs="Times New Roman"/>
                <w:sz w:val="28"/>
              </w:rPr>
            </w:pPr>
            <w:r w:rsidRPr="00E4401D">
              <w:rPr>
                <w:rFonts w:ascii="Times New Roman" w:hAnsi="Times New Roman" w:cs="Times New Roman"/>
                <w:sz w:val="28"/>
              </w:rPr>
              <w:t>Gaceta 427 de 2023</w:t>
            </w:r>
          </w:p>
        </w:tc>
        <w:tc>
          <w:tcPr>
            <w:tcW w:w="5670"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Informe de conciliación presentado ante el Senado de la Rep</w:t>
            </w:r>
            <w:r w:rsidRPr="00E4401D">
              <w:rPr>
                <w:rFonts w:ascii="Times New Roman" w:hAnsi="Times New Roman" w:cs="Times New Roman"/>
                <w:sz w:val="28"/>
              </w:rPr>
              <w:t>ú</w:t>
            </w:r>
            <w:r w:rsidRPr="00E4401D">
              <w:rPr>
                <w:rFonts w:ascii="Times New Roman" w:hAnsi="Times New Roman" w:cs="Times New Roman"/>
                <w:sz w:val="28"/>
              </w:rPr>
              <w:t>blica</w:t>
            </w:r>
          </w:p>
        </w:tc>
      </w:tr>
      <w:tr w:rsidR="00F464C8" w:rsidRPr="00E4401D" w:rsidTr="008A3C27">
        <w:trPr>
          <w:trHeight w:val="416"/>
        </w:trPr>
        <w:tc>
          <w:tcPr>
            <w:tcW w:w="629"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9</w:t>
            </w:r>
          </w:p>
        </w:tc>
        <w:tc>
          <w:tcPr>
            <w:tcW w:w="2881" w:type="dxa"/>
          </w:tcPr>
          <w:p w:rsidR="00F464C8" w:rsidRPr="00E4401D" w:rsidRDefault="00E4401D" w:rsidP="008A3C27">
            <w:pPr>
              <w:pStyle w:val="Prrafodelista"/>
              <w:ind w:left="0"/>
              <w:jc w:val="center"/>
              <w:rPr>
                <w:rFonts w:ascii="Times New Roman" w:hAnsi="Times New Roman" w:cs="Times New Roman"/>
                <w:sz w:val="28"/>
              </w:rPr>
            </w:pPr>
            <w:r w:rsidRPr="00E4401D">
              <w:rPr>
                <w:rFonts w:ascii="Times New Roman" w:hAnsi="Times New Roman" w:cs="Times New Roman"/>
                <w:sz w:val="28"/>
              </w:rPr>
              <w:t>Gaceta 855 de 2023</w:t>
            </w:r>
          </w:p>
        </w:tc>
        <w:tc>
          <w:tcPr>
            <w:tcW w:w="5670" w:type="dxa"/>
          </w:tcPr>
          <w:p w:rsidR="00F464C8" w:rsidRPr="00E4401D" w:rsidRDefault="00E4401D" w:rsidP="008A3C27">
            <w:pPr>
              <w:rPr>
                <w:rFonts w:ascii="Times New Roman" w:hAnsi="Times New Roman" w:cs="Times New Roman"/>
                <w:sz w:val="28"/>
              </w:rPr>
            </w:pPr>
            <w:r w:rsidRPr="00E4401D">
              <w:rPr>
                <w:rFonts w:ascii="Times New Roman" w:hAnsi="Times New Roman" w:cs="Times New Roman"/>
                <w:sz w:val="28"/>
              </w:rPr>
              <w:t>Debate y aprobación del informe de conciliación por el Senado de la República</w:t>
            </w:r>
          </w:p>
        </w:tc>
      </w:tr>
      <w:tr w:rsidR="00F464C8" w:rsidRPr="00E4401D" w:rsidTr="008A3C27">
        <w:trPr>
          <w:trHeight w:val="416"/>
        </w:trPr>
        <w:tc>
          <w:tcPr>
            <w:tcW w:w="629"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10</w:t>
            </w:r>
          </w:p>
        </w:tc>
        <w:tc>
          <w:tcPr>
            <w:tcW w:w="2881" w:type="dxa"/>
          </w:tcPr>
          <w:p w:rsidR="00F464C8" w:rsidRPr="00E4401D" w:rsidRDefault="00E4401D" w:rsidP="008A3C27">
            <w:pPr>
              <w:pStyle w:val="Prrafodelista"/>
              <w:ind w:left="0"/>
              <w:jc w:val="center"/>
              <w:rPr>
                <w:rFonts w:ascii="Times New Roman" w:hAnsi="Times New Roman" w:cs="Times New Roman"/>
                <w:sz w:val="28"/>
              </w:rPr>
            </w:pPr>
            <w:r w:rsidRPr="00E4401D">
              <w:rPr>
                <w:rFonts w:ascii="Times New Roman" w:hAnsi="Times New Roman" w:cs="Times New Roman"/>
                <w:sz w:val="28"/>
              </w:rPr>
              <w:t>Gaceta 388 de 2023</w:t>
            </w:r>
          </w:p>
        </w:tc>
        <w:tc>
          <w:tcPr>
            <w:tcW w:w="5670" w:type="dxa"/>
          </w:tcPr>
          <w:p w:rsidR="00F464C8" w:rsidRPr="00E4401D" w:rsidRDefault="00E4401D" w:rsidP="008A3C27">
            <w:pPr>
              <w:rPr>
                <w:rFonts w:ascii="Times New Roman" w:hAnsi="Times New Roman" w:cs="Times New Roman"/>
                <w:sz w:val="28"/>
              </w:rPr>
            </w:pPr>
            <w:r w:rsidRPr="00E4401D">
              <w:rPr>
                <w:rFonts w:ascii="Times New Roman" w:hAnsi="Times New Roman" w:cs="Times New Roman"/>
                <w:sz w:val="28"/>
              </w:rPr>
              <w:t xml:space="preserve">Informe de ponencia para el debate en sesión </w:t>
            </w:r>
            <w:r w:rsidRPr="00E4401D">
              <w:rPr>
                <w:rFonts w:ascii="Times New Roman" w:hAnsi="Times New Roman" w:cs="Times New Roman"/>
                <w:sz w:val="28"/>
              </w:rPr>
              <w:t>plenaria de la Cámara de Representantes</w:t>
            </w:r>
          </w:p>
        </w:tc>
      </w:tr>
      <w:tr w:rsidR="00F464C8" w:rsidRPr="00E4401D" w:rsidTr="008A3C27">
        <w:trPr>
          <w:trHeight w:val="416"/>
        </w:trPr>
        <w:tc>
          <w:tcPr>
            <w:tcW w:w="629"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11</w:t>
            </w:r>
          </w:p>
        </w:tc>
        <w:tc>
          <w:tcPr>
            <w:tcW w:w="2881" w:type="dxa"/>
          </w:tcPr>
          <w:p w:rsidR="00F464C8" w:rsidRPr="00E4401D" w:rsidRDefault="00E4401D" w:rsidP="008A3C27">
            <w:pPr>
              <w:pStyle w:val="Prrafodelista"/>
              <w:ind w:left="0"/>
              <w:jc w:val="center"/>
              <w:rPr>
                <w:rFonts w:ascii="Times New Roman" w:hAnsi="Times New Roman" w:cs="Times New Roman"/>
                <w:sz w:val="28"/>
              </w:rPr>
            </w:pPr>
            <w:r w:rsidRPr="00E4401D">
              <w:rPr>
                <w:rFonts w:ascii="Times New Roman" w:hAnsi="Times New Roman" w:cs="Times New Roman"/>
                <w:sz w:val="28"/>
              </w:rPr>
              <w:t>Gacetas 982, 1311 y 1143 de 2023</w:t>
            </w:r>
          </w:p>
        </w:tc>
        <w:tc>
          <w:tcPr>
            <w:tcW w:w="5670" w:type="dxa"/>
          </w:tcPr>
          <w:p w:rsidR="00F464C8" w:rsidRPr="00E4401D" w:rsidRDefault="00E4401D" w:rsidP="008A3C27">
            <w:pPr>
              <w:rPr>
                <w:rFonts w:ascii="Times New Roman" w:hAnsi="Times New Roman" w:cs="Times New Roman"/>
                <w:sz w:val="28"/>
              </w:rPr>
            </w:pPr>
            <w:r w:rsidRPr="00E4401D">
              <w:rPr>
                <w:rFonts w:ascii="Times New Roman" w:hAnsi="Times New Roman" w:cs="Times New Roman"/>
                <w:sz w:val="28"/>
              </w:rPr>
              <w:t>Sesiones plenarias de la Cámara de Representantes</w:t>
            </w:r>
          </w:p>
        </w:tc>
      </w:tr>
      <w:tr w:rsidR="00F464C8" w:rsidRPr="00E4401D" w:rsidTr="008A3C27">
        <w:trPr>
          <w:trHeight w:val="416"/>
        </w:trPr>
        <w:tc>
          <w:tcPr>
            <w:tcW w:w="629"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12</w:t>
            </w:r>
          </w:p>
        </w:tc>
        <w:tc>
          <w:tcPr>
            <w:tcW w:w="2881" w:type="dxa"/>
          </w:tcPr>
          <w:p w:rsidR="00F464C8" w:rsidRPr="00E4401D" w:rsidRDefault="00E4401D" w:rsidP="008A3C27">
            <w:pPr>
              <w:pStyle w:val="Prrafodelista"/>
              <w:ind w:left="0"/>
              <w:jc w:val="center"/>
              <w:rPr>
                <w:rFonts w:ascii="Times New Roman" w:hAnsi="Times New Roman" w:cs="Times New Roman"/>
                <w:sz w:val="28"/>
              </w:rPr>
            </w:pPr>
            <w:r w:rsidRPr="00E4401D">
              <w:rPr>
                <w:rFonts w:ascii="Times New Roman" w:hAnsi="Times New Roman" w:cs="Times New Roman"/>
                <w:sz w:val="28"/>
              </w:rPr>
              <w:t>Gaceta 429 de 2023</w:t>
            </w:r>
          </w:p>
        </w:tc>
        <w:tc>
          <w:tcPr>
            <w:tcW w:w="5670" w:type="dxa"/>
          </w:tcPr>
          <w:p w:rsidR="00F464C8" w:rsidRPr="00E4401D" w:rsidRDefault="00E4401D" w:rsidP="008A3C27">
            <w:pPr>
              <w:rPr>
                <w:rFonts w:ascii="Times New Roman" w:hAnsi="Times New Roman" w:cs="Times New Roman"/>
                <w:sz w:val="28"/>
              </w:rPr>
            </w:pPr>
            <w:r w:rsidRPr="00E4401D">
              <w:rPr>
                <w:rFonts w:ascii="Times New Roman" w:hAnsi="Times New Roman" w:cs="Times New Roman"/>
                <w:sz w:val="28"/>
              </w:rPr>
              <w:t>Informe de conciliación presentado ante la Cámara de Representantes</w:t>
            </w:r>
          </w:p>
        </w:tc>
      </w:tr>
      <w:tr w:rsidR="00F464C8" w:rsidRPr="00E4401D" w:rsidTr="008A3C27">
        <w:trPr>
          <w:trHeight w:val="416"/>
        </w:trPr>
        <w:tc>
          <w:tcPr>
            <w:tcW w:w="629"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13</w:t>
            </w:r>
          </w:p>
        </w:tc>
        <w:tc>
          <w:tcPr>
            <w:tcW w:w="2881" w:type="dxa"/>
          </w:tcPr>
          <w:p w:rsidR="00F464C8" w:rsidRPr="00E4401D" w:rsidRDefault="00E4401D" w:rsidP="008A3C27">
            <w:pPr>
              <w:pStyle w:val="Prrafodelista"/>
              <w:ind w:left="0"/>
              <w:jc w:val="center"/>
              <w:rPr>
                <w:rFonts w:ascii="Times New Roman" w:hAnsi="Times New Roman" w:cs="Times New Roman"/>
                <w:sz w:val="28"/>
              </w:rPr>
            </w:pPr>
            <w:r w:rsidRPr="00E4401D">
              <w:rPr>
                <w:rFonts w:ascii="Times New Roman" w:hAnsi="Times New Roman" w:cs="Times New Roman"/>
                <w:sz w:val="28"/>
              </w:rPr>
              <w:t>Gaceta 923 de 2023</w:t>
            </w:r>
          </w:p>
        </w:tc>
        <w:tc>
          <w:tcPr>
            <w:tcW w:w="5670" w:type="dxa"/>
          </w:tcPr>
          <w:p w:rsidR="00F464C8" w:rsidRPr="00E4401D" w:rsidRDefault="00E4401D" w:rsidP="008A3C27">
            <w:pPr>
              <w:rPr>
                <w:rFonts w:ascii="Times New Roman" w:hAnsi="Times New Roman" w:cs="Times New Roman"/>
                <w:sz w:val="28"/>
              </w:rPr>
            </w:pPr>
            <w:r w:rsidRPr="00E4401D">
              <w:rPr>
                <w:rFonts w:ascii="Times New Roman" w:hAnsi="Times New Roman" w:cs="Times New Roman"/>
                <w:sz w:val="28"/>
              </w:rPr>
              <w:t>Debate y aproba</w:t>
            </w:r>
            <w:r w:rsidRPr="00E4401D">
              <w:rPr>
                <w:rFonts w:ascii="Times New Roman" w:hAnsi="Times New Roman" w:cs="Times New Roman"/>
                <w:sz w:val="28"/>
              </w:rPr>
              <w:t>ción del informe de conciliación por la Cámara de Representantes</w:t>
            </w:r>
          </w:p>
        </w:tc>
      </w:tr>
      <w:tr w:rsidR="00F464C8" w:rsidRPr="00E4401D" w:rsidTr="008A3C27">
        <w:trPr>
          <w:trHeight w:val="416"/>
        </w:trPr>
        <w:tc>
          <w:tcPr>
            <w:tcW w:w="629" w:type="dxa"/>
          </w:tcPr>
          <w:p w:rsidR="00F464C8" w:rsidRPr="00E4401D" w:rsidRDefault="00E4401D" w:rsidP="008A3C27">
            <w:pPr>
              <w:pStyle w:val="Prrafodelista"/>
              <w:ind w:left="0"/>
              <w:jc w:val="both"/>
              <w:rPr>
                <w:rFonts w:ascii="Times New Roman" w:hAnsi="Times New Roman" w:cs="Times New Roman"/>
                <w:sz w:val="28"/>
              </w:rPr>
            </w:pPr>
            <w:r w:rsidRPr="00E4401D">
              <w:rPr>
                <w:rFonts w:ascii="Times New Roman" w:hAnsi="Times New Roman" w:cs="Times New Roman"/>
                <w:sz w:val="28"/>
              </w:rPr>
              <w:t>14</w:t>
            </w:r>
          </w:p>
        </w:tc>
        <w:tc>
          <w:tcPr>
            <w:tcW w:w="8551" w:type="dxa"/>
            <w:gridSpan w:val="2"/>
          </w:tcPr>
          <w:p w:rsidR="00F464C8" w:rsidRPr="00E4401D" w:rsidRDefault="00E4401D" w:rsidP="008A3C27">
            <w:pPr>
              <w:jc w:val="both"/>
              <w:rPr>
                <w:rFonts w:ascii="Times New Roman" w:hAnsi="Times New Roman" w:cs="Times New Roman"/>
                <w:sz w:val="28"/>
              </w:rPr>
            </w:pPr>
            <w:r w:rsidRPr="00E4401D">
              <w:rPr>
                <w:rFonts w:ascii="Times New Roman" w:hAnsi="Times New Roman" w:cs="Times New Roman"/>
                <w:sz w:val="28"/>
              </w:rPr>
              <w:t>Dos PDF con los anexos de proposiciones que fueron cargadas en el microsi</w:t>
            </w:r>
            <w:r w:rsidRPr="00E4401D">
              <w:rPr>
                <w:rFonts w:ascii="Times New Roman" w:hAnsi="Times New Roman" w:cs="Times New Roman"/>
                <w:sz w:val="28"/>
              </w:rPr>
              <w:t>t</w:t>
            </w:r>
            <w:r w:rsidRPr="00E4401D">
              <w:rPr>
                <w:rFonts w:ascii="Times New Roman" w:hAnsi="Times New Roman" w:cs="Times New Roman"/>
                <w:sz w:val="28"/>
              </w:rPr>
              <w:t xml:space="preserve">io del proyecto en la página web de la Cámara de Representantes y que fueron presentados en las ponencias de las </w:t>
            </w:r>
            <w:r w:rsidRPr="00E4401D">
              <w:rPr>
                <w:rFonts w:ascii="Times New Roman" w:hAnsi="Times New Roman" w:cs="Times New Roman"/>
                <w:sz w:val="28"/>
              </w:rPr>
              <w:t>sesiones conjuntas de las comisiones y en la plenaria de la Cámara de Representantes.</w:t>
            </w:r>
          </w:p>
        </w:tc>
      </w:tr>
    </w:tbl>
    <w:p w:rsidR="00F464C8" w:rsidRPr="00E4401D" w:rsidRDefault="00E4401D" w:rsidP="00F464C8">
      <w:pPr>
        <w:pStyle w:val="Prrafodelista"/>
        <w:ind w:left="0"/>
        <w:jc w:val="both"/>
        <w:rPr>
          <w:rFonts w:ascii="Times New Roman" w:hAnsi="Times New Roman" w:cs="Times New Roman"/>
          <w:sz w:val="28"/>
          <w:szCs w:val="28"/>
        </w:rPr>
      </w:pPr>
    </w:p>
    <w:p w:rsidR="00F464C8" w:rsidRPr="00E4401D" w:rsidRDefault="00E4401D" w:rsidP="00F464C8">
      <w:pPr>
        <w:jc w:val="both"/>
        <w:rPr>
          <w:rFonts w:ascii="Times New Roman" w:hAnsi="Times New Roman" w:cs="Times New Roman"/>
          <w:sz w:val="28"/>
          <w:szCs w:val="28"/>
        </w:rPr>
      </w:pPr>
    </w:p>
    <w:p w:rsidR="00F464C8" w:rsidRPr="00E4401D" w:rsidRDefault="00E4401D" w:rsidP="00F464C8">
      <w:pPr>
        <w:pStyle w:val="Ttulo2"/>
        <w:numPr>
          <w:ilvl w:val="0"/>
          <w:numId w:val="5"/>
        </w:numPr>
        <w:spacing w:before="0"/>
        <w:ind w:left="0" w:firstLine="0"/>
        <w:jc w:val="both"/>
        <w:rPr>
          <w:rFonts w:ascii="Times New Roman" w:hAnsi="Times New Roman" w:cs="Times New Roman"/>
          <w:b/>
          <w:bCs/>
          <w:color w:val="auto"/>
          <w:sz w:val="28"/>
          <w:szCs w:val="28"/>
          <w:u w:val="single"/>
        </w:rPr>
      </w:pPr>
      <w:r w:rsidRPr="00E4401D">
        <w:rPr>
          <w:rFonts w:ascii="Times New Roman" w:hAnsi="Times New Roman" w:cs="Times New Roman"/>
          <w:b/>
          <w:bCs/>
          <w:color w:val="auto"/>
          <w:sz w:val="28"/>
          <w:szCs w:val="28"/>
          <w:u w:val="single"/>
        </w:rPr>
        <w:t>Intervenciones oficiales</w:t>
      </w:r>
    </w:p>
    <w:p w:rsidR="00E213A5" w:rsidRPr="00E4401D" w:rsidRDefault="00E4401D" w:rsidP="00E213A5">
      <w:pPr>
        <w:rPr>
          <w:rFonts w:ascii="Times New Roman" w:hAnsi="Times New Roman" w:cs="Times New Roman"/>
          <w:sz w:val="28"/>
          <w:szCs w:val="28"/>
        </w:rPr>
      </w:pPr>
    </w:p>
    <w:p w:rsidR="00F464C8" w:rsidRPr="00E4401D" w:rsidRDefault="00E4401D" w:rsidP="00BA5B06">
      <w:pPr>
        <w:pStyle w:val="Prrafodelista"/>
        <w:numPr>
          <w:ilvl w:val="0"/>
          <w:numId w:val="3"/>
        </w:numPr>
        <w:autoSpaceDE w:val="0"/>
        <w:autoSpaceDN w:val="0"/>
        <w:ind w:left="0" w:firstLine="0"/>
        <w:jc w:val="both"/>
        <w:rPr>
          <w:rFonts w:ascii="Times New Roman" w:hAnsi="Times New Roman" w:cs="Times New Roman"/>
          <w:b/>
          <w:bCs/>
          <w:color w:val="000000" w:themeColor="text1"/>
          <w:sz w:val="28"/>
          <w:szCs w:val="28"/>
          <w:shd w:val="clear" w:color="auto" w:fill="FFFFFF"/>
        </w:rPr>
      </w:pPr>
      <w:r w:rsidRPr="00E4401D">
        <w:rPr>
          <w:rFonts w:ascii="Times New Roman" w:hAnsi="Times New Roman" w:cs="Times New Roman"/>
          <w:sz w:val="28"/>
          <w:szCs w:val="28"/>
        </w:rPr>
        <w:t>Según fue indicado por la Secretaría General de esta Corte, en cumplimiento de lo ordenado en el Auto de 11 de julio de 2023, el proceso fue fijado en lista por un término de 10 días a partir de esa fecha. Vencido el término de fijación en lista, se recibi</w:t>
      </w:r>
      <w:r w:rsidRPr="00E4401D">
        <w:rPr>
          <w:rFonts w:ascii="Times New Roman" w:hAnsi="Times New Roman" w:cs="Times New Roman"/>
          <w:sz w:val="28"/>
          <w:szCs w:val="28"/>
        </w:rPr>
        <w:t xml:space="preserve">eron cinco (5) intervenciones oficiales, </w:t>
      </w:r>
      <w:bookmarkStart w:id="2" w:name="_Hlk161836371"/>
      <w:r w:rsidRPr="00E4401D">
        <w:rPr>
          <w:rFonts w:ascii="Times New Roman" w:hAnsi="Times New Roman" w:cs="Times New Roman"/>
          <w:sz w:val="28"/>
          <w:szCs w:val="28"/>
        </w:rPr>
        <w:t>así: Presidencia de la República, Departamento Nacional de Planeación, Ministerio de Agricultura y Desarrollo Rural, Ministerio de Hacienda y Crédito Público y Comisión Tercera Constitucional Permanente de la Cámara</w:t>
      </w:r>
      <w:r w:rsidRPr="00E4401D">
        <w:rPr>
          <w:rFonts w:ascii="Times New Roman" w:hAnsi="Times New Roman" w:cs="Times New Roman"/>
          <w:sz w:val="28"/>
          <w:szCs w:val="28"/>
        </w:rPr>
        <w:t xml:space="preserve"> de Representantes.</w:t>
      </w:r>
    </w:p>
    <w:p w:rsidR="00F464C8" w:rsidRPr="00E4401D" w:rsidRDefault="00E4401D" w:rsidP="00F464C8">
      <w:pPr>
        <w:pStyle w:val="Prrafodelista"/>
        <w:autoSpaceDE w:val="0"/>
        <w:autoSpaceDN w:val="0"/>
        <w:ind w:right="-232"/>
        <w:jc w:val="both"/>
        <w:rPr>
          <w:rFonts w:ascii="Times New Roman" w:hAnsi="Times New Roman" w:cs="Times New Roman"/>
          <w:b/>
          <w:bCs/>
          <w:color w:val="000000" w:themeColor="text1"/>
          <w:sz w:val="28"/>
          <w:szCs w:val="28"/>
          <w:shd w:val="clear" w:color="auto" w:fill="FFFFFF"/>
        </w:rPr>
      </w:pPr>
    </w:p>
    <w:p w:rsidR="00F464C8" w:rsidRPr="00E4401D" w:rsidRDefault="00E4401D" w:rsidP="00F464C8">
      <w:pPr>
        <w:pStyle w:val="Prrafodelista"/>
        <w:numPr>
          <w:ilvl w:val="0"/>
          <w:numId w:val="3"/>
        </w:numPr>
        <w:autoSpaceDE w:val="0"/>
        <w:autoSpaceDN w:val="0"/>
        <w:ind w:left="0" w:right="-232" w:firstLine="0"/>
        <w:jc w:val="both"/>
        <w:rPr>
          <w:rFonts w:ascii="Times New Roman" w:hAnsi="Times New Roman" w:cs="Times New Roman"/>
          <w:b/>
          <w:bCs/>
          <w:color w:val="000000" w:themeColor="text1"/>
          <w:sz w:val="28"/>
          <w:szCs w:val="28"/>
          <w:shd w:val="clear" w:color="auto" w:fill="FFFFFF"/>
        </w:rPr>
      </w:pPr>
      <w:r w:rsidRPr="00E4401D">
        <w:rPr>
          <w:rFonts w:ascii="Times New Roman" w:hAnsi="Times New Roman" w:cs="Times New Roman"/>
          <w:sz w:val="28"/>
          <w:szCs w:val="28"/>
          <w:lang w:val="es-ES"/>
        </w:rPr>
        <w:t>A continuación, se sintetizan los argumentos presentados:</w:t>
      </w:r>
    </w:p>
    <w:p w:rsidR="00F464C8" w:rsidRPr="00E4401D" w:rsidRDefault="00E4401D" w:rsidP="00F464C8">
      <w:pPr>
        <w:pStyle w:val="Prrafodelista"/>
        <w:autoSpaceDE w:val="0"/>
        <w:autoSpaceDN w:val="0"/>
        <w:ind w:right="-232"/>
        <w:jc w:val="both"/>
        <w:rPr>
          <w:rFonts w:ascii="Times New Roman" w:hAnsi="Times New Roman" w:cs="Times New Roman"/>
          <w:b/>
          <w:bCs/>
          <w:color w:val="000000" w:themeColor="text1"/>
          <w:sz w:val="28"/>
          <w:szCs w:val="28"/>
          <w:shd w:val="clear" w:color="auto" w:fill="FFFFFF"/>
        </w:rPr>
      </w:pPr>
    </w:p>
    <w:bookmarkEnd w:id="2"/>
    <w:p w:rsidR="00F464C8" w:rsidRPr="00E4401D" w:rsidRDefault="00E4401D" w:rsidP="00F464C8">
      <w:pPr>
        <w:pStyle w:val="Ttulo2"/>
        <w:rPr>
          <w:rFonts w:ascii="Times New Roman" w:hAnsi="Times New Roman" w:cs="Times New Roman"/>
          <w:b/>
          <w:bCs/>
          <w:i/>
          <w:iCs/>
          <w:color w:val="auto"/>
          <w:sz w:val="28"/>
          <w:szCs w:val="28"/>
          <w:lang w:val="es-ES"/>
        </w:rPr>
      </w:pPr>
      <w:r w:rsidRPr="00E4401D">
        <w:rPr>
          <w:rFonts w:ascii="Times New Roman" w:hAnsi="Times New Roman" w:cs="Times New Roman"/>
          <w:b/>
          <w:bCs/>
          <w:i/>
          <w:iCs/>
          <w:color w:val="auto"/>
          <w:sz w:val="28"/>
          <w:szCs w:val="28"/>
          <w:lang w:val="es-ES"/>
        </w:rPr>
        <w:t>Presidencia de la República</w:t>
      </w:r>
    </w:p>
    <w:p w:rsidR="00F464C8" w:rsidRPr="00E4401D" w:rsidRDefault="00E4401D" w:rsidP="00F464C8">
      <w:pPr>
        <w:pStyle w:val="Prrafodelista"/>
        <w:autoSpaceDE w:val="0"/>
        <w:autoSpaceDN w:val="0"/>
        <w:ind w:right="-232"/>
        <w:jc w:val="both"/>
        <w:rPr>
          <w:rFonts w:ascii="Times New Roman" w:hAnsi="Times New Roman" w:cs="Times New Roman"/>
          <w:b/>
          <w:bCs/>
          <w:i/>
          <w:iCs/>
          <w:sz w:val="28"/>
          <w:szCs w:val="28"/>
          <w:lang w:val="es-ES"/>
        </w:rPr>
      </w:pPr>
    </w:p>
    <w:p w:rsidR="00F464C8" w:rsidRPr="00E4401D" w:rsidRDefault="00E4401D" w:rsidP="00BA5B06">
      <w:pPr>
        <w:pStyle w:val="Prrafodelista"/>
        <w:numPr>
          <w:ilvl w:val="0"/>
          <w:numId w:val="3"/>
        </w:numPr>
        <w:autoSpaceDE w:val="0"/>
        <w:autoSpaceDN w:val="0"/>
        <w:ind w:left="0" w:firstLine="0"/>
        <w:jc w:val="both"/>
        <w:rPr>
          <w:rFonts w:ascii="Times New Roman" w:hAnsi="Times New Roman" w:cs="Times New Roman"/>
          <w:sz w:val="28"/>
          <w:szCs w:val="28"/>
        </w:rPr>
      </w:pPr>
      <w:r w:rsidRPr="00E4401D">
        <w:rPr>
          <w:rFonts w:ascii="Times New Roman" w:hAnsi="Times New Roman" w:cs="Times New Roman"/>
          <w:sz w:val="28"/>
          <w:szCs w:val="28"/>
          <w:lang w:val="es-ES"/>
        </w:rPr>
        <w:t xml:space="preserve">La Secretaría Jurídica de </w:t>
      </w:r>
      <w:r w:rsidRPr="00E4401D">
        <w:rPr>
          <w:rFonts w:ascii="Times New Roman" w:hAnsi="Times New Roman" w:cs="Times New Roman"/>
          <w:sz w:val="28"/>
          <w:szCs w:val="28"/>
        </w:rPr>
        <w:t>la Presidencia de la República solicitó a la Corte que se declare inhibida para emitir pronunciamiento de fondo por ineptitud sustantiva de la demanda, respecto del artículo 287 de la Ley 2294 de 2023 y que se declare la exequibilidad de los artículos 5, 6</w:t>
      </w:r>
      <w:r w:rsidRPr="00E4401D">
        <w:rPr>
          <w:rFonts w:ascii="Times New Roman" w:hAnsi="Times New Roman" w:cs="Times New Roman"/>
          <w:sz w:val="28"/>
          <w:szCs w:val="28"/>
        </w:rPr>
        <w:t>1 y 295 de la Ley 2294 de 2023. Reiteró la jurisprudencia de la Corte según la cual los procedimientos legislativos deben servir a los fines sustantivos del Estado y no tienen un valor en sí mismos. Agregó que la jurisprudencia ha diferenciado entre vicios</w:t>
      </w:r>
      <w:r w:rsidRPr="00E4401D">
        <w:rPr>
          <w:rFonts w:ascii="Times New Roman" w:hAnsi="Times New Roman" w:cs="Times New Roman"/>
          <w:sz w:val="28"/>
          <w:szCs w:val="28"/>
        </w:rPr>
        <w:t xml:space="preserve"> sustanciales y aquellos que no llegan a tal categoría e indicó que no toda inobservancia de la Ley 5 de 1992 es inconstitucional sino solo las violaciones al reglamento que impliquen también violaciones constitucionales pueden ser consideradas vicios de i</w:t>
      </w:r>
      <w:r w:rsidRPr="00E4401D">
        <w:rPr>
          <w:rFonts w:ascii="Times New Roman" w:hAnsi="Times New Roman" w:cs="Times New Roman"/>
          <w:sz w:val="28"/>
          <w:szCs w:val="28"/>
        </w:rPr>
        <w:t>nconstitucionalidad.</w:t>
      </w:r>
    </w:p>
    <w:p w:rsidR="00F464C8" w:rsidRPr="00E4401D" w:rsidRDefault="00E4401D" w:rsidP="00F464C8">
      <w:pPr>
        <w:pStyle w:val="Prrafodelista"/>
        <w:autoSpaceDE w:val="0"/>
        <w:autoSpaceDN w:val="0"/>
        <w:spacing w:before="100" w:beforeAutospacing="1" w:after="100" w:afterAutospacing="1"/>
        <w:ind w:left="0"/>
        <w:jc w:val="both"/>
        <w:rPr>
          <w:rFonts w:ascii="Times New Roman" w:hAnsi="Times New Roman" w:cs="Times New Roman"/>
          <w:sz w:val="28"/>
          <w:szCs w:val="28"/>
        </w:rPr>
      </w:pPr>
    </w:p>
    <w:p w:rsidR="00F464C8" w:rsidRPr="00E4401D" w:rsidRDefault="00E4401D" w:rsidP="00BA5B06">
      <w:pPr>
        <w:pStyle w:val="Prrafodelista"/>
        <w:numPr>
          <w:ilvl w:val="0"/>
          <w:numId w:val="3"/>
        </w:numPr>
        <w:autoSpaceDE w:val="0"/>
        <w:autoSpaceDN w:val="0"/>
        <w:ind w:left="0" w:firstLine="0"/>
        <w:jc w:val="both"/>
        <w:rPr>
          <w:rFonts w:ascii="Times New Roman" w:hAnsi="Times New Roman" w:cs="Times New Roman"/>
          <w:b/>
          <w:bCs/>
          <w:i/>
          <w:iCs/>
          <w:sz w:val="28"/>
          <w:szCs w:val="28"/>
          <w:lang w:val="es-ES"/>
        </w:rPr>
      </w:pPr>
      <w:r w:rsidRPr="00E4401D">
        <w:rPr>
          <w:rFonts w:ascii="Times New Roman" w:hAnsi="Times New Roman" w:cs="Times New Roman"/>
          <w:sz w:val="28"/>
          <w:szCs w:val="28"/>
          <w:lang w:val="es-ES"/>
        </w:rPr>
        <w:t xml:space="preserve">La Secretaría Jurídica de </w:t>
      </w:r>
      <w:r w:rsidRPr="00E4401D">
        <w:rPr>
          <w:rFonts w:ascii="Times New Roman" w:hAnsi="Times New Roman" w:cs="Times New Roman"/>
          <w:sz w:val="28"/>
          <w:szCs w:val="28"/>
        </w:rPr>
        <w:t>la Presidencia de la República afirmó que el trámite legislativo que dio origen a la Ley 2294 de 2023 respetó los artículos 160 de la Constitución Política; y 125 de la Ley 5 de 1992, así como el principio de</w:t>
      </w:r>
      <w:r w:rsidRPr="00E4401D">
        <w:rPr>
          <w:rFonts w:ascii="Times New Roman" w:hAnsi="Times New Roman" w:cs="Times New Roman"/>
          <w:sz w:val="28"/>
          <w:szCs w:val="28"/>
        </w:rPr>
        <w:t xml:space="preserve"> publicidad. Esto, toda vez que los senadores tuvieron conocimiento del contenido de las proposiciones seis días antes de la votación del texto definitivo (3 de mayo de 2023), gracias a la publicación de la Gaceta 386, del 26 de abril de 2023. Esta gaceta </w:t>
      </w:r>
      <w:r w:rsidRPr="00E4401D">
        <w:rPr>
          <w:rFonts w:ascii="Times New Roman" w:hAnsi="Times New Roman" w:cs="Times New Roman"/>
          <w:sz w:val="28"/>
          <w:szCs w:val="28"/>
        </w:rPr>
        <w:t xml:space="preserve">incluía el informe de ponencia y las proposiciones para el debate en la sesión plenaria del Senado de la República, de modo que los senadores tuvieron la oportunidad de conocer de manera suficiente y por un medio idóneo el contenido a ser votado. </w:t>
      </w:r>
    </w:p>
    <w:p w:rsidR="00F464C8" w:rsidRPr="00E4401D" w:rsidRDefault="00E4401D" w:rsidP="00F464C8">
      <w:pPr>
        <w:pStyle w:val="Prrafodelista"/>
        <w:rPr>
          <w:rFonts w:ascii="Times New Roman" w:hAnsi="Times New Roman" w:cs="Times New Roman"/>
          <w:sz w:val="28"/>
          <w:szCs w:val="28"/>
        </w:rPr>
      </w:pPr>
    </w:p>
    <w:p w:rsidR="00F464C8" w:rsidRPr="00E4401D" w:rsidRDefault="00E4401D" w:rsidP="00F464C8">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Argumen</w:t>
      </w:r>
      <w:r w:rsidRPr="00E4401D">
        <w:rPr>
          <w:rFonts w:ascii="Times New Roman" w:hAnsi="Times New Roman" w:cs="Times New Roman"/>
          <w:sz w:val="28"/>
          <w:szCs w:val="28"/>
        </w:rPr>
        <w:t>tó también que las proposiciones avaladas fueron enunciadas por el presidente del Senado de la República de forma amplia y suficiente y que los senadores debatieron los artículos enjuiciados con todas las garantías constitucionales, y se contó con la parti</w:t>
      </w:r>
      <w:r w:rsidRPr="00E4401D">
        <w:rPr>
          <w:rFonts w:ascii="Times New Roman" w:hAnsi="Times New Roman" w:cs="Times New Roman"/>
          <w:sz w:val="28"/>
          <w:szCs w:val="28"/>
        </w:rPr>
        <w:t>cipación de todos los partidos políticos. Indicó que en el caso concreto, las proposiciones tenían el consenso de la sesión plenaria del Senado de la República sobre su contenido, de modo que no ofrecían discusión ni suscitaron mayor debate.</w:t>
      </w:r>
    </w:p>
    <w:p w:rsidR="00F464C8" w:rsidRPr="00E4401D" w:rsidRDefault="00E4401D" w:rsidP="00F464C8">
      <w:pPr>
        <w:pStyle w:val="Prrafodelista"/>
        <w:autoSpaceDE w:val="0"/>
        <w:autoSpaceDN w:val="0"/>
        <w:spacing w:before="100" w:beforeAutospacing="1" w:after="100" w:afterAutospacing="1"/>
        <w:ind w:left="0"/>
        <w:jc w:val="both"/>
        <w:rPr>
          <w:rFonts w:ascii="Times New Roman" w:hAnsi="Times New Roman" w:cs="Times New Roman"/>
          <w:sz w:val="28"/>
          <w:szCs w:val="28"/>
        </w:rPr>
      </w:pPr>
    </w:p>
    <w:p w:rsidR="00F464C8" w:rsidRPr="00E4401D" w:rsidRDefault="00E4401D" w:rsidP="00F464C8">
      <w:pPr>
        <w:pStyle w:val="Prrafodelista"/>
        <w:numPr>
          <w:ilvl w:val="0"/>
          <w:numId w:val="3"/>
        </w:numPr>
        <w:autoSpaceDE w:val="0"/>
        <w:autoSpaceDN w:val="0"/>
        <w:spacing w:before="100" w:beforeAutospacing="1" w:after="100" w:afterAutospacing="1"/>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Aseveró que los demandantes no acreditaron la presunta ausencia de publicidad de las proposiciones que alegan y que, en todo caso, se debe interpretar el trámite legislativo que se discute en la demanda bajo la óptica del principio in dubio </w:t>
      </w:r>
      <w:r w:rsidRPr="00E4401D">
        <w:rPr>
          <w:rFonts w:ascii="Times New Roman" w:hAnsi="Times New Roman" w:cs="Times New Roman"/>
          <w:i/>
          <w:iCs/>
          <w:sz w:val="28"/>
          <w:szCs w:val="28"/>
        </w:rPr>
        <w:t>pro legislatori</w:t>
      </w:r>
      <w:r w:rsidRPr="00E4401D">
        <w:rPr>
          <w:rFonts w:ascii="Times New Roman" w:hAnsi="Times New Roman" w:cs="Times New Roman"/>
          <w:i/>
          <w:iCs/>
          <w:sz w:val="28"/>
          <w:szCs w:val="28"/>
        </w:rPr>
        <w:t>s</w:t>
      </w:r>
      <w:r w:rsidRPr="00E4401D">
        <w:rPr>
          <w:rFonts w:ascii="Times New Roman" w:hAnsi="Times New Roman" w:cs="Times New Roman"/>
          <w:sz w:val="28"/>
          <w:szCs w:val="28"/>
        </w:rPr>
        <w:t xml:space="preserve"> para concluir que con la deliberación efectuada por los congresistas, estos comprendían lo que estaba en discusión y, por tanto, los resultados de la votación surgieron de la convicción de un conocimiento pleno del texto puesto a su consideración.</w:t>
      </w:r>
    </w:p>
    <w:p w:rsidR="00F464C8" w:rsidRPr="00E4401D" w:rsidRDefault="00E4401D" w:rsidP="00F464C8">
      <w:pPr>
        <w:pStyle w:val="Prrafodelista"/>
        <w:autoSpaceDE w:val="0"/>
        <w:autoSpaceDN w:val="0"/>
        <w:spacing w:before="100" w:beforeAutospacing="1" w:after="100" w:afterAutospacing="1"/>
        <w:ind w:left="0"/>
        <w:jc w:val="both"/>
        <w:rPr>
          <w:rFonts w:ascii="Times New Roman" w:hAnsi="Times New Roman" w:cs="Times New Roman"/>
          <w:sz w:val="28"/>
          <w:szCs w:val="28"/>
        </w:rPr>
      </w:pPr>
    </w:p>
    <w:p w:rsidR="00F464C8" w:rsidRPr="00E4401D" w:rsidRDefault="00E4401D" w:rsidP="00F464C8">
      <w:pPr>
        <w:pStyle w:val="Prrafodelista"/>
        <w:numPr>
          <w:ilvl w:val="0"/>
          <w:numId w:val="3"/>
        </w:numPr>
        <w:autoSpaceDE w:val="0"/>
        <w:autoSpaceDN w:val="0"/>
        <w:spacing w:before="100" w:beforeAutospacing="1" w:after="100" w:afterAutospacing="1"/>
        <w:ind w:left="0" w:firstLine="0"/>
        <w:jc w:val="both"/>
        <w:rPr>
          <w:rFonts w:ascii="Times New Roman" w:hAnsi="Times New Roman" w:cs="Times New Roman"/>
          <w:sz w:val="28"/>
          <w:szCs w:val="28"/>
        </w:rPr>
      </w:pPr>
      <w:r w:rsidRPr="00E4401D">
        <w:rPr>
          <w:rFonts w:ascii="Times New Roman" w:hAnsi="Times New Roman" w:cs="Times New Roman"/>
          <w:sz w:val="28"/>
          <w:szCs w:val="28"/>
        </w:rPr>
        <w:t>Plant</w:t>
      </w:r>
      <w:r w:rsidRPr="00E4401D">
        <w:rPr>
          <w:rFonts w:ascii="Times New Roman" w:hAnsi="Times New Roman" w:cs="Times New Roman"/>
          <w:sz w:val="28"/>
          <w:szCs w:val="28"/>
        </w:rPr>
        <w:t>eó que no existe suficiencia en el razonamiento desplegado por los accionantes al acudir a la presunta trasgresión del artículo 160 constitucional, pues no hubo un despliegue argumentativo con razones objetivas que permitan a la Corte concluir la configura</w:t>
      </w:r>
      <w:r w:rsidRPr="00E4401D">
        <w:rPr>
          <w:rFonts w:ascii="Times New Roman" w:hAnsi="Times New Roman" w:cs="Times New Roman"/>
          <w:sz w:val="28"/>
          <w:szCs w:val="28"/>
        </w:rPr>
        <w:t>ción de una violación constitucional.</w:t>
      </w:r>
    </w:p>
    <w:p w:rsidR="00F464C8" w:rsidRPr="00E4401D" w:rsidRDefault="00E4401D" w:rsidP="00F464C8">
      <w:pPr>
        <w:pStyle w:val="Prrafodelista"/>
        <w:autoSpaceDE w:val="0"/>
        <w:autoSpaceDN w:val="0"/>
        <w:spacing w:before="100" w:beforeAutospacing="1" w:after="100" w:afterAutospacing="1"/>
        <w:ind w:left="0"/>
        <w:jc w:val="both"/>
        <w:rPr>
          <w:rFonts w:ascii="Times New Roman" w:hAnsi="Times New Roman" w:cs="Times New Roman"/>
          <w:sz w:val="28"/>
          <w:szCs w:val="28"/>
        </w:rPr>
      </w:pPr>
    </w:p>
    <w:p w:rsidR="00F464C8" w:rsidRPr="00E4401D" w:rsidRDefault="00E4401D" w:rsidP="00F464C8">
      <w:pPr>
        <w:pStyle w:val="Prrafodelista"/>
        <w:numPr>
          <w:ilvl w:val="0"/>
          <w:numId w:val="3"/>
        </w:numPr>
        <w:autoSpaceDE w:val="0"/>
        <w:autoSpaceDN w:val="0"/>
        <w:spacing w:before="100" w:beforeAutospacing="1" w:after="100" w:afterAutospacing="1"/>
        <w:ind w:left="0" w:firstLine="0"/>
        <w:jc w:val="both"/>
        <w:rPr>
          <w:rFonts w:ascii="Times New Roman" w:hAnsi="Times New Roman" w:cs="Times New Roman"/>
          <w:sz w:val="28"/>
          <w:szCs w:val="28"/>
        </w:rPr>
      </w:pPr>
      <w:r w:rsidRPr="00E4401D">
        <w:rPr>
          <w:rFonts w:ascii="Times New Roman" w:hAnsi="Times New Roman" w:cs="Times New Roman"/>
          <w:sz w:val="28"/>
          <w:szCs w:val="28"/>
        </w:rPr>
        <w:t>Respecto a los artículos 61, 287 y 295 específicamente señaló:</w:t>
      </w:r>
    </w:p>
    <w:p w:rsidR="00F464C8" w:rsidRPr="00E4401D" w:rsidRDefault="00E4401D" w:rsidP="00F464C8">
      <w:pPr>
        <w:pStyle w:val="Prrafodelista"/>
        <w:autoSpaceDE w:val="0"/>
        <w:autoSpaceDN w:val="0"/>
        <w:spacing w:before="100" w:beforeAutospacing="1" w:after="100" w:afterAutospacing="1"/>
        <w:ind w:left="0"/>
        <w:jc w:val="both"/>
        <w:rPr>
          <w:rFonts w:ascii="Times New Roman" w:hAnsi="Times New Roman" w:cs="Times New Roman"/>
          <w:sz w:val="28"/>
          <w:szCs w:val="28"/>
        </w:rPr>
      </w:pPr>
    </w:p>
    <w:p w:rsidR="00F464C8" w:rsidRPr="00E4401D" w:rsidRDefault="00E4401D" w:rsidP="00BA5B06">
      <w:pPr>
        <w:pStyle w:val="Prrafodelista"/>
        <w:autoSpaceDE w:val="0"/>
        <w:autoSpaceDN w:val="0"/>
        <w:ind w:left="0"/>
        <w:jc w:val="both"/>
        <w:rPr>
          <w:rFonts w:ascii="Times New Roman" w:hAnsi="Times New Roman" w:cs="Times New Roman"/>
          <w:sz w:val="28"/>
          <w:szCs w:val="28"/>
        </w:rPr>
      </w:pPr>
      <w:r w:rsidRPr="00E4401D">
        <w:rPr>
          <w:rFonts w:ascii="Times New Roman" w:hAnsi="Times New Roman" w:cs="Times New Roman"/>
          <w:sz w:val="28"/>
          <w:szCs w:val="28"/>
        </w:rPr>
        <w:t>(i) Artículo 61: Manifestó que este artículo fue explicado en términos de conveniencia durante una sesión plenaria del Senado por la ministra de Agricult</w:t>
      </w:r>
      <w:r w:rsidRPr="00E4401D">
        <w:rPr>
          <w:rFonts w:ascii="Times New Roman" w:hAnsi="Times New Roman" w:cs="Times New Roman"/>
          <w:sz w:val="28"/>
          <w:szCs w:val="28"/>
        </w:rPr>
        <w:t>ura y Desarrollo Rural. Ella defendió la importancia del artículo para cumplir con el acuerdo agrario de paz y destacó la necesidad de una reforma rural integral, pues el artículo pretende resolver los cuellos de botella que han impedido el avance de la re</w:t>
      </w:r>
      <w:r w:rsidRPr="00E4401D">
        <w:rPr>
          <w:rFonts w:ascii="Times New Roman" w:hAnsi="Times New Roman" w:cs="Times New Roman"/>
          <w:sz w:val="28"/>
          <w:szCs w:val="28"/>
        </w:rPr>
        <w:t>forma, con metas como la redistribución de tierras y la formalización de la propiedad. Además, el interviniente relató que hubo un amplio debate en el Senado de la República, con diferentes partidos políticos.</w:t>
      </w:r>
    </w:p>
    <w:p w:rsidR="00F464C8" w:rsidRPr="00E4401D" w:rsidRDefault="00E4401D" w:rsidP="00BA5B06">
      <w:pPr>
        <w:pStyle w:val="Prrafodelista"/>
        <w:autoSpaceDE w:val="0"/>
        <w:autoSpaceDN w:val="0"/>
        <w:ind w:left="0"/>
        <w:jc w:val="both"/>
        <w:rPr>
          <w:rFonts w:ascii="Times New Roman" w:hAnsi="Times New Roman" w:cs="Times New Roman"/>
          <w:sz w:val="28"/>
          <w:szCs w:val="28"/>
        </w:rPr>
      </w:pPr>
    </w:p>
    <w:p w:rsidR="00F464C8" w:rsidRPr="00E4401D" w:rsidRDefault="00E4401D" w:rsidP="00BA5B06">
      <w:pPr>
        <w:pStyle w:val="Prrafodelista"/>
        <w:autoSpaceDE w:val="0"/>
        <w:autoSpaceDN w:val="0"/>
        <w:ind w:left="0"/>
        <w:jc w:val="both"/>
        <w:rPr>
          <w:rFonts w:ascii="Times New Roman" w:hAnsi="Times New Roman" w:cs="Times New Roman"/>
          <w:sz w:val="28"/>
          <w:szCs w:val="28"/>
        </w:rPr>
      </w:pPr>
      <w:r w:rsidRPr="00E4401D">
        <w:rPr>
          <w:rFonts w:ascii="Times New Roman" w:hAnsi="Times New Roman" w:cs="Times New Roman"/>
          <w:sz w:val="28"/>
          <w:szCs w:val="28"/>
        </w:rPr>
        <w:t xml:space="preserve">(ii) Artículo 287: </w:t>
      </w:r>
      <w:r w:rsidRPr="00E4401D">
        <w:rPr>
          <w:rFonts w:ascii="Times New Roman" w:hAnsi="Times New Roman" w:cs="Times New Roman"/>
          <w:sz w:val="28"/>
          <w:szCs w:val="28"/>
        </w:rPr>
        <w:t xml:space="preserve">Argumentó </w:t>
      </w:r>
      <w:r w:rsidRPr="00E4401D">
        <w:rPr>
          <w:rFonts w:ascii="Times New Roman" w:hAnsi="Times New Roman" w:cs="Times New Roman"/>
          <w:sz w:val="28"/>
          <w:szCs w:val="28"/>
        </w:rPr>
        <w:t>que los demandan</w:t>
      </w:r>
      <w:r w:rsidRPr="00E4401D">
        <w:rPr>
          <w:rFonts w:ascii="Times New Roman" w:hAnsi="Times New Roman" w:cs="Times New Roman"/>
          <w:sz w:val="28"/>
          <w:szCs w:val="28"/>
        </w:rPr>
        <w:t>tes alegaron un texto erróneo que no corresponde al verdadero artículo 287 de la Ley 2294 de 2023. Este error lleva a que no se cumpla con la carga de identificación del texto legal demandado, lo que a su parecer debería resultar en la inhibición de la Cor</w:t>
      </w:r>
      <w:r w:rsidRPr="00E4401D">
        <w:rPr>
          <w:rFonts w:ascii="Times New Roman" w:hAnsi="Times New Roman" w:cs="Times New Roman"/>
          <w:sz w:val="28"/>
          <w:szCs w:val="28"/>
        </w:rPr>
        <w:t>te para emitir un pronunciamiento de fondo sobre este artículo.</w:t>
      </w:r>
    </w:p>
    <w:p w:rsidR="00F464C8" w:rsidRPr="00E4401D" w:rsidRDefault="00E4401D" w:rsidP="00BA5B06">
      <w:pPr>
        <w:pStyle w:val="Prrafodelista"/>
        <w:autoSpaceDE w:val="0"/>
        <w:autoSpaceDN w:val="0"/>
        <w:ind w:left="0"/>
        <w:jc w:val="both"/>
        <w:rPr>
          <w:rFonts w:ascii="Times New Roman" w:hAnsi="Times New Roman" w:cs="Times New Roman"/>
          <w:sz w:val="28"/>
          <w:szCs w:val="28"/>
        </w:rPr>
      </w:pPr>
    </w:p>
    <w:p w:rsidR="00F464C8" w:rsidRPr="00E4401D" w:rsidRDefault="00E4401D" w:rsidP="00BA5B06">
      <w:pPr>
        <w:pStyle w:val="Prrafodelista"/>
        <w:autoSpaceDE w:val="0"/>
        <w:autoSpaceDN w:val="0"/>
        <w:ind w:left="0"/>
        <w:jc w:val="both"/>
        <w:rPr>
          <w:rFonts w:ascii="Times New Roman" w:hAnsi="Times New Roman" w:cs="Times New Roman"/>
          <w:sz w:val="28"/>
          <w:szCs w:val="28"/>
        </w:rPr>
      </w:pPr>
      <w:r w:rsidRPr="00E4401D">
        <w:rPr>
          <w:rFonts w:ascii="Times New Roman" w:hAnsi="Times New Roman" w:cs="Times New Roman"/>
          <w:sz w:val="28"/>
          <w:szCs w:val="28"/>
        </w:rPr>
        <w:t>(iii) Artículo 295: Explicó que el artículo concierne a la naturaleza privada de los negocios jurídicos de Fonvivienda y la facultad del Fondo Nacional de Vivienda de administrar recursos y e</w:t>
      </w:r>
      <w:r w:rsidRPr="00E4401D">
        <w:rPr>
          <w:rFonts w:ascii="Times New Roman" w:hAnsi="Times New Roman" w:cs="Times New Roman"/>
          <w:sz w:val="28"/>
          <w:szCs w:val="28"/>
        </w:rPr>
        <w:t>jecutar políticas en materia de vivienda de interés social y agua y saneamiento básico. Y reiteró que la discusión del artículo en el Congreso reflejó un conocimiento previo de su contenido y las implicaciones de su aprobación, con un amplio debate sobre e</w:t>
      </w:r>
      <w:r w:rsidRPr="00E4401D">
        <w:rPr>
          <w:rFonts w:ascii="Times New Roman" w:hAnsi="Times New Roman" w:cs="Times New Roman"/>
          <w:sz w:val="28"/>
          <w:szCs w:val="28"/>
        </w:rPr>
        <w:t>l tema.</w:t>
      </w:r>
    </w:p>
    <w:p w:rsidR="00F464C8" w:rsidRPr="00E4401D" w:rsidRDefault="00E4401D" w:rsidP="00F464C8">
      <w:pPr>
        <w:pStyle w:val="Prrafodelista"/>
        <w:autoSpaceDE w:val="0"/>
        <w:autoSpaceDN w:val="0"/>
        <w:ind w:left="0"/>
        <w:jc w:val="both"/>
        <w:rPr>
          <w:rFonts w:ascii="Times New Roman" w:hAnsi="Times New Roman" w:cs="Times New Roman"/>
          <w:sz w:val="28"/>
          <w:szCs w:val="28"/>
          <w:lang w:val="es-ES"/>
        </w:rPr>
      </w:pPr>
    </w:p>
    <w:p w:rsidR="00F464C8" w:rsidRPr="00E4401D" w:rsidRDefault="00E4401D" w:rsidP="00F464C8">
      <w:pPr>
        <w:pStyle w:val="Ttulo2"/>
        <w:rPr>
          <w:rFonts w:ascii="Times New Roman" w:hAnsi="Times New Roman" w:cs="Times New Roman"/>
          <w:b/>
          <w:bCs/>
          <w:i/>
          <w:iCs/>
          <w:color w:val="auto"/>
          <w:sz w:val="28"/>
          <w:szCs w:val="28"/>
          <w:lang w:val="es-ES"/>
        </w:rPr>
      </w:pPr>
      <w:r w:rsidRPr="00E4401D">
        <w:rPr>
          <w:rFonts w:ascii="Times New Roman" w:hAnsi="Times New Roman" w:cs="Times New Roman"/>
          <w:b/>
          <w:bCs/>
          <w:i/>
          <w:iCs/>
          <w:color w:val="auto"/>
          <w:sz w:val="28"/>
          <w:szCs w:val="28"/>
          <w:lang w:val="es-ES"/>
        </w:rPr>
        <w:t>Departamento Nacional de Planeación</w:t>
      </w:r>
    </w:p>
    <w:p w:rsidR="00F464C8" w:rsidRPr="00E4401D" w:rsidRDefault="00E4401D" w:rsidP="00F464C8">
      <w:pPr>
        <w:rPr>
          <w:rFonts w:ascii="Times New Roman" w:hAnsi="Times New Roman" w:cs="Times New Roman"/>
          <w:sz w:val="28"/>
          <w:szCs w:val="28"/>
          <w:lang w:val="es-ES"/>
        </w:rPr>
      </w:pPr>
    </w:p>
    <w:p w:rsidR="00F464C8" w:rsidRPr="00E4401D" w:rsidRDefault="00E4401D" w:rsidP="00C73C8A">
      <w:pPr>
        <w:pStyle w:val="Prrafodelista"/>
        <w:numPr>
          <w:ilvl w:val="0"/>
          <w:numId w:val="3"/>
        </w:numPr>
        <w:ind w:left="0" w:firstLine="0"/>
        <w:jc w:val="both"/>
        <w:rPr>
          <w:rFonts w:ascii="Times New Roman" w:hAnsi="Times New Roman" w:cs="Times New Roman"/>
          <w:b/>
          <w:bCs/>
          <w:i/>
          <w:iCs/>
          <w:sz w:val="28"/>
          <w:szCs w:val="28"/>
          <w:lang w:val="es-ES"/>
        </w:rPr>
      </w:pPr>
      <w:r w:rsidRPr="00E4401D">
        <w:rPr>
          <w:rFonts w:ascii="Times New Roman" w:hAnsi="Times New Roman" w:cs="Times New Roman"/>
          <w:sz w:val="28"/>
          <w:szCs w:val="28"/>
          <w:lang w:val="es-ES"/>
        </w:rPr>
        <w:t>El Departamento Nacional de Planeación solicitó a la Corte declarar la exequibilidad de la disposición acusada. Apuntó que hubo una confusión inicial en la identificación de los artículos impugnados. Explicó qu</w:t>
      </w:r>
      <w:r w:rsidRPr="00E4401D">
        <w:rPr>
          <w:rFonts w:ascii="Times New Roman" w:hAnsi="Times New Roman" w:cs="Times New Roman"/>
          <w:sz w:val="28"/>
          <w:szCs w:val="28"/>
          <w:lang w:val="es-ES"/>
        </w:rPr>
        <w:t xml:space="preserve">e en la corrección de la demanda y en el auto admisorio se indicaron los artículos 5, 61, 287 y 295, cuando en realidad los artículos bajo cuestionamiento son los 5, 61, 289 y 297. Sostuvo que las proposiciones relacionadas con los artículos 5, 61, 289, y </w:t>
      </w:r>
      <w:r w:rsidRPr="00E4401D">
        <w:rPr>
          <w:rFonts w:ascii="Times New Roman" w:hAnsi="Times New Roman" w:cs="Times New Roman"/>
          <w:sz w:val="28"/>
          <w:szCs w:val="28"/>
          <w:lang w:val="es-ES"/>
        </w:rPr>
        <w:t xml:space="preserve">297 de la Ley 2294 de 2023 fueron conocidas y discutidas por los congresistas antes de su votación, de modo que cumplió con el principio de publicidad en el trámite legislativo. Apuntó que, según la jurisprudencia constitucional, no se requiere la lectura </w:t>
      </w:r>
      <w:r w:rsidRPr="00E4401D">
        <w:rPr>
          <w:rFonts w:ascii="Times New Roman" w:hAnsi="Times New Roman" w:cs="Times New Roman"/>
          <w:sz w:val="28"/>
          <w:szCs w:val="28"/>
          <w:lang w:val="es-ES"/>
        </w:rPr>
        <w:t>de las proposiciones antes de la votación siempre y cuando estas sean conocidas por los participantes. Manifestó que en las sesiones del 2 y 3 de mayo de 2023, se debatieron los artículos de la Ley 2294 de 2023 por bloques y se promovió el consenso.</w:t>
      </w:r>
    </w:p>
    <w:p w:rsidR="00F464C8" w:rsidRPr="00E4401D" w:rsidRDefault="00E4401D" w:rsidP="00F464C8">
      <w:pPr>
        <w:pStyle w:val="Prrafodelista"/>
        <w:ind w:left="0"/>
        <w:jc w:val="both"/>
        <w:rPr>
          <w:rFonts w:ascii="Times New Roman" w:hAnsi="Times New Roman" w:cs="Times New Roman"/>
          <w:b/>
          <w:bCs/>
          <w:i/>
          <w:iCs/>
          <w:sz w:val="28"/>
          <w:szCs w:val="28"/>
          <w:lang w:val="es-ES"/>
        </w:rPr>
      </w:pPr>
    </w:p>
    <w:p w:rsidR="00F464C8" w:rsidRPr="00E4401D" w:rsidRDefault="00E4401D" w:rsidP="00F464C8">
      <w:pPr>
        <w:pStyle w:val="Prrafodelista"/>
        <w:numPr>
          <w:ilvl w:val="0"/>
          <w:numId w:val="3"/>
        </w:numPr>
        <w:ind w:left="0" w:firstLine="0"/>
        <w:jc w:val="both"/>
        <w:rPr>
          <w:rFonts w:ascii="Times New Roman" w:hAnsi="Times New Roman" w:cs="Times New Roman"/>
          <w:sz w:val="28"/>
          <w:szCs w:val="28"/>
          <w:lang w:val="es-ES"/>
        </w:rPr>
      </w:pPr>
      <w:r w:rsidRPr="00E4401D">
        <w:rPr>
          <w:rFonts w:ascii="Times New Roman" w:hAnsi="Times New Roman" w:cs="Times New Roman"/>
          <w:sz w:val="28"/>
          <w:szCs w:val="28"/>
          <w:lang w:val="es-ES"/>
        </w:rPr>
        <w:t>Argumentó que la proposición modificatoria del artículo 5 fue publicada en la página web del Senado y explicada oralmente por el presidente del Senado de la República. Manifestó que las proposiciones modificatorias del artículo 61 se publicaron en la Gacet</w:t>
      </w:r>
      <w:r w:rsidRPr="00E4401D">
        <w:rPr>
          <w:rFonts w:ascii="Times New Roman" w:hAnsi="Times New Roman" w:cs="Times New Roman"/>
          <w:sz w:val="28"/>
          <w:szCs w:val="28"/>
          <w:lang w:val="es-ES"/>
        </w:rPr>
        <w:t>a 386 de 2023 y en la página web del Senado junto al informe de ponencia para el debate en la sesión plenaria del Senado, además de ser explicadas durante la sesión por el presidente del Senado. La proposición del artículo 289 también fue publicada en la p</w:t>
      </w:r>
      <w:r w:rsidRPr="00E4401D">
        <w:rPr>
          <w:rFonts w:ascii="Times New Roman" w:hAnsi="Times New Roman" w:cs="Times New Roman"/>
          <w:sz w:val="28"/>
          <w:szCs w:val="28"/>
          <w:lang w:val="es-ES"/>
        </w:rPr>
        <w:t>ágina web del Senado de la República. Asimismo, la proposición del artículo 297 se publicó en la página web del Senado y fue explicada durante la sesión por el presidente del Senado. Señaló que, si bien la explicación oral de las disposiciones no comprendi</w:t>
      </w:r>
      <w:r w:rsidRPr="00E4401D">
        <w:rPr>
          <w:rFonts w:ascii="Times New Roman" w:hAnsi="Times New Roman" w:cs="Times New Roman"/>
          <w:sz w:val="28"/>
          <w:szCs w:val="28"/>
          <w:lang w:val="es-ES"/>
        </w:rPr>
        <w:t>ó una lectura integral, sí fue general y suficiente para dar a entender el alcance de las modificaciones propuestas. Agregó que no hubo manifestación en contra de la afirmación del presidente del Senado de la República sobre la existencia de consenso sobre</w:t>
      </w:r>
      <w:r w:rsidRPr="00E4401D">
        <w:rPr>
          <w:rFonts w:ascii="Times New Roman" w:hAnsi="Times New Roman" w:cs="Times New Roman"/>
          <w:sz w:val="28"/>
          <w:szCs w:val="28"/>
          <w:lang w:val="es-ES"/>
        </w:rPr>
        <w:t xml:space="preserve"> el contenido de las proposiciones. En conclusión, el trámite ante el Senado de la República que dio origen a los artículos demandados cumplió con el requisito de publicidad.</w:t>
      </w:r>
    </w:p>
    <w:p w:rsidR="00F464C8" w:rsidRPr="00E4401D" w:rsidRDefault="00E4401D" w:rsidP="00F464C8">
      <w:pPr>
        <w:pStyle w:val="Prrafodelista"/>
        <w:ind w:left="0"/>
        <w:jc w:val="both"/>
        <w:rPr>
          <w:rFonts w:ascii="Times New Roman" w:hAnsi="Times New Roman" w:cs="Times New Roman"/>
          <w:sz w:val="28"/>
          <w:szCs w:val="28"/>
          <w:lang w:val="es-ES"/>
        </w:rPr>
      </w:pPr>
    </w:p>
    <w:p w:rsidR="00F464C8" w:rsidRPr="00E4401D" w:rsidRDefault="00E4401D" w:rsidP="00F464C8">
      <w:pPr>
        <w:pStyle w:val="Prrafodelista"/>
        <w:numPr>
          <w:ilvl w:val="0"/>
          <w:numId w:val="3"/>
        </w:numPr>
        <w:ind w:left="0" w:firstLine="0"/>
        <w:jc w:val="both"/>
        <w:rPr>
          <w:rFonts w:ascii="Times New Roman" w:hAnsi="Times New Roman" w:cs="Times New Roman"/>
          <w:sz w:val="28"/>
          <w:szCs w:val="28"/>
          <w:lang w:val="es-ES"/>
        </w:rPr>
      </w:pPr>
      <w:r w:rsidRPr="00E4401D">
        <w:rPr>
          <w:rFonts w:ascii="Times New Roman" w:hAnsi="Times New Roman" w:cs="Times New Roman"/>
          <w:sz w:val="28"/>
          <w:szCs w:val="28"/>
          <w:lang w:val="es-ES"/>
        </w:rPr>
        <w:t>También planteó que las modificaciones se conocían con base a que un número plur</w:t>
      </w:r>
      <w:r w:rsidRPr="00E4401D">
        <w:rPr>
          <w:rFonts w:ascii="Times New Roman" w:hAnsi="Times New Roman" w:cs="Times New Roman"/>
          <w:sz w:val="28"/>
          <w:szCs w:val="28"/>
          <w:lang w:val="es-ES"/>
        </w:rPr>
        <w:t xml:space="preserve">al de senadores habían firmado las proposiciones. Y sostuvo que el conocimiento fue más profundo respecto de los artículos 289 y 297 de la Ley 2294 de 2023, </w:t>
      </w:r>
      <w:r w:rsidRPr="00E4401D">
        <w:rPr>
          <w:rFonts w:ascii="Times New Roman" w:hAnsi="Times New Roman" w:cs="Times New Roman"/>
          <w:sz w:val="28"/>
          <w:szCs w:val="28"/>
        </w:rPr>
        <w:t>porque esas disposiciones debieron ser objeto de conciliación en la Comisión Accidental de Concilia</w:t>
      </w:r>
      <w:r w:rsidRPr="00E4401D">
        <w:rPr>
          <w:rFonts w:ascii="Times New Roman" w:hAnsi="Times New Roman" w:cs="Times New Roman"/>
          <w:sz w:val="28"/>
          <w:szCs w:val="28"/>
        </w:rPr>
        <w:t>ción, de modo que fueron nuevamente explicadas a los senadores en la sesión de aprobación del informe de conciliación.</w:t>
      </w:r>
    </w:p>
    <w:p w:rsidR="00F464C8" w:rsidRPr="00E4401D" w:rsidRDefault="00E4401D" w:rsidP="00F464C8">
      <w:pPr>
        <w:pStyle w:val="Prrafodelista"/>
        <w:ind w:left="0"/>
        <w:jc w:val="both"/>
        <w:rPr>
          <w:rFonts w:ascii="Times New Roman" w:hAnsi="Times New Roman" w:cs="Times New Roman"/>
          <w:sz w:val="28"/>
          <w:szCs w:val="28"/>
          <w:lang w:val="es-ES"/>
        </w:rPr>
      </w:pPr>
    </w:p>
    <w:p w:rsidR="00F464C8" w:rsidRPr="00E4401D" w:rsidRDefault="00E4401D" w:rsidP="00F464C8">
      <w:pPr>
        <w:pStyle w:val="Ttulo2"/>
        <w:rPr>
          <w:rFonts w:ascii="Times New Roman" w:hAnsi="Times New Roman" w:cs="Times New Roman"/>
          <w:b/>
          <w:bCs/>
          <w:i/>
          <w:iCs/>
          <w:color w:val="auto"/>
          <w:sz w:val="28"/>
          <w:szCs w:val="28"/>
          <w:lang w:val="es-ES"/>
        </w:rPr>
      </w:pPr>
      <w:bookmarkStart w:id="3" w:name="_Hlk167788745"/>
      <w:r w:rsidRPr="00E4401D">
        <w:rPr>
          <w:rFonts w:ascii="Times New Roman" w:hAnsi="Times New Roman" w:cs="Times New Roman"/>
          <w:b/>
          <w:bCs/>
          <w:i/>
          <w:iCs/>
          <w:color w:val="auto"/>
          <w:sz w:val="28"/>
          <w:szCs w:val="28"/>
          <w:lang w:val="es-ES"/>
        </w:rPr>
        <w:t>Ministerio de Agricultura y Desarrollo Rural</w:t>
      </w:r>
      <w:bookmarkEnd w:id="3"/>
    </w:p>
    <w:p w:rsidR="00F464C8" w:rsidRPr="00E4401D" w:rsidRDefault="00E4401D" w:rsidP="00F464C8">
      <w:pPr>
        <w:pStyle w:val="Prrafodelista"/>
        <w:autoSpaceDE w:val="0"/>
        <w:autoSpaceDN w:val="0"/>
        <w:ind w:right="-232"/>
        <w:jc w:val="both"/>
        <w:rPr>
          <w:rFonts w:ascii="Times New Roman" w:hAnsi="Times New Roman" w:cs="Times New Roman"/>
          <w:sz w:val="28"/>
          <w:szCs w:val="28"/>
          <w:lang w:val="es-ES"/>
        </w:rPr>
      </w:pPr>
    </w:p>
    <w:p w:rsidR="00F464C8" w:rsidRPr="00E4401D" w:rsidRDefault="00E4401D" w:rsidP="00BA5B06">
      <w:pPr>
        <w:pStyle w:val="Prrafodelista"/>
        <w:numPr>
          <w:ilvl w:val="0"/>
          <w:numId w:val="3"/>
        </w:numPr>
        <w:autoSpaceDE w:val="0"/>
        <w:autoSpaceDN w:val="0"/>
        <w:spacing w:before="100" w:beforeAutospacing="1" w:after="100" w:afterAutospacing="1"/>
        <w:ind w:left="0" w:firstLine="0"/>
        <w:jc w:val="both"/>
        <w:rPr>
          <w:rFonts w:ascii="Times New Roman" w:hAnsi="Times New Roman" w:cs="Times New Roman"/>
          <w:sz w:val="28"/>
          <w:szCs w:val="28"/>
          <w:lang w:val="es-ES"/>
        </w:rPr>
      </w:pPr>
      <w:r w:rsidRPr="00E4401D">
        <w:rPr>
          <w:rFonts w:ascii="Times New Roman" w:hAnsi="Times New Roman" w:cs="Times New Roman"/>
          <w:sz w:val="28"/>
          <w:szCs w:val="28"/>
          <w:lang w:val="es-ES"/>
        </w:rPr>
        <w:t>El Ministerio de Agricultura y Desarrollo Rural solicitó a la Corte que declarara la exequ</w:t>
      </w:r>
      <w:r w:rsidRPr="00E4401D">
        <w:rPr>
          <w:rFonts w:ascii="Times New Roman" w:hAnsi="Times New Roman" w:cs="Times New Roman"/>
          <w:sz w:val="28"/>
          <w:szCs w:val="28"/>
          <w:lang w:val="es-ES"/>
        </w:rPr>
        <w:t>ibilidad de las normas demandadas. Señaló que el trámite legislativo de los artículos 5, 61, 287 y 295 de la Ley 2294 de 2023 cumplió con el principio de publicidad y aseguró un debate libre y consciente entre los congresistas, quienes tuvieron conocimient</w:t>
      </w:r>
      <w:r w:rsidRPr="00E4401D">
        <w:rPr>
          <w:rFonts w:ascii="Times New Roman" w:hAnsi="Times New Roman" w:cs="Times New Roman"/>
          <w:sz w:val="28"/>
          <w:szCs w:val="28"/>
          <w:lang w:val="es-ES"/>
        </w:rPr>
        <w:t xml:space="preserve">o previo de las propuestas, pues existió un debate en las sesiones plenarias del Senado de la República y la Cámara de Representantes, con participación plena y garantías constitucionales para la deliberación. Alegó que los congresistas tuvieron un tiempo </w:t>
      </w:r>
      <w:r w:rsidRPr="00E4401D">
        <w:rPr>
          <w:rFonts w:ascii="Times New Roman" w:hAnsi="Times New Roman" w:cs="Times New Roman"/>
          <w:sz w:val="28"/>
          <w:szCs w:val="28"/>
          <w:lang w:val="es-ES"/>
        </w:rPr>
        <w:t xml:space="preserve">razonable para revisar el informe antes de su aprobación, y que el texto estuvo disponible física y electrónicamente, y de este modo se aseguró la transparencia y el acceso a la información. Manifestó que en la presentación del informe de ponencia para el </w:t>
      </w:r>
      <w:r w:rsidRPr="00E4401D">
        <w:rPr>
          <w:rFonts w:ascii="Times New Roman" w:hAnsi="Times New Roman" w:cs="Times New Roman"/>
          <w:sz w:val="28"/>
          <w:szCs w:val="28"/>
          <w:lang w:val="es-ES"/>
        </w:rPr>
        <w:t>debate en las sesiones plenarias se garantizó la oportunidad de discusión artículo por artículo y se permitió la votación con conocimiento pleno del contenido.</w:t>
      </w:r>
    </w:p>
    <w:p w:rsidR="00F464C8" w:rsidRPr="00E4401D" w:rsidRDefault="00E4401D" w:rsidP="00F464C8">
      <w:pPr>
        <w:pStyle w:val="Prrafodelista"/>
        <w:rPr>
          <w:rFonts w:ascii="Times New Roman" w:hAnsi="Times New Roman" w:cs="Times New Roman"/>
          <w:sz w:val="28"/>
          <w:szCs w:val="28"/>
          <w:lang w:val="es-ES"/>
        </w:rPr>
      </w:pPr>
    </w:p>
    <w:p w:rsidR="00F464C8" w:rsidRPr="00E4401D" w:rsidRDefault="00E4401D" w:rsidP="00F464C8">
      <w:pPr>
        <w:pStyle w:val="Ttulo2"/>
        <w:rPr>
          <w:rFonts w:ascii="Times New Roman" w:hAnsi="Times New Roman" w:cs="Times New Roman"/>
          <w:b/>
          <w:bCs/>
          <w:i/>
          <w:iCs/>
          <w:color w:val="auto"/>
          <w:sz w:val="28"/>
          <w:szCs w:val="28"/>
          <w:lang w:val="es-ES"/>
        </w:rPr>
      </w:pPr>
      <w:r w:rsidRPr="00E4401D">
        <w:rPr>
          <w:rFonts w:ascii="Times New Roman" w:hAnsi="Times New Roman" w:cs="Times New Roman"/>
          <w:b/>
          <w:bCs/>
          <w:i/>
          <w:iCs/>
          <w:color w:val="auto"/>
          <w:sz w:val="28"/>
          <w:szCs w:val="28"/>
          <w:lang w:val="es-ES"/>
        </w:rPr>
        <w:t>Ministerio de Hacienda y Crédito Público</w:t>
      </w:r>
    </w:p>
    <w:p w:rsidR="00F464C8" w:rsidRPr="00E4401D" w:rsidRDefault="00E4401D" w:rsidP="00F464C8">
      <w:pPr>
        <w:pStyle w:val="Prrafodelista"/>
        <w:autoSpaceDE w:val="0"/>
        <w:autoSpaceDN w:val="0"/>
        <w:ind w:left="0"/>
        <w:jc w:val="both"/>
        <w:rPr>
          <w:rFonts w:ascii="Times New Roman" w:hAnsi="Times New Roman" w:cs="Times New Roman"/>
          <w:sz w:val="28"/>
          <w:szCs w:val="28"/>
          <w:lang w:val="es-ES"/>
        </w:rPr>
      </w:pPr>
    </w:p>
    <w:p w:rsidR="00F464C8" w:rsidRPr="00E4401D" w:rsidRDefault="00E4401D" w:rsidP="00F464C8">
      <w:pPr>
        <w:pStyle w:val="Prrafodelista"/>
        <w:numPr>
          <w:ilvl w:val="0"/>
          <w:numId w:val="3"/>
        </w:numPr>
        <w:autoSpaceDE w:val="0"/>
        <w:autoSpaceDN w:val="0"/>
        <w:spacing w:before="100" w:beforeAutospacing="1" w:after="100" w:afterAutospacing="1"/>
        <w:ind w:left="0" w:firstLine="0"/>
        <w:jc w:val="both"/>
        <w:rPr>
          <w:rFonts w:ascii="Times New Roman" w:hAnsi="Times New Roman" w:cs="Times New Roman"/>
          <w:sz w:val="28"/>
          <w:szCs w:val="28"/>
          <w:lang w:val="es-ES"/>
        </w:rPr>
      </w:pPr>
      <w:r w:rsidRPr="00E4401D">
        <w:rPr>
          <w:rFonts w:ascii="Times New Roman" w:hAnsi="Times New Roman" w:cs="Times New Roman"/>
          <w:sz w:val="28"/>
          <w:szCs w:val="28"/>
          <w:lang w:val="es-ES"/>
        </w:rPr>
        <w:t xml:space="preserve">El Ministerio de Hacienda y Crédito Público solicitó </w:t>
      </w:r>
      <w:r w:rsidRPr="00E4401D">
        <w:rPr>
          <w:rFonts w:ascii="Times New Roman" w:hAnsi="Times New Roman" w:cs="Times New Roman"/>
          <w:sz w:val="28"/>
          <w:szCs w:val="28"/>
          <w:lang w:val="es-ES"/>
        </w:rPr>
        <w:t>a la Corte que se declare inhibida para pronunciarse de mérito respecto a los artículos 287 y 295 de la Ley 2294 de 2023, pues el demandante se equivocó al especificar los artículos acusados. Ello, habida cuenta que en verdad pretendían cuestionar los artí</w:t>
      </w:r>
      <w:r w:rsidRPr="00E4401D">
        <w:rPr>
          <w:rFonts w:ascii="Times New Roman" w:hAnsi="Times New Roman" w:cs="Times New Roman"/>
          <w:sz w:val="28"/>
          <w:szCs w:val="28"/>
          <w:lang w:val="es-ES"/>
        </w:rPr>
        <w:t>culos 5, 61, 289 y 297 de conformidad con el contenido de las normas transcritas en el escrito de corrección de la demanda. De tal suerte, argumentó que los</w:t>
      </w:r>
      <w:r w:rsidRPr="00E4401D">
        <w:rPr>
          <w:rFonts w:ascii="Times New Roman" w:hAnsi="Times New Roman" w:cs="Times New Roman"/>
          <w:sz w:val="28"/>
          <w:szCs w:val="28"/>
        </w:rPr>
        <w:t xml:space="preserve"> actores no señalaron correctamente el objeto de la demanda y provocaron que la admisión se trabara </w:t>
      </w:r>
      <w:r w:rsidRPr="00E4401D">
        <w:rPr>
          <w:rFonts w:ascii="Times New Roman" w:hAnsi="Times New Roman" w:cs="Times New Roman"/>
          <w:sz w:val="28"/>
          <w:szCs w:val="28"/>
        </w:rPr>
        <w:t>de manera errada sobre disposiciones que no tenían la intención de demandar.</w:t>
      </w:r>
    </w:p>
    <w:p w:rsidR="00F464C8" w:rsidRPr="00E4401D" w:rsidRDefault="00E4401D" w:rsidP="00F464C8">
      <w:pPr>
        <w:pStyle w:val="Prrafodelista"/>
        <w:autoSpaceDE w:val="0"/>
        <w:autoSpaceDN w:val="0"/>
        <w:spacing w:before="100" w:beforeAutospacing="1" w:after="100" w:afterAutospacing="1"/>
        <w:ind w:left="0"/>
        <w:jc w:val="both"/>
        <w:rPr>
          <w:rFonts w:ascii="Times New Roman" w:hAnsi="Times New Roman" w:cs="Times New Roman"/>
          <w:sz w:val="28"/>
          <w:szCs w:val="28"/>
          <w:lang w:val="es-ES"/>
        </w:rPr>
      </w:pPr>
    </w:p>
    <w:p w:rsidR="00F464C8" w:rsidRPr="00E4401D" w:rsidRDefault="00E4401D" w:rsidP="00F464C8">
      <w:pPr>
        <w:pStyle w:val="Prrafodelista"/>
        <w:numPr>
          <w:ilvl w:val="0"/>
          <w:numId w:val="3"/>
        </w:numPr>
        <w:autoSpaceDE w:val="0"/>
        <w:autoSpaceDN w:val="0"/>
        <w:spacing w:before="100" w:beforeAutospacing="1" w:after="100" w:afterAutospacing="1"/>
        <w:ind w:left="0" w:firstLine="0"/>
        <w:jc w:val="both"/>
        <w:rPr>
          <w:rFonts w:ascii="Times New Roman" w:hAnsi="Times New Roman" w:cs="Times New Roman"/>
          <w:sz w:val="28"/>
          <w:szCs w:val="28"/>
          <w:lang w:val="es-ES"/>
        </w:rPr>
      </w:pPr>
      <w:r w:rsidRPr="00E4401D">
        <w:rPr>
          <w:rFonts w:ascii="Times New Roman" w:hAnsi="Times New Roman" w:cs="Times New Roman"/>
          <w:sz w:val="28"/>
          <w:szCs w:val="28"/>
          <w:lang w:val="es-ES"/>
        </w:rPr>
        <w:t xml:space="preserve">Sobre el fondo, reiteró que la exigencia de la publicidad debe ser flexible y adaptarse a las dinámicas del trámite legislativo. Esto incluye la posibilidad de utilizar medios </w:t>
      </w:r>
      <w:r w:rsidRPr="00E4401D">
        <w:rPr>
          <w:rFonts w:ascii="Times New Roman" w:hAnsi="Times New Roman" w:cs="Times New Roman"/>
          <w:sz w:val="28"/>
          <w:szCs w:val="28"/>
          <w:lang w:val="es-ES"/>
        </w:rPr>
        <w:t>mecánicos alternativos para la difusión de informes de ponencia y proposiciones, siempre que no se comprometa el principio de publicidad. Esta flexibilidad se fundamenta en principios como la instrumentalidad de las formas y la preservación del derecho y b</w:t>
      </w:r>
      <w:r w:rsidRPr="00E4401D">
        <w:rPr>
          <w:rFonts w:ascii="Times New Roman" w:hAnsi="Times New Roman" w:cs="Times New Roman"/>
          <w:sz w:val="28"/>
          <w:szCs w:val="28"/>
          <w:lang w:val="es-ES"/>
        </w:rPr>
        <w:t>usca equilibrar la necesidad de transparencia con la eficiencia y dinamismo del proceso legislativo.</w:t>
      </w:r>
    </w:p>
    <w:p w:rsidR="00F464C8" w:rsidRPr="00E4401D" w:rsidRDefault="00E4401D" w:rsidP="00F464C8">
      <w:pPr>
        <w:pStyle w:val="Prrafodelista"/>
        <w:autoSpaceDE w:val="0"/>
        <w:autoSpaceDN w:val="0"/>
        <w:spacing w:before="100" w:beforeAutospacing="1" w:after="100" w:afterAutospacing="1"/>
        <w:ind w:left="0"/>
        <w:jc w:val="both"/>
        <w:rPr>
          <w:rFonts w:ascii="Times New Roman" w:hAnsi="Times New Roman" w:cs="Times New Roman"/>
          <w:sz w:val="28"/>
          <w:szCs w:val="28"/>
          <w:lang w:val="es-ES"/>
        </w:rPr>
      </w:pPr>
    </w:p>
    <w:p w:rsidR="00F464C8" w:rsidRPr="00E4401D" w:rsidRDefault="00E4401D" w:rsidP="00F464C8">
      <w:pPr>
        <w:pStyle w:val="Prrafodelista"/>
        <w:numPr>
          <w:ilvl w:val="0"/>
          <w:numId w:val="3"/>
        </w:numPr>
        <w:autoSpaceDE w:val="0"/>
        <w:autoSpaceDN w:val="0"/>
        <w:spacing w:before="100" w:beforeAutospacing="1" w:after="100" w:afterAutospacing="1"/>
        <w:ind w:left="0" w:firstLine="0"/>
        <w:jc w:val="both"/>
        <w:rPr>
          <w:rFonts w:ascii="Times New Roman" w:hAnsi="Times New Roman" w:cs="Times New Roman"/>
          <w:sz w:val="28"/>
          <w:szCs w:val="28"/>
          <w:lang w:val="es-ES"/>
        </w:rPr>
      </w:pPr>
      <w:r w:rsidRPr="00E4401D">
        <w:rPr>
          <w:rFonts w:ascii="Times New Roman" w:hAnsi="Times New Roman" w:cs="Times New Roman"/>
          <w:sz w:val="28"/>
          <w:szCs w:val="28"/>
          <w:lang w:val="es-ES"/>
        </w:rPr>
        <w:t xml:space="preserve">Argumentó que en el </w:t>
      </w:r>
      <w:r w:rsidRPr="00E4401D">
        <w:rPr>
          <w:rFonts w:ascii="Times New Roman" w:hAnsi="Times New Roman" w:cs="Times New Roman"/>
          <w:i/>
          <w:iCs/>
          <w:sz w:val="28"/>
          <w:szCs w:val="28"/>
          <w:lang w:val="es-ES"/>
        </w:rPr>
        <w:t xml:space="preserve">sub lite </w:t>
      </w:r>
      <w:r w:rsidRPr="00E4401D">
        <w:rPr>
          <w:rFonts w:ascii="Times New Roman" w:hAnsi="Times New Roman" w:cs="Times New Roman"/>
          <w:sz w:val="28"/>
          <w:szCs w:val="28"/>
          <w:lang w:val="es-ES"/>
        </w:rPr>
        <w:t xml:space="preserve">se cumplió el principio de publicidad mediante su divulgación en medios oficiales antes y durante el proceso de debate en </w:t>
      </w:r>
      <w:r w:rsidRPr="00E4401D">
        <w:rPr>
          <w:rFonts w:ascii="Times New Roman" w:hAnsi="Times New Roman" w:cs="Times New Roman"/>
          <w:sz w:val="28"/>
          <w:szCs w:val="28"/>
          <w:lang w:val="es-ES"/>
        </w:rPr>
        <w:t>plenarias, de modo que todos los senadores tuvieron conocimiento y acceso a las disposiciones sometidas a consideración. Aseguró que los coordinadores y ponentes revisaron las propuestas y las modificaciones sugeridas, estas incluyen un total de 5.647 prop</w:t>
      </w:r>
      <w:r w:rsidRPr="00E4401D">
        <w:rPr>
          <w:rFonts w:ascii="Times New Roman" w:hAnsi="Times New Roman" w:cs="Times New Roman"/>
          <w:sz w:val="28"/>
          <w:szCs w:val="28"/>
          <w:lang w:val="es-ES"/>
        </w:rPr>
        <w:t>osiciones recibidas entre el 16 de febrero y el 25 de abril de 2023, las cuales fueron publicadas en la página web oficial de la Cámara de Representantes. Además, el informe de ponencia incluyó un resumen de estas proposiciones y el contenido finalmente ap</w:t>
      </w:r>
      <w:r w:rsidRPr="00E4401D">
        <w:rPr>
          <w:rFonts w:ascii="Times New Roman" w:hAnsi="Times New Roman" w:cs="Times New Roman"/>
          <w:sz w:val="28"/>
          <w:szCs w:val="28"/>
          <w:lang w:val="es-ES"/>
        </w:rPr>
        <w:t>robado de los artículos relevantes, aunque las proposiciones presentadas tras el 25 de abril de 2023 no pudieron ser incluidas en el informe de ponencia.</w:t>
      </w:r>
    </w:p>
    <w:p w:rsidR="00F464C8" w:rsidRPr="00E4401D" w:rsidRDefault="00E4401D" w:rsidP="00F464C8">
      <w:pPr>
        <w:pStyle w:val="Prrafodelista"/>
        <w:rPr>
          <w:rFonts w:ascii="Times New Roman" w:hAnsi="Times New Roman" w:cs="Times New Roman"/>
          <w:sz w:val="28"/>
          <w:szCs w:val="28"/>
          <w:lang w:val="es-ES"/>
        </w:rPr>
      </w:pPr>
    </w:p>
    <w:p w:rsidR="00F464C8" w:rsidRPr="00E4401D" w:rsidRDefault="00E4401D" w:rsidP="00F464C8">
      <w:pPr>
        <w:pStyle w:val="Prrafodelista"/>
        <w:numPr>
          <w:ilvl w:val="0"/>
          <w:numId w:val="3"/>
        </w:numPr>
        <w:autoSpaceDE w:val="0"/>
        <w:autoSpaceDN w:val="0"/>
        <w:spacing w:before="100" w:beforeAutospacing="1" w:after="100" w:afterAutospacing="1"/>
        <w:ind w:left="0" w:firstLine="0"/>
        <w:jc w:val="both"/>
        <w:rPr>
          <w:rFonts w:ascii="Times New Roman" w:hAnsi="Times New Roman" w:cs="Times New Roman"/>
          <w:sz w:val="28"/>
          <w:szCs w:val="28"/>
          <w:lang w:val="es-ES"/>
        </w:rPr>
      </w:pPr>
      <w:r w:rsidRPr="00E4401D">
        <w:rPr>
          <w:rFonts w:ascii="Times New Roman" w:hAnsi="Times New Roman" w:cs="Times New Roman"/>
          <w:sz w:val="28"/>
          <w:szCs w:val="28"/>
          <w:lang w:val="es-ES"/>
        </w:rPr>
        <w:t xml:space="preserve">Señaló que la publicidad de las disposiciones acusadas también quedaba demostrada con la explicación </w:t>
      </w:r>
      <w:r w:rsidRPr="00E4401D">
        <w:rPr>
          <w:rFonts w:ascii="Times New Roman" w:hAnsi="Times New Roman" w:cs="Times New Roman"/>
          <w:sz w:val="28"/>
          <w:szCs w:val="28"/>
          <w:lang w:val="es-ES"/>
        </w:rPr>
        <w:t>oral por parte del presidente del Senado de la República, pues dicha explicación indica que los artículos fueron objeto de debate al interior del Senado de la República.</w:t>
      </w:r>
    </w:p>
    <w:p w:rsidR="00F464C8" w:rsidRPr="00E4401D" w:rsidRDefault="00E4401D" w:rsidP="00F464C8">
      <w:pPr>
        <w:pStyle w:val="Prrafodelista"/>
        <w:autoSpaceDE w:val="0"/>
        <w:autoSpaceDN w:val="0"/>
        <w:spacing w:before="100" w:beforeAutospacing="1" w:after="100" w:afterAutospacing="1"/>
        <w:ind w:left="0"/>
        <w:jc w:val="both"/>
        <w:rPr>
          <w:rFonts w:ascii="Times New Roman" w:hAnsi="Times New Roman" w:cs="Times New Roman"/>
          <w:sz w:val="28"/>
          <w:szCs w:val="28"/>
          <w:lang w:val="es-ES"/>
        </w:rPr>
      </w:pPr>
    </w:p>
    <w:p w:rsidR="00F464C8" w:rsidRPr="00E4401D" w:rsidRDefault="00E4401D" w:rsidP="00E907C1">
      <w:pPr>
        <w:pStyle w:val="Prrafodelista"/>
        <w:numPr>
          <w:ilvl w:val="0"/>
          <w:numId w:val="3"/>
        </w:numPr>
        <w:autoSpaceDE w:val="0"/>
        <w:autoSpaceDN w:val="0"/>
        <w:spacing w:before="100" w:beforeAutospacing="1" w:after="100" w:afterAutospacing="1"/>
        <w:ind w:left="0" w:firstLine="0"/>
        <w:jc w:val="both"/>
        <w:rPr>
          <w:rFonts w:ascii="Times New Roman" w:hAnsi="Times New Roman" w:cs="Times New Roman"/>
          <w:sz w:val="28"/>
          <w:szCs w:val="28"/>
          <w:lang w:val="es-ES"/>
        </w:rPr>
      </w:pPr>
      <w:r w:rsidRPr="00E4401D">
        <w:rPr>
          <w:rFonts w:ascii="Times New Roman" w:hAnsi="Times New Roman" w:cs="Times New Roman"/>
          <w:sz w:val="28"/>
          <w:szCs w:val="28"/>
          <w:lang w:val="es-ES"/>
        </w:rPr>
        <w:t xml:space="preserve">Agregó que la votación en bloque de proposiciones, autorizada por el artículo 159 de </w:t>
      </w:r>
      <w:r w:rsidRPr="00E4401D">
        <w:rPr>
          <w:rFonts w:ascii="Times New Roman" w:hAnsi="Times New Roman" w:cs="Times New Roman"/>
          <w:sz w:val="28"/>
          <w:szCs w:val="28"/>
          <w:lang w:val="es-ES"/>
        </w:rPr>
        <w:t>la Ley 5 de 1992, es válida siempre y cuando se garantice el espacio para el debate. La discusión y votación pueden realizarse artículo por artículo o en bloque, y eso depende de la situación específica y justificada por quienes lo soliciten. Por tanto, la</w:t>
      </w:r>
      <w:r w:rsidRPr="00E4401D">
        <w:rPr>
          <w:rFonts w:ascii="Times New Roman" w:hAnsi="Times New Roman" w:cs="Times New Roman"/>
          <w:sz w:val="28"/>
          <w:szCs w:val="28"/>
          <w:lang w:val="es-ES"/>
        </w:rPr>
        <w:t xml:space="preserve"> votación en bloque realizada en el Senado en el trámite legislativo objeto de examen cumplió con las normativas constitucionales y legales y aseguró el espacio para la deliberación democrática.</w:t>
      </w:r>
    </w:p>
    <w:p w:rsidR="00F464C8" w:rsidRPr="00E4401D" w:rsidRDefault="00E4401D" w:rsidP="00F464C8">
      <w:pPr>
        <w:pStyle w:val="Prrafodelista"/>
        <w:rPr>
          <w:rFonts w:ascii="Times New Roman" w:hAnsi="Times New Roman" w:cs="Times New Roman"/>
          <w:sz w:val="28"/>
          <w:szCs w:val="28"/>
          <w:lang w:val="es-ES"/>
        </w:rPr>
      </w:pPr>
    </w:p>
    <w:p w:rsidR="00F464C8" w:rsidRPr="00E4401D" w:rsidRDefault="00E4401D" w:rsidP="00F464C8">
      <w:pPr>
        <w:keepNext/>
        <w:keepLines/>
        <w:spacing w:before="40"/>
        <w:outlineLvl w:val="1"/>
        <w:rPr>
          <w:rFonts w:ascii="Times New Roman" w:eastAsiaTheme="majorEastAsia" w:hAnsi="Times New Roman" w:cs="Times New Roman"/>
          <w:b/>
          <w:bCs/>
          <w:i/>
          <w:iCs/>
          <w:sz w:val="28"/>
          <w:szCs w:val="28"/>
          <w:lang w:val="es-ES"/>
        </w:rPr>
      </w:pPr>
      <w:r w:rsidRPr="00E4401D">
        <w:rPr>
          <w:rFonts w:ascii="Times New Roman" w:eastAsiaTheme="majorEastAsia" w:hAnsi="Times New Roman" w:cs="Times New Roman"/>
          <w:b/>
          <w:bCs/>
          <w:i/>
          <w:iCs/>
          <w:sz w:val="28"/>
          <w:szCs w:val="28"/>
          <w:lang w:val="es-ES"/>
        </w:rPr>
        <w:t>Comisión Tercera Constitucional Permanente de la Cámara de R</w:t>
      </w:r>
      <w:r w:rsidRPr="00E4401D">
        <w:rPr>
          <w:rFonts w:ascii="Times New Roman" w:eastAsiaTheme="majorEastAsia" w:hAnsi="Times New Roman" w:cs="Times New Roman"/>
          <w:b/>
          <w:bCs/>
          <w:i/>
          <w:iCs/>
          <w:sz w:val="28"/>
          <w:szCs w:val="28"/>
          <w:lang w:val="es-ES"/>
        </w:rPr>
        <w:t>epresentantes</w:t>
      </w:r>
    </w:p>
    <w:p w:rsidR="00F464C8" w:rsidRPr="00E4401D" w:rsidRDefault="00E4401D" w:rsidP="00F464C8">
      <w:pPr>
        <w:pStyle w:val="Prrafodelista"/>
        <w:rPr>
          <w:rFonts w:ascii="Times New Roman" w:hAnsi="Times New Roman" w:cs="Times New Roman"/>
          <w:sz w:val="28"/>
          <w:szCs w:val="28"/>
          <w:lang w:val="es-ES"/>
        </w:rPr>
      </w:pPr>
    </w:p>
    <w:p w:rsidR="00F464C8" w:rsidRPr="00E4401D" w:rsidRDefault="00E4401D" w:rsidP="00BA5B06">
      <w:pPr>
        <w:pStyle w:val="Prrafodelista"/>
        <w:numPr>
          <w:ilvl w:val="0"/>
          <w:numId w:val="3"/>
        </w:numPr>
        <w:autoSpaceDE w:val="0"/>
        <w:autoSpaceDN w:val="0"/>
        <w:ind w:left="0" w:firstLine="0"/>
        <w:jc w:val="both"/>
        <w:rPr>
          <w:rFonts w:ascii="Times New Roman" w:hAnsi="Times New Roman" w:cs="Times New Roman"/>
          <w:sz w:val="28"/>
          <w:szCs w:val="28"/>
          <w:lang w:val="es-ES"/>
        </w:rPr>
      </w:pPr>
      <w:r w:rsidRPr="00E4401D">
        <w:rPr>
          <w:rFonts w:ascii="Times New Roman" w:hAnsi="Times New Roman" w:cs="Times New Roman"/>
          <w:sz w:val="28"/>
          <w:szCs w:val="28"/>
          <w:lang w:val="es-ES"/>
        </w:rPr>
        <w:t>La secretaria General de la Comisión Tercera Constitucional Permanente de la Cámara de Representantes presentó el trámite legislativo que tuvieron los artículos demandados ante la Cámara de Representantes. Para ello, utilizó cuadros comparat</w:t>
      </w:r>
      <w:r w:rsidRPr="00E4401D">
        <w:rPr>
          <w:rFonts w:ascii="Times New Roman" w:hAnsi="Times New Roman" w:cs="Times New Roman"/>
          <w:sz w:val="28"/>
          <w:szCs w:val="28"/>
          <w:lang w:val="es-ES"/>
        </w:rPr>
        <w:t xml:space="preserve">ivos que mostraban la evolución de los textos de las normas desde el proyecto de ley inicial, los textos presentados en el informe de ponencia para el debate en las sesiones conjuntas de las comisiones permanentes de ambas Cámaras, hasta el texto aprobado </w:t>
      </w:r>
      <w:r w:rsidRPr="00E4401D">
        <w:rPr>
          <w:rFonts w:ascii="Times New Roman" w:hAnsi="Times New Roman" w:cs="Times New Roman"/>
          <w:sz w:val="28"/>
          <w:szCs w:val="28"/>
          <w:lang w:val="es-ES"/>
        </w:rPr>
        <w:t>en dichas sesiones, el aprobado por la sesión plenaria de la Cámara de Representantes, y finalmente, el que quedó en la Ley 2294 de 2023.</w:t>
      </w:r>
    </w:p>
    <w:p w:rsidR="00F464C8" w:rsidRPr="00E4401D" w:rsidRDefault="00E4401D" w:rsidP="00BA5B06">
      <w:pPr>
        <w:pStyle w:val="Prrafodelista"/>
        <w:autoSpaceDE w:val="0"/>
        <w:autoSpaceDN w:val="0"/>
        <w:ind w:left="0"/>
        <w:jc w:val="both"/>
        <w:rPr>
          <w:rFonts w:ascii="Times New Roman" w:hAnsi="Times New Roman" w:cs="Times New Roman"/>
          <w:sz w:val="28"/>
          <w:szCs w:val="28"/>
          <w:lang w:val="es-ES"/>
        </w:rPr>
      </w:pPr>
    </w:p>
    <w:p w:rsidR="00F464C8" w:rsidRPr="00E4401D" w:rsidRDefault="00E4401D" w:rsidP="00BA5B06">
      <w:pPr>
        <w:pStyle w:val="Prrafodelista"/>
        <w:numPr>
          <w:ilvl w:val="0"/>
          <w:numId w:val="3"/>
        </w:numPr>
        <w:autoSpaceDE w:val="0"/>
        <w:autoSpaceDN w:val="0"/>
        <w:ind w:left="0" w:firstLine="0"/>
        <w:jc w:val="both"/>
        <w:rPr>
          <w:rFonts w:ascii="Times New Roman" w:hAnsi="Times New Roman" w:cs="Times New Roman"/>
          <w:sz w:val="28"/>
          <w:szCs w:val="28"/>
          <w:lang w:val="es-ES"/>
        </w:rPr>
      </w:pPr>
      <w:r w:rsidRPr="00E4401D">
        <w:rPr>
          <w:rFonts w:ascii="Times New Roman" w:hAnsi="Times New Roman" w:cs="Times New Roman"/>
          <w:sz w:val="28"/>
          <w:szCs w:val="28"/>
          <w:lang w:val="es-ES"/>
        </w:rPr>
        <w:t>En cada cuadro, la secretaria indicó los cambios de numeración de los artículos y las modificaciones realizadas exclu</w:t>
      </w:r>
      <w:r w:rsidRPr="00E4401D">
        <w:rPr>
          <w:rFonts w:ascii="Times New Roman" w:hAnsi="Times New Roman" w:cs="Times New Roman"/>
          <w:sz w:val="28"/>
          <w:szCs w:val="28"/>
          <w:lang w:val="es-ES"/>
        </w:rPr>
        <w:t xml:space="preserve">sivamente en la Cámara de Representantes. Concluyó que los artículos demandados cumplieron con el principio de publicidad conforme a los artículos 157 y 161 de la Constitución Política y los artículos 36 y 156 de la Ley 5 de 1992. Añadió que se utilizaron </w:t>
      </w:r>
      <w:r w:rsidRPr="00E4401D">
        <w:rPr>
          <w:rFonts w:ascii="Times New Roman" w:hAnsi="Times New Roman" w:cs="Times New Roman"/>
          <w:sz w:val="28"/>
          <w:szCs w:val="28"/>
          <w:lang w:val="es-ES"/>
        </w:rPr>
        <w:t>medios alternativos para la difusión, como la página web de la Cámara de Representantes, el micrositio del proyecto de ley y el correo electrónico institucional.</w:t>
      </w:r>
    </w:p>
    <w:p w:rsidR="00F464C8" w:rsidRPr="00E4401D" w:rsidRDefault="00E4401D" w:rsidP="00BA5B06">
      <w:pPr>
        <w:pStyle w:val="Prrafodelista"/>
        <w:ind w:left="0"/>
        <w:jc w:val="both"/>
        <w:rPr>
          <w:rFonts w:ascii="Times New Roman" w:hAnsi="Times New Roman" w:cs="Times New Roman"/>
          <w:sz w:val="28"/>
          <w:szCs w:val="28"/>
          <w:lang w:val="es-ES"/>
        </w:rPr>
      </w:pPr>
    </w:p>
    <w:p w:rsidR="00F464C8" w:rsidRPr="00E4401D" w:rsidRDefault="00E4401D" w:rsidP="00BA5B06">
      <w:pPr>
        <w:pStyle w:val="Prrafodelista"/>
        <w:numPr>
          <w:ilvl w:val="0"/>
          <w:numId w:val="3"/>
        </w:numPr>
        <w:autoSpaceDE w:val="0"/>
        <w:autoSpaceDN w:val="0"/>
        <w:ind w:left="0" w:firstLine="0"/>
        <w:jc w:val="both"/>
        <w:rPr>
          <w:rFonts w:ascii="Times New Roman" w:hAnsi="Times New Roman" w:cs="Times New Roman"/>
          <w:sz w:val="28"/>
          <w:szCs w:val="28"/>
          <w:lang w:val="es-ES"/>
        </w:rPr>
      </w:pPr>
      <w:r w:rsidRPr="00E4401D">
        <w:rPr>
          <w:rFonts w:ascii="Times New Roman" w:hAnsi="Times New Roman" w:cs="Times New Roman"/>
          <w:sz w:val="28"/>
          <w:szCs w:val="28"/>
          <w:lang w:val="es-ES"/>
        </w:rPr>
        <w:t>Asimismo, afirmó que el trámite cumplió con el principio de consecutividad</w:t>
      </w:r>
      <w:r w:rsidRPr="00E4401D">
        <w:rPr>
          <w:rFonts w:ascii="Times New Roman" w:hAnsi="Times New Roman" w:cs="Times New Roman"/>
          <w:sz w:val="28"/>
          <w:szCs w:val="28"/>
          <w:lang w:val="es-ES"/>
        </w:rPr>
        <w:t xml:space="preserve"> y con los requisitos establecidos por la Constitución Política y la Ley 5 de 1992. En cuanto al manejo de las proposiciones, señaló que todas fueron recibidas por la Comisión Tercera Constitucional Permanente, ya sea de manera física o vía correo electrón</w:t>
      </w:r>
      <w:r w:rsidRPr="00E4401D">
        <w:rPr>
          <w:rFonts w:ascii="Times New Roman" w:hAnsi="Times New Roman" w:cs="Times New Roman"/>
          <w:sz w:val="28"/>
          <w:szCs w:val="28"/>
          <w:lang w:val="es-ES"/>
        </w:rPr>
        <w:t>ico, y fueron publicadas en el micrositio del proyecto de ley.</w:t>
      </w:r>
    </w:p>
    <w:p w:rsidR="00F464C8" w:rsidRPr="00E4401D" w:rsidRDefault="00E4401D" w:rsidP="00F464C8">
      <w:pPr>
        <w:pStyle w:val="Prrafodelista"/>
        <w:ind w:right="-232"/>
        <w:jc w:val="both"/>
        <w:rPr>
          <w:rFonts w:ascii="Times New Roman" w:hAnsi="Times New Roman" w:cs="Times New Roman"/>
          <w:sz w:val="28"/>
          <w:szCs w:val="28"/>
          <w:lang w:val="es-ES"/>
        </w:rPr>
      </w:pPr>
    </w:p>
    <w:p w:rsidR="00F464C8" w:rsidRPr="00E4401D" w:rsidRDefault="00E4401D" w:rsidP="00F464C8">
      <w:pPr>
        <w:pStyle w:val="Prrafodelista"/>
        <w:ind w:right="-232"/>
        <w:jc w:val="both"/>
        <w:rPr>
          <w:rFonts w:ascii="Times New Roman" w:hAnsi="Times New Roman" w:cs="Times New Roman"/>
          <w:sz w:val="28"/>
          <w:szCs w:val="28"/>
          <w:lang w:val="es-ES"/>
        </w:rPr>
      </w:pPr>
    </w:p>
    <w:p w:rsidR="00F464C8" w:rsidRPr="00E4401D" w:rsidRDefault="00E4401D" w:rsidP="00F464C8">
      <w:pPr>
        <w:pStyle w:val="Ttulo2"/>
        <w:numPr>
          <w:ilvl w:val="0"/>
          <w:numId w:val="4"/>
        </w:numPr>
        <w:spacing w:before="0"/>
        <w:ind w:left="0" w:firstLine="0"/>
        <w:jc w:val="both"/>
        <w:rPr>
          <w:rFonts w:ascii="Times New Roman" w:hAnsi="Times New Roman" w:cs="Times New Roman"/>
          <w:b/>
          <w:color w:val="000000" w:themeColor="text1"/>
          <w:sz w:val="28"/>
          <w:szCs w:val="28"/>
          <w:shd w:val="clear" w:color="auto" w:fill="FFFFFF"/>
        </w:rPr>
      </w:pPr>
      <w:bookmarkStart w:id="4" w:name="_Toc147986287"/>
      <w:r w:rsidRPr="00E4401D">
        <w:rPr>
          <w:rFonts w:ascii="Times New Roman" w:hAnsi="Times New Roman" w:cs="Times New Roman"/>
          <w:b/>
          <w:color w:val="000000" w:themeColor="text1"/>
          <w:sz w:val="28"/>
          <w:szCs w:val="28"/>
          <w:shd w:val="clear" w:color="auto" w:fill="FFFFFF"/>
        </w:rPr>
        <w:t>Intervenciones ciudadanas</w:t>
      </w:r>
      <w:bookmarkEnd w:id="4"/>
    </w:p>
    <w:p w:rsidR="00F464C8" w:rsidRPr="00E4401D" w:rsidRDefault="00E4401D" w:rsidP="00F464C8">
      <w:pPr>
        <w:pStyle w:val="Prrafodelista"/>
        <w:jc w:val="both"/>
        <w:rPr>
          <w:rFonts w:ascii="Times New Roman" w:hAnsi="Times New Roman" w:cs="Times New Roman"/>
          <w:b/>
          <w:bCs/>
          <w:sz w:val="28"/>
          <w:szCs w:val="28"/>
          <w:lang w:val="es-ES"/>
        </w:rPr>
      </w:pPr>
    </w:p>
    <w:p w:rsidR="00F464C8" w:rsidRPr="00E4401D" w:rsidRDefault="00E4401D" w:rsidP="00F464C8">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Dentro del término de fijación en lista la Corte Constitucional recibió tres (3) escritos ciudadanos, así: César Eliécer Mojica Dorado, Harold Eduardo Súa Montaña y</w:t>
      </w:r>
      <w:r w:rsidRPr="00E4401D">
        <w:rPr>
          <w:rFonts w:ascii="Times New Roman" w:hAnsi="Times New Roman" w:cs="Times New Roman"/>
          <w:sz w:val="28"/>
          <w:szCs w:val="28"/>
        </w:rPr>
        <w:t xml:space="preserve"> la Cámara Colombiana de Construcción (CAMACOL). A continuación, se sintetizan los argumentos presentados:</w:t>
      </w:r>
    </w:p>
    <w:p w:rsidR="00F464C8" w:rsidRPr="00E4401D" w:rsidRDefault="00E4401D" w:rsidP="00F464C8">
      <w:pPr>
        <w:pStyle w:val="Prrafodelista"/>
        <w:ind w:left="0"/>
        <w:jc w:val="both"/>
        <w:rPr>
          <w:rFonts w:ascii="Times New Roman" w:hAnsi="Times New Roman" w:cs="Times New Roman"/>
          <w:sz w:val="28"/>
          <w:szCs w:val="28"/>
        </w:rPr>
      </w:pPr>
    </w:p>
    <w:p w:rsidR="00F464C8" w:rsidRPr="00E4401D" w:rsidRDefault="00E4401D" w:rsidP="00F464C8">
      <w:pPr>
        <w:pStyle w:val="Ttulo2"/>
        <w:rPr>
          <w:rFonts w:ascii="Times New Roman" w:hAnsi="Times New Roman" w:cs="Times New Roman"/>
          <w:b/>
          <w:bCs/>
          <w:i/>
          <w:iCs/>
          <w:color w:val="auto"/>
          <w:sz w:val="28"/>
          <w:szCs w:val="28"/>
          <w:lang w:val="es-ES"/>
        </w:rPr>
      </w:pPr>
      <w:r w:rsidRPr="00E4401D">
        <w:rPr>
          <w:rFonts w:ascii="Times New Roman" w:hAnsi="Times New Roman" w:cs="Times New Roman"/>
          <w:b/>
          <w:bCs/>
          <w:i/>
          <w:iCs/>
          <w:color w:val="auto"/>
          <w:sz w:val="28"/>
          <w:szCs w:val="28"/>
          <w:lang w:val="es-ES"/>
        </w:rPr>
        <w:t>Cesar Eliécer Mojica Dorado</w:t>
      </w:r>
    </w:p>
    <w:p w:rsidR="00F464C8" w:rsidRPr="00E4401D" w:rsidRDefault="00E4401D" w:rsidP="00F464C8">
      <w:pPr>
        <w:rPr>
          <w:rFonts w:ascii="Times New Roman" w:hAnsi="Times New Roman" w:cs="Times New Roman"/>
          <w:sz w:val="28"/>
          <w:szCs w:val="28"/>
        </w:rPr>
      </w:pPr>
    </w:p>
    <w:p w:rsidR="00F464C8" w:rsidRPr="00E4401D" w:rsidRDefault="00E4401D" w:rsidP="00F464C8">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El ciudadano Cesar Eliécer Mojica Dorado solicitó a la Corte que declare la exequibilidad</w:t>
      </w:r>
      <w:r w:rsidRPr="00E4401D">
        <w:rPr>
          <w:rFonts w:ascii="Times New Roman" w:hAnsi="Times New Roman" w:cs="Times New Roman"/>
          <w:sz w:val="28"/>
          <w:szCs w:val="28"/>
        </w:rPr>
        <w:t xml:space="preserve"> de toda la Ley 2294 de 2023. Alegó que la demanda no debía ser considerada debido a su carácter irracional y perjudicial para el progreso social.</w:t>
      </w:r>
    </w:p>
    <w:p w:rsidR="00F464C8" w:rsidRPr="00E4401D" w:rsidRDefault="00E4401D" w:rsidP="00F464C8">
      <w:pPr>
        <w:pStyle w:val="Prrafodelista"/>
        <w:rPr>
          <w:rFonts w:ascii="Times New Roman" w:hAnsi="Times New Roman" w:cs="Times New Roman"/>
          <w:sz w:val="28"/>
          <w:szCs w:val="28"/>
        </w:rPr>
      </w:pPr>
    </w:p>
    <w:p w:rsidR="00F464C8" w:rsidRPr="00E4401D" w:rsidRDefault="00E4401D" w:rsidP="00F464C8">
      <w:pPr>
        <w:pStyle w:val="Ttulo2"/>
        <w:rPr>
          <w:rFonts w:ascii="Times New Roman" w:hAnsi="Times New Roman" w:cs="Times New Roman"/>
          <w:b/>
          <w:bCs/>
          <w:i/>
          <w:iCs/>
          <w:color w:val="auto"/>
          <w:sz w:val="28"/>
          <w:szCs w:val="28"/>
          <w:lang w:val="es-ES"/>
        </w:rPr>
      </w:pPr>
      <w:r w:rsidRPr="00E4401D">
        <w:rPr>
          <w:rFonts w:ascii="Times New Roman" w:hAnsi="Times New Roman" w:cs="Times New Roman"/>
          <w:b/>
          <w:bCs/>
          <w:i/>
          <w:iCs/>
          <w:color w:val="auto"/>
          <w:sz w:val="28"/>
          <w:szCs w:val="28"/>
          <w:lang w:val="es-ES"/>
        </w:rPr>
        <w:t>Harold Eduardo Súa Montaña</w:t>
      </w:r>
    </w:p>
    <w:p w:rsidR="00F464C8" w:rsidRPr="00E4401D" w:rsidRDefault="00E4401D" w:rsidP="00F464C8">
      <w:pPr>
        <w:pStyle w:val="Prrafodelista"/>
        <w:ind w:left="0"/>
        <w:jc w:val="both"/>
        <w:rPr>
          <w:rFonts w:ascii="Times New Roman" w:hAnsi="Times New Roman" w:cs="Times New Roman"/>
          <w:sz w:val="28"/>
          <w:szCs w:val="28"/>
        </w:rPr>
      </w:pPr>
    </w:p>
    <w:p w:rsidR="00F464C8" w:rsidRPr="00E4401D" w:rsidRDefault="00E4401D" w:rsidP="00F464C8">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El ciudadano Harold Eduardo Súa Montaña solicitó a la Corte que declarara la ine</w:t>
      </w:r>
      <w:r w:rsidRPr="00E4401D">
        <w:rPr>
          <w:rFonts w:ascii="Times New Roman" w:hAnsi="Times New Roman" w:cs="Times New Roman"/>
          <w:sz w:val="28"/>
          <w:szCs w:val="28"/>
        </w:rPr>
        <w:t>xequibilidad de las normas acusadas. Argumentó que en su trámite legislativo hubo falta de transparencia y debate adecuado y criticó la manera en que el presidente del Senado de la República y ciertos senadores manejaron la discusión y votación de las prop</w:t>
      </w:r>
      <w:r w:rsidRPr="00E4401D">
        <w:rPr>
          <w:rFonts w:ascii="Times New Roman" w:hAnsi="Times New Roman" w:cs="Times New Roman"/>
          <w:sz w:val="28"/>
          <w:szCs w:val="28"/>
        </w:rPr>
        <w:t>osiciones, sin embargo, no sustentó las razones de su reproche.</w:t>
      </w:r>
    </w:p>
    <w:p w:rsidR="00F464C8" w:rsidRPr="00E4401D" w:rsidRDefault="00E4401D" w:rsidP="00F464C8">
      <w:pPr>
        <w:pStyle w:val="Prrafodelista"/>
        <w:rPr>
          <w:rFonts w:ascii="Times New Roman" w:hAnsi="Times New Roman" w:cs="Times New Roman"/>
          <w:sz w:val="28"/>
          <w:szCs w:val="28"/>
          <w:lang w:val="es-ES"/>
        </w:rPr>
      </w:pPr>
    </w:p>
    <w:p w:rsidR="00F464C8" w:rsidRPr="00E4401D" w:rsidRDefault="00E4401D" w:rsidP="00F464C8">
      <w:pPr>
        <w:pStyle w:val="Ttulo2"/>
        <w:rPr>
          <w:rFonts w:ascii="Times New Roman" w:hAnsi="Times New Roman" w:cs="Times New Roman"/>
          <w:b/>
          <w:bCs/>
          <w:i/>
          <w:iCs/>
          <w:color w:val="auto"/>
          <w:sz w:val="28"/>
          <w:szCs w:val="28"/>
          <w:lang w:val="es-ES"/>
        </w:rPr>
      </w:pPr>
      <w:r w:rsidRPr="00E4401D">
        <w:rPr>
          <w:rFonts w:ascii="Times New Roman" w:hAnsi="Times New Roman" w:cs="Times New Roman"/>
          <w:b/>
          <w:bCs/>
          <w:i/>
          <w:iCs/>
          <w:color w:val="auto"/>
          <w:sz w:val="28"/>
          <w:szCs w:val="28"/>
          <w:lang w:val="es-ES"/>
        </w:rPr>
        <w:t>Cámara Colombiana de Construcción (CAMACOL)</w:t>
      </w:r>
    </w:p>
    <w:p w:rsidR="00F464C8" w:rsidRPr="00E4401D" w:rsidRDefault="00E4401D" w:rsidP="00F464C8">
      <w:pPr>
        <w:pStyle w:val="Prrafodelista"/>
        <w:ind w:left="0"/>
        <w:jc w:val="both"/>
        <w:rPr>
          <w:rFonts w:ascii="Times New Roman" w:hAnsi="Times New Roman" w:cs="Times New Roman"/>
          <w:sz w:val="28"/>
          <w:szCs w:val="28"/>
        </w:rPr>
      </w:pPr>
    </w:p>
    <w:p w:rsidR="00F464C8" w:rsidRPr="00E4401D" w:rsidRDefault="00E4401D" w:rsidP="00BA5B06">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CAMACOL solicitó a la Corte que declare inexequible el artículo 61 de la Ley 2294 de 2023, porque su trámite legislativo violó el artículo 160 de </w:t>
      </w:r>
      <w:r w:rsidRPr="00E4401D">
        <w:rPr>
          <w:rFonts w:ascii="Times New Roman" w:hAnsi="Times New Roman" w:cs="Times New Roman"/>
          <w:sz w:val="28"/>
          <w:szCs w:val="28"/>
        </w:rPr>
        <w:t>la Constitución Política. Sostuvo que la lectura y la explicación dadas a las modificaciones propuestas para el artículo 61 no fueron completas ni integrales, y de ese modo violó el principio de publicidad y transparencia legislativa. Manifestó que solo se</w:t>
      </w:r>
      <w:r w:rsidRPr="00E4401D">
        <w:rPr>
          <w:rFonts w:ascii="Times New Roman" w:hAnsi="Times New Roman" w:cs="Times New Roman"/>
          <w:sz w:val="28"/>
          <w:szCs w:val="28"/>
        </w:rPr>
        <w:t xml:space="preserve"> leyó parcialmente una proposición y omitió otras adiciones significativas que afectan el contenido y el alcance del artículo. Esto impidió que los senadores tuvieran un conocimiento adecuado y suficiente de las modificaciones propuestas, lo cual es necesa</w:t>
      </w:r>
      <w:r w:rsidRPr="00E4401D">
        <w:rPr>
          <w:rFonts w:ascii="Times New Roman" w:hAnsi="Times New Roman" w:cs="Times New Roman"/>
          <w:sz w:val="28"/>
          <w:szCs w:val="28"/>
        </w:rPr>
        <w:t>rio para un debate informado y una votación consciente.</w:t>
      </w:r>
    </w:p>
    <w:p w:rsidR="00F464C8" w:rsidRPr="00E4401D" w:rsidRDefault="00E4401D" w:rsidP="00F464C8">
      <w:pPr>
        <w:pStyle w:val="Prrafodelista"/>
        <w:ind w:left="0"/>
        <w:jc w:val="both"/>
        <w:rPr>
          <w:rFonts w:ascii="Times New Roman" w:hAnsi="Times New Roman" w:cs="Times New Roman"/>
          <w:sz w:val="28"/>
          <w:szCs w:val="28"/>
        </w:rPr>
      </w:pPr>
    </w:p>
    <w:p w:rsidR="00F464C8" w:rsidRPr="00E4401D" w:rsidRDefault="00E4401D" w:rsidP="00F464C8">
      <w:pPr>
        <w:rPr>
          <w:rFonts w:ascii="Times New Roman" w:hAnsi="Times New Roman" w:cs="Times New Roman"/>
          <w:sz w:val="28"/>
          <w:szCs w:val="28"/>
        </w:rPr>
      </w:pPr>
    </w:p>
    <w:p w:rsidR="00F464C8" w:rsidRPr="00E4401D" w:rsidRDefault="00E4401D" w:rsidP="00F464C8">
      <w:pPr>
        <w:pStyle w:val="Ttulo2"/>
        <w:numPr>
          <w:ilvl w:val="0"/>
          <w:numId w:val="4"/>
        </w:numPr>
        <w:spacing w:before="0"/>
        <w:ind w:left="0" w:firstLine="0"/>
        <w:jc w:val="both"/>
        <w:rPr>
          <w:rFonts w:ascii="Times New Roman" w:hAnsi="Times New Roman" w:cs="Times New Roman"/>
          <w:b/>
          <w:color w:val="000000" w:themeColor="text1"/>
          <w:sz w:val="28"/>
          <w:szCs w:val="28"/>
          <w:shd w:val="clear" w:color="auto" w:fill="FFFFFF"/>
        </w:rPr>
      </w:pPr>
      <w:r w:rsidRPr="00E4401D">
        <w:rPr>
          <w:rFonts w:ascii="Times New Roman" w:hAnsi="Times New Roman" w:cs="Times New Roman"/>
          <w:b/>
          <w:color w:val="000000" w:themeColor="text1"/>
          <w:sz w:val="28"/>
          <w:szCs w:val="28"/>
          <w:shd w:val="clear" w:color="auto" w:fill="FFFFFF"/>
        </w:rPr>
        <w:t>Concepto de la Procuradora General de la Nación</w:t>
      </w:r>
    </w:p>
    <w:p w:rsidR="00F464C8" w:rsidRPr="00E4401D" w:rsidRDefault="00E4401D" w:rsidP="00F464C8">
      <w:pPr>
        <w:rPr>
          <w:rFonts w:ascii="Times New Roman" w:hAnsi="Times New Roman" w:cs="Times New Roman"/>
          <w:sz w:val="28"/>
          <w:szCs w:val="28"/>
          <w:shd w:val="clear" w:color="auto" w:fill="FFFFFF"/>
        </w:rPr>
      </w:pPr>
    </w:p>
    <w:p w:rsidR="00F464C8" w:rsidRPr="00E4401D" w:rsidRDefault="00E4401D" w:rsidP="00F464C8">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Mediante concepto del 6 de febrero de 2024 la Señora Procuradora General de la Nación solicitó a la Corte Constitucional estarse a lo resuelto </w:t>
      </w:r>
      <w:r w:rsidRPr="00E4401D">
        <w:rPr>
          <w:rFonts w:ascii="Times New Roman" w:hAnsi="Times New Roman" w:cs="Times New Roman"/>
          <w:sz w:val="28"/>
          <w:szCs w:val="28"/>
        </w:rPr>
        <w:t>en</w:t>
      </w:r>
      <w:r w:rsidRPr="00E4401D">
        <w:rPr>
          <w:rFonts w:ascii="Times New Roman" w:hAnsi="Times New Roman" w:cs="Times New Roman"/>
          <w:sz w:val="28"/>
          <w:szCs w:val="28"/>
        </w:rPr>
        <w:t xml:space="preserve"> la </w:t>
      </w:r>
      <w:r w:rsidRPr="00E4401D">
        <w:rPr>
          <w:rFonts w:ascii="Times New Roman" w:hAnsi="Times New Roman" w:cs="Times New Roman"/>
          <w:sz w:val="28"/>
          <w:szCs w:val="28"/>
        </w:rPr>
        <w:t xml:space="preserve">decisión que se profiera en la sentencia proferida dentro del expediente D-15380, porque en ese proceso se presentó un cuestionamiento idéntico al que se presentó en el </w:t>
      </w:r>
      <w:r w:rsidRPr="00E4401D">
        <w:rPr>
          <w:rFonts w:ascii="Times New Roman" w:hAnsi="Times New Roman" w:cs="Times New Roman"/>
          <w:i/>
          <w:iCs/>
          <w:sz w:val="28"/>
          <w:szCs w:val="28"/>
        </w:rPr>
        <w:t>sub lite</w:t>
      </w:r>
      <w:r w:rsidRPr="00E4401D">
        <w:rPr>
          <w:rFonts w:ascii="Times New Roman" w:hAnsi="Times New Roman" w:cs="Times New Roman"/>
          <w:sz w:val="28"/>
          <w:szCs w:val="28"/>
        </w:rPr>
        <w:t>.</w:t>
      </w:r>
    </w:p>
    <w:p w:rsidR="00F464C8" w:rsidRPr="00E4401D" w:rsidRDefault="00E4401D" w:rsidP="00F464C8">
      <w:pPr>
        <w:jc w:val="both"/>
        <w:rPr>
          <w:rFonts w:ascii="Times New Roman" w:hAnsi="Times New Roman" w:cs="Times New Roman"/>
          <w:sz w:val="28"/>
          <w:szCs w:val="28"/>
        </w:rPr>
      </w:pPr>
    </w:p>
    <w:p w:rsidR="00F464C8" w:rsidRPr="00E4401D" w:rsidRDefault="00E4401D" w:rsidP="00F464C8">
      <w:pPr>
        <w:pStyle w:val="Prrafodelista"/>
        <w:numPr>
          <w:ilvl w:val="0"/>
          <w:numId w:val="3"/>
        </w:numPr>
        <w:ind w:left="0" w:firstLine="0"/>
        <w:jc w:val="both"/>
        <w:rPr>
          <w:rFonts w:ascii="Times New Roman" w:hAnsi="Times New Roman" w:cs="Times New Roman"/>
          <w:sz w:val="28"/>
          <w:szCs w:val="28"/>
        </w:rPr>
      </w:pPr>
      <w:bookmarkStart w:id="5" w:name="_Hlk158991397"/>
      <w:r w:rsidRPr="00E4401D">
        <w:rPr>
          <w:rFonts w:ascii="Times New Roman" w:hAnsi="Times New Roman" w:cs="Times New Roman"/>
          <w:sz w:val="28"/>
          <w:szCs w:val="28"/>
        </w:rPr>
        <w:t xml:space="preserve">Agregó que en ese proceso conceptuó que debía declararse la inexequibilidad </w:t>
      </w:r>
      <w:r w:rsidRPr="00E4401D">
        <w:rPr>
          <w:rFonts w:ascii="Times New Roman" w:hAnsi="Times New Roman" w:cs="Times New Roman"/>
          <w:sz w:val="28"/>
          <w:szCs w:val="28"/>
        </w:rPr>
        <w:t>de las disposiciones acusadas por desconocer el principio de publicidad. Ello, habida cuenta que las proposiciones modificatorias de los artículos demandados fueron radicadas con posterioridad a la publicación del informe de ponencia para segundo debate en</w:t>
      </w:r>
      <w:r w:rsidRPr="00E4401D">
        <w:rPr>
          <w:rFonts w:ascii="Times New Roman" w:hAnsi="Times New Roman" w:cs="Times New Roman"/>
          <w:sz w:val="28"/>
          <w:szCs w:val="28"/>
        </w:rPr>
        <w:t xml:space="preserve"> la Gaceta del Congreso 386 del 26 de abril de 2023, por lo que los senadores no tuvieron conocimiento de estos por el medio ordinario de comunicación antes de los debates del 2 y 3 de mayo del mismo año. Apuntó que, pese a que varios senadores solicitaron</w:t>
      </w:r>
      <w:r w:rsidRPr="00E4401D">
        <w:rPr>
          <w:rFonts w:ascii="Times New Roman" w:hAnsi="Times New Roman" w:cs="Times New Roman"/>
          <w:sz w:val="28"/>
          <w:szCs w:val="28"/>
        </w:rPr>
        <w:t xml:space="preserve"> que se comunicara el contenido de las proposiciones, la Mesa Directiva del Senado hizo caso omiso a esas solicitudes y omitió darles lectura.</w:t>
      </w:r>
    </w:p>
    <w:bookmarkEnd w:id="5"/>
    <w:p w:rsidR="00F464C8" w:rsidRPr="00E4401D" w:rsidRDefault="00E4401D" w:rsidP="00F464C8">
      <w:pPr>
        <w:pStyle w:val="Prrafodelista"/>
        <w:rPr>
          <w:rFonts w:ascii="Times New Roman" w:hAnsi="Times New Roman" w:cs="Times New Roman"/>
          <w:sz w:val="28"/>
          <w:szCs w:val="28"/>
        </w:rPr>
      </w:pPr>
    </w:p>
    <w:p w:rsidR="00F464C8" w:rsidRPr="00E4401D" w:rsidRDefault="00E4401D" w:rsidP="00F464C8">
      <w:pPr>
        <w:pStyle w:val="Prrafodelista"/>
        <w:rPr>
          <w:rFonts w:ascii="Times New Roman" w:hAnsi="Times New Roman" w:cs="Times New Roman"/>
          <w:sz w:val="28"/>
          <w:szCs w:val="28"/>
        </w:rPr>
      </w:pPr>
    </w:p>
    <w:p w:rsidR="00F464C8" w:rsidRPr="00E4401D" w:rsidRDefault="00E4401D" w:rsidP="00F464C8">
      <w:pPr>
        <w:pStyle w:val="Ttulo1"/>
        <w:numPr>
          <w:ilvl w:val="0"/>
          <w:numId w:val="2"/>
        </w:numPr>
        <w:spacing w:before="0"/>
        <w:ind w:left="0" w:firstLine="0"/>
        <w:jc w:val="both"/>
        <w:rPr>
          <w:rFonts w:ascii="Times New Roman" w:hAnsi="Times New Roman" w:cs="Times New Roman"/>
          <w:b/>
          <w:bCs/>
          <w:color w:val="auto"/>
          <w:sz w:val="28"/>
          <w:szCs w:val="28"/>
        </w:rPr>
      </w:pPr>
      <w:r w:rsidRPr="00E4401D">
        <w:rPr>
          <w:rFonts w:ascii="Times New Roman" w:hAnsi="Times New Roman" w:cs="Times New Roman"/>
          <w:b/>
          <w:bCs/>
          <w:color w:val="auto"/>
          <w:sz w:val="28"/>
          <w:szCs w:val="28"/>
        </w:rPr>
        <w:t>CONSIDERACIONES</w:t>
      </w:r>
    </w:p>
    <w:p w:rsidR="00F464C8" w:rsidRPr="00E4401D" w:rsidRDefault="00E4401D" w:rsidP="00F464C8">
      <w:pPr>
        <w:tabs>
          <w:tab w:val="left" w:pos="540"/>
          <w:tab w:val="num" w:pos="1080"/>
        </w:tabs>
        <w:contextualSpacing/>
        <w:mirrorIndents/>
        <w:rPr>
          <w:rFonts w:ascii="Times New Roman" w:hAnsi="Times New Roman" w:cs="Times New Roman"/>
          <w:color w:val="000000" w:themeColor="text1"/>
          <w:sz w:val="28"/>
          <w:szCs w:val="28"/>
        </w:rPr>
      </w:pPr>
    </w:p>
    <w:p w:rsidR="00F464C8" w:rsidRPr="00E4401D" w:rsidRDefault="00E4401D" w:rsidP="00F464C8">
      <w:pPr>
        <w:jc w:val="both"/>
        <w:rPr>
          <w:rFonts w:ascii="Times New Roman" w:hAnsi="Times New Roman" w:cs="Times New Roman"/>
          <w:sz w:val="28"/>
          <w:szCs w:val="28"/>
        </w:rPr>
      </w:pPr>
    </w:p>
    <w:p w:rsidR="00F464C8" w:rsidRPr="00E4401D" w:rsidRDefault="00E4401D" w:rsidP="00F464C8">
      <w:pPr>
        <w:pStyle w:val="Ttulo2"/>
        <w:numPr>
          <w:ilvl w:val="0"/>
          <w:numId w:val="6"/>
        </w:numPr>
        <w:spacing w:before="0"/>
        <w:ind w:left="0" w:firstLine="0"/>
        <w:jc w:val="both"/>
        <w:rPr>
          <w:rFonts w:ascii="Times New Roman" w:hAnsi="Times New Roman" w:cs="Times New Roman"/>
          <w:b/>
          <w:bCs/>
          <w:color w:val="auto"/>
          <w:sz w:val="28"/>
          <w:szCs w:val="28"/>
        </w:rPr>
      </w:pPr>
      <w:r w:rsidRPr="00E4401D">
        <w:rPr>
          <w:rFonts w:ascii="Times New Roman" w:hAnsi="Times New Roman" w:cs="Times New Roman"/>
          <w:b/>
          <w:bCs/>
          <w:color w:val="auto"/>
          <w:sz w:val="28"/>
          <w:szCs w:val="28"/>
        </w:rPr>
        <w:t>Competencia</w:t>
      </w:r>
    </w:p>
    <w:p w:rsidR="00F464C8" w:rsidRPr="00E4401D" w:rsidRDefault="00E4401D" w:rsidP="00F464C8">
      <w:pPr>
        <w:jc w:val="both"/>
        <w:rPr>
          <w:rFonts w:ascii="Times New Roman" w:hAnsi="Times New Roman" w:cs="Times New Roman"/>
          <w:sz w:val="28"/>
          <w:szCs w:val="28"/>
        </w:rPr>
      </w:pPr>
    </w:p>
    <w:p w:rsidR="00F464C8" w:rsidRPr="00E4401D" w:rsidRDefault="00E4401D" w:rsidP="00F464C8">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En virtud de lo previsto en artículo 241.4 de la Constitución Política, la Corte Constitucional es competente para conocer y pronunciarse sobre la constitucionalidad de las normas demandadas, ya que son disposiciones contenidas en una ley de la República.</w:t>
      </w:r>
      <w:r w:rsidRPr="00E4401D">
        <w:rPr>
          <w:rStyle w:val="Refdenotaalpie"/>
          <w:rFonts w:ascii="Times New Roman" w:hAnsi="Times New Roman" w:cs="Times New Roman"/>
          <w:sz w:val="28"/>
          <w:szCs w:val="28"/>
        </w:rPr>
        <w:footnoteReference w:id="2"/>
      </w:r>
    </w:p>
    <w:p w:rsidR="00F464C8" w:rsidRPr="00E4401D" w:rsidRDefault="00E4401D" w:rsidP="00F464C8">
      <w:pPr>
        <w:jc w:val="both"/>
        <w:rPr>
          <w:rFonts w:ascii="Times New Roman" w:hAnsi="Times New Roman" w:cs="Times New Roman"/>
          <w:sz w:val="28"/>
          <w:szCs w:val="28"/>
        </w:rPr>
      </w:pPr>
    </w:p>
    <w:p w:rsidR="00F464C8" w:rsidRPr="00E4401D" w:rsidRDefault="00E4401D" w:rsidP="00F464C8">
      <w:pPr>
        <w:pStyle w:val="Prrafodelista"/>
        <w:ind w:left="0"/>
        <w:jc w:val="both"/>
        <w:rPr>
          <w:rFonts w:ascii="Times New Roman" w:hAnsi="Times New Roman" w:cs="Times New Roman"/>
          <w:sz w:val="28"/>
          <w:szCs w:val="28"/>
        </w:rPr>
      </w:pPr>
    </w:p>
    <w:p w:rsidR="00F464C8" w:rsidRPr="00E4401D" w:rsidRDefault="00E4401D" w:rsidP="00F464C8">
      <w:pPr>
        <w:pStyle w:val="Ttulo2"/>
        <w:numPr>
          <w:ilvl w:val="0"/>
          <w:numId w:val="6"/>
        </w:numPr>
        <w:ind w:left="0" w:firstLine="0"/>
        <w:rPr>
          <w:rFonts w:ascii="Times New Roman" w:hAnsi="Times New Roman" w:cs="Times New Roman"/>
          <w:b/>
          <w:bCs/>
          <w:color w:val="auto"/>
          <w:sz w:val="28"/>
          <w:szCs w:val="28"/>
        </w:rPr>
      </w:pPr>
      <w:r w:rsidRPr="00E4401D">
        <w:rPr>
          <w:rFonts w:ascii="Times New Roman" w:hAnsi="Times New Roman" w:cs="Times New Roman"/>
          <w:b/>
          <w:bCs/>
          <w:color w:val="auto"/>
          <w:sz w:val="28"/>
          <w:szCs w:val="28"/>
        </w:rPr>
        <w:t>Término para instaurar la acción pública de inconstitucionalidad por vicios de forma</w:t>
      </w:r>
    </w:p>
    <w:p w:rsidR="00F464C8" w:rsidRPr="00E4401D" w:rsidRDefault="00E4401D" w:rsidP="00F464C8">
      <w:pPr>
        <w:pStyle w:val="Prrafodelista"/>
        <w:ind w:left="0"/>
        <w:rPr>
          <w:rFonts w:ascii="Times New Roman" w:hAnsi="Times New Roman" w:cs="Times New Roman"/>
          <w:b/>
          <w:bCs/>
          <w:sz w:val="28"/>
          <w:szCs w:val="28"/>
        </w:rPr>
      </w:pPr>
    </w:p>
    <w:p w:rsidR="00F464C8" w:rsidRPr="00E4401D" w:rsidRDefault="00E4401D" w:rsidP="00F464C8">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Según lo establecido en el numeral 3º del artículo 242 de la Constitución Política, el plazo para interponer la acción pública de inconstitucionalidad por vicios de fo</w:t>
      </w:r>
      <w:r w:rsidRPr="00E4401D">
        <w:rPr>
          <w:rFonts w:ascii="Times New Roman" w:hAnsi="Times New Roman" w:cs="Times New Roman"/>
          <w:sz w:val="28"/>
          <w:szCs w:val="28"/>
        </w:rPr>
        <w:t>rma es de un año. Este plazo se cuenta desde la publicación de la ley en el Diario Oficial.</w:t>
      </w:r>
    </w:p>
    <w:p w:rsidR="00F464C8" w:rsidRPr="00E4401D" w:rsidRDefault="00E4401D" w:rsidP="00F464C8">
      <w:pPr>
        <w:pStyle w:val="Prrafodelista"/>
        <w:tabs>
          <w:tab w:val="left" w:pos="540"/>
        </w:tabs>
        <w:ind w:left="0"/>
        <w:mirrorIndents/>
        <w:jc w:val="both"/>
        <w:rPr>
          <w:rFonts w:ascii="Times New Roman" w:hAnsi="Times New Roman" w:cs="Times New Roman"/>
          <w:sz w:val="28"/>
          <w:szCs w:val="28"/>
        </w:rPr>
      </w:pPr>
    </w:p>
    <w:p w:rsidR="00F464C8" w:rsidRPr="00E4401D" w:rsidRDefault="00E4401D" w:rsidP="00F464C8">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En este caso, la Ley 2294 de 2023, que contiene las disposiciones acusadas por vicios de forma, se publicó en el Diario Oficial No. 52.400 el 19 de mayo de 2023. L</w:t>
      </w:r>
      <w:r w:rsidRPr="00E4401D">
        <w:rPr>
          <w:rFonts w:ascii="Times New Roman" w:hAnsi="Times New Roman" w:cs="Times New Roman"/>
          <w:sz w:val="28"/>
          <w:szCs w:val="28"/>
        </w:rPr>
        <w:t>a demanda se presentó el 23 de mayo de 2023 mediante correo electrónico enviado a la Secretaría General de la Corte Constitucional. Por lo tanto, se puede concluir que la acción pública de inconstitucionalidad se ejerció dentro del plazo establecido por la</w:t>
      </w:r>
      <w:r w:rsidRPr="00E4401D">
        <w:rPr>
          <w:rFonts w:ascii="Times New Roman" w:hAnsi="Times New Roman" w:cs="Times New Roman"/>
          <w:sz w:val="28"/>
          <w:szCs w:val="28"/>
        </w:rPr>
        <w:t xml:space="preserve"> Constitución Política.</w:t>
      </w:r>
    </w:p>
    <w:p w:rsidR="00F464C8" w:rsidRPr="00E4401D" w:rsidRDefault="00E4401D" w:rsidP="00F464C8">
      <w:pPr>
        <w:jc w:val="both"/>
        <w:rPr>
          <w:rFonts w:ascii="Times New Roman" w:hAnsi="Times New Roman" w:cs="Times New Roman"/>
          <w:sz w:val="28"/>
          <w:szCs w:val="28"/>
        </w:rPr>
      </w:pPr>
    </w:p>
    <w:p w:rsidR="00F464C8" w:rsidRPr="00E4401D" w:rsidRDefault="00E4401D" w:rsidP="00F464C8">
      <w:pPr>
        <w:pStyle w:val="Prrafodelista"/>
        <w:ind w:left="0"/>
        <w:jc w:val="both"/>
        <w:rPr>
          <w:rFonts w:ascii="Times New Roman" w:hAnsi="Times New Roman" w:cs="Times New Roman"/>
          <w:sz w:val="28"/>
          <w:szCs w:val="28"/>
        </w:rPr>
      </w:pPr>
    </w:p>
    <w:p w:rsidR="00F464C8" w:rsidRPr="00E4401D" w:rsidRDefault="00E4401D" w:rsidP="00F464C8">
      <w:pPr>
        <w:pStyle w:val="Ttulo2"/>
        <w:numPr>
          <w:ilvl w:val="0"/>
          <w:numId w:val="6"/>
        </w:numPr>
        <w:ind w:left="0" w:firstLine="0"/>
        <w:rPr>
          <w:rFonts w:ascii="Times New Roman" w:hAnsi="Times New Roman" w:cs="Times New Roman"/>
          <w:b/>
          <w:bCs/>
          <w:color w:val="auto"/>
          <w:sz w:val="28"/>
          <w:szCs w:val="28"/>
        </w:rPr>
      </w:pPr>
      <w:r w:rsidRPr="00E4401D">
        <w:rPr>
          <w:rFonts w:ascii="Times New Roman" w:hAnsi="Times New Roman" w:cs="Times New Roman"/>
          <w:b/>
          <w:bCs/>
          <w:color w:val="auto"/>
          <w:sz w:val="28"/>
          <w:szCs w:val="28"/>
        </w:rPr>
        <w:t>Primera cuestión previa: aptitud sustantiva de la demanda</w:t>
      </w:r>
    </w:p>
    <w:p w:rsidR="00F464C8" w:rsidRPr="00E4401D" w:rsidRDefault="00E4401D" w:rsidP="00F464C8">
      <w:pPr>
        <w:pStyle w:val="Prrafodelista"/>
        <w:ind w:left="0"/>
        <w:rPr>
          <w:rFonts w:ascii="Times New Roman" w:hAnsi="Times New Roman" w:cs="Times New Roman"/>
          <w:b/>
          <w:bCs/>
          <w:sz w:val="28"/>
          <w:szCs w:val="28"/>
        </w:rPr>
      </w:pPr>
    </w:p>
    <w:p w:rsidR="00F464C8" w:rsidRPr="00E4401D" w:rsidRDefault="00E4401D" w:rsidP="00F464C8">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 A juicio de la Presidencia de la Rep</w:t>
      </w:r>
      <w:r w:rsidRPr="00E4401D">
        <w:rPr>
          <w:rFonts w:ascii="Times New Roman" w:hAnsi="Times New Roman" w:cs="Times New Roman"/>
          <w:sz w:val="28"/>
          <w:szCs w:val="28"/>
        </w:rPr>
        <w:t>ú</w:t>
      </w:r>
      <w:r w:rsidRPr="00E4401D">
        <w:rPr>
          <w:rFonts w:ascii="Times New Roman" w:hAnsi="Times New Roman" w:cs="Times New Roman"/>
          <w:sz w:val="28"/>
          <w:szCs w:val="28"/>
        </w:rPr>
        <w:t xml:space="preserve">blica y el Ministerio de Hacienda y Crédito Público, la demanda es inepta para emitir pronunciamiento de fondo respecto a los artículos 287 y 295 de la Ley 2294 de 2023 por el incorrecto señalamiento de las normas acusadas como inconstitucionales. </w:t>
      </w:r>
    </w:p>
    <w:p w:rsidR="00F464C8" w:rsidRPr="00E4401D" w:rsidRDefault="00E4401D" w:rsidP="00F464C8">
      <w:pPr>
        <w:pStyle w:val="Prrafodelista"/>
        <w:tabs>
          <w:tab w:val="left" w:pos="540"/>
        </w:tabs>
        <w:ind w:left="0"/>
        <w:mirrorIndents/>
        <w:jc w:val="both"/>
        <w:rPr>
          <w:rFonts w:ascii="Times New Roman" w:hAnsi="Times New Roman" w:cs="Times New Roman"/>
          <w:sz w:val="28"/>
          <w:szCs w:val="28"/>
        </w:rPr>
      </w:pPr>
    </w:p>
    <w:p w:rsidR="00F464C8" w:rsidRPr="00E4401D" w:rsidRDefault="00E4401D" w:rsidP="00F464C8">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La Pre</w:t>
      </w:r>
      <w:r w:rsidRPr="00E4401D">
        <w:rPr>
          <w:rFonts w:ascii="Times New Roman" w:hAnsi="Times New Roman" w:cs="Times New Roman"/>
          <w:sz w:val="28"/>
          <w:szCs w:val="28"/>
        </w:rPr>
        <w:t>sidencia de la República, sobre el artículo 287, indicó que “</w:t>
      </w:r>
      <w:r w:rsidRPr="00E4401D">
        <w:rPr>
          <w:rFonts w:ascii="Times New Roman" w:hAnsi="Times New Roman" w:cs="Times New Roman"/>
          <w:i/>
          <w:iCs/>
          <w:sz w:val="28"/>
          <w:szCs w:val="28"/>
        </w:rPr>
        <w:t>se equivocan los accionantes toda vez que, en el escrito de subsanación de la demanda incluyen un texto que no corresponde al que hoy es el artículo 287 de la Ley 2294 de 2023</w:t>
      </w:r>
      <w:r w:rsidRPr="00E4401D">
        <w:rPr>
          <w:rFonts w:ascii="Times New Roman" w:hAnsi="Times New Roman" w:cs="Times New Roman"/>
          <w:sz w:val="28"/>
          <w:szCs w:val="28"/>
        </w:rPr>
        <w:t>”. Indicó el error d</w:t>
      </w:r>
      <w:r w:rsidRPr="00E4401D">
        <w:rPr>
          <w:rFonts w:ascii="Times New Roman" w:hAnsi="Times New Roman" w:cs="Times New Roman"/>
          <w:sz w:val="28"/>
          <w:szCs w:val="28"/>
        </w:rPr>
        <w:t>e los demandantes mediante la transcripción del texto incluido en la subsanación de la demanda y el texto correspondiente al artículo 287 de la Ley 2294 de 2023 y concluyó que “[u]</w:t>
      </w:r>
      <w:r w:rsidRPr="00E4401D">
        <w:rPr>
          <w:rFonts w:ascii="Times New Roman" w:hAnsi="Times New Roman" w:cs="Times New Roman"/>
          <w:i/>
          <w:iCs/>
          <w:sz w:val="28"/>
          <w:szCs w:val="28"/>
        </w:rPr>
        <w:t>na vez evidenciado el yerro en el que incurrieron los demandantes, al enunci</w:t>
      </w:r>
      <w:r w:rsidRPr="00E4401D">
        <w:rPr>
          <w:rFonts w:ascii="Times New Roman" w:hAnsi="Times New Roman" w:cs="Times New Roman"/>
          <w:i/>
          <w:iCs/>
          <w:sz w:val="28"/>
          <w:szCs w:val="28"/>
        </w:rPr>
        <w:t>ar una norma y transcribir otra, queda demostrado que los mismos no cumplieron con la carga de identificación del texto legal demandado y, por lo tanto, corresponde la H. Corte declararse inhibida para emitir un pronunciamiento de fondo respecto del artícu</w:t>
      </w:r>
      <w:r w:rsidRPr="00E4401D">
        <w:rPr>
          <w:rFonts w:ascii="Times New Roman" w:hAnsi="Times New Roman" w:cs="Times New Roman"/>
          <w:i/>
          <w:iCs/>
          <w:sz w:val="28"/>
          <w:szCs w:val="28"/>
        </w:rPr>
        <w:t>lo 287 de la Ley 2294 de 2023, toda vez que la norma demandada no fue atacada en el texto de la demanda ni de su subsanación</w:t>
      </w:r>
      <w:r w:rsidRPr="00E4401D">
        <w:rPr>
          <w:rFonts w:ascii="Times New Roman" w:hAnsi="Times New Roman" w:cs="Times New Roman"/>
          <w:sz w:val="28"/>
          <w:szCs w:val="28"/>
        </w:rPr>
        <w:t>”.</w:t>
      </w:r>
    </w:p>
    <w:p w:rsidR="00F464C8" w:rsidRPr="00E4401D" w:rsidRDefault="00E4401D" w:rsidP="00F464C8">
      <w:pPr>
        <w:pStyle w:val="Prrafodelista"/>
        <w:rPr>
          <w:rFonts w:ascii="Times New Roman" w:hAnsi="Times New Roman" w:cs="Times New Roman"/>
          <w:sz w:val="28"/>
          <w:szCs w:val="28"/>
        </w:rPr>
      </w:pPr>
    </w:p>
    <w:p w:rsidR="00F464C8" w:rsidRPr="00E4401D" w:rsidRDefault="00E4401D" w:rsidP="00F464C8">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Por su parte, el Ministerio de Hacienda y Crédito Público sostuvo, con base en las trascripciones del escrito de subsanación de </w:t>
      </w:r>
      <w:r w:rsidRPr="00E4401D">
        <w:rPr>
          <w:rFonts w:ascii="Times New Roman" w:hAnsi="Times New Roman" w:cs="Times New Roman"/>
          <w:sz w:val="28"/>
          <w:szCs w:val="28"/>
        </w:rPr>
        <w:t xml:space="preserve">la demanda que “[…] </w:t>
      </w:r>
      <w:r w:rsidRPr="00E4401D">
        <w:rPr>
          <w:rFonts w:ascii="Times New Roman" w:hAnsi="Times New Roman" w:cs="Times New Roman"/>
          <w:i/>
          <w:iCs/>
          <w:sz w:val="28"/>
          <w:szCs w:val="28"/>
        </w:rPr>
        <w:t>en realidad el reproche de los demandantes se dirigía contra los artículos 5, 61, 289 y 297 ejusdem. Esto, a pesar de que: (i) en franca contradicción y de forma errónea, los mismos actores mencionaran que la inconstitucionalidad alegad</w:t>
      </w:r>
      <w:r w:rsidRPr="00E4401D">
        <w:rPr>
          <w:rFonts w:ascii="Times New Roman" w:hAnsi="Times New Roman" w:cs="Times New Roman"/>
          <w:i/>
          <w:iCs/>
          <w:sz w:val="28"/>
          <w:szCs w:val="28"/>
        </w:rPr>
        <w:t>a se predica de “[l]os artículos 5, 61, 287 y 295 de la Ley 2294 de 2023”; y (ii) de que, en consecuencia, el cargo invocado se admitiera ―equivocadamente― contra estos últimos dos artículos</w:t>
      </w:r>
      <w:r w:rsidRPr="00E4401D">
        <w:rPr>
          <w:rFonts w:ascii="Times New Roman" w:hAnsi="Times New Roman" w:cs="Times New Roman"/>
          <w:sz w:val="28"/>
          <w:szCs w:val="28"/>
        </w:rPr>
        <w:t xml:space="preserve">”. Y concluyó que “[…] </w:t>
      </w:r>
      <w:r w:rsidRPr="00E4401D">
        <w:rPr>
          <w:rFonts w:ascii="Times New Roman" w:hAnsi="Times New Roman" w:cs="Times New Roman"/>
          <w:i/>
          <w:iCs/>
          <w:sz w:val="28"/>
          <w:szCs w:val="28"/>
        </w:rPr>
        <w:t>esta circunstancia obliga a que la Corte Co</w:t>
      </w:r>
      <w:r w:rsidRPr="00E4401D">
        <w:rPr>
          <w:rFonts w:ascii="Times New Roman" w:hAnsi="Times New Roman" w:cs="Times New Roman"/>
          <w:i/>
          <w:iCs/>
          <w:sz w:val="28"/>
          <w:szCs w:val="28"/>
        </w:rPr>
        <w:t>nstitucional se inhiba para emitir un pronunciamiento de fondo sobre los artículos 287 y 295 de la Ley 2294 de 2023, ya que: a) los demandantes incumplieron el requisito previsto en el artículo 2.1 del Decreto Ley 2067 de 1991; y b) en estricto sentido, ni</w:t>
      </w:r>
      <w:r w:rsidRPr="00E4401D">
        <w:rPr>
          <w:rFonts w:ascii="Times New Roman" w:hAnsi="Times New Roman" w:cs="Times New Roman"/>
          <w:i/>
          <w:iCs/>
          <w:sz w:val="28"/>
          <w:szCs w:val="28"/>
        </w:rPr>
        <w:t>nguna de esas dos normas fue atacada en el marco del cargo admitido o, por lo menos, ese no era el propósito de los actores</w:t>
      </w:r>
      <w:r w:rsidRPr="00E4401D">
        <w:rPr>
          <w:rFonts w:ascii="Times New Roman" w:hAnsi="Times New Roman" w:cs="Times New Roman"/>
          <w:sz w:val="28"/>
          <w:szCs w:val="28"/>
        </w:rPr>
        <w:t>”.</w:t>
      </w:r>
    </w:p>
    <w:p w:rsidR="00F464C8" w:rsidRPr="00E4401D" w:rsidRDefault="00E4401D" w:rsidP="00F464C8">
      <w:pPr>
        <w:pStyle w:val="Prrafodelista"/>
        <w:ind w:left="0"/>
        <w:rPr>
          <w:rFonts w:ascii="Times New Roman" w:hAnsi="Times New Roman" w:cs="Times New Roman"/>
          <w:sz w:val="28"/>
          <w:szCs w:val="28"/>
        </w:rPr>
      </w:pPr>
    </w:p>
    <w:p w:rsidR="00F464C8" w:rsidRPr="00E4401D" w:rsidRDefault="00E4401D" w:rsidP="00F464C8">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De modo que, previo a resolver de fondo el cargo admitido en este proceso, corresponde a la Sala determinar si la demanda de inco</w:t>
      </w:r>
      <w:r w:rsidRPr="00E4401D">
        <w:rPr>
          <w:rFonts w:ascii="Times New Roman" w:hAnsi="Times New Roman" w:cs="Times New Roman"/>
          <w:sz w:val="28"/>
          <w:szCs w:val="28"/>
        </w:rPr>
        <w:t>nstitucionalidad presentada cumple, o no, con el requisito del numeral 1 del artículo 2 del Decreto 2067 de 1991 en relación con los artículos 287 y 295 de la Ley 2294 de 2023. Este requisito establece que las demandas de inconstitucionalidad deben contene</w:t>
      </w:r>
      <w:r w:rsidRPr="00E4401D">
        <w:rPr>
          <w:rFonts w:ascii="Times New Roman" w:hAnsi="Times New Roman" w:cs="Times New Roman"/>
          <w:sz w:val="28"/>
          <w:szCs w:val="28"/>
        </w:rPr>
        <w:t>r “</w:t>
      </w:r>
      <w:r w:rsidRPr="00E4401D">
        <w:rPr>
          <w:rFonts w:ascii="Times New Roman" w:hAnsi="Times New Roman" w:cs="Times New Roman"/>
          <w:i/>
          <w:iCs/>
          <w:sz w:val="28"/>
          <w:szCs w:val="28"/>
        </w:rPr>
        <w:t>el señalamiento de las normas acusadas como inconstitucionales, su transcripción literal por cualquier medio o un ejemplar de la publicación oficial de las mismas</w:t>
      </w:r>
      <w:r w:rsidRPr="00E4401D">
        <w:rPr>
          <w:rFonts w:ascii="Times New Roman" w:hAnsi="Times New Roman" w:cs="Times New Roman"/>
          <w:sz w:val="28"/>
          <w:szCs w:val="28"/>
        </w:rPr>
        <w:t xml:space="preserve">”. </w:t>
      </w:r>
    </w:p>
    <w:p w:rsidR="00F464C8" w:rsidRPr="00E4401D" w:rsidRDefault="00E4401D" w:rsidP="00F464C8">
      <w:pPr>
        <w:pStyle w:val="Prrafodelista"/>
        <w:ind w:left="0"/>
        <w:jc w:val="both"/>
        <w:rPr>
          <w:rFonts w:ascii="Times New Roman" w:hAnsi="Times New Roman" w:cs="Times New Roman"/>
          <w:sz w:val="28"/>
          <w:szCs w:val="28"/>
        </w:rPr>
      </w:pPr>
    </w:p>
    <w:p w:rsidR="00F464C8" w:rsidRPr="00E4401D" w:rsidRDefault="00E4401D" w:rsidP="00F464C8">
      <w:pPr>
        <w:pStyle w:val="Ttulo2"/>
        <w:jc w:val="both"/>
        <w:rPr>
          <w:rFonts w:ascii="Times New Roman" w:hAnsi="Times New Roman" w:cs="Times New Roman"/>
          <w:b/>
          <w:bCs/>
          <w:i/>
          <w:iCs/>
          <w:color w:val="auto"/>
          <w:sz w:val="28"/>
          <w:szCs w:val="28"/>
          <w:lang w:val="es-ES"/>
        </w:rPr>
      </w:pPr>
      <w:r w:rsidRPr="00E4401D">
        <w:rPr>
          <w:rFonts w:ascii="Times New Roman" w:hAnsi="Times New Roman" w:cs="Times New Roman"/>
          <w:b/>
          <w:bCs/>
          <w:i/>
          <w:iCs/>
          <w:color w:val="auto"/>
          <w:sz w:val="28"/>
          <w:szCs w:val="28"/>
          <w:lang w:val="es-ES"/>
        </w:rPr>
        <w:t>El requisito de indicar las normas demandadas en la acción pública de inconstitucional</w:t>
      </w:r>
      <w:r w:rsidRPr="00E4401D">
        <w:rPr>
          <w:rFonts w:ascii="Times New Roman" w:hAnsi="Times New Roman" w:cs="Times New Roman"/>
          <w:b/>
          <w:bCs/>
          <w:i/>
          <w:iCs/>
          <w:color w:val="auto"/>
          <w:sz w:val="28"/>
          <w:szCs w:val="28"/>
          <w:lang w:val="es-ES"/>
        </w:rPr>
        <w:t>idad</w:t>
      </w:r>
    </w:p>
    <w:p w:rsidR="00F464C8" w:rsidRPr="00E4401D" w:rsidRDefault="00E4401D" w:rsidP="00F464C8">
      <w:pPr>
        <w:pStyle w:val="Prrafodelista"/>
        <w:ind w:left="0"/>
        <w:jc w:val="both"/>
        <w:rPr>
          <w:rFonts w:ascii="Times New Roman" w:hAnsi="Times New Roman" w:cs="Times New Roman"/>
          <w:sz w:val="28"/>
          <w:szCs w:val="28"/>
        </w:rPr>
      </w:pPr>
    </w:p>
    <w:p w:rsidR="00F464C8" w:rsidRPr="00E4401D" w:rsidRDefault="00E4401D" w:rsidP="00F464C8">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El control abstracto de constitucionalidad comporta el control jurídico de las decisiones políticas del legislador mediante un proceso judicial</w:t>
      </w:r>
      <w:r w:rsidRPr="00E4401D">
        <w:rPr>
          <w:rStyle w:val="Refdenotaalpie"/>
          <w:rFonts w:ascii="Times New Roman" w:hAnsi="Times New Roman" w:cs="Times New Roman"/>
          <w:sz w:val="28"/>
          <w:szCs w:val="28"/>
        </w:rPr>
        <w:footnoteReference w:id="3"/>
      </w:r>
      <w:r w:rsidRPr="00E4401D">
        <w:rPr>
          <w:rFonts w:ascii="Times New Roman" w:hAnsi="Times New Roman" w:cs="Times New Roman"/>
          <w:sz w:val="28"/>
          <w:szCs w:val="28"/>
        </w:rPr>
        <w:t xml:space="preserve"> que se rige por un conjunto de reglas de procedimiento que, a su turno, garantizan la transparencia, imparcialidad y corrección de las decisiones que allí se adoptan. El artículo 2 del Decreto 2067 de 1991, prevé que, como mínimo, una demanda de inconstit</w:t>
      </w:r>
      <w:r w:rsidRPr="00E4401D">
        <w:rPr>
          <w:rFonts w:ascii="Times New Roman" w:hAnsi="Times New Roman" w:cs="Times New Roman"/>
          <w:sz w:val="28"/>
          <w:szCs w:val="28"/>
        </w:rPr>
        <w:t xml:space="preserve">ucionalidad debe contener: </w:t>
      </w:r>
    </w:p>
    <w:p w:rsidR="00F464C8" w:rsidRPr="00E4401D" w:rsidRDefault="00E4401D" w:rsidP="00F464C8">
      <w:pPr>
        <w:pStyle w:val="Prrafodelista"/>
        <w:rPr>
          <w:rFonts w:ascii="Times New Roman" w:hAnsi="Times New Roman" w:cs="Times New Roman"/>
          <w:sz w:val="28"/>
          <w:szCs w:val="28"/>
        </w:rPr>
      </w:pPr>
    </w:p>
    <w:p w:rsidR="00F464C8" w:rsidRPr="00E4401D" w:rsidRDefault="00E4401D" w:rsidP="00F464C8">
      <w:pPr>
        <w:pStyle w:val="Prrafodelista"/>
        <w:ind w:left="284" w:right="284"/>
        <w:jc w:val="both"/>
        <w:rPr>
          <w:rFonts w:ascii="Times New Roman" w:hAnsi="Times New Roman" w:cs="Times New Roman"/>
          <w:b/>
          <w:bCs/>
          <w:i/>
          <w:iCs/>
          <w:sz w:val="28"/>
          <w:szCs w:val="28"/>
        </w:rPr>
      </w:pPr>
      <w:r w:rsidRPr="00E4401D">
        <w:rPr>
          <w:rFonts w:ascii="Times New Roman" w:hAnsi="Times New Roman" w:cs="Times New Roman"/>
          <w:sz w:val="28"/>
          <w:szCs w:val="28"/>
        </w:rPr>
        <w:t>“</w:t>
      </w:r>
      <w:r w:rsidRPr="00E4401D">
        <w:rPr>
          <w:rFonts w:ascii="Times New Roman" w:hAnsi="Times New Roman" w:cs="Times New Roman"/>
          <w:b/>
          <w:bCs/>
          <w:i/>
          <w:iCs/>
          <w:sz w:val="28"/>
          <w:szCs w:val="28"/>
        </w:rPr>
        <w:t xml:space="preserve">1. El señalamiento de las normas acusadas como inconstitucionales, su transcripción literal por cualquier medio o un ejemplar de la publicación oficial de las mismas; </w:t>
      </w:r>
    </w:p>
    <w:p w:rsidR="00F464C8" w:rsidRPr="00E4401D" w:rsidRDefault="00E4401D" w:rsidP="00F464C8">
      <w:pPr>
        <w:pStyle w:val="Prrafodelista"/>
        <w:ind w:left="284" w:right="284"/>
        <w:jc w:val="both"/>
        <w:rPr>
          <w:rFonts w:ascii="Times New Roman" w:hAnsi="Times New Roman" w:cs="Times New Roman"/>
          <w:i/>
          <w:iCs/>
          <w:sz w:val="28"/>
          <w:szCs w:val="28"/>
        </w:rPr>
      </w:pPr>
    </w:p>
    <w:p w:rsidR="00F464C8" w:rsidRPr="00E4401D" w:rsidRDefault="00E4401D" w:rsidP="00F464C8">
      <w:pPr>
        <w:pStyle w:val="Prrafodelista"/>
        <w:ind w:left="708" w:right="284" w:hanging="424"/>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2. El señalamiento de las normas constitucionales que se consideren infringidas; </w:t>
      </w:r>
    </w:p>
    <w:p w:rsidR="00F464C8" w:rsidRPr="00E4401D" w:rsidRDefault="00E4401D" w:rsidP="00F464C8">
      <w:pPr>
        <w:pStyle w:val="Prrafodelista"/>
        <w:ind w:left="284" w:right="284"/>
        <w:jc w:val="both"/>
        <w:rPr>
          <w:rFonts w:ascii="Times New Roman" w:hAnsi="Times New Roman" w:cs="Times New Roman"/>
          <w:i/>
          <w:iCs/>
          <w:sz w:val="28"/>
          <w:szCs w:val="28"/>
        </w:rPr>
      </w:pPr>
    </w:p>
    <w:p w:rsidR="00F464C8" w:rsidRPr="00E4401D" w:rsidRDefault="00E4401D" w:rsidP="00F464C8">
      <w:pPr>
        <w:pStyle w:val="Prrafodelista"/>
        <w:ind w:left="284" w:right="284"/>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3. Las razones por las cuales dichos textos se estiman violados. </w:t>
      </w:r>
    </w:p>
    <w:p w:rsidR="00F464C8" w:rsidRPr="00E4401D" w:rsidRDefault="00E4401D" w:rsidP="00F464C8">
      <w:pPr>
        <w:pStyle w:val="Prrafodelista"/>
        <w:ind w:left="284" w:right="284"/>
        <w:jc w:val="both"/>
        <w:rPr>
          <w:rFonts w:ascii="Times New Roman" w:hAnsi="Times New Roman" w:cs="Times New Roman"/>
          <w:i/>
          <w:iCs/>
          <w:sz w:val="28"/>
          <w:szCs w:val="28"/>
        </w:rPr>
      </w:pPr>
    </w:p>
    <w:p w:rsidR="00F464C8" w:rsidRPr="00E4401D" w:rsidRDefault="00E4401D" w:rsidP="00F464C8">
      <w:pPr>
        <w:pStyle w:val="Prrafodelista"/>
        <w:ind w:left="284" w:right="284"/>
        <w:jc w:val="both"/>
        <w:rPr>
          <w:rFonts w:ascii="Times New Roman" w:hAnsi="Times New Roman" w:cs="Times New Roman"/>
          <w:i/>
          <w:iCs/>
          <w:sz w:val="28"/>
          <w:szCs w:val="28"/>
        </w:rPr>
      </w:pPr>
      <w:r w:rsidRPr="00E4401D">
        <w:rPr>
          <w:rFonts w:ascii="Times New Roman" w:hAnsi="Times New Roman" w:cs="Times New Roman"/>
          <w:i/>
          <w:iCs/>
          <w:sz w:val="28"/>
          <w:szCs w:val="28"/>
        </w:rPr>
        <w:t>4. Cuando fuere el caso, el señalamiento del trámite impuesto por la Constitución para la expedición del a</w:t>
      </w:r>
      <w:r w:rsidRPr="00E4401D">
        <w:rPr>
          <w:rFonts w:ascii="Times New Roman" w:hAnsi="Times New Roman" w:cs="Times New Roman"/>
          <w:i/>
          <w:iCs/>
          <w:sz w:val="28"/>
          <w:szCs w:val="28"/>
        </w:rPr>
        <w:t xml:space="preserve">cto demandado y la forma en que fue quebrantado; y </w:t>
      </w:r>
    </w:p>
    <w:p w:rsidR="00F464C8" w:rsidRPr="00E4401D" w:rsidRDefault="00E4401D" w:rsidP="00F464C8">
      <w:pPr>
        <w:pStyle w:val="Prrafodelista"/>
        <w:ind w:left="284" w:right="284"/>
        <w:jc w:val="both"/>
        <w:rPr>
          <w:rFonts w:ascii="Times New Roman" w:hAnsi="Times New Roman" w:cs="Times New Roman"/>
          <w:i/>
          <w:iCs/>
          <w:sz w:val="28"/>
          <w:szCs w:val="28"/>
        </w:rPr>
      </w:pPr>
    </w:p>
    <w:p w:rsidR="00F464C8" w:rsidRPr="00E4401D" w:rsidRDefault="00E4401D" w:rsidP="00F464C8">
      <w:pPr>
        <w:pStyle w:val="Prrafodelista"/>
        <w:ind w:left="284" w:right="284"/>
        <w:jc w:val="both"/>
        <w:rPr>
          <w:rFonts w:ascii="Times New Roman" w:hAnsi="Times New Roman" w:cs="Times New Roman"/>
          <w:sz w:val="28"/>
          <w:szCs w:val="28"/>
        </w:rPr>
      </w:pPr>
      <w:r w:rsidRPr="00E4401D">
        <w:rPr>
          <w:rFonts w:ascii="Times New Roman" w:hAnsi="Times New Roman" w:cs="Times New Roman"/>
          <w:i/>
          <w:iCs/>
          <w:sz w:val="28"/>
          <w:szCs w:val="28"/>
        </w:rPr>
        <w:t>5. La razón por la cual la Corte es competente para conocer de la demanda</w:t>
      </w:r>
      <w:r w:rsidRPr="00E4401D">
        <w:rPr>
          <w:rFonts w:ascii="Times New Roman" w:hAnsi="Times New Roman" w:cs="Times New Roman"/>
          <w:sz w:val="28"/>
          <w:szCs w:val="28"/>
        </w:rPr>
        <w:t>”.</w:t>
      </w:r>
    </w:p>
    <w:p w:rsidR="00F464C8" w:rsidRPr="00E4401D" w:rsidRDefault="00E4401D" w:rsidP="00F464C8">
      <w:pPr>
        <w:pStyle w:val="Prrafodelista"/>
        <w:rPr>
          <w:rFonts w:ascii="Times New Roman" w:hAnsi="Times New Roman" w:cs="Times New Roman"/>
          <w:sz w:val="28"/>
          <w:szCs w:val="28"/>
        </w:rPr>
      </w:pPr>
    </w:p>
    <w:p w:rsidR="00F464C8" w:rsidRPr="00E4401D" w:rsidRDefault="00E4401D" w:rsidP="00F464C8">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Respecto de la primera exigencia, la Corte ha sostenido que el ciudadano que ejerce la acción pública de inconstitucionalidad </w:t>
      </w:r>
      <w:r w:rsidRPr="00E4401D">
        <w:rPr>
          <w:rFonts w:ascii="Times New Roman" w:hAnsi="Times New Roman" w:cs="Times New Roman"/>
          <w:sz w:val="28"/>
          <w:szCs w:val="28"/>
        </w:rPr>
        <w:t>contra una norma determinada debe referir con precisión el objeto demandado. Así, tendrá que identificar el precepto o preceptos jurídicos que a juicio del actor son contrarios al ordenamiento constitucional.</w:t>
      </w:r>
      <w:r w:rsidRPr="00E4401D">
        <w:rPr>
          <w:rStyle w:val="Refdenotaalpie"/>
          <w:rFonts w:ascii="Times New Roman" w:hAnsi="Times New Roman" w:cs="Times New Roman"/>
          <w:sz w:val="28"/>
          <w:szCs w:val="28"/>
        </w:rPr>
        <w:footnoteReference w:id="4"/>
      </w:r>
      <w:r w:rsidRPr="00E4401D">
        <w:rPr>
          <w:rFonts w:ascii="Times New Roman" w:hAnsi="Times New Roman" w:cs="Times New Roman"/>
          <w:sz w:val="28"/>
          <w:szCs w:val="28"/>
        </w:rPr>
        <w:t xml:space="preserve"> Esta identificación se traduce en (i) “</w:t>
      </w:r>
      <w:r w:rsidRPr="00E4401D">
        <w:rPr>
          <w:rFonts w:ascii="Times New Roman" w:hAnsi="Times New Roman" w:cs="Times New Roman"/>
          <w:i/>
          <w:iCs/>
          <w:sz w:val="28"/>
          <w:szCs w:val="28"/>
        </w:rPr>
        <w:t>el seña</w:t>
      </w:r>
      <w:r w:rsidRPr="00E4401D">
        <w:rPr>
          <w:rFonts w:ascii="Times New Roman" w:hAnsi="Times New Roman" w:cs="Times New Roman"/>
          <w:i/>
          <w:iCs/>
          <w:sz w:val="28"/>
          <w:szCs w:val="28"/>
        </w:rPr>
        <w:t>lamiento de las normas acusadas como inconstitucionales</w:t>
      </w:r>
      <w:r w:rsidRPr="00E4401D">
        <w:rPr>
          <w:rFonts w:ascii="Times New Roman" w:hAnsi="Times New Roman" w:cs="Times New Roman"/>
          <w:sz w:val="28"/>
          <w:szCs w:val="28"/>
        </w:rPr>
        <w:t>” (artículo 2 numeral 1 del Decreto 2067 de 1991). Además, la plena identificación de las normas que se demandan exige (ii) “</w:t>
      </w:r>
      <w:r w:rsidRPr="00E4401D">
        <w:rPr>
          <w:rFonts w:ascii="Times New Roman" w:hAnsi="Times New Roman" w:cs="Times New Roman"/>
          <w:i/>
          <w:iCs/>
          <w:sz w:val="28"/>
          <w:szCs w:val="28"/>
        </w:rPr>
        <w:t xml:space="preserve">su transcripción literal por cualquier medio o la inclusión de “un ejemplar </w:t>
      </w:r>
      <w:r w:rsidRPr="00E4401D">
        <w:rPr>
          <w:rFonts w:ascii="Times New Roman" w:hAnsi="Times New Roman" w:cs="Times New Roman"/>
          <w:i/>
          <w:iCs/>
          <w:sz w:val="28"/>
          <w:szCs w:val="28"/>
        </w:rPr>
        <w:t>de la publicación de las mismas</w:t>
      </w:r>
      <w:r w:rsidRPr="00E4401D">
        <w:rPr>
          <w:rFonts w:ascii="Times New Roman" w:hAnsi="Times New Roman" w:cs="Times New Roman"/>
          <w:sz w:val="28"/>
          <w:szCs w:val="28"/>
        </w:rPr>
        <w:t>” (Artículo 2 numeral 1 del Decreto 2067 de 1991). Se trata de una exigencia mínima “</w:t>
      </w:r>
      <w:r w:rsidRPr="00E4401D">
        <w:rPr>
          <w:rFonts w:ascii="Times New Roman" w:hAnsi="Times New Roman" w:cs="Times New Roman"/>
          <w:i/>
          <w:iCs/>
          <w:sz w:val="28"/>
          <w:szCs w:val="28"/>
        </w:rPr>
        <w:t xml:space="preserve">que busca la indispensable precisión, ante la Corte, acerca del objeto específico del fallo de constitucionalidad que habrá de proferir, ya </w:t>
      </w:r>
      <w:r w:rsidRPr="00E4401D">
        <w:rPr>
          <w:rFonts w:ascii="Times New Roman" w:hAnsi="Times New Roman" w:cs="Times New Roman"/>
          <w:i/>
          <w:iCs/>
          <w:sz w:val="28"/>
          <w:szCs w:val="28"/>
        </w:rPr>
        <w:t>que señala con exactitud cuál es la norma demandada y permite, gracias al texto que se transcriba, verificar el contenido de lo que el demandante aprecia como contrario a la Constitución</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5"/>
      </w:r>
    </w:p>
    <w:p w:rsidR="00F464C8" w:rsidRPr="00E4401D" w:rsidRDefault="00E4401D" w:rsidP="00F464C8">
      <w:pPr>
        <w:tabs>
          <w:tab w:val="left" w:pos="540"/>
        </w:tabs>
        <w:mirrorIndents/>
        <w:jc w:val="both"/>
        <w:rPr>
          <w:rFonts w:ascii="Times New Roman" w:hAnsi="Times New Roman" w:cs="Times New Roman"/>
          <w:sz w:val="28"/>
          <w:szCs w:val="28"/>
        </w:rPr>
      </w:pPr>
    </w:p>
    <w:p w:rsidR="00F464C8" w:rsidRPr="00E4401D" w:rsidRDefault="00E4401D" w:rsidP="00BA5B06">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Al interpretar el alcance de este requisito, la Corte Constitucio</w:t>
      </w:r>
      <w:r w:rsidRPr="00E4401D">
        <w:rPr>
          <w:rFonts w:ascii="Times New Roman" w:hAnsi="Times New Roman" w:cs="Times New Roman"/>
          <w:sz w:val="28"/>
          <w:szCs w:val="28"/>
        </w:rPr>
        <w:t>nal, en particular en las sentencias C-482 de 1995 y C-622 de 1997, ha reconocido la procedencia del análisis de fondo en casos en los que se presentó un error mecanográfico sobre el número del artículo demandado, siempre y cuando del escrito de la demanda</w:t>
      </w:r>
      <w:r w:rsidRPr="00E4401D">
        <w:rPr>
          <w:rFonts w:ascii="Times New Roman" w:hAnsi="Times New Roman" w:cs="Times New Roman"/>
          <w:sz w:val="28"/>
          <w:szCs w:val="28"/>
        </w:rPr>
        <w:t xml:space="preserve"> se pueda inferir claramente el artículo correcto que se estaba demandando. Esto es posible cuando: (i) se transcribe el texto correcto de la norma demandada y (ii) los argumentos y referencias en los cargos permiten identificar claramente la norma en cues</w:t>
      </w:r>
      <w:r w:rsidRPr="00E4401D">
        <w:rPr>
          <w:rFonts w:ascii="Times New Roman" w:hAnsi="Times New Roman" w:cs="Times New Roman"/>
          <w:sz w:val="28"/>
          <w:szCs w:val="28"/>
        </w:rPr>
        <w:t>tión.</w:t>
      </w:r>
    </w:p>
    <w:p w:rsidR="00F464C8" w:rsidRPr="00E4401D" w:rsidRDefault="00E4401D" w:rsidP="00F464C8">
      <w:pPr>
        <w:pStyle w:val="Prrafodelista"/>
        <w:tabs>
          <w:tab w:val="left" w:pos="540"/>
        </w:tabs>
        <w:ind w:left="0"/>
        <w:mirrorIndents/>
        <w:jc w:val="both"/>
        <w:rPr>
          <w:rFonts w:ascii="Times New Roman" w:hAnsi="Times New Roman" w:cs="Times New Roman"/>
          <w:sz w:val="28"/>
          <w:szCs w:val="28"/>
        </w:rPr>
      </w:pPr>
    </w:p>
    <w:p w:rsidR="00F464C8" w:rsidRPr="00E4401D" w:rsidRDefault="00E4401D" w:rsidP="00F464C8">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En la sentencia C-482 de 1995, la demanda acusaba la inconstitucionalidad de los artículos 1, 8 y 60 del Decreto 2083 de 1994. Respecto a la última disposición, la Corte encontró que, según los argumentos del actor, realmente se trataba de una acusa</w:t>
      </w:r>
      <w:r w:rsidRPr="00E4401D">
        <w:rPr>
          <w:rFonts w:ascii="Times New Roman" w:hAnsi="Times New Roman" w:cs="Times New Roman"/>
          <w:sz w:val="28"/>
          <w:szCs w:val="28"/>
        </w:rPr>
        <w:t>ción contra el artículo 6 del citado decreto, en particular, del literal c). Con base en el principio de prevalencia del derecho sustancial previsto en el artículo 228 de la Constitución Política, la Corte consideró que el actor solo incurrió en un error m</w:t>
      </w:r>
      <w:r w:rsidRPr="00E4401D">
        <w:rPr>
          <w:rFonts w:ascii="Times New Roman" w:hAnsi="Times New Roman" w:cs="Times New Roman"/>
          <w:sz w:val="28"/>
          <w:szCs w:val="28"/>
        </w:rPr>
        <w:t>ecanográfico al presentar su demanda, y se pronunció de fondo sobre la exequibilidad de la disposición referida.</w:t>
      </w:r>
    </w:p>
    <w:p w:rsidR="00F464C8" w:rsidRPr="00E4401D" w:rsidRDefault="00E4401D" w:rsidP="00F464C8">
      <w:pPr>
        <w:pStyle w:val="Prrafodelista"/>
        <w:rPr>
          <w:rFonts w:ascii="Times New Roman" w:hAnsi="Times New Roman" w:cs="Times New Roman"/>
          <w:sz w:val="28"/>
          <w:szCs w:val="28"/>
        </w:rPr>
      </w:pPr>
    </w:p>
    <w:p w:rsidR="00F464C8" w:rsidRPr="00E4401D" w:rsidRDefault="00E4401D" w:rsidP="00F464C8">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Por su parte, en la sentencia C-622 de 1997, la demanda formulada se dirigía contra el numeral primero del artículo 342 del Código Sustantivo del Trabajo. La transcripción del contenido de dicho precepto no coincidía, por un error mecanográfico, con el núm</w:t>
      </w:r>
      <w:r w:rsidRPr="00E4401D">
        <w:rPr>
          <w:rFonts w:ascii="Times New Roman" w:hAnsi="Times New Roman" w:cs="Times New Roman"/>
          <w:sz w:val="28"/>
          <w:szCs w:val="28"/>
        </w:rPr>
        <w:t xml:space="preserve">ero del artículo acusado. La Corte juzgó que las demandantes fundamentaron debidamente las razones de la violación del numeral pertinente del Código Sustantivo del Trabajo, aunque anotaron equivocadamente el número 342 en lugar de 242. La Corte estimó que </w:t>
      </w:r>
      <w:r w:rsidRPr="00E4401D">
        <w:rPr>
          <w:rFonts w:ascii="Times New Roman" w:hAnsi="Times New Roman" w:cs="Times New Roman"/>
          <w:sz w:val="28"/>
          <w:szCs w:val="28"/>
        </w:rPr>
        <w:t>este error no daba lugar a un fallo inhibitorio, ya que era fácil deducir que la demanda se dirigía contra el numeral primero del artículo 242 del Código Sustantivo del Trabajo. Esto permitió un pronunciamiento de fondo respecto a este precepto con base en</w:t>
      </w:r>
      <w:r w:rsidRPr="00E4401D">
        <w:rPr>
          <w:rFonts w:ascii="Times New Roman" w:hAnsi="Times New Roman" w:cs="Times New Roman"/>
          <w:sz w:val="28"/>
          <w:szCs w:val="28"/>
        </w:rPr>
        <w:t xml:space="preserve"> la prevalencia del derecho sustancial sobre el formal. Además, observó que todos los cargos hacían expresa referencia al contenido del artículo 242 y no al 342 </w:t>
      </w:r>
      <w:r w:rsidRPr="00E4401D">
        <w:rPr>
          <w:rFonts w:ascii="Times New Roman" w:hAnsi="Times New Roman" w:cs="Times New Roman"/>
          <w:i/>
          <w:iCs/>
          <w:sz w:val="28"/>
          <w:szCs w:val="28"/>
        </w:rPr>
        <w:t>ejusdem</w:t>
      </w:r>
      <w:r w:rsidRPr="00E4401D">
        <w:rPr>
          <w:rFonts w:ascii="Times New Roman" w:hAnsi="Times New Roman" w:cs="Times New Roman"/>
          <w:sz w:val="28"/>
          <w:szCs w:val="28"/>
        </w:rPr>
        <w:t>.</w:t>
      </w:r>
    </w:p>
    <w:p w:rsidR="00F464C8" w:rsidRPr="00E4401D" w:rsidRDefault="00E4401D" w:rsidP="00F464C8">
      <w:pPr>
        <w:pStyle w:val="Prrafodelista"/>
        <w:rPr>
          <w:rFonts w:ascii="Times New Roman" w:hAnsi="Times New Roman" w:cs="Times New Roman"/>
          <w:sz w:val="28"/>
          <w:szCs w:val="28"/>
        </w:rPr>
      </w:pPr>
    </w:p>
    <w:p w:rsidR="00BC3929" w:rsidRPr="00E4401D" w:rsidRDefault="00E4401D" w:rsidP="00BC3929">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La Sala encuentra que el precedente descrito materializa </w:t>
      </w:r>
      <w:r w:rsidRPr="00E4401D">
        <w:rPr>
          <w:rFonts w:ascii="Times New Roman" w:hAnsi="Times New Roman" w:cs="Times New Roman"/>
          <w:sz w:val="28"/>
          <w:szCs w:val="28"/>
          <w:lang w:eastAsia="es-MX"/>
        </w:rPr>
        <w:t xml:space="preserve">el principio </w:t>
      </w:r>
      <w:r w:rsidRPr="00E4401D">
        <w:rPr>
          <w:rFonts w:ascii="Times New Roman" w:hAnsi="Times New Roman" w:cs="Times New Roman"/>
          <w:i/>
          <w:iCs/>
          <w:sz w:val="28"/>
          <w:szCs w:val="28"/>
          <w:lang w:eastAsia="es-MX"/>
        </w:rPr>
        <w:t>pro actione</w:t>
      </w:r>
      <w:r w:rsidRPr="00E4401D">
        <w:rPr>
          <w:rFonts w:ascii="Times New Roman" w:hAnsi="Times New Roman" w:cs="Times New Roman"/>
          <w:sz w:val="28"/>
          <w:szCs w:val="28"/>
          <w:lang w:eastAsia="es-MX"/>
        </w:rPr>
        <w:t xml:space="preserve"> en </w:t>
      </w:r>
      <w:r w:rsidRPr="00E4401D">
        <w:rPr>
          <w:rFonts w:ascii="Times New Roman" w:hAnsi="Times New Roman" w:cs="Times New Roman"/>
          <w:sz w:val="28"/>
          <w:szCs w:val="28"/>
          <w:lang w:eastAsia="es-MX"/>
        </w:rPr>
        <w:t>virtud del cual, al evaluar demandas de inconstitucionalidad, se debe favorecer el estudio de fondo siempre que sea posible. Dicho de otro modo, en lugar de una decisión inhibitoria, se prefiere adoptar una decisión de fondo. Este principio garantiza la ef</w:t>
      </w:r>
      <w:r w:rsidRPr="00E4401D">
        <w:rPr>
          <w:rFonts w:ascii="Times New Roman" w:hAnsi="Times New Roman" w:cs="Times New Roman"/>
          <w:sz w:val="28"/>
          <w:szCs w:val="28"/>
          <w:lang w:eastAsia="es-MX"/>
        </w:rPr>
        <w:t xml:space="preserve">ectividad de los derechos políticos de los ciudadanos, que incluyen la participación ciudadana y el acceso a la justicia. </w:t>
      </w:r>
    </w:p>
    <w:p w:rsidR="00F464C8" w:rsidRPr="00E4401D" w:rsidRDefault="00E4401D" w:rsidP="00F464C8">
      <w:pPr>
        <w:pStyle w:val="Prrafodelista"/>
        <w:rPr>
          <w:rFonts w:ascii="Times New Roman" w:hAnsi="Times New Roman" w:cs="Times New Roman"/>
          <w:sz w:val="28"/>
          <w:szCs w:val="28"/>
        </w:rPr>
      </w:pPr>
    </w:p>
    <w:p w:rsidR="00F464C8" w:rsidRPr="00E4401D" w:rsidRDefault="00E4401D" w:rsidP="00F464C8">
      <w:pPr>
        <w:pStyle w:val="Prrafodelista"/>
        <w:numPr>
          <w:ilvl w:val="0"/>
          <w:numId w:val="3"/>
        </w:numPr>
        <w:tabs>
          <w:tab w:val="left" w:pos="540"/>
        </w:tabs>
        <w:ind w:left="0" w:firstLine="0"/>
        <w:mirrorIndents/>
        <w:jc w:val="both"/>
        <w:rPr>
          <w:rFonts w:ascii="Times New Roman" w:hAnsi="Times New Roman" w:cs="Times New Roman"/>
          <w:i/>
          <w:iCs/>
          <w:sz w:val="28"/>
          <w:szCs w:val="28"/>
        </w:rPr>
      </w:pPr>
      <w:r w:rsidRPr="00E4401D">
        <w:rPr>
          <w:rFonts w:ascii="Times New Roman" w:hAnsi="Times New Roman" w:cs="Times New Roman"/>
          <w:sz w:val="28"/>
          <w:szCs w:val="28"/>
        </w:rPr>
        <w:t xml:space="preserve">En el caso </w:t>
      </w:r>
      <w:r w:rsidRPr="00E4401D">
        <w:rPr>
          <w:rFonts w:ascii="Times New Roman" w:hAnsi="Times New Roman" w:cs="Times New Roman"/>
          <w:i/>
          <w:iCs/>
          <w:sz w:val="28"/>
          <w:szCs w:val="28"/>
        </w:rPr>
        <w:t>sub examine</w:t>
      </w:r>
      <w:r w:rsidRPr="00E4401D">
        <w:rPr>
          <w:rFonts w:ascii="Times New Roman" w:hAnsi="Times New Roman" w:cs="Times New Roman"/>
          <w:sz w:val="28"/>
          <w:szCs w:val="28"/>
        </w:rPr>
        <w:t>, los accionantes presentaron una demanda de inconstitucionalidad contra</w:t>
      </w:r>
      <w:r w:rsidRPr="00E4401D">
        <w:rPr>
          <w:rFonts w:ascii="Times New Roman" w:hAnsi="Times New Roman" w:cs="Times New Roman"/>
          <w:sz w:val="28"/>
          <w:szCs w:val="28"/>
        </w:rPr>
        <w:t xml:space="preserve"> toda</w:t>
      </w:r>
      <w:r w:rsidRPr="00E4401D">
        <w:rPr>
          <w:rFonts w:ascii="Times New Roman" w:hAnsi="Times New Roman" w:cs="Times New Roman"/>
          <w:sz w:val="28"/>
          <w:szCs w:val="28"/>
        </w:rPr>
        <w:t xml:space="preserve"> la Ley 2294 de 2023 y adjuntaron con ella un ejemplar del diario oficial en el que se publicó dicha ley. Inicialmente, la Corte Constitucional inadmitió la demanda por falta de especificidad y pertinencia, pero tras </w:t>
      </w:r>
      <w:r w:rsidRPr="00E4401D">
        <w:rPr>
          <w:rFonts w:ascii="Times New Roman" w:hAnsi="Times New Roman" w:cs="Times New Roman"/>
          <w:sz w:val="28"/>
          <w:szCs w:val="28"/>
        </w:rPr>
        <w:t xml:space="preserve">ser </w:t>
      </w:r>
      <w:r w:rsidRPr="00E4401D">
        <w:rPr>
          <w:rFonts w:ascii="Times New Roman" w:hAnsi="Times New Roman" w:cs="Times New Roman"/>
          <w:sz w:val="28"/>
          <w:szCs w:val="28"/>
        </w:rPr>
        <w:t>corregi</w:t>
      </w:r>
      <w:r w:rsidRPr="00E4401D">
        <w:rPr>
          <w:rFonts w:ascii="Times New Roman" w:hAnsi="Times New Roman" w:cs="Times New Roman"/>
          <w:sz w:val="28"/>
          <w:szCs w:val="28"/>
        </w:rPr>
        <w:t>da</w:t>
      </w:r>
      <w:r w:rsidRPr="00E4401D">
        <w:rPr>
          <w:rFonts w:ascii="Times New Roman" w:hAnsi="Times New Roman" w:cs="Times New Roman"/>
          <w:sz w:val="28"/>
          <w:szCs w:val="28"/>
        </w:rPr>
        <w:t xml:space="preserve">, se admitió parcialmente </w:t>
      </w:r>
      <w:r w:rsidRPr="00E4401D">
        <w:rPr>
          <w:rFonts w:ascii="Times New Roman" w:hAnsi="Times New Roman" w:cs="Times New Roman"/>
          <w:sz w:val="28"/>
          <w:szCs w:val="28"/>
        </w:rPr>
        <w:t xml:space="preserve">el segundo cargo relacionado con los artículos 5, 61, 287 y 295 de la Ley 2294 de 2023. </w:t>
      </w:r>
    </w:p>
    <w:p w:rsidR="00F464C8" w:rsidRPr="00E4401D" w:rsidRDefault="00E4401D" w:rsidP="00F464C8">
      <w:pPr>
        <w:pStyle w:val="Prrafodelista"/>
        <w:rPr>
          <w:rFonts w:ascii="Times New Roman" w:hAnsi="Times New Roman" w:cs="Times New Roman"/>
          <w:i/>
          <w:iCs/>
          <w:sz w:val="28"/>
          <w:szCs w:val="28"/>
        </w:rPr>
      </w:pPr>
    </w:p>
    <w:p w:rsidR="00F464C8" w:rsidRPr="00E4401D" w:rsidRDefault="00E4401D" w:rsidP="00F464C8">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En el escrito de corrección de la demanda, los accionantes presentaron un cuadro comparativo que incluía las transcripciones de: (i) </w:t>
      </w:r>
      <w:r w:rsidRPr="00E4401D">
        <w:rPr>
          <w:rFonts w:ascii="Times New Roman" w:hAnsi="Times New Roman" w:cs="Times New Roman"/>
          <w:sz w:val="28"/>
          <w:szCs w:val="28"/>
        </w:rPr>
        <w:t>l</w:t>
      </w:r>
      <w:r w:rsidRPr="00E4401D">
        <w:rPr>
          <w:rFonts w:ascii="Times New Roman" w:hAnsi="Times New Roman" w:cs="Times New Roman"/>
          <w:sz w:val="28"/>
          <w:szCs w:val="28"/>
        </w:rPr>
        <w:t>os textos de los artículos en su</w:t>
      </w:r>
      <w:r w:rsidRPr="00E4401D">
        <w:rPr>
          <w:rFonts w:ascii="Times New Roman" w:hAnsi="Times New Roman" w:cs="Times New Roman"/>
          <w:sz w:val="28"/>
          <w:szCs w:val="28"/>
        </w:rPr>
        <w:t xml:space="preserve"> versión presentada en la ponencia para el debate en la sesión plenaria del Senado; (ii) el texto con la proposición modificativa finalmente aprobada; y (iii) la lectura realizada por el presidente del Senado para explicar la proposición. Según se puede ob</w:t>
      </w:r>
      <w:r w:rsidRPr="00E4401D">
        <w:rPr>
          <w:rFonts w:ascii="Times New Roman" w:hAnsi="Times New Roman" w:cs="Times New Roman"/>
          <w:sz w:val="28"/>
          <w:szCs w:val="28"/>
        </w:rPr>
        <w:t xml:space="preserve">servar, </w:t>
      </w:r>
      <w:r w:rsidRPr="00E4401D">
        <w:rPr>
          <w:rFonts w:ascii="Times New Roman" w:hAnsi="Times New Roman" w:cs="Times New Roman"/>
          <w:sz w:val="28"/>
          <w:szCs w:val="28"/>
        </w:rPr>
        <w:t>la indicación d</w:t>
      </w:r>
      <w:r w:rsidRPr="00E4401D">
        <w:rPr>
          <w:rFonts w:ascii="Times New Roman" w:hAnsi="Times New Roman" w:cs="Times New Roman"/>
          <w:sz w:val="28"/>
          <w:szCs w:val="28"/>
        </w:rPr>
        <w:t xml:space="preserve">el </w:t>
      </w:r>
      <w:r w:rsidRPr="00E4401D">
        <w:rPr>
          <w:rFonts w:ascii="Times New Roman" w:hAnsi="Times New Roman" w:cs="Times New Roman"/>
          <w:sz w:val="28"/>
          <w:szCs w:val="28"/>
        </w:rPr>
        <w:t>número del artículo incluido en el cuadro</w:t>
      </w:r>
      <w:r w:rsidRPr="00E4401D">
        <w:rPr>
          <w:rFonts w:ascii="Times New Roman" w:hAnsi="Times New Roman" w:cs="Times New Roman"/>
          <w:sz w:val="28"/>
          <w:szCs w:val="28"/>
        </w:rPr>
        <w:t xml:space="preserve"> de las transcripciones no coincide por error mecanográfico con el número de los artículos de la Ley 2294 de 2023 que se acusaron. Aunque los demandantes fundamentaron debidamente las razon</w:t>
      </w:r>
      <w:r w:rsidRPr="00E4401D">
        <w:rPr>
          <w:rFonts w:ascii="Times New Roman" w:hAnsi="Times New Roman" w:cs="Times New Roman"/>
          <w:sz w:val="28"/>
          <w:szCs w:val="28"/>
        </w:rPr>
        <w:t>es de la violación del trámite legislativo, en lugar de anotar los números 289 y 297 como preceptos acusados, señalaron equivocadamente el número 287 y 295.</w:t>
      </w:r>
    </w:p>
    <w:p w:rsidR="00F464C8" w:rsidRPr="00E4401D" w:rsidRDefault="00E4401D" w:rsidP="00F464C8">
      <w:pPr>
        <w:pStyle w:val="Prrafodelista"/>
        <w:rPr>
          <w:rFonts w:ascii="Times New Roman" w:hAnsi="Times New Roman" w:cs="Times New Roman"/>
          <w:sz w:val="28"/>
          <w:szCs w:val="28"/>
        </w:rPr>
      </w:pPr>
    </w:p>
    <w:p w:rsidR="00F464C8" w:rsidRPr="00E4401D" w:rsidRDefault="00E4401D" w:rsidP="00F464C8">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Como puede observarse en el cuadro comparativo que se transcribió en el fundamento jurídico 9 de e</w:t>
      </w:r>
      <w:r w:rsidRPr="00E4401D">
        <w:rPr>
          <w:rFonts w:ascii="Times New Roman" w:hAnsi="Times New Roman" w:cs="Times New Roman"/>
          <w:sz w:val="28"/>
          <w:szCs w:val="28"/>
        </w:rPr>
        <w:t>ste proveído, el contenido material de los preceptos acusados versa sobre la “</w:t>
      </w:r>
      <w:r w:rsidRPr="00E4401D">
        <w:rPr>
          <w:rFonts w:ascii="Times New Roman" w:hAnsi="Times New Roman" w:cs="Times New Roman"/>
          <w:i/>
          <w:iCs/>
          <w:sz w:val="28"/>
          <w:szCs w:val="28"/>
        </w:rPr>
        <w:t xml:space="preserve">autorización excepcional para el otorgamiento de crédito directo a organizaciones comunales, y a los patrimonios autónomos que constituya la Financiera de Desarrollo Territorial </w:t>
      </w:r>
      <w:r w:rsidRPr="00E4401D">
        <w:rPr>
          <w:rFonts w:ascii="Times New Roman" w:hAnsi="Times New Roman" w:cs="Times New Roman"/>
          <w:i/>
          <w:iCs/>
          <w:sz w:val="28"/>
          <w:szCs w:val="28"/>
        </w:rPr>
        <w:t xml:space="preserve">S.A. - Findeter para el desarrollo de proyectos de inversión en infraestructura en sus sectores elegibles” </w:t>
      </w:r>
      <w:r w:rsidRPr="00E4401D">
        <w:rPr>
          <w:rFonts w:ascii="Times New Roman" w:hAnsi="Times New Roman" w:cs="Times New Roman"/>
          <w:sz w:val="28"/>
          <w:szCs w:val="28"/>
        </w:rPr>
        <w:t>y sobre</w:t>
      </w:r>
      <w:r w:rsidRPr="00E4401D">
        <w:rPr>
          <w:rFonts w:ascii="Times New Roman" w:hAnsi="Times New Roman" w:cs="Times New Roman"/>
          <w:i/>
          <w:iCs/>
          <w:sz w:val="28"/>
          <w:szCs w:val="28"/>
        </w:rPr>
        <w:t xml:space="preserve"> “política de Estado de vivienda y hábitat</w:t>
      </w:r>
      <w:r w:rsidRPr="00E4401D">
        <w:rPr>
          <w:rFonts w:ascii="Times New Roman" w:hAnsi="Times New Roman" w:cs="Times New Roman"/>
          <w:sz w:val="28"/>
          <w:szCs w:val="28"/>
        </w:rPr>
        <w:t>”. Este contenido coincide con el de los artículos 289 y 297 de la Ley 2294 de 2023 y no con los art</w:t>
      </w:r>
      <w:r w:rsidRPr="00E4401D">
        <w:rPr>
          <w:rFonts w:ascii="Times New Roman" w:hAnsi="Times New Roman" w:cs="Times New Roman"/>
          <w:sz w:val="28"/>
          <w:szCs w:val="28"/>
        </w:rPr>
        <w:t xml:space="preserve">ículos 287 y 295 </w:t>
      </w:r>
      <w:r w:rsidRPr="00E4401D">
        <w:rPr>
          <w:rFonts w:ascii="Times New Roman" w:hAnsi="Times New Roman" w:cs="Times New Roman"/>
          <w:i/>
          <w:iCs/>
          <w:sz w:val="28"/>
          <w:szCs w:val="28"/>
        </w:rPr>
        <w:t>ejusdem</w:t>
      </w:r>
      <w:r w:rsidRPr="00E4401D">
        <w:rPr>
          <w:rFonts w:ascii="Times New Roman" w:hAnsi="Times New Roman" w:cs="Times New Roman"/>
          <w:sz w:val="28"/>
          <w:szCs w:val="28"/>
        </w:rPr>
        <w:t xml:space="preserve"> que en cambio tratan </w:t>
      </w:r>
      <w:r w:rsidRPr="00E4401D">
        <w:rPr>
          <w:rFonts w:ascii="Times New Roman" w:hAnsi="Times New Roman" w:cs="Times New Roman"/>
          <w:sz w:val="28"/>
          <w:szCs w:val="28"/>
        </w:rPr>
        <w:t>respectivamente</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sobre “</w:t>
      </w:r>
      <w:r w:rsidRPr="00E4401D">
        <w:rPr>
          <w:rFonts w:ascii="Times New Roman" w:hAnsi="Times New Roman" w:cs="Times New Roman"/>
          <w:i/>
          <w:iCs/>
          <w:sz w:val="28"/>
          <w:szCs w:val="28"/>
        </w:rPr>
        <w:t>destinación de las contraprestaciones derivadas del uso de la infraestructura de transporte concesionada</w:t>
      </w:r>
      <w:r w:rsidRPr="00E4401D">
        <w:rPr>
          <w:rFonts w:ascii="Times New Roman" w:hAnsi="Times New Roman" w:cs="Times New Roman"/>
          <w:sz w:val="28"/>
          <w:szCs w:val="28"/>
        </w:rPr>
        <w:t>” y “</w:t>
      </w:r>
      <w:r w:rsidRPr="00E4401D">
        <w:rPr>
          <w:rFonts w:ascii="Times New Roman" w:hAnsi="Times New Roman" w:cs="Times New Roman"/>
          <w:i/>
          <w:iCs/>
          <w:sz w:val="28"/>
          <w:szCs w:val="28"/>
        </w:rPr>
        <w:t>cierre programa de subsidio familiar de vivienda de interés social y prioritar</w:t>
      </w:r>
      <w:r w:rsidRPr="00E4401D">
        <w:rPr>
          <w:rFonts w:ascii="Times New Roman" w:hAnsi="Times New Roman" w:cs="Times New Roman"/>
          <w:i/>
          <w:iCs/>
          <w:sz w:val="28"/>
          <w:szCs w:val="28"/>
        </w:rPr>
        <w:t>io rural</w:t>
      </w:r>
      <w:r w:rsidRPr="00E4401D">
        <w:rPr>
          <w:rFonts w:ascii="Times New Roman" w:hAnsi="Times New Roman" w:cs="Times New Roman"/>
          <w:sz w:val="28"/>
          <w:szCs w:val="28"/>
        </w:rPr>
        <w:t>”.</w:t>
      </w:r>
    </w:p>
    <w:p w:rsidR="00F464C8" w:rsidRPr="00E4401D" w:rsidRDefault="00E4401D" w:rsidP="00F464C8">
      <w:pPr>
        <w:pStyle w:val="Prrafodelista"/>
        <w:tabs>
          <w:tab w:val="left" w:pos="540"/>
        </w:tabs>
        <w:ind w:left="0"/>
        <w:mirrorIndents/>
        <w:jc w:val="both"/>
        <w:rPr>
          <w:rFonts w:ascii="Times New Roman" w:hAnsi="Times New Roman" w:cs="Times New Roman"/>
          <w:sz w:val="28"/>
          <w:szCs w:val="28"/>
        </w:rPr>
      </w:pPr>
    </w:p>
    <w:p w:rsidR="00F464C8" w:rsidRPr="00E4401D" w:rsidRDefault="00E4401D" w:rsidP="00F464C8">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C</w:t>
      </w:r>
      <w:r w:rsidRPr="00E4401D">
        <w:rPr>
          <w:rFonts w:ascii="Times New Roman" w:hAnsi="Times New Roman" w:cs="Times New Roman"/>
          <w:sz w:val="28"/>
          <w:szCs w:val="28"/>
        </w:rPr>
        <w:t xml:space="preserve">onforme al precedente constitucional antes citado, </w:t>
      </w:r>
      <w:r w:rsidRPr="00E4401D">
        <w:rPr>
          <w:rFonts w:ascii="Times New Roman" w:hAnsi="Times New Roman" w:cs="Times New Roman"/>
          <w:sz w:val="28"/>
          <w:szCs w:val="28"/>
        </w:rPr>
        <w:t>la Sala Plena estima</w:t>
      </w:r>
      <w:r w:rsidRPr="00E4401D">
        <w:rPr>
          <w:rFonts w:ascii="Times New Roman" w:hAnsi="Times New Roman" w:cs="Times New Roman"/>
          <w:sz w:val="28"/>
          <w:szCs w:val="28"/>
        </w:rPr>
        <w:t xml:space="preserve"> que los errores mecanográficos cometidos por los accionantes no dan lugar a dictar un fallo inhibitorio, ya que resulta fácil deducir, como se ha dejado expuesto, que la d</w:t>
      </w:r>
      <w:r w:rsidRPr="00E4401D">
        <w:rPr>
          <w:rFonts w:ascii="Times New Roman" w:hAnsi="Times New Roman" w:cs="Times New Roman"/>
          <w:sz w:val="28"/>
          <w:szCs w:val="28"/>
        </w:rPr>
        <w:t>emanda se dirige contra los artículos 5, 61, 289 y 297 de la Ley 2294 de 2023</w:t>
      </w:r>
      <w:r w:rsidRPr="00E4401D">
        <w:rPr>
          <w:rFonts w:ascii="Times New Roman" w:hAnsi="Times New Roman" w:cs="Times New Roman"/>
          <w:sz w:val="28"/>
          <w:szCs w:val="28"/>
        </w:rPr>
        <w:t xml:space="preserve">. De modo que el error mecanográfico descrito </w:t>
      </w:r>
      <w:r w:rsidRPr="00E4401D">
        <w:rPr>
          <w:rFonts w:ascii="Times New Roman" w:hAnsi="Times New Roman" w:cs="Times New Roman"/>
          <w:sz w:val="28"/>
          <w:szCs w:val="28"/>
        </w:rPr>
        <w:t>no impide un pronunciamiento de fondo</w:t>
      </w:r>
      <w:r w:rsidRPr="00E4401D">
        <w:rPr>
          <w:rFonts w:ascii="Times New Roman" w:hAnsi="Times New Roman" w:cs="Times New Roman"/>
          <w:sz w:val="28"/>
          <w:szCs w:val="28"/>
        </w:rPr>
        <w:t>. Considerar lo contrario implicaría desconocer el principio de la p</w:t>
      </w:r>
      <w:r w:rsidRPr="00E4401D">
        <w:rPr>
          <w:rFonts w:ascii="Times New Roman" w:hAnsi="Times New Roman" w:cs="Times New Roman"/>
          <w:sz w:val="28"/>
          <w:szCs w:val="28"/>
        </w:rPr>
        <w:t>revalencia del derecho susta</w:t>
      </w:r>
      <w:r w:rsidRPr="00E4401D">
        <w:rPr>
          <w:rFonts w:ascii="Times New Roman" w:hAnsi="Times New Roman" w:cs="Times New Roman"/>
          <w:sz w:val="28"/>
          <w:szCs w:val="28"/>
        </w:rPr>
        <w:t>ncial sobre el forma</w:t>
      </w:r>
      <w:r w:rsidRPr="00E4401D">
        <w:rPr>
          <w:rFonts w:ascii="Times New Roman" w:hAnsi="Times New Roman" w:cs="Times New Roman"/>
          <w:sz w:val="28"/>
          <w:szCs w:val="28"/>
        </w:rPr>
        <w:t>l, y por esa vía hacer nugatorios los derechos de los accionantes a la participación y el acceso a la administración de justicia.</w:t>
      </w:r>
    </w:p>
    <w:p w:rsidR="00F464C8" w:rsidRPr="00E4401D" w:rsidRDefault="00E4401D" w:rsidP="00F464C8">
      <w:pPr>
        <w:pStyle w:val="Prrafodelista"/>
        <w:ind w:left="0"/>
        <w:jc w:val="both"/>
        <w:rPr>
          <w:rFonts w:ascii="Times New Roman" w:hAnsi="Times New Roman" w:cs="Times New Roman"/>
          <w:sz w:val="28"/>
          <w:szCs w:val="28"/>
        </w:rPr>
      </w:pPr>
    </w:p>
    <w:p w:rsidR="00F464C8" w:rsidRPr="00E4401D" w:rsidRDefault="00E4401D" w:rsidP="00F464C8">
      <w:pPr>
        <w:pStyle w:val="Prrafodelista"/>
        <w:ind w:left="0"/>
        <w:jc w:val="both"/>
        <w:rPr>
          <w:rFonts w:ascii="Times New Roman" w:hAnsi="Times New Roman" w:cs="Times New Roman"/>
          <w:sz w:val="28"/>
          <w:szCs w:val="28"/>
        </w:rPr>
      </w:pPr>
    </w:p>
    <w:p w:rsidR="00F464C8" w:rsidRPr="00E4401D" w:rsidRDefault="00E4401D" w:rsidP="00F464C8">
      <w:pPr>
        <w:pStyle w:val="Ttulo2"/>
        <w:numPr>
          <w:ilvl w:val="0"/>
          <w:numId w:val="6"/>
        </w:numPr>
        <w:ind w:left="0" w:firstLine="0"/>
        <w:rPr>
          <w:rFonts w:ascii="Times New Roman" w:hAnsi="Times New Roman" w:cs="Times New Roman"/>
          <w:b/>
          <w:bCs/>
          <w:color w:val="auto"/>
          <w:sz w:val="28"/>
          <w:szCs w:val="28"/>
        </w:rPr>
      </w:pPr>
      <w:r w:rsidRPr="00E4401D">
        <w:rPr>
          <w:rFonts w:ascii="Times New Roman" w:hAnsi="Times New Roman" w:cs="Times New Roman"/>
          <w:b/>
          <w:bCs/>
          <w:color w:val="auto"/>
          <w:sz w:val="28"/>
          <w:szCs w:val="28"/>
        </w:rPr>
        <w:t>Norma demandada</w:t>
      </w:r>
    </w:p>
    <w:p w:rsidR="00F464C8" w:rsidRPr="00E4401D" w:rsidRDefault="00E4401D" w:rsidP="00F464C8">
      <w:pPr>
        <w:pStyle w:val="Prrafodelista"/>
        <w:tabs>
          <w:tab w:val="left" w:pos="540"/>
        </w:tabs>
        <w:ind w:left="0"/>
        <w:mirrorIndents/>
        <w:jc w:val="both"/>
        <w:rPr>
          <w:rFonts w:ascii="Times New Roman" w:hAnsi="Times New Roman" w:cs="Times New Roman"/>
          <w:sz w:val="28"/>
          <w:szCs w:val="28"/>
        </w:rPr>
      </w:pPr>
    </w:p>
    <w:p w:rsidR="00F464C8" w:rsidRPr="00E4401D" w:rsidRDefault="00E4401D" w:rsidP="00F464C8">
      <w:pPr>
        <w:pStyle w:val="Prrafodelista"/>
        <w:numPr>
          <w:ilvl w:val="0"/>
          <w:numId w:val="3"/>
        </w:numPr>
        <w:tabs>
          <w:tab w:val="left" w:pos="540"/>
        </w:tabs>
        <w:ind w:left="0" w:firstLine="0"/>
        <w:mirrorIndents/>
        <w:jc w:val="both"/>
        <w:rPr>
          <w:rFonts w:ascii="Times New Roman" w:hAnsi="Times New Roman" w:cs="Times New Roman"/>
          <w:color w:val="000000" w:themeColor="text1"/>
          <w:sz w:val="28"/>
          <w:szCs w:val="28"/>
        </w:rPr>
      </w:pPr>
      <w:r w:rsidRPr="00E4401D">
        <w:rPr>
          <w:rFonts w:ascii="Times New Roman" w:hAnsi="Times New Roman" w:cs="Times New Roman"/>
          <w:sz w:val="28"/>
          <w:szCs w:val="28"/>
        </w:rPr>
        <w:t xml:space="preserve">Habida cuenta de la claridad </w:t>
      </w:r>
      <w:r w:rsidRPr="00E4401D">
        <w:rPr>
          <w:rFonts w:ascii="Times New Roman" w:hAnsi="Times New Roman" w:cs="Times New Roman"/>
          <w:sz w:val="28"/>
          <w:szCs w:val="28"/>
        </w:rPr>
        <w:t xml:space="preserve">precedente </w:t>
      </w:r>
      <w:r w:rsidRPr="00E4401D">
        <w:rPr>
          <w:rFonts w:ascii="Times New Roman" w:hAnsi="Times New Roman" w:cs="Times New Roman"/>
          <w:sz w:val="28"/>
          <w:szCs w:val="28"/>
        </w:rPr>
        <w:t xml:space="preserve">sobre el objeto de la demanda, se transcribirá </w:t>
      </w:r>
      <w:r w:rsidRPr="00E4401D">
        <w:rPr>
          <w:rFonts w:ascii="Times New Roman" w:hAnsi="Times New Roman" w:cs="Times New Roman"/>
          <w:sz w:val="28"/>
          <w:szCs w:val="28"/>
        </w:rPr>
        <w:t>el texto subrayado, que corresponde a lo demandado:</w:t>
      </w:r>
    </w:p>
    <w:p w:rsidR="00F464C8" w:rsidRPr="00E4401D" w:rsidRDefault="00E4401D" w:rsidP="00F464C8">
      <w:pPr>
        <w:tabs>
          <w:tab w:val="left" w:pos="540"/>
          <w:tab w:val="num" w:pos="1080"/>
        </w:tabs>
        <w:mirrorIndents/>
        <w:jc w:val="both"/>
        <w:rPr>
          <w:rFonts w:ascii="Times New Roman" w:hAnsi="Times New Roman" w:cs="Times New Roman"/>
          <w:color w:val="000000" w:themeColor="text1"/>
          <w:sz w:val="28"/>
          <w:szCs w:val="26"/>
        </w:rPr>
      </w:pPr>
    </w:p>
    <w:p w:rsidR="00F464C8" w:rsidRPr="00E4401D" w:rsidRDefault="00E4401D" w:rsidP="00F464C8">
      <w:pPr>
        <w:pStyle w:val="centrado"/>
        <w:spacing w:before="0" w:beforeAutospacing="0" w:after="0" w:afterAutospacing="0" w:line="270" w:lineRule="atLeast"/>
        <w:ind w:left="283"/>
        <w:jc w:val="center"/>
        <w:rPr>
          <w:rStyle w:val="baj"/>
          <w:rFonts w:ascii="Times New Roman" w:hAnsi="Times New Roman" w:cs="Times New Roman"/>
          <w:i/>
          <w:iCs/>
          <w:sz w:val="28"/>
          <w:szCs w:val="26"/>
        </w:rPr>
      </w:pPr>
    </w:p>
    <w:p w:rsidR="00F464C8" w:rsidRPr="00E4401D" w:rsidRDefault="00E4401D" w:rsidP="00F464C8">
      <w:pPr>
        <w:pStyle w:val="centrado"/>
        <w:spacing w:before="0" w:beforeAutospacing="0" w:after="0" w:afterAutospacing="0" w:line="270" w:lineRule="atLeast"/>
        <w:ind w:left="567" w:right="567"/>
        <w:jc w:val="center"/>
        <w:rPr>
          <w:rStyle w:val="baj"/>
          <w:rFonts w:ascii="Times New Roman" w:hAnsi="Times New Roman" w:cs="Times New Roman"/>
          <w:b/>
          <w:i/>
          <w:sz w:val="28"/>
          <w:szCs w:val="26"/>
        </w:rPr>
      </w:pPr>
      <w:r w:rsidRPr="00E4401D">
        <w:rPr>
          <w:rFonts w:ascii="Times New Roman" w:hAnsi="Times New Roman" w:cs="Times New Roman"/>
          <w:i/>
          <w:sz w:val="28"/>
          <w:szCs w:val="26"/>
        </w:rPr>
        <w:t>“</w:t>
      </w:r>
      <w:r w:rsidRPr="00E4401D">
        <w:rPr>
          <w:rStyle w:val="baj"/>
          <w:rFonts w:ascii="Times New Roman" w:hAnsi="Times New Roman" w:cs="Times New Roman"/>
          <w:b/>
          <w:i/>
          <w:sz w:val="28"/>
          <w:szCs w:val="26"/>
        </w:rPr>
        <w:t>LEY 2294 DE 2023</w:t>
      </w:r>
      <w:r w:rsidRPr="00E4401D">
        <w:rPr>
          <w:rStyle w:val="Refdenotaalpie"/>
          <w:rFonts w:ascii="Times New Roman" w:eastAsiaTheme="majorEastAsia" w:hAnsi="Times New Roman" w:cs="Times New Roman"/>
          <w:b/>
          <w:i/>
          <w:sz w:val="28"/>
          <w:szCs w:val="26"/>
        </w:rPr>
        <w:footnoteReference w:id="6"/>
      </w: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i/>
          <w:sz w:val="28"/>
          <w:szCs w:val="26"/>
        </w:rPr>
      </w:pP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i/>
          <w:iCs/>
          <w:sz w:val="28"/>
          <w:szCs w:val="26"/>
        </w:rPr>
      </w:pPr>
      <w:r w:rsidRPr="00E4401D">
        <w:rPr>
          <w:rFonts w:ascii="Times New Roman" w:hAnsi="Times New Roman" w:cs="Times New Roman"/>
          <w:i/>
          <w:iCs/>
          <w:sz w:val="28"/>
          <w:szCs w:val="26"/>
        </w:rPr>
        <w:t>por el cual se expide el Plan Nacional de Desarrollo 2022-2026</w:t>
      </w: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i/>
          <w:iCs/>
          <w:sz w:val="28"/>
          <w:szCs w:val="26"/>
        </w:rPr>
      </w:pPr>
      <w:r w:rsidRPr="00E4401D">
        <w:rPr>
          <w:rFonts w:ascii="Times New Roman" w:hAnsi="Times New Roman" w:cs="Times New Roman"/>
          <w:i/>
          <w:iCs/>
          <w:sz w:val="28"/>
          <w:szCs w:val="26"/>
        </w:rPr>
        <w:t>“Colombia Potencia Mundial de la Vida”</w:t>
      </w: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i/>
          <w:iCs/>
          <w:sz w:val="28"/>
          <w:szCs w:val="26"/>
        </w:rPr>
      </w:pPr>
    </w:p>
    <w:p w:rsidR="00F464C8" w:rsidRPr="00E4401D" w:rsidRDefault="00E4401D" w:rsidP="00F464C8">
      <w:pPr>
        <w:pStyle w:val="centrado"/>
        <w:spacing w:before="0" w:beforeAutospacing="0" w:after="0" w:afterAutospacing="0" w:line="270" w:lineRule="atLeast"/>
        <w:ind w:left="567" w:right="567"/>
        <w:jc w:val="center"/>
        <w:rPr>
          <w:rStyle w:val="baj"/>
          <w:rFonts w:ascii="Times New Roman" w:hAnsi="Times New Roman" w:cs="Times New Roman"/>
          <w:b/>
          <w:i/>
          <w:sz w:val="28"/>
          <w:szCs w:val="26"/>
        </w:rPr>
      </w:pPr>
      <w:r w:rsidRPr="00E4401D">
        <w:rPr>
          <w:rStyle w:val="baj"/>
          <w:rFonts w:ascii="Times New Roman" w:hAnsi="Times New Roman" w:cs="Times New Roman"/>
          <w:b/>
          <w:i/>
          <w:sz w:val="28"/>
          <w:szCs w:val="26"/>
        </w:rPr>
        <w:t>EL CONGRESO DE COLOMBIA</w:t>
      </w:r>
    </w:p>
    <w:p w:rsidR="00F464C8" w:rsidRPr="00E4401D" w:rsidRDefault="00E4401D" w:rsidP="00F464C8">
      <w:pPr>
        <w:pStyle w:val="centrado"/>
        <w:spacing w:before="0" w:beforeAutospacing="0" w:after="0" w:afterAutospacing="0" w:line="270" w:lineRule="atLeast"/>
        <w:ind w:left="567" w:right="567"/>
        <w:jc w:val="center"/>
        <w:rPr>
          <w:rStyle w:val="baj"/>
          <w:rFonts w:ascii="Times New Roman" w:hAnsi="Times New Roman" w:cs="Times New Roman"/>
          <w:i/>
          <w:sz w:val="28"/>
          <w:szCs w:val="26"/>
        </w:rPr>
      </w:pPr>
    </w:p>
    <w:p w:rsidR="00F464C8" w:rsidRPr="00E4401D" w:rsidRDefault="00E4401D" w:rsidP="00F464C8">
      <w:pPr>
        <w:pStyle w:val="centrado"/>
        <w:spacing w:before="0" w:beforeAutospacing="0" w:after="0" w:afterAutospacing="0" w:line="270" w:lineRule="atLeast"/>
        <w:ind w:left="567" w:right="567"/>
        <w:jc w:val="center"/>
        <w:rPr>
          <w:rStyle w:val="baj"/>
          <w:rFonts w:ascii="Times New Roman" w:hAnsi="Times New Roman" w:cs="Times New Roman"/>
          <w:b/>
          <w:i/>
          <w:sz w:val="28"/>
          <w:szCs w:val="26"/>
        </w:rPr>
      </w:pPr>
      <w:r w:rsidRPr="00E4401D">
        <w:rPr>
          <w:rStyle w:val="baj"/>
          <w:rFonts w:ascii="Times New Roman" w:hAnsi="Times New Roman" w:cs="Times New Roman"/>
          <w:b/>
          <w:i/>
          <w:sz w:val="28"/>
          <w:szCs w:val="26"/>
        </w:rPr>
        <w:t>DECRETA:</w:t>
      </w:r>
    </w:p>
    <w:p w:rsidR="00F464C8" w:rsidRPr="00E4401D" w:rsidRDefault="00E4401D" w:rsidP="00F464C8">
      <w:pPr>
        <w:pStyle w:val="centrado"/>
        <w:spacing w:before="0" w:beforeAutospacing="0" w:after="0" w:afterAutospacing="0" w:line="270" w:lineRule="atLeast"/>
        <w:ind w:left="567" w:right="567"/>
        <w:jc w:val="center"/>
        <w:rPr>
          <w:rStyle w:val="baj"/>
          <w:rFonts w:ascii="Times New Roman" w:hAnsi="Times New Roman" w:cs="Times New Roman"/>
          <w:bCs/>
          <w:i/>
          <w:sz w:val="28"/>
          <w:szCs w:val="26"/>
        </w:rPr>
      </w:pPr>
    </w:p>
    <w:p w:rsidR="00F464C8" w:rsidRPr="00E4401D" w:rsidRDefault="00E4401D" w:rsidP="00F464C8">
      <w:pPr>
        <w:pStyle w:val="centrado"/>
        <w:spacing w:before="0" w:beforeAutospacing="0" w:after="0" w:afterAutospacing="0" w:line="270" w:lineRule="atLeast"/>
        <w:ind w:left="567" w:right="567"/>
        <w:jc w:val="center"/>
        <w:rPr>
          <w:rStyle w:val="baj"/>
          <w:rFonts w:ascii="Times New Roman" w:hAnsi="Times New Roman" w:cs="Times New Roman"/>
          <w:bCs/>
          <w:i/>
          <w:sz w:val="28"/>
          <w:szCs w:val="26"/>
        </w:rPr>
      </w:pPr>
      <w:r w:rsidRPr="00E4401D">
        <w:rPr>
          <w:rStyle w:val="baj"/>
          <w:rFonts w:ascii="Times New Roman" w:hAnsi="Times New Roman" w:cs="Times New Roman"/>
          <w:bCs/>
          <w:i/>
          <w:sz w:val="28"/>
          <w:szCs w:val="26"/>
        </w:rPr>
        <w:t>(…)</w:t>
      </w:r>
    </w:p>
    <w:p w:rsidR="00F464C8" w:rsidRPr="00E4401D" w:rsidRDefault="00E4401D" w:rsidP="00F464C8">
      <w:pPr>
        <w:pStyle w:val="centrado"/>
        <w:spacing w:before="0" w:beforeAutospacing="0" w:after="0" w:afterAutospacing="0" w:line="270" w:lineRule="atLeast"/>
        <w:ind w:left="567" w:right="567"/>
        <w:jc w:val="center"/>
        <w:rPr>
          <w:rStyle w:val="baj"/>
          <w:rFonts w:ascii="Times New Roman" w:hAnsi="Times New Roman" w:cs="Times New Roman"/>
          <w:bCs/>
          <w:i/>
          <w:sz w:val="28"/>
          <w:szCs w:val="26"/>
        </w:rPr>
      </w:pPr>
    </w:p>
    <w:p w:rsidR="00F464C8" w:rsidRPr="00E4401D" w:rsidRDefault="00E4401D" w:rsidP="00F464C8">
      <w:pPr>
        <w:pStyle w:val="centrado"/>
        <w:spacing w:before="0" w:beforeAutospacing="0" w:after="0" w:afterAutospacing="0" w:line="270" w:lineRule="atLeast"/>
        <w:ind w:left="567" w:right="567"/>
        <w:jc w:val="center"/>
        <w:rPr>
          <w:rStyle w:val="baj"/>
          <w:rFonts w:ascii="Times New Roman" w:hAnsi="Times New Roman" w:cs="Times New Roman"/>
          <w:b/>
          <w:i/>
          <w:sz w:val="28"/>
          <w:szCs w:val="26"/>
        </w:rPr>
      </w:pPr>
      <w:r w:rsidRPr="00E4401D">
        <w:rPr>
          <w:rStyle w:val="baj"/>
          <w:rFonts w:ascii="Times New Roman" w:hAnsi="Times New Roman" w:cs="Times New Roman"/>
          <w:b/>
          <w:i/>
          <w:sz w:val="28"/>
          <w:szCs w:val="26"/>
        </w:rPr>
        <w:t>TÍTULO II</w:t>
      </w:r>
    </w:p>
    <w:p w:rsidR="00F464C8" w:rsidRPr="00E4401D" w:rsidRDefault="00E4401D" w:rsidP="00F464C8">
      <w:pPr>
        <w:pStyle w:val="centrado"/>
        <w:spacing w:before="0" w:beforeAutospacing="0" w:after="0" w:afterAutospacing="0" w:line="270" w:lineRule="atLeast"/>
        <w:ind w:left="567" w:right="567"/>
        <w:jc w:val="center"/>
        <w:rPr>
          <w:rStyle w:val="baj"/>
          <w:rFonts w:ascii="Times New Roman" w:hAnsi="Times New Roman" w:cs="Times New Roman"/>
          <w:b/>
          <w:i/>
          <w:sz w:val="28"/>
          <w:szCs w:val="26"/>
        </w:rPr>
      </w:pPr>
      <w:r w:rsidRPr="00E4401D">
        <w:rPr>
          <w:rStyle w:val="baj"/>
          <w:rFonts w:ascii="Times New Roman" w:hAnsi="Times New Roman" w:cs="Times New Roman"/>
          <w:b/>
          <w:i/>
          <w:sz w:val="28"/>
          <w:szCs w:val="26"/>
        </w:rPr>
        <w:t xml:space="preserve">PLAN DE INVERSIONES Y </w:t>
      </w:r>
      <w:r w:rsidRPr="00E4401D">
        <w:rPr>
          <w:rStyle w:val="baj"/>
          <w:rFonts w:ascii="Times New Roman" w:hAnsi="Times New Roman" w:cs="Times New Roman"/>
          <w:b/>
          <w:i/>
          <w:sz w:val="28"/>
          <w:szCs w:val="26"/>
        </w:rPr>
        <w:t>PRESUPUESTOS PLURIANUALES</w:t>
      </w:r>
      <w:bookmarkStart w:id="6" w:name="5"/>
    </w:p>
    <w:p w:rsidR="00F464C8" w:rsidRPr="00E4401D" w:rsidRDefault="00E4401D" w:rsidP="00F464C8">
      <w:pPr>
        <w:pStyle w:val="centrado"/>
        <w:spacing w:before="0" w:beforeAutospacing="0" w:after="0" w:afterAutospacing="0" w:line="270" w:lineRule="atLeast"/>
        <w:ind w:left="567" w:right="567"/>
        <w:jc w:val="center"/>
        <w:rPr>
          <w:rStyle w:val="baj"/>
          <w:rFonts w:ascii="Times New Roman" w:hAnsi="Times New Roman" w:cs="Times New Roman"/>
          <w:b/>
          <w:i/>
          <w:sz w:val="28"/>
          <w:szCs w:val="26"/>
        </w:rPr>
      </w:pPr>
    </w:p>
    <w:p w:rsidR="00F464C8" w:rsidRPr="00E4401D" w:rsidRDefault="00E4401D" w:rsidP="00F464C8">
      <w:pPr>
        <w:pStyle w:val="centrado"/>
        <w:spacing w:before="0" w:beforeAutospacing="0" w:after="0" w:afterAutospacing="0" w:line="270" w:lineRule="atLeast"/>
        <w:ind w:left="567" w:right="567"/>
        <w:jc w:val="both"/>
        <w:rPr>
          <w:rFonts w:ascii="Times New Roman" w:hAnsi="Times New Roman" w:cs="Times New Roman"/>
          <w:i/>
          <w:iCs/>
          <w:sz w:val="28"/>
          <w:szCs w:val="26"/>
        </w:rPr>
      </w:pPr>
      <w:r w:rsidRPr="00E4401D">
        <w:rPr>
          <w:rFonts w:ascii="Times New Roman" w:hAnsi="Times New Roman" w:cs="Times New Roman"/>
          <w:b/>
          <w:bCs/>
          <w:i/>
          <w:iCs/>
          <w:sz w:val="28"/>
          <w:szCs w:val="26"/>
        </w:rPr>
        <w:t>Artículo 5º. Plan Nacional de Inversiones Públicas 2023-2026.</w:t>
      </w:r>
      <w:bookmarkEnd w:id="6"/>
      <w:r w:rsidRPr="00E4401D">
        <w:rPr>
          <w:rFonts w:ascii="Times New Roman" w:hAnsi="Times New Roman" w:cs="Times New Roman"/>
          <w:i/>
          <w:iCs/>
          <w:sz w:val="28"/>
          <w:szCs w:val="26"/>
        </w:rPr>
        <w:t xml:space="preserve"> El Plan Nacional de Inversiones Públicas 2023-2026, se estima en un valor de 1.154,8 billones, a pesos constantes de 2022, el cual incluye el componente Plan Plurianual de Inversiones para la Paz de forma transversal y que se estima en un valor de 50,4 bi</w:t>
      </w:r>
      <w:r w:rsidRPr="00E4401D">
        <w:rPr>
          <w:rFonts w:ascii="Times New Roman" w:hAnsi="Times New Roman" w:cs="Times New Roman"/>
          <w:i/>
          <w:iCs/>
          <w:sz w:val="28"/>
          <w:szCs w:val="26"/>
        </w:rPr>
        <w:t>llones, a pesos constantes de 2022, cuyos anexos hacen parte integral de la presente ley.</w:t>
      </w:r>
      <w:bookmarkStart w:id="7" w:name="TÍTULO_I"/>
    </w:p>
    <w:p w:rsidR="00F464C8" w:rsidRPr="00E4401D" w:rsidRDefault="00E4401D" w:rsidP="00F464C8">
      <w:pPr>
        <w:pStyle w:val="centrado"/>
        <w:spacing w:before="0" w:beforeAutospacing="0" w:after="0" w:afterAutospacing="0" w:line="270" w:lineRule="atLeast"/>
        <w:ind w:left="567" w:right="567"/>
        <w:jc w:val="both"/>
        <w:rPr>
          <w:rFonts w:ascii="Times New Roman" w:hAnsi="Times New Roman" w:cs="Times New Roman"/>
          <w:i/>
          <w:iCs/>
          <w:sz w:val="28"/>
          <w:szCs w:val="26"/>
        </w:rPr>
      </w:pPr>
    </w:p>
    <w:p w:rsidR="00F464C8" w:rsidRPr="00E4401D" w:rsidRDefault="00E4401D" w:rsidP="00F464C8">
      <w:pPr>
        <w:pStyle w:val="centrado"/>
        <w:spacing w:before="0" w:beforeAutospacing="0" w:after="0" w:afterAutospacing="0" w:line="270" w:lineRule="atLeast"/>
        <w:ind w:left="567" w:right="567"/>
        <w:jc w:val="both"/>
        <w:rPr>
          <w:rFonts w:ascii="Times New Roman" w:hAnsi="Times New Roman" w:cs="Times New Roman"/>
          <w:b/>
          <w:i/>
          <w:sz w:val="28"/>
          <w:szCs w:val="26"/>
        </w:rPr>
      </w:pPr>
      <w:r w:rsidRPr="00E4401D">
        <w:rPr>
          <w:rFonts w:ascii="Times New Roman" w:hAnsi="Times New Roman" w:cs="Times New Roman"/>
          <w:i/>
          <w:iCs/>
          <w:sz w:val="28"/>
          <w:szCs w:val="26"/>
        </w:rPr>
        <w:t>La inversión pública permitirá que el sector privado apalanque inversión adicional en un monto indicativo de 949,7 billones a precios constantes de 2022.</w:t>
      </w:r>
      <w:r w:rsidRPr="00E4401D">
        <w:rPr>
          <w:rFonts w:ascii="Times New Roman" w:hAnsi="Times New Roman" w:cs="Times New Roman"/>
          <w:i/>
          <w:iCs/>
          <w:sz w:val="28"/>
          <w:szCs w:val="26"/>
        </w:rPr>
        <w:t xml:space="preserve"> (…)</w:t>
      </w:r>
    </w:p>
    <w:p w:rsidR="00F464C8" w:rsidRPr="00E4401D" w:rsidRDefault="00E4401D" w:rsidP="00F464C8">
      <w:pPr>
        <w:pStyle w:val="centrado"/>
        <w:ind w:left="567" w:right="567"/>
        <w:jc w:val="center"/>
        <w:rPr>
          <w:rFonts w:ascii="Times New Roman" w:hAnsi="Times New Roman" w:cs="Times New Roman"/>
          <w:i/>
          <w:iCs/>
          <w:sz w:val="28"/>
          <w:szCs w:val="26"/>
        </w:rPr>
      </w:pPr>
      <w:r w:rsidRPr="00E4401D">
        <w:rPr>
          <w:rStyle w:val="baj"/>
          <w:rFonts w:ascii="Times New Roman" w:hAnsi="Times New Roman" w:cs="Times New Roman"/>
          <w:b/>
          <w:bCs/>
          <w:i/>
          <w:iCs/>
          <w:sz w:val="28"/>
          <w:szCs w:val="26"/>
        </w:rPr>
        <w:t xml:space="preserve">Tabla </w:t>
      </w:r>
      <w:r w:rsidRPr="00E4401D">
        <w:rPr>
          <w:rStyle w:val="baj"/>
          <w:rFonts w:ascii="Times New Roman" w:hAnsi="Times New Roman" w:cs="Times New Roman"/>
          <w:b/>
          <w:bCs/>
          <w:i/>
          <w:iCs/>
          <w:sz w:val="28"/>
          <w:szCs w:val="26"/>
        </w:rPr>
        <w:t>I. Fuentes que Financian el Plan de Inversiones Públicas</w:t>
      </w:r>
    </w:p>
    <w:p w:rsidR="00F464C8" w:rsidRPr="00E4401D" w:rsidRDefault="00E4401D" w:rsidP="00F464C8">
      <w:pPr>
        <w:pStyle w:val="centrado"/>
        <w:ind w:left="567" w:right="567"/>
        <w:jc w:val="center"/>
        <w:rPr>
          <w:rFonts w:ascii="Times New Roman" w:hAnsi="Times New Roman" w:cs="Times New Roman"/>
          <w:i/>
          <w:iCs/>
          <w:sz w:val="28"/>
          <w:szCs w:val="26"/>
        </w:rPr>
      </w:pPr>
      <w:r w:rsidRPr="00E4401D">
        <w:rPr>
          <w:rStyle w:val="baj"/>
          <w:rFonts w:ascii="Times New Roman" w:hAnsi="Times New Roman" w:cs="Times New Roman"/>
          <w:b/>
          <w:bCs/>
          <w:i/>
          <w:iCs/>
          <w:sz w:val="28"/>
          <w:szCs w:val="26"/>
        </w:rPr>
        <w:t>Cifras en billones de pesos de 2022</w:t>
      </w:r>
    </w:p>
    <w:tbl>
      <w:tblPr>
        <w:tblStyle w:val="Tablaconcuadrcula"/>
        <w:tblW w:w="4403" w:type="pct"/>
        <w:tblInd w:w="546" w:type="dxa"/>
        <w:tblLayout w:type="fixed"/>
        <w:tblLook w:val="04A0" w:firstRow="1" w:lastRow="0" w:firstColumn="1" w:lastColumn="0" w:noHBand="0" w:noVBand="1"/>
      </w:tblPr>
      <w:tblGrid>
        <w:gridCol w:w="2491"/>
        <w:gridCol w:w="2308"/>
        <w:gridCol w:w="2977"/>
      </w:tblGrid>
      <w:tr w:rsidR="00F464C8" w:rsidRPr="00E4401D" w:rsidTr="008A3C27">
        <w:trPr>
          <w:trHeight w:val="174"/>
        </w:trPr>
        <w:tc>
          <w:tcPr>
            <w:tcW w:w="1602" w:type="pct"/>
            <w:shd w:val="clear" w:color="auto" w:fill="D9D9D9" w:themeFill="background1" w:themeFillShade="D9"/>
            <w:hideMark/>
          </w:tcPr>
          <w:p w:rsidR="00F464C8" w:rsidRPr="00E4401D" w:rsidRDefault="00E4401D" w:rsidP="008A3C27">
            <w:pPr>
              <w:ind w:left="567" w:right="567"/>
              <w:jc w:val="both"/>
              <w:rPr>
                <w:rFonts w:ascii="Times New Roman" w:hAnsi="Times New Roman" w:cs="Times New Roman"/>
                <w:i/>
                <w:iCs/>
                <w:sz w:val="28"/>
              </w:rPr>
            </w:pPr>
            <w:r w:rsidRPr="00E4401D">
              <w:rPr>
                <w:rStyle w:val="baj"/>
                <w:rFonts w:ascii="Times New Roman" w:hAnsi="Times New Roman" w:cs="Times New Roman"/>
                <w:b/>
                <w:bCs/>
                <w:i/>
                <w:iCs/>
                <w:sz w:val="28"/>
              </w:rPr>
              <w:t>FUENTES</w:t>
            </w:r>
          </w:p>
        </w:tc>
        <w:tc>
          <w:tcPr>
            <w:tcW w:w="1484" w:type="pct"/>
            <w:shd w:val="clear" w:color="auto" w:fill="D9D9D9" w:themeFill="background1" w:themeFillShade="D9"/>
            <w:hideMark/>
          </w:tcPr>
          <w:p w:rsidR="00F464C8" w:rsidRPr="00E4401D" w:rsidRDefault="00E4401D" w:rsidP="008A3C27">
            <w:pPr>
              <w:ind w:left="567" w:right="567"/>
              <w:jc w:val="both"/>
              <w:rPr>
                <w:rFonts w:ascii="Times New Roman" w:hAnsi="Times New Roman" w:cs="Times New Roman"/>
                <w:i/>
                <w:iCs/>
                <w:sz w:val="28"/>
              </w:rPr>
            </w:pPr>
            <w:r w:rsidRPr="00E4401D">
              <w:rPr>
                <w:rStyle w:val="baj"/>
                <w:rFonts w:ascii="Times New Roman" w:hAnsi="Times New Roman" w:cs="Times New Roman"/>
                <w:b/>
                <w:bCs/>
                <w:i/>
                <w:iCs/>
                <w:sz w:val="28"/>
              </w:rPr>
              <w:t>2023-2026</w:t>
            </w:r>
          </w:p>
        </w:tc>
        <w:tc>
          <w:tcPr>
            <w:tcW w:w="1914" w:type="pct"/>
            <w:shd w:val="clear" w:color="auto" w:fill="D9D9D9" w:themeFill="background1" w:themeFillShade="D9"/>
            <w:hideMark/>
          </w:tcPr>
          <w:p w:rsidR="00F464C8" w:rsidRPr="00E4401D" w:rsidRDefault="00E4401D" w:rsidP="008A3C27">
            <w:pPr>
              <w:ind w:left="567" w:right="567"/>
              <w:jc w:val="both"/>
              <w:rPr>
                <w:rFonts w:ascii="Times New Roman" w:hAnsi="Times New Roman" w:cs="Times New Roman"/>
                <w:i/>
                <w:iCs/>
                <w:sz w:val="28"/>
              </w:rPr>
            </w:pPr>
            <w:r w:rsidRPr="00E4401D">
              <w:rPr>
                <w:rStyle w:val="baj"/>
                <w:rFonts w:ascii="Times New Roman" w:hAnsi="Times New Roman" w:cs="Times New Roman"/>
                <w:b/>
                <w:bCs/>
                <w:i/>
                <w:iCs/>
                <w:sz w:val="28"/>
              </w:rPr>
              <w:t>PARTICIPACIÓN</w:t>
            </w:r>
          </w:p>
        </w:tc>
      </w:tr>
      <w:tr w:rsidR="00F464C8" w:rsidRPr="00E4401D" w:rsidTr="008A3C27">
        <w:trPr>
          <w:trHeight w:val="276"/>
        </w:trPr>
        <w:tc>
          <w:tcPr>
            <w:tcW w:w="1602" w:type="pct"/>
            <w:hideMark/>
          </w:tcPr>
          <w:p w:rsidR="00F464C8" w:rsidRPr="00E4401D" w:rsidRDefault="00E4401D" w:rsidP="008A3C27">
            <w:pPr>
              <w:ind w:right="567"/>
              <w:rPr>
                <w:rFonts w:ascii="Times New Roman" w:hAnsi="Times New Roman" w:cs="Times New Roman"/>
                <w:i/>
                <w:iCs/>
                <w:sz w:val="28"/>
              </w:rPr>
            </w:pPr>
            <w:r w:rsidRPr="00E4401D">
              <w:rPr>
                <w:rFonts w:ascii="Times New Roman" w:hAnsi="Times New Roman" w:cs="Times New Roman"/>
                <w:i/>
                <w:iCs/>
                <w:sz w:val="28"/>
              </w:rPr>
              <w:t>PGN</w:t>
            </w:r>
          </w:p>
        </w:tc>
        <w:tc>
          <w:tcPr>
            <w:tcW w:w="1484" w:type="pct"/>
            <w:hideMark/>
          </w:tcPr>
          <w:p w:rsidR="00F464C8" w:rsidRPr="00E4401D" w:rsidRDefault="00E4401D" w:rsidP="008A3C27">
            <w:pPr>
              <w:ind w:right="567"/>
              <w:jc w:val="right"/>
              <w:rPr>
                <w:rFonts w:ascii="Times New Roman" w:hAnsi="Times New Roman" w:cs="Times New Roman"/>
                <w:i/>
                <w:iCs/>
                <w:sz w:val="28"/>
              </w:rPr>
            </w:pPr>
            <w:r w:rsidRPr="00E4401D">
              <w:rPr>
                <w:rFonts w:ascii="Times New Roman" w:hAnsi="Times New Roman" w:cs="Times New Roman"/>
                <w:i/>
                <w:iCs/>
                <w:sz w:val="28"/>
              </w:rPr>
              <w:t>577,4</w:t>
            </w:r>
          </w:p>
        </w:tc>
        <w:tc>
          <w:tcPr>
            <w:tcW w:w="1914"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50,0</w:t>
            </w:r>
          </w:p>
        </w:tc>
      </w:tr>
      <w:tr w:rsidR="00F464C8" w:rsidRPr="00E4401D" w:rsidTr="008A3C27">
        <w:trPr>
          <w:trHeight w:val="264"/>
        </w:trPr>
        <w:tc>
          <w:tcPr>
            <w:tcW w:w="1602" w:type="pct"/>
            <w:hideMark/>
          </w:tcPr>
          <w:p w:rsidR="00F464C8" w:rsidRPr="00E4401D" w:rsidRDefault="00E4401D" w:rsidP="008A3C27">
            <w:pPr>
              <w:ind w:right="567"/>
              <w:rPr>
                <w:rFonts w:ascii="Times New Roman" w:hAnsi="Times New Roman" w:cs="Times New Roman"/>
                <w:i/>
                <w:iCs/>
                <w:sz w:val="28"/>
              </w:rPr>
            </w:pPr>
            <w:r w:rsidRPr="00E4401D">
              <w:rPr>
                <w:rFonts w:ascii="Times New Roman" w:hAnsi="Times New Roman" w:cs="Times New Roman"/>
                <w:i/>
                <w:iCs/>
                <w:sz w:val="28"/>
              </w:rPr>
              <w:t>SGP</w:t>
            </w:r>
          </w:p>
        </w:tc>
        <w:tc>
          <w:tcPr>
            <w:tcW w:w="1484" w:type="pct"/>
            <w:hideMark/>
          </w:tcPr>
          <w:p w:rsidR="00F464C8" w:rsidRPr="00E4401D" w:rsidRDefault="00E4401D" w:rsidP="008A3C27">
            <w:pPr>
              <w:ind w:right="567"/>
              <w:jc w:val="right"/>
              <w:rPr>
                <w:rFonts w:ascii="Times New Roman" w:hAnsi="Times New Roman" w:cs="Times New Roman"/>
                <w:i/>
                <w:iCs/>
                <w:sz w:val="28"/>
              </w:rPr>
            </w:pPr>
            <w:r w:rsidRPr="00E4401D">
              <w:rPr>
                <w:rFonts w:ascii="Times New Roman" w:hAnsi="Times New Roman" w:cs="Times New Roman"/>
                <w:i/>
                <w:iCs/>
                <w:sz w:val="28"/>
              </w:rPr>
              <w:t>268,8</w:t>
            </w:r>
          </w:p>
        </w:tc>
        <w:tc>
          <w:tcPr>
            <w:tcW w:w="1914"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23,3</w:t>
            </w:r>
          </w:p>
        </w:tc>
      </w:tr>
      <w:tr w:rsidR="00F464C8" w:rsidRPr="00E4401D" w:rsidTr="008A3C27">
        <w:trPr>
          <w:trHeight w:val="554"/>
        </w:trPr>
        <w:tc>
          <w:tcPr>
            <w:tcW w:w="1602" w:type="pct"/>
            <w:hideMark/>
          </w:tcPr>
          <w:p w:rsidR="00F464C8" w:rsidRPr="00E4401D" w:rsidRDefault="00E4401D" w:rsidP="008A3C27">
            <w:pPr>
              <w:ind w:right="567"/>
              <w:rPr>
                <w:rFonts w:ascii="Times New Roman" w:hAnsi="Times New Roman" w:cs="Times New Roman"/>
                <w:i/>
                <w:iCs/>
                <w:sz w:val="28"/>
              </w:rPr>
            </w:pPr>
            <w:r w:rsidRPr="00E4401D">
              <w:rPr>
                <w:rFonts w:ascii="Times New Roman" w:hAnsi="Times New Roman" w:cs="Times New Roman"/>
                <w:i/>
                <w:iCs/>
                <w:sz w:val="28"/>
              </w:rPr>
              <w:t>Territoriales</w:t>
            </w:r>
          </w:p>
        </w:tc>
        <w:tc>
          <w:tcPr>
            <w:tcW w:w="1484" w:type="pct"/>
            <w:hideMark/>
          </w:tcPr>
          <w:p w:rsidR="00F464C8" w:rsidRPr="00E4401D" w:rsidRDefault="00E4401D" w:rsidP="008A3C27">
            <w:pPr>
              <w:ind w:right="567"/>
              <w:jc w:val="right"/>
              <w:rPr>
                <w:rFonts w:ascii="Times New Roman" w:hAnsi="Times New Roman" w:cs="Times New Roman"/>
                <w:i/>
                <w:iCs/>
                <w:sz w:val="28"/>
              </w:rPr>
            </w:pPr>
            <w:r w:rsidRPr="00E4401D">
              <w:rPr>
                <w:rFonts w:ascii="Times New Roman" w:hAnsi="Times New Roman" w:cs="Times New Roman"/>
                <w:i/>
                <w:iCs/>
                <w:sz w:val="28"/>
              </w:rPr>
              <w:t>145,8</w:t>
            </w:r>
          </w:p>
        </w:tc>
        <w:tc>
          <w:tcPr>
            <w:tcW w:w="1914"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12,6</w:t>
            </w:r>
          </w:p>
        </w:tc>
      </w:tr>
      <w:tr w:rsidR="00F464C8" w:rsidRPr="00E4401D" w:rsidTr="008A3C27">
        <w:trPr>
          <w:trHeight w:val="554"/>
        </w:trPr>
        <w:tc>
          <w:tcPr>
            <w:tcW w:w="1602" w:type="pct"/>
            <w:hideMark/>
          </w:tcPr>
          <w:p w:rsidR="00F464C8" w:rsidRPr="00E4401D" w:rsidRDefault="00E4401D" w:rsidP="008A3C27">
            <w:pPr>
              <w:ind w:right="567"/>
              <w:rPr>
                <w:rFonts w:ascii="Times New Roman" w:hAnsi="Times New Roman" w:cs="Times New Roman"/>
                <w:i/>
                <w:iCs/>
                <w:sz w:val="28"/>
              </w:rPr>
            </w:pPr>
            <w:r w:rsidRPr="00E4401D">
              <w:rPr>
                <w:rFonts w:ascii="Times New Roman" w:hAnsi="Times New Roman" w:cs="Times New Roman"/>
                <w:i/>
                <w:iCs/>
                <w:sz w:val="28"/>
              </w:rPr>
              <w:t>Empresas públicas</w:t>
            </w:r>
          </w:p>
        </w:tc>
        <w:tc>
          <w:tcPr>
            <w:tcW w:w="1484" w:type="pct"/>
            <w:hideMark/>
          </w:tcPr>
          <w:p w:rsidR="00F464C8" w:rsidRPr="00E4401D" w:rsidRDefault="00E4401D" w:rsidP="008A3C27">
            <w:pPr>
              <w:ind w:right="567"/>
              <w:jc w:val="right"/>
              <w:rPr>
                <w:rFonts w:ascii="Times New Roman" w:hAnsi="Times New Roman" w:cs="Times New Roman"/>
                <w:i/>
                <w:iCs/>
                <w:sz w:val="28"/>
              </w:rPr>
            </w:pPr>
            <w:r w:rsidRPr="00E4401D">
              <w:rPr>
                <w:rFonts w:ascii="Times New Roman" w:hAnsi="Times New Roman" w:cs="Times New Roman"/>
                <w:i/>
                <w:iCs/>
                <w:sz w:val="28"/>
              </w:rPr>
              <w:t>106,4</w:t>
            </w:r>
          </w:p>
        </w:tc>
        <w:tc>
          <w:tcPr>
            <w:tcW w:w="1914"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9,2</w:t>
            </w:r>
          </w:p>
        </w:tc>
      </w:tr>
      <w:tr w:rsidR="00F464C8" w:rsidRPr="00E4401D" w:rsidTr="008A3C27">
        <w:trPr>
          <w:trHeight w:val="276"/>
        </w:trPr>
        <w:tc>
          <w:tcPr>
            <w:tcW w:w="1602" w:type="pct"/>
            <w:hideMark/>
          </w:tcPr>
          <w:p w:rsidR="00F464C8" w:rsidRPr="00E4401D" w:rsidRDefault="00E4401D" w:rsidP="008A3C27">
            <w:pPr>
              <w:ind w:right="567"/>
              <w:rPr>
                <w:rFonts w:ascii="Times New Roman" w:hAnsi="Times New Roman" w:cs="Times New Roman"/>
                <w:i/>
                <w:iCs/>
                <w:sz w:val="28"/>
              </w:rPr>
            </w:pPr>
            <w:r w:rsidRPr="00E4401D">
              <w:rPr>
                <w:rFonts w:ascii="Times New Roman" w:hAnsi="Times New Roman" w:cs="Times New Roman"/>
                <w:i/>
                <w:iCs/>
                <w:sz w:val="28"/>
              </w:rPr>
              <w:t>SGR</w:t>
            </w:r>
          </w:p>
        </w:tc>
        <w:tc>
          <w:tcPr>
            <w:tcW w:w="1484" w:type="pct"/>
            <w:hideMark/>
          </w:tcPr>
          <w:p w:rsidR="00F464C8" w:rsidRPr="00E4401D" w:rsidRDefault="00E4401D" w:rsidP="008A3C27">
            <w:pPr>
              <w:ind w:right="567"/>
              <w:jc w:val="right"/>
              <w:rPr>
                <w:rFonts w:ascii="Times New Roman" w:hAnsi="Times New Roman" w:cs="Times New Roman"/>
                <w:i/>
                <w:iCs/>
                <w:sz w:val="28"/>
              </w:rPr>
            </w:pPr>
            <w:r w:rsidRPr="00E4401D">
              <w:rPr>
                <w:rFonts w:ascii="Times New Roman" w:hAnsi="Times New Roman" w:cs="Times New Roman"/>
                <w:i/>
                <w:iCs/>
                <w:sz w:val="28"/>
              </w:rPr>
              <w:t>47,4</w:t>
            </w:r>
          </w:p>
        </w:tc>
        <w:tc>
          <w:tcPr>
            <w:tcW w:w="1914"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4,1</w:t>
            </w:r>
          </w:p>
        </w:tc>
      </w:tr>
      <w:tr w:rsidR="00F464C8" w:rsidRPr="00E4401D" w:rsidTr="008A3C27">
        <w:trPr>
          <w:trHeight w:val="554"/>
        </w:trPr>
        <w:tc>
          <w:tcPr>
            <w:tcW w:w="1602" w:type="pct"/>
            <w:hideMark/>
          </w:tcPr>
          <w:p w:rsidR="00F464C8" w:rsidRPr="00E4401D" w:rsidRDefault="00E4401D" w:rsidP="008A3C27">
            <w:pPr>
              <w:ind w:right="567"/>
              <w:rPr>
                <w:rFonts w:ascii="Times New Roman" w:hAnsi="Times New Roman" w:cs="Times New Roman"/>
                <w:i/>
                <w:iCs/>
                <w:sz w:val="28"/>
              </w:rPr>
            </w:pPr>
            <w:r w:rsidRPr="00E4401D">
              <w:rPr>
                <w:rFonts w:ascii="Times New Roman" w:hAnsi="Times New Roman" w:cs="Times New Roman"/>
                <w:i/>
                <w:iCs/>
                <w:sz w:val="28"/>
              </w:rPr>
              <w:t>Cooperación</w:t>
            </w:r>
          </w:p>
        </w:tc>
        <w:tc>
          <w:tcPr>
            <w:tcW w:w="1484" w:type="pct"/>
            <w:hideMark/>
          </w:tcPr>
          <w:p w:rsidR="00F464C8" w:rsidRPr="00E4401D" w:rsidRDefault="00E4401D" w:rsidP="008A3C27">
            <w:pPr>
              <w:ind w:right="567"/>
              <w:jc w:val="right"/>
              <w:rPr>
                <w:rFonts w:ascii="Times New Roman" w:hAnsi="Times New Roman" w:cs="Times New Roman"/>
                <w:i/>
                <w:iCs/>
                <w:sz w:val="28"/>
              </w:rPr>
            </w:pPr>
            <w:r w:rsidRPr="00E4401D">
              <w:rPr>
                <w:rFonts w:ascii="Times New Roman" w:hAnsi="Times New Roman" w:cs="Times New Roman"/>
                <w:i/>
                <w:iCs/>
                <w:sz w:val="28"/>
              </w:rPr>
              <w:t>9,1</w:t>
            </w:r>
          </w:p>
        </w:tc>
        <w:tc>
          <w:tcPr>
            <w:tcW w:w="1914"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0,8</w:t>
            </w:r>
          </w:p>
        </w:tc>
      </w:tr>
      <w:tr w:rsidR="00F464C8" w:rsidRPr="00E4401D" w:rsidTr="008A3C27">
        <w:trPr>
          <w:trHeight w:val="264"/>
        </w:trPr>
        <w:tc>
          <w:tcPr>
            <w:tcW w:w="1602" w:type="pct"/>
            <w:shd w:val="clear" w:color="auto" w:fill="D9D9D9" w:themeFill="background1" w:themeFillShade="D9"/>
            <w:hideMark/>
          </w:tcPr>
          <w:p w:rsidR="00F464C8" w:rsidRPr="00E4401D" w:rsidRDefault="00E4401D" w:rsidP="008A3C27">
            <w:pPr>
              <w:ind w:left="567" w:right="567"/>
              <w:rPr>
                <w:rFonts w:ascii="Times New Roman" w:hAnsi="Times New Roman" w:cs="Times New Roman"/>
                <w:i/>
                <w:iCs/>
                <w:sz w:val="28"/>
              </w:rPr>
            </w:pPr>
            <w:r w:rsidRPr="00E4401D">
              <w:rPr>
                <w:rStyle w:val="baj"/>
                <w:rFonts w:ascii="Times New Roman" w:hAnsi="Times New Roman" w:cs="Times New Roman"/>
                <w:b/>
                <w:bCs/>
                <w:i/>
                <w:iCs/>
                <w:sz w:val="28"/>
              </w:rPr>
              <w:t>TOTAL</w:t>
            </w:r>
          </w:p>
        </w:tc>
        <w:tc>
          <w:tcPr>
            <w:tcW w:w="1484" w:type="pct"/>
            <w:shd w:val="clear" w:color="auto" w:fill="D9D9D9" w:themeFill="background1" w:themeFillShade="D9"/>
            <w:hideMark/>
          </w:tcPr>
          <w:p w:rsidR="00F464C8" w:rsidRPr="00E4401D" w:rsidRDefault="00E4401D" w:rsidP="008A3C27">
            <w:pPr>
              <w:ind w:right="567"/>
              <w:jc w:val="right"/>
              <w:rPr>
                <w:rFonts w:ascii="Times New Roman" w:hAnsi="Times New Roman" w:cs="Times New Roman"/>
                <w:i/>
                <w:iCs/>
                <w:sz w:val="28"/>
              </w:rPr>
            </w:pPr>
            <w:r w:rsidRPr="00E4401D">
              <w:rPr>
                <w:rStyle w:val="baj"/>
                <w:rFonts w:ascii="Times New Roman" w:hAnsi="Times New Roman" w:cs="Times New Roman"/>
                <w:b/>
                <w:bCs/>
                <w:i/>
                <w:iCs/>
                <w:sz w:val="28"/>
              </w:rPr>
              <w:t>1.154,8</w:t>
            </w:r>
          </w:p>
        </w:tc>
        <w:tc>
          <w:tcPr>
            <w:tcW w:w="1914" w:type="pct"/>
            <w:shd w:val="clear" w:color="auto" w:fill="D9D9D9" w:themeFill="background1" w:themeFillShade="D9"/>
            <w:hideMark/>
          </w:tcPr>
          <w:p w:rsidR="00F464C8" w:rsidRPr="00E4401D" w:rsidRDefault="00E4401D" w:rsidP="008A3C27">
            <w:pPr>
              <w:ind w:left="567" w:right="567"/>
              <w:jc w:val="right"/>
              <w:rPr>
                <w:rFonts w:ascii="Times New Roman" w:hAnsi="Times New Roman" w:cs="Times New Roman"/>
                <w:i/>
                <w:iCs/>
                <w:sz w:val="28"/>
              </w:rPr>
            </w:pPr>
            <w:r w:rsidRPr="00E4401D">
              <w:rPr>
                <w:rStyle w:val="baj"/>
                <w:rFonts w:ascii="Times New Roman" w:hAnsi="Times New Roman" w:cs="Times New Roman"/>
                <w:b/>
                <w:bCs/>
                <w:i/>
                <w:iCs/>
                <w:sz w:val="28"/>
              </w:rPr>
              <w:t>100,0</w:t>
            </w:r>
          </w:p>
        </w:tc>
      </w:tr>
    </w:tbl>
    <w:p w:rsidR="00F464C8" w:rsidRPr="00E4401D" w:rsidRDefault="00E4401D" w:rsidP="00F464C8">
      <w:pPr>
        <w:pStyle w:val="NormalWeb"/>
        <w:ind w:left="567" w:right="567"/>
        <w:jc w:val="both"/>
        <w:rPr>
          <w:rFonts w:ascii="Times New Roman" w:hAnsi="Times New Roman" w:cs="Times New Roman"/>
          <w:i/>
          <w:iCs/>
          <w:sz w:val="28"/>
          <w:szCs w:val="26"/>
        </w:rPr>
      </w:pPr>
      <w:r w:rsidRPr="00E4401D">
        <w:rPr>
          <w:rFonts w:ascii="Times New Roman" w:hAnsi="Times New Roman" w:cs="Times New Roman"/>
          <w:i/>
          <w:iCs/>
          <w:sz w:val="28"/>
          <w:szCs w:val="26"/>
        </w:rPr>
        <w:t>*Esta inversión pública apalancará inversiones adicionales por parte del sector privado en un monto de 949,7 billones.</w:t>
      </w:r>
    </w:p>
    <w:p w:rsidR="00F464C8" w:rsidRPr="00E4401D" w:rsidRDefault="00E4401D" w:rsidP="00F464C8">
      <w:pPr>
        <w:pStyle w:val="centrado"/>
        <w:ind w:left="567" w:right="567"/>
        <w:jc w:val="center"/>
        <w:rPr>
          <w:rFonts w:ascii="Times New Roman" w:hAnsi="Times New Roman" w:cs="Times New Roman"/>
          <w:i/>
          <w:iCs/>
          <w:sz w:val="28"/>
          <w:szCs w:val="26"/>
        </w:rPr>
      </w:pPr>
      <w:r w:rsidRPr="00E4401D">
        <w:rPr>
          <w:rStyle w:val="baj"/>
          <w:rFonts w:ascii="Times New Roman" w:hAnsi="Times New Roman" w:cs="Times New Roman"/>
          <w:b/>
          <w:bCs/>
          <w:i/>
          <w:iCs/>
          <w:sz w:val="28"/>
          <w:szCs w:val="26"/>
        </w:rPr>
        <w:t>Tabla II. Distribución fuentes públicas por transformación</w:t>
      </w:r>
    </w:p>
    <w:p w:rsidR="00F464C8" w:rsidRPr="00E4401D" w:rsidRDefault="00E4401D" w:rsidP="00F464C8">
      <w:pPr>
        <w:pStyle w:val="centrado"/>
        <w:ind w:left="567" w:right="567"/>
        <w:jc w:val="center"/>
        <w:rPr>
          <w:rFonts w:ascii="Times New Roman" w:hAnsi="Times New Roman" w:cs="Times New Roman"/>
          <w:i/>
          <w:iCs/>
          <w:sz w:val="28"/>
          <w:szCs w:val="26"/>
        </w:rPr>
      </w:pPr>
      <w:r w:rsidRPr="00E4401D">
        <w:rPr>
          <w:rStyle w:val="baj"/>
          <w:rFonts w:ascii="Times New Roman" w:hAnsi="Times New Roman" w:cs="Times New Roman"/>
          <w:b/>
          <w:bCs/>
          <w:i/>
          <w:iCs/>
          <w:sz w:val="28"/>
          <w:szCs w:val="26"/>
        </w:rPr>
        <w:t>Cifras en billones de pesos de 2022</w:t>
      </w:r>
    </w:p>
    <w:tbl>
      <w:tblPr>
        <w:tblStyle w:val="Tablaconcuadrcula"/>
        <w:tblW w:w="4400" w:type="pct"/>
        <w:tblInd w:w="562" w:type="dxa"/>
        <w:tblLook w:val="04A0" w:firstRow="1" w:lastRow="0" w:firstColumn="1" w:lastColumn="0" w:noHBand="0" w:noVBand="1"/>
      </w:tblPr>
      <w:tblGrid>
        <w:gridCol w:w="4914"/>
        <w:gridCol w:w="2856"/>
      </w:tblGrid>
      <w:tr w:rsidR="00F464C8" w:rsidRPr="00E4401D" w:rsidTr="008A3C27">
        <w:trPr>
          <w:trHeight w:val="265"/>
        </w:trPr>
        <w:tc>
          <w:tcPr>
            <w:tcW w:w="3162" w:type="pct"/>
            <w:shd w:val="clear" w:color="auto" w:fill="D9D9D9" w:themeFill="background1" w:themeFillShade="D9"/>
            <w:hideMark/>
          </w:tcPr>
          <w:p w:rsidR="00F464C8" w:rsidRPr="00E4401D" w:rsidRDefault="00E4401D" w:rsidP="008A3C27">
            <w:pPr>
              <w:ind w:left="567" w:right="567"/>
              <w:jc w:val="center"/>
              <w:rPr>
                <w:rFonts w:ascii="Times New Roman" w:hAnsi="Times New Roman" w:cs="Times New Roman"/>
                <w:i/>
                <w:iCs/>
                <w:sz w:val="28"/>
              </w:rPr>
            </w:pPr>
            <w:r w:rsidRPr="00E4401D">
              <w:rPr>
                <w:rStyle w:val="baj"/>
                <w:rFonts w:ascii="Times New Roman" w:hAnsi="Times New Roman" w:cs="Times New Roman"/>
                <w:b/>
                <w:bCs/>
                <w:i/>
                <w:iCs/>
                <w:sz w:val="28"/>
              </w:rPr>
              <w:t>TRANSFORMACIÓN</w:t>
            </w:r>
          </w:p>
        </w:tc>
        <w:tc>
          <w:tcPr>
            <w:tcW w:w="1838" w:type="pct"/>
            <w:shd w:val="clear" w:color="auto" w:fill="D9D9D9" w:themeFill="background1" w:themeFillShade="D9"/>
            <w:hideMark/>
          </w:tcPr>
          <w:p w:rsidR="00F464C8" w:rsidRPr="00E4401D" w:rsidRDefault="00E4401D" w:rsidP="008A3C27">
            <w:pPr>
              <w:ind w:left="567" w:right="567"/>
              <w:jc w:val="center"/>
              <w:rPr>
                <w:rFonts w:ascii="Times New Roman" w:hAnsi="Times New Roman" w:cs="Times New Roman"/>
                <w:i/>
                <w:iCs/>
                <w:sz w:val="28"/>
              </w:rPr>
            </w:pPr>
            <w:r w:rsidRPr="00E4401D">
              <w:rPr>
                <w:rStyle w:val="baj"/>
                <w:rFonts w:ascii="Times New Roman" w:hAnsi="Times New Roman" w:cs="Times New Roman"/>
                <w:b/>
                <w:bCs/>
                <w:i/>
                <w:iCs/>
                <w:sz w:val="28"/>
              </w:rPr>
              <w:t>2023-2026</w:t>
            </w:r>
          </w:p>
        </w:tc>
      </w:tr>
      <w:tr w:rsidR="00F464C8" w:rsidRPr="00E4401D" w:rsidTr="008A3C27">
        <w:trPr>
          <w:trHeight w:val="297"/>
        </w:trPr>
        <w:tc>
          <w:tcPr>
            <w:tcW w:w="3162" w:type="pct"/>
            <w:hideMark/>
          </w:tcPr>
          <w:p w:rsidR="00F464C8" w:rsidRPr="00E4401D" w:rsidRDefault="00E4401D" w:rsidP="008A3C27">
            <w:pPr>
              <w:ind w:right="567"/>
              <w:jc w:val="both"/>
              <w:rPr>
                <w:rFonts w:ascii="Times New Roman" w:hAnsi="Times New Roman" w:cs="Times New Roman"/>
                <w:i/>
                <w:iCs/>
                <w:sz w:val="28"/>
              </w:rPr>
            </w:pPr>
            <w:r w:rsidRPr="00E4401D">
              <w:rPr>
                <w:rFonts w:ascii="Times New Roman" w:hAnsi="Times New Roman" w:cs="Times New Roman"/>
                <w:i/>
                <w:iCs/>
                <w:sz w:val="28"/>
              </w:rPr>
              <w:t>Seguridad Humana y Justicia Social</w:t>
            </w:r>
          </w:p>
        </w:tc>
        <w:tc>
          <w:tcPr>
            <w:tcW w:w="1838"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743,7</w:t>
            </w:r>
          </w:p>
        </w:tc>
      </w:tr>
      <w:tr w:rsidR="00F464C8" w:rsidRPr="00E4401D" w:rsidTr="008A3C27">
        <w:trPr>
          <w:trHeight w:val="309"/>
        </w:trPr>
        <w:tc>
          <w:tcPr>
            <w:tcW w:w="3162" w:type="pct"/>
            <w:hideMark/>
          </w:tcPr>
          <w:p w:rsidR="00F464C8" w:rsidRPr="00E4401D" w:rsidRDefault="00E4401D" w:rsidP="008A3C27">
            <w:pPr>
              <w:ind w:right="567"/>
              <w:jc w:val="both"/>
              <w:rPr>
                <w:rFonts w:ascii="Times New Roman" w:hAnsi="Times New Roman" w:cs="Times New Roman"/>
                <w:i/>
                <w:iCs/>
                <w:sz w:val="28"/>
              </w:rPr>
            </w:pPr>
            <w:r w:rsidRPr="00E4401D">
              <w:rPr>
                <w:rFonts w:ascii="Times New Roman" w:hAnsi="Times New Roman" w:cs="Times New Roman"/>
                <w:i/>
                <w:iCs/>
                <w:sz w:val="28"/>
              </w:rPr>
              <w:t>Convergencia regional</w:t>
            </w:r>
          </w:p>
        </w:tc>
        <w:tc>
          <w:tcPr>
            <w:tcW w:w="1838"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138,4</w:t>
            </w:r>
          </w:p>
        </w:tc>
      </w:tr>
      <w:tr w:rsidR="00F464C8" w:rsidRPr="00E4401D" w:rsidTr="008A3C27">
        <w:trPr>
          <w:trHeight w:val="619"/>
        </w:trPr>
        <w:tc>
          <w:tcPr>
            <w:tcW w:w="3162" w:type="pct"/>
            <w:hideMark/>
          </w:tcPr>
          <w:p w:rsidR="00F464C8" w:rsidRPr="00E4401D" w:rsidRDefault="00E4401D" w:rsidP="008A3C27">
            <w:pPr>
              <w:ind w:right="567"/>
              <w:jc w:val="both"/>
              <w:rPr>
                <w:rFonts w:ascii="Times New Roman" w:hAnsi="Times New Roman" w:cs="Times New Roman"/>
                <w:i/>
                <w:iCs/>
                <w:sz w:val="28"/>
              </w:rPr>
            </w:pPr>
            <w:r w:rsidRPr="00E4401D">
              <w:rPr>
                <w:rFonts w:ascii="Times New Roman" w:hAnsi="Times New Roman" w:cs="Times New Roman"/>
                <w:i/>
                <w:iCs/>
                <w:sz w:val="28"/>
              </w:rPr>
              <w:t>Transformación</w:t>
            </w:r>
            <w:r w:rsidRPr="00E4401D">
              <w:rPr>
                <w:rFonts w:ascii="Times New Roman" w:hAnsi="Times New Roman" w:cs="Times New Roman"/>
                <w:i/>
                <w:iCs/>
                <w:sz w:val="28"/>
              </w:rPr>
              <w:t xml:space="preserve"> </w:t>
            </w:r>
            <w:r w:rsidRPr="00E4401D">
              <w:rPr>
                <w:rFonts w:ascii="Times New Roman" w:hAnsi="Times New Roman" w:cs="Times New Roman"/>
                <w:i/>
                <w:iCs/>
                <w:sz w:val="28"/>
              </w:rPr>
              <w:t>productiva, internacionalización y acción climática</w:t>
            </w:r>
          </w:p>
        </w:tc>
        <w:tc>
          <w:tcPr>
            <w:tcW w:w="1838"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114,4</w:t>
            </w:r>
          </w:p>
        </w:tc>
      </w:tr>
      <w:tr w:rsidR="00F464C8" w:rsidRPr="00E4401D" w:rsidTr="008A3C27">
        <w:trPr>
          <w:trHeight w:val="309"/>
        </w:trPr>
        <w:tc>
          <w:tcPr>
            <w:tcW w:w="3162" w:type="pct"/>
            <w:hideMark/>
          </w:tcPr>
          <w:p w:rsidR="00F464C8" w:rsidRPr="00E4401D" w:rsidRDefault="00E4401D" w:rsidP="008A3C27">
            <w:pPr>
              <w:ind w:right="567"/>
              <w:jc w:val="both"/>
              <w:rPr>
                <w:rFonts w:ascii="Times New Roman" w:hAnsi="Times New Roman" w:cs="Times New Roman"/>
                <w:i/>
                <w:iCs/>
                <w:sz w:val="28"/>
              </w:rPr>
            </w:pPr>
            <w:r w:rsidRPr="00E4401D">
              <w:rPr>
                <w:rFonts w:ascii="Times New Roman" w:hAnsi="Times New Roman" w:cs="Times New Roman"/>
                <w:i/>
                <w:iCs/>
                <w:sz w:val="28"/>
              </w:rPr>
              <w:t>Derecho humano a la alimentación</w:t>
            </w:r>
          </w:p>
        </w:tc>
        <w:tc>
          <w:tcPr>
            <w:tcW w:w="1838"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46,1</w:t>
            </w:r>
          </w:p>
        </w:tc>
      </w:tr>
      <w:tr w:rsidR="00F464C8" w:rsidRPr="00E4401D" w:rsidTr="008A3C27">
        <w:trPr>
          <w:trHeight w:val="606"/>
        </w:trPr>
        <w:tc>
          <w:tcPr>
            <w:tcW w:w="3162" w:type="pct"/>
            <w:hideMark/>
          </w:tcPr>
          <w:p w:rsidR="00F464C8" w:rsidRPr="00E4401D" w:rsidRDefault="00E4401D" w:rsidP="008A3C27">
            <w:pPr>
              <w:ind w:right="567"/>
              <w:jc w:val="both"/>
              <w:rPr>
                <w:rFonts w:ascii="Times New Roman" w:hAnsi="Times New Roman" w:cs="Times New Roman"/>
                <w:i/>
                <w:iCs/>
                <w:sz w:val="28"/>
              </w:rPr>
            </w:pPr>
            <w:r w:rsidRPr="00E4401D">
              <w:rPr>
                <w:rFonts w:ascii="Times New Roman" w:hAnsi="Times New Roman" w:cs="Times New Roman"/>
                <w:i/>
                <w:iCs/>
                <w:sz w:val="28"/>
              </w:rPr>
              <w:t>Ordenamiento del territorio alrededor del agua y justicia ambiental</w:t>
            </w:r>
          </w:p>
        </w:tc>
        <w:tc>
          <w:tcPr>
            <w:tcW w:w="1838"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28,8</w:t>
            </w:r>
          </w:p>
        </w:tc>
      </w:tr>
      <w:tr w:rsidR="00F464C8" w:rsidRPr="00E4401D" w:rsidTr="008A3C27">
        <w:trPr>
          <w:trHeight w:val="309"/>
        </w:trPr>
        <w:tc>
          <w:tcPr>
            <w:tcW w:w="3162" w:type="pct"/>
            <w:hideMark/>
          </w:tcPr>
          <w:p w:rsidR="00F464C8" w:rsidRPr="00E4401D" w:rsidRDefault="00E4401D" w:rsidP="008A3C27">
            <w:pPr>
              <w:ind w:right="567"/>
              <w:jc w:val="both"/>
              <w:rPr>
                <w:rFonts w:ascii="Times New Roman" w:hAnsi="Times New Roman" w:cs="Times New Roman"/>
                <w:i/>
                <w:iCs/>
                <w:sz w:val="28"/>
              </w:rPr>
            </w:pPr>
            <w:r w:rsidRPr="00E4401D">
              <w:rPr>
                <w:rFonts w:ascii="Times New Roman" w:hAnsi="Times New Roman" w:cs="Times New Roman"/>
                <w:i/>
                <w:iCs/>
                <w:sz w:val="28"/>
              </w:rPr>
              <w:t>Estabilidad macroeconómica</w:t>
            </w:r>
          </w:p>
        </w:tc>
        <w:tc>
          <w:tcPr>
            <w:tcW w:w="1838"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83,4</w:t>
            </w:r>
          </w:p>
        </w:tc>
      </w:tr>
      <w:tr w:rsidR="00F464C8" w:rsidRPr="00E4401D" w:rsidTr="008A3C27">
        <w:trPr>
          <w:trHeight w:val="309"/>
        </w:trPr>
        <w:tc>
          <w:tcPr>
            <w:tcW w:w="3162" w:type="pct"/>
            <w:shd w:val="clear" w:color="auto" w:fill="D9D9D9" w:themeFill="background1" w:themeFillShade="D9"/>
            <w:hideMark/>
          </w:tcPr>
          <w:p w:rsidR="00F464C8" w:rsidRPr="00E4401D" w:rsidRDefault="00E4401D" w:rsidP="008A3C27">
            <w:pPr>
              <w:ind w:right="567"/>
              <w:jc w:val="center"/>
              <w:rPr>
                <w:rFonts w:ascii="Times New Roman" w:hAnsi="Times New Roman" w:cs="Times New Roman"/>
                <w:i/>
                <w:iCs/>
                <w:sz w:val="28"/>
              </w:rPr>
            </w:pPr>
            <w:r w:rsidRPr="00E4401D">
              <w:rPr>
                <w:rStyle w:val="baj"/>
                <w:rFonts w:ascii="Times New Roman" w:hAnsi="Times New Roman" w:cs="Times New Roman"/>
                <w:b/>
                <w:bCs/>
                <w:i/>
                <w:iCs/>
                <w:sz w:val="28"/>
              </w:rPr>
              <w:t>TOTAL</w:t>
            </w:r>
          </w:p>
        </w:tc>
        <w:tc>
          <w:tcPr>
            <w:tcW w:w="1838" w:type="pct"/>
            <w:shd w:val="clear" w:color="auto" w:fill="D9D9D9" w:themeFill="background1" w:themeFillShade="D9"/>
            <w:hideMark/>
          </w:tcPr>
          <w:p w:rsidR="00F464C8" w:rsidRPr="00E4401D" w:rsidRDefault="00E4401D" w:rsidP="008A3C27">
            <w:pPr>
              <w:ind w:left="567" w:right="567"/>
              <w:jc w:val="right"/>
              <w:rPr>
                <w:rFonts w:ascii="Times New Roman" w:hAnsi="Times New Roman" w:cs="Times New Roman"/>
                <w:i/>
                <w:iCs/>
                <w:sz w:val="28"/>
              </w:rPr>
            </w:pPr>
            <w:r w:rsidRPr="00E4401D">
              <w:rPr>
                <w:rStyle w:val="baj"/>
                <w:rFonts w:ascii="Times New Roman" w:hAnsi="Times New Roman" w:cs="Times New Roman"/>
                <w:b/>
                <w:bCs/>
                <w:i/>
                <w:iCs/>
                <w:sz w:val="28"/>
              </w:rPr>
              <w:t>1.154,8</w:t>
            </w:r>
          </w:p>
        </w:tc>
      </w:tr>
    </w:tbl>
    <w:p w:rsidR="00F464C8" w:rsidRPr="00E4401D" w:rsidRDefault="00E4401D" w:rsidP="00F464C8">
      <w:pPr>
        <w:pStyle w:val="NormalWeb"/>
        <w:ind w:left="567" w:right="567"/>
        <w:jc w:val="both"/>
        <w:rPr>
          <w:rFonts w:ascii="Times New Roman" w:hAnsi="Times New Roman" w:cs="Times New Roman"/>
          <w:i/>
          <w:iCs/>
          <w:sz w:val="28"/>
          <w:szCs w:val="26"/>
        </w:rPr>
      </w:pPr>
      <w:r w:rsidRPr="00E4401D">
        <w:rPr>
          <w:rFonts w:ascii="Times New Roman" w:hAnsi="Times New Roman" w:cs="Times New Roman"/>
          <w:i/>
          <w:iCs/>
          <w:sz w:val="28"/>
          <w:szCs w:val="26"/>
        </w:rPr>
        <w:t>En cumplimiento del artículo 3</w:t>
      </w:r>
      <w:bookmarkStart w:id="8" w:name="_Hlk161824386"/>
      <w:r w:rsidRPr="00E4401D">
        <w:rPr>
          <w:rFonts w:ascii="Times New Roman" w:hAnsi="Times New Roman" w:cs="Times New Roman"/>
          <w:i/>
          <w:iCs/>
          <w:sz w:val="28"/>
          <w:szCs w:val="26"/>
        </w:rPr>
        <w:t xml:space="preserve">º </w:t>
      </w:r>
      <w:bookmarkEnd w:id="8"/>
      <w:r w:rsidRPr="00E4401D">
        <w:rPr>
          <w:rFonts w:ascii="Times New Roman" w:hAnsi="Times New Roman" w:cs="Times New Roman"/>
          <w:i/>
          <w:iCs/>
          <w:sz w:val="28"/>
          <w:szCs w:val="26"/>
        </w:rPr>
        <w:t xml:space="preserve">del Acto Legislativo 01 del 7 de julio de 2016 “Por medio del cual se establecen instrumentos jurídicos para facilitar y asegurar la implementación y el desarrollo normativo </w:t>
      </w:r>
      <w:r w:rsidRPr="00E4401D">
        <w:rPr>
          <w:rFonts w:ascii="Times New Roman" w:hAnsi="Times New Roman" w:cs="Times New Roman"/>
          <w:i/>
          <w:iCs/>
          <w:sz w:val="28"/>
          <w:szCs w:val="26"/>
        </w:rPr>
        <w:t>del Acuerdo Final para la Terminación del Conflicto y la Construcción de una Paz Estable y Duradera”, apruébese como parte integral de la presente ley e incorpórese como anexo en el documento “Plan Plurianual de Inversiones” un componente específico para l</w:t>
      </w:r>
      <w:r w:rsidRPr="00E4401D">
        <w:rPr>
          <w:rFonts w:ascii="Times New Roman" w:hAnsi="Times New Roman" w:cs="Times New Roman"/>
          <w:i/>
          <w:iCs/>
          <w:sz w:val="28"/>
          <w:szCs w:val="26"/>
        </w:rPr>
        <w:t>a paz por un valor de 50,4 billones como un componente del Plan Plurianual de Inversiones del Plan Nacional de Desarrollo.</w:t>
      </w:r>
    </w:p>
    <w:p w:rsidR="00F464C8" w:rsidRPr="00E4401D" w:rsidRDefault="00E4401D" w:rsidP="00F464C8">
      <w:pPr>
        <w:pStyle w:val="centrado"/>
        <w:ind w:left="567" w:right="567"/>
        <w:jc w:val="center"/>
        <w:rPr>
          <w:rFonts w:ascii="Times New Roman" w:hAnsi="Times New Roman" w:cs="Times New Roman"/>
          <w:i/>
          <w:iCs/>
          <w:sz w:val="28"/>
          <w:szCs w:val="26"/>
        </w:rPr>
      </w:pPr>
      <w:r w:rsidRPr="00E4401D">
        <w:rPr>
          <w:rStyle w:val="baj"/>
          <w:rFonts w:ascii="Times New Roman" w:hAnsi="Times New Roman" w:cs="Times New Roman"/>
          <w:b/>
          <w:bCs/>
          <w:i/>
          <w:iCs/>
          <w:sz w:val="28"/>
          <w:szCs w:val="26"/>
        </w:rPr>
        <w:t>Tabla III. Componente de Paz en el Plan Nacional de Inversiones 2023-2026</w:t>
      </w:r>
    </w:p>
    <w:p w:rsidR="00F464C8" w:rsidRPr="00E4401D" w:rsidRDefault="00E4401D" w:rsidP="00F464C8">
      <w:pPr>
        <w:pStyle w:val="centrado"/>
        <w:ind w:left="567" w:right="567"/>
        <w:jc w:val="center"/>
        <w:rPr>
          <w:rFonts w:ascii="Times New Roman" w:hAnsi="Times New Roman" w:cs="Times New Roman"/>
          <w:i/>
          <w:iCs/>
          <w:sz w:val="28"/>
          <w:szCs w:val="26"/>
        </w:rPr>
      </w:pPr>
      <w:r w:rsidRPr="00E4401D">
        <w:rPr>
          <w:rStyle w:val="baj"/>
          <w:rFonts w:ascii="Times New Roman" w:hAnsi="Times New Roman" w:cs="Times New Roman"/>
          <w:b/>
          <w:bCs/>
          <w:i/>
          <w:iCs/>
          <w:sz w:val="28"/>
          <w:szCs w:val="26"/>
        </w:rPr>
        <w:t>Cifras en billones de pesos de 2022</w:t>
      </w:r>
    </w:p>
    <w:tbl>
      <w:tblPr>
        <w:tblStyle w:val="Tablaconcuadrcula"/>
        <w:tblW w:w="4402" w:type="pct"/>
        <w:tblInd w:w="562" w:type="dxa"/>
        <w:tblLook w:val="04A0" w:firstRow="1" w:lastRow="0" w:firstColumn="1" w:lastColumn="0" w:noHBand="0" w:noVBand="1"/>
      </w:tblPr>
      <w:tblGrid>
        <w:gridCol w:w="5431"/>
        <w:gridCol w:w="2343"/>
      </w:tblGrid>
      <w:tr w:rsidR="00F464C8" w:rsidRPr="00E4401D" w:rsidTr="008A3C27">
        <w:trPr>
          <w:trHeight w:val="265"/>
        </w:trPr>
        <w:tc>
          <w:tcPr>
            <w:tcW w:w="3493" w:type="pct"/>
            <w:shd w:val="clear" w:color="auto" w:fill="D9D9D9" w:themeFill="background1" w:themeFillShade="D9"/>
            <w:hideMark/>
          </w:tcPr>
          <w:p w:rsidR="00F464C8" w:rsidRPr="00E4401D" w:rsidRDefault="00E4401D" w:rsidP="008A3C27">
            <w:pPr>
              <w:ind w:left="567" w:right="567"/>
              <w:jc w:val="center"/>
              <w:rPr>
                <w:rFonts w:ascii="Times New Roman" w:hAnsi="Times New Roman" w:cs="Times New Roman"/>
                <w:i/>
                <w:iCs/>
                <w:sz w:val="28"/>
              </w:rPr>
            </w:pPr>
            <w:r w:rsidRPr="00E4401D">
              <w:rPr>
                <w:rStyle w:val="baj"/>
                <w:rFonts w:ascii="Times New Roman" w:hAnsi="Times New Roman" w:cs="Times New Roman"/>
                <w:b/>
                <w:bCs/>
                <w:i/>
                <w:iCs/>
                <w:sz w:val="28"/>
              </w:rPr>
              <w:t>TRANSFORMACIÓN</w:t>
            </w:r>
          </w:p>
        </w:tc>
        <w:tc>
          <w:tcPr>
            <w:tcW w:w="1507" w:type="pct"/>
            <w:shd w:val="clear" w:color="auto" w:fill="D9D9D9" w:themeFill="background1" w:themeFillShade="D9"/>
            <w:hideMark/>
          </w:tcPr>
          <w:p w:rsidR="00F464C8" w:rsidRPr="00E4401D" w:rsidRDefault="00E4401D" w:rsidP="008A3C27">
            <w:pPr>
              <w:ind w:left="567" w:right="567"/>
              <w:jc w:val="center"/>
              <w:rPr>
                <w:rFonts w:ascii="Times New Roman" w:hAnsi="Times New Roman" w:cs="Times New Roman"/>
                <w:i/>
                <w:iCs/>
                <w:sz w:val="28"/>
              </w:rPr>
            </w:pPr>
            <w:r w:rsidRPr="00E4401D">
              <w:rPr>
                <w:rStyle w:val="baj"/>
                <w:rFonts w:ascii="Times New Roman" w:hAnsi="Times New Roman" w:cs="Times New Roman"/>
                <w:b/>
                <w:bCs/>
                <w:i/>
                <w:iCs/>
                <w:sz w:val="28"/>
              </w:rPr>
              <w:t>2023-2026</w:t>
            </w:r>
          </w:p>
        </w:tc>
      </w:tr>
      <w:tr w:rsidR="00F464C8" w:rsidRPr="00E4401D" w:rsidTr="008A3C27">
        <w:trPr>
          <w:trHeight w:val="289"/>
        </w:trPr>
        <w:tc>
          <w:tcPr>
            <w:tcW w:w="3493" w:type="pct"/>
            <w:hideMark/>
          </w:tcPr>
          <w:p w:rsidR="00F464C8" w:rsidRPr="00E4401D" w:rsidRDefault="00E4401D" w:rsidP="008A3C27">
            <w:pPr>
              <w:ind w:right="567"/>
              <w:jc w:val="both"/>
              <w:rPr>
                <w:rFonts w:ascii="Times New Roman" w:hAnsi="Times New Roman" w:cs="Times New Roman"/>
                <w:i/>
                <w:iCs/>
                <w:sz w:val="28"/>
              </w:rPr>
            </w:pPr>
            <w:r w:rsidRPr="00E4401D">
              <w:rPr>
                <w:rFonts w:ascii="Times New Roman" w:hAnsi="Times New Roman" w:cs="Times New Roman"/>
                <w:i/>
                <w:iCs/>
                <w:sz w:val="28"/>
              </w:rPr>
              <w:t>Seguridad Humana y Justicia Social</w:t>
            </w:r>
          </w:p>
        </w:tc>
        <w:tc>
          <w:tcPr>
            <w:tcW w:w="1507"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32,1</w:t>
            </w:r>
          </w:p>
        </w:tc>
      </w:tr>
      <w:tr w:rsidR="00F464C8" w:rsidRPr="00E4401D" w:rsidTr="008A3C27">
        <w:trPr>
          <w:trHeight w:val="301"/>
        </w:trPr>
        <w:tc>
          <w:tcPr>
            <w:tcW w:w="3493" w:type="pct"/>
            <w:hideMark/>
          </w:tcPr>
          <w:p w:rsidR="00F464C8" w:rsidRPr="00E4401D" w:rsidRDefault="00E4401D" w:rsidP="008A3C27">
            <w:pPr>
              <w:ind w:right="567"/>
              <w:jc w:val="both"/>
              <w:rPr>
                <w:rFonts w:ascii="Times New Roman" w:hAnsi="Times New Roman" w:cs="Times New Roman"/>
                <w:i/>
                <w:iCs/>
                <w:sz w:val="28"/>
              </w:rPr>
            </w:pPr>
            <w:r w:rsidRPr="00E4401D">
              <w:rPr>
                <w:rFonts w:ascii="Times New Roman" w:hAnsi="Times New Roman" w:cs="Times New Roman"/>
                <w:i/>
                <w:iCs/>
                <w:sz w:val="28"/>
              </w:rPr>
              <w:t>Convergencia regional</w:t>
            </w:r>
          </w:p>
        </w:tc>
        <w:tc>
          <w:tcPr>
            <w:tcW w:w="1507"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7,1</w:t>
            </w:r>
          </w:p>
        </w:tc>
      </w:tr>
      <w:tr w:rsidR="00F464C8" w:rsidRPr="00E4401D" w:rsidTr="008A3C27">
        <w:trPr>
          <w:trHeight w:val="301"/>
        </w:trPr>
        <w:tc>
          <w:tcPr>
            <w:tcW w:w="3493" w:type="pct"/>
            <w:hideMark/>
          </w:tcPr>
          <w:p w:rsidR="00F464C8" w:rsidRPr="00E4401D" w:rsidRDefault="00E4401D" w:rsidP="008A3C27">
            <w:pPr>
              <w:ind w:right="567"/>
              <w:jc w:val="both"/>
              <w:rPr>
                <w:rFonts w:ascii="Times New Roman" w:hAnsi="Times New Roman" w:cs="Times New Roman"/>
                <w:i/>
                <w:iCs/>
                <w:sz w:val="28"/>
              </w:rPr>
            </w:pPr>
            <w:r w:rsidRPr="00E4401D">
              <w:rPr>
                <w:rFonts w:ascii="Times New Roman" w:hAnsi="Times New Roman" w:cs="Times New Roman"/>
                <w:i/>
                <w:iCs/>
                <w:sz w:val="28"/>
              </w:rPr>
              <w:t>Derecho Humano a la alimentación</w:t>
            </w:r>
          </w:p>
        </w:tc>
        <w:tc>
          <w:tcPr>
            <w:tcW w:w="1507"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4,6</w:t>
            </w:r>
          </w:p>
        </w:tc>
      </w:tr>
      <w:tr w:rsidR="00F464C8" w:rsidRPr="00E4401D" w:rsidTr="008A3C27">
        <w:trPr>
          <w:trHeight w:val="602"/>
        </w:trPr>
        <w:tc>
          <w:tcPr>
            <w:tcW w:w="3493" w:type="pct"/>
            <w:hideMark/>
          </w:tcPr>
          <w:p w:rsidR="00F464C8" w:rsidRPr="00E4401D" w:rsidRDefault="00E4401D" w:rsidP="008A3C27">
            <w:pPr>
              <w:ind w:right="567"/>
              <w:jc w:val="both"/>
              <w:rPr>
                <w:rFonts w:ascii="Times New Roman" w:hAnsi="Times New Roman" w:cs="Times New Roman"/>
                <w:i/>
                <w:iCs/>
                <w:sz w:val="28"/>
              </w:rPr>
            </w:pPr>
            <w:r w:rsidRPr="00E4401D">
              <w:rPr>
                <w:rFonts w:ascii="Times New Roman" w:hAnsi="Times New Roman" w:cs="Times New Roman"/>
                <w:i/>
                <w:iCs/>
                <w:sz w:val="28"/>
              </w:rPr>
              <w:t>Ordenamiento del territorio alrededor del agua y justicia ambiental</w:t>
            </w:r>
          </w:p>
        </w:tc>
        <w:tc>
          <w:tcPr>
            <w:tcW w:w="1507"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1,9</w:t>
            </w:r>
          </w:p>
        </w:tc>
      </w:tr>
      <w:tr w:rsidR="00F464C8" w:rsidRPr="00E4401D" w:rsidTr="008A3C27">
        <w:trPr>
          <w:trHeight w:val="590"/>
        </w:trPr>
        <w:tc>
          <w:tcPr>
            <w:tcW w:w="3493" w:type="pct"/>
            <w:hideMark/>
          </w:tcPr>
          <w:p w:rsidR="00F464C8" w:rsidRPr="00E4401D" w:rsidRDefault="00E4401D" w:rsidP="008A3C27">
            <w:pPr>
              <w:ind w:right="567"/>
              <w:jc w:val="both"/>
              <w:rPr>
                <w:rFonts w:ascii="Times New Roman" w:hAnsi="Times New Roman" w:cs="Times New Roman"/>
                <w:i/>
                <w:iCs/>
                <w:sz w:val="28"/>
              </w:rPr>
            </w:pPr>
            <w:r w:rsidRPr="00E4401D">
              <w:rPr>
                <w:rFonts w:ascii="Times New Roman" w:hAnsi="Times New Roman" w:cs="Times New Roman"/>
                <w:i/>
                <w:iCs/>
                <w:sz w:val="28"/>
              </w:rPr>
              <w:t>Transformación productiva, internacionalización y acción climática</w:t>
            </w:r>
          </w:p>
        </w:tc>
        <w:tc>
          <w:tcPr>
            <w:tcW w:w="1507"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1,4</w:t>
            </w:r>
          </w:p>
        </w:tc>
      </w:tr>
      <w:tr w:rsidR="00F464C8" w:rsidRPr="00E4401D" w:rsidTr="008A3C27">
        <w:trPr>
          <w:trHeight w:val="301"/>
        </w:trPr>
        <w:tc>
          <w:tcPr>
            <w:tcW w:w="3493" w:type="pct"/>
            <w:hideMark/>
          </w:tcPr>
          <w:p w:rsidR="00F464C8" w:rsidRPr="00E4401D" w:rsidRDefault="00E4401D" w:rsidP="008A3C27">
            <w:pPr>
              <w:ind w:right="567"/>
              <w:jc w:val="both"/>
              <w:rPr>
                <w:rFonts w:ascii="Times New Roman" w:hAnsi="Times New Roman" w:cs="Times New Roman"/>
                <w:i/>
                <w:iCs/>
                <w:sz w:val="28"/>
              </w:rPr>
            </w:pPr>
            <w:r w:rsidRPr="00E4401D">
              <w:rPr>
                <w:rFonts w:ascii="Times New Roman" w:hAnsi="Times New Roman" w:cs="Times New Roman"/>
                <w:i/>
                <w:iCs/>
                <w:sz w:val="28"/>
              </w:rPr>
              <w:t>Transversal a las Transformaciones</w:t>
            </w:r>
          </w:p>
        </w:tc>
        <w:tc>
          <w:tcPr>
            <w:tcW w:w="1507" w:type="pct"/>
            <w:hideMark/>
          </w:tcPr>
          <w:p w:rsidR="00F464C8" w:rsidRPr="00E4401D" w:rsidRDefault="00E4401D" w:rsidP="008A3C27">
            <w:pPr>
              <w:ind w:left="567" w:right="567"/>
              <w:jc w:val="right"/>
              <w:rPr>
                <w:rFonts w:ascii="Times New Roman" w:hAnsi="Times New Roman" w:cs="Times New Roman"/>
                <w:i/>
                <w:iCs/>
                <w:sz w:val="28"/>
              </w:rPr>
            </w:pPr>
            <w:r w:rsidRPr="00E4401D">
              <w:rPr>
                <w:rFonts w:ascii="Times New Roman" w:hAnsi="Times New Roman" w:cs="Times New Roman"/>
                <w:i/>
                <w:iCs/>
                <w:sz w:val="28"/>
              </w:rPr>
              <w:t>3,3</w:t>
            </w:r>
          </w:p>
        </w:tc>
      </w:tr>
      <w:tr w:rsidR="00F464C8" w:rsidRPr="00E4401D" w:rsidTr="008A3C27">
        <w:trPr>
          <w:trHeight w:val="301"/>
        </w:trPr>
        <w:tc>
          <w:tcPr>
            <w:tcW w:w="3493" w:type="pct"/>
            <w:shd w:val="clear" w:color="auto" w:fill="D9D9D9" w:themeFill="background1" w:themeFillShade="D9"/>
            <w:hideMark/>
          </w:tcPr>
          <w:p w:rsidR="00F464C8" w:rsidRPr="00E4401D" w:rsidRDefault="00E4401D" w:rsidP="008A3C27">
            <w:pPr>
              <w:ind w:right="567"/>
              <w:jc w:val="center"/>
              <w:rPr>
                <w:rFonts w:ascii="Times New Roman" w:hAnsi="Times New Roman" w:cs="Times New Roman"/>
                <w:i/>
                <w:iCs/>
                <w:sz w:val="28"/>
              </w:rPr>
            </w:pPr>
            <w:r w:rsidRPr="00E4401D">
              <w:rPr>
                <w:rStyle w:val="baj"/>
                <w:rFonts w:ascii="Times New Roman" w:hAnsi="Times New Roman" w:cs="Times New Roman"/>
                <w:b/>
                <w:bCs/>
                <w:i/>
                <w:iCs/>
                <w:sz w:val="28"/>
              </w:rPr>
              <w:t>TOTAL</w:t>
            </w:r>
          </w:p>
        </w:tc>
        <w:tc>
          <w:tcPr>
            <w:tcW w:w="1507" w:type="pct"/>
            <w:shd w:val="clear" w:color="auto" w:fill="D9D9D9" w:themeFill="background1" w:themeFillShade="D9"/>
            <w:hideMark/>
          </w:tcPr>
          <w:p w:rsidR="00F464C8" w:rsidRPr="00E4401D" w:rsidRDefault="00E4401D" w:rsidP="008A3C27">
            <w:pPr>
              <w:ind w:left="567" w:right="567"/>
              <w:jc w:val="right"/>
              <w:rPr>
                <w:rFonts w:ascii="Times New Roman" w:hAnsi="Times New Roman" w:cs="Times New Roman"/>
                <w:i/>
                <w:iCs/>
                <w:sz w:val="28"/>
              </w:rPr>
            </w:pPr>
            <w:r w:rsidRPr="00E4401D">
              <w:rPr>
                <w:rStyle w:val="baj"/>
                <w:rFonts w:ascii="Times New Roman" w:hAnsi="Times New Roman" w:cs="Times New Roman"/>
                <w:b/>
                <w:bCs/>
                <w:i/>
                <w:iCs/>
                <w:sz w:val="28"/>
              </w:rPr>
              <w:t>50,4</w:t>
            </w:r>
          </w:p>
        </w:tc>
      </w:tr>
    </w:tbl>
    <w:p w:rsidR="00F464C8" w:rsidRPr="00E4401D" w:rsidRDefault="00E4401D" w:rsidP="00F464C8">
      <w:pPr>
        <w:pStyle w:val="NormalWeb"/>
        <w:ind w:left="567" w:right="567"/>
        <w:jc w:val="both"/>
        <w:rPr>
          <w:rFonts w:ascii="Times New Roman" w:hAnsi="Times New Roman" w:cs="Times New Roman"/>
          <w:i/>
          <w:iCs/>
          <w:sz w:val="28"/>
          <w:szCs w:val="26"/>
        </w:rPr>
      </w:pPr>
      <w:r w:rsidRPr="00E4401D">
        <w:rPr>
          <w:rStyle w:val="baj"/>
          <w:rFonts w:ascii="Times New Roman" w:hAnsi="Times New Roman" w:cs="Times New Roman"/>
          <w:b/>
          <w:bCs/>
          <w:i/>
          <w:iCs/>
          <w:sz w:val="28"/>
          <w:szCs w:val="26"/>
        </w:rPr>
        <w:t>PARÁGRAFO 1º.</w:t>
      </w:r>
      <w:r w:rsidRPr="00E4401D">
        <w:rPr>
          <w:rFonts w:ascii="Times New Roman" w:hAnsi="Times New Roman" w:cs="Times New Roman"/>
          <w:i/>
          <w:iCs/>
          <w:sz w:val="28"/>
          <w:szCs w:val="26"/>
        </w:rPr>
        <w:t xml:space="preserve"> Los recursos identificados como fuentes de entidades territoriales para financiamiento del Plan Nacional de Inversiones Públicas 2023-2026, corresponde a las estimaciones de gastos efectuadas en los niveles departamental, distrital y municipal en el marco</w:t>
      </w:r>
      <w:r w:rsidRPr="00E4401D">
        <w:rPr>
          <w:rFonts w:ascii="Times New Roman" w:hAnsi="Times New Roman" w:cs="Times New Roman"/>
          <w:i/>
          <w:iCs/>
          <w:sz w:val="28"/>
          <w:szCs w:val="26"/>
        </w:rPr>
        <w:t xml:space="preserve"> de su autonomía, para la articulación de políticas, estrategias y programas nacionales con los territoriales, según los mecanismos de ejecución definidos en el presente Plan Nacional de Inversiones.</w:t>
      </w:r>
    </w:p>
    <w:p w:rsidR="00F464C8" w:rsidRPr="00E4401D" w:rsidRDefault="00E4401D" w:rsidP="00F464C8">
      <w:pPr>
        <w:pStyle w:val="NormalWeb"/>
        <w:ind w:left="567" w:right="567"/>
        <w:jc w:val="both"/>
        <w:rPr>
          <w:rFonts w:ascii="Times New Roman" w:hAnsi="Times New Roman" w:cs="Times New Roman"/>
          <w:i/>
          <w:iCs/>
          <w:sz w:val="28"/>
          <w:szCs w:val="26"/>
        </w:rPr>
      </w:pPr>
      <w:r w:rsidRPr="00E4401D">
        <w:rPr>
          <w:rStyle w:val="baj"/>
          <w:rFonts w:ascii="Times New Roman" w:hAnsi="Times New Roman" w:cs="Times New Roman"/>
          <w:b/>
          <w:bCs/>
          <w:i/>
          <w:iCs/>
          <w:sz w:val="28"/>
          <w:szCs w:val="26"/>
        </w:rPr>
        <w:t>PARÁGRAFO 2º.</w:t>
      </w:r>
      <w:r w:rsidRPr="00E4401D">
        <w:rPr>
          <w:rFonts w:ascii="Times New Roman" w:hAnsi="Times New Roman" w:cs="Times New Roman"/>
          <w:i/>
          <w:iCs/>
          <w:sz w:val="28"/>
          <w:szCs w:val="26"/>
        </w:rPr>
        <w:t xml:space="preserve"> Como parte integral del Plan Plurianual de</w:t>
      </w:r>
      <w:r w:rsidRPr="00E4401D">
        <w:rPr>
          <w:rFonts w:ascii="Times New Roman" w:hAnsi="Times New Roman" w:cs="Times New Roman"/>
          <w:i/>
          <w:iCs/>
          <w:sz w:val="28"/>
          <w:szCs w:val="26"/>
        </w:rPr>
        <w:t xml:space="preserve"> Inversiones se incluye una proyección indicativa para los pueblos y comunidades indígenas por un monto de veinte (20) billones de pesos, que incluye todos los recursos del Presupuesto General de la Nación, Sistema General de Participaciones y Sistema Gene</w:t>
      </w:r>
      <w:r w:rsidRPr="00E4401D">
        <w:rPr>
          <w:rFonts w:ascii="Times New Roman" w:hAnsi="Times New Roman" w:cs="Times New Roman"/>
          <w:i/>
          <w:iCs/>
          <w:sz w:val="28"/>
          <w:szCs w:val="26"/>
        </w:rPr>
        <w:t>ral de Regalías, de los cuales dos (2) billones corresponden a la proyección indicativa de los recursos del Presupuesto General de la Nación para el cumplimiento de los acuerdos de la consulta previa con estas comunidades étnicas. Estos recursos se proyect</w:t>
      </w:r>
      <w:r w:rsidRPr="00E4401D">
        <w:rPr>
          <w:rFonts w:ascii="Times New Roman" w:hAnsi="Times New Roman" w:cs="Times New Roman"/>
          <w:i/>
          <w:iCs/>
          <w:sz w:val="28"/>
          <w:szCs w:val="26"/>
        </w:rPr>
        <w:t>an respetando el Marco de Gasto de Mediano Plazo y el Marco Fiscal de Mediano Plazo.</w:t>
      </w:r>
    </w:p>
    <w:p w:rsidR="00F464C8" w:rsidRPr="00E4401D" w:rsidRDefault="00E4401D" w:rsidP="00F464C8">
      <w:pPr>
        <w:pStyle w:val="NormalWeb"/>
        <w:ind w:left="567" w:right="567"/>
        <w:jc w:val="both"/>
        <w:rPr>
          <w:rFonts w:ascii="Times New Roman" w:hAnsi="Times New Roman" w:cs="Times New Roman"/>
          <w:i/>
          <w:iCs/>
          <w:sz w:val="28"/>
          <w:szCs w:val="26"/>
        </w:rPr>
      </w:pPr>
      <w:r w:rsidRPr="00E4401D">
        <w:rPr>
          <w:rStyle w:val="baj"/>
          <w:rFonts w:ascii="Times New Roman" w:hAnsi="Times New Roman" w:cs="Times New Roman"/>
          <w:b/>
          <w:bCs/>
          <w:i/>
          <w:iCs/>
          <w:sz w:val="28"/>
          <w:szCs w:val="26"/>
        </w:rPr>
        <w:t>PARÁGRAFO 3º.</w:t>
      </w:r>
      <w:r w:rsidRPr="00E4401D">
        <w:rPr>
          <w:rFonts w:ascii="Times New Roman" w:hAnsi="Times New Roman" w:cs="Times New Roman"/>
          <w:i/>
          <w:iCs/>
          <w:sz w:val="28"/>
          <w:szCs w:val="26"/>
        </w:rPr>
        <w:t xml:space="preserve"> Como parte integral del Plan Plurianual de Inversiones se incluye una proyección indicativa para las comunidades Negras, Afrocolombianas, Raizales y Palenque</w:t>
      </w:r>
      <w:r w:rsidRPr="00E4401D">
        <w:rPr>
          <w:rFonts w:ascii="Times New Roman" w:hAnsi="Times New Roman" w:cs="Times New Roman"/>
          <w:i/>
          <w:iCs/>
          <w:sz w:val="28"/>
          <w:szCs w:val="26"/>
        </w:rPr>
        <w:t xml:space="preserve">ras por un monto de </w:t>
      </w:r>
      <w:r w:rsidRPr="00E4401D">
        <w:rPr>
          <w:rFonts w:ascii="Times New Roman" w:hAnsi="Times New Roman" w:cs="Times New Roman"/>
          <w:b/>
          <w:bCs/>
          <w:i/>
          <w:iCs/>
          <w:sz w:val="28"/>
          <w:szCs w:val="26"/>
          <w:u w:val="single"/>
        </w:rPr>
        <w:t>veintinueve (29,265) billones de pesos, que incluye todos los recursos del Presupuesto General de la Nación, el Sistema General de Participaciones y el Sistema General de Regalías, de los cuales cinco, nueve</w:t>
      </w:r>
      <w:r w:rsidRPr="00E4401D">
        <w:rPr>
          <w:rFonts w:ascii="Times New Roman" w:hAnsi="Times New Roman" w:cs="Times New Roman"/>
          <w:i/>
          <w:iCs/>
          <w:sz w:val="28"/>
          <w:szCs w:val="26"/>
        </w:rPr>
        <w:t xml:space="preserve"> (5,9) billones corresponden </w:t>
      </w:r>
      <w:r w:rsidRPr="00E4401D">
        <w:rPr>
          <w:rFonts w:ascii="Times New Roman" w:hAnsi="Times New Roman" w:cs="Times New Roman"/>
          <w:i/>
          <w:iCs/>
          <w:sz w:val="28"/>
          <w:szCs w:val="26"/>
        </w:rPr>
        <w:t>a la proyección indicativa de los recursos del Presupuesto General de la Nación para el cumplimiento de los acuerdos de la consulta previa con estas comunidades étnicas. Estos recursos se proyectan respetando el Marco de Gasto de Mediano Plazo y el Marco F</w:t>
      </w:r>
      <w:r w:rsidRPr="00E4401D">
        <w:rPr>
          <w:rFonts w:ascii="Times New Roman" w:hAnsi="Times New Roman" w:cs="Times New Roman"/>
          <w:i/>
          <w:iCs/>
          <w:sz w:val="28"/>
          <w:szCs w:val="26"/>
        </w:rPr>
        <w:t>iscal de Mediano Plazo.</w:t>
      </w:r>
    </w:p>
    <w:p w:rsidR="00F464C8" w:rsidRPr="00E4401D" w:rsidRDefault="00E4401D" w:rsidP="00F464C8">
      <w:pPr>
        <w:pStyle w:val="NormalWeb"/>
        <w:ind w:left="567" w:right="567"/>
        <w:jc w:val="both"/>
        <w:rPr>
          <w:rStyle w:val="baj"/>
          <w:rFonts w:ascii="Times New Roman" w:hAnsi="Times New Roman" w:cs="Times New Roman"/>
          <w:i/>
          <w:iCs/>
          <w:sz w:val="28"/>
          <w:szCs w:val="26"/>
        </w:rPr>
      </w:pPr>
      <w:r w:rsidRPr="00E4401D">
        <w:rPr>
          <w:rStyle w:val="baj"/>
          <w:rFonts w:ascii="Times New Roman" w:hAnsi="Times New Roman" w:cs="Times New Roman"/>
          <w:b/>
          <w:bCs/>
          <w:i/>
          <w:iCs/>
          <w:sz w:val="28"/>
          <w:szCs w:val="26"/>
        </w:rPr>
        <w:t xml:space="preserve">PARÁGRAFO 4º. </w:t>
      </w:r>
      <w:r w:rsidRPr="00E4401D">
        <w:rPr>
          <w:rFonts w:ascii="Times New Roman" w:hAnsi="Times New Roman" w:cs="Times New Roman"/>
          <w:i/>
          <w:iCs/>
          <w:sz w:val="28"/>
          <w:szCs w:val="26"/>
        </w:rPr>
        <w:t>Los proyectos que se desarrollen en el marco del Plan Nacional de Desarrollo 2022-2026, contribuirán a la implementación de programas estratégicos, que se financiarán bajo el principio de concurrencia de fuentes y requ</w:t>
      </w:r>
      <w:r w:rsidRPr="00E4401D">
        <w:rPr>
          <w:rFonts w:ascii="Times New Roman" w:hAnsi="Times New Roman" w:cs="Times New Roman"/>
          <w:i/>
          <w:iCs/>
          <w:sz w:val="28"/>
          <w:szCs w:val="26"/>
        </w:rPr>
        <w:t>erirán de la articulación intersectorial y de los diferentes niveles de gobierno. Para ello, las entidades del orden nacional y territorial aunarán esfuerzos para formular y ejecutar proyectos que permitan la implementación de intervenciones públicas integ</w:t>
      </w:r>
      <w:r w:rsidRPr="00E4401D">
        <w:rPr>
          <w:rFonts w:ascii="Times New Roman" w:hAnsi="Times New Roman" w:cs="Times New Roman"/>
          <w:i/>
          <w:iCs/>
          <w:sz w:val="28"/>
          <w:szCs w:val="26"/>
        </w:rPr>
        <w:t>rales de mediano y largo plazo.</w:t>
      </w:r>
      <w:bookmarkEnd w:id="7"/>
      <w:r w:rsidRPr="00E4401D">
        <w:rPr>
          <w:rFonts w:ascii="Times New Roman" w:hAnsi="Times New Roman" w:cs="Times New Roman"/>
          <w:i/>
          <w:iCs/>
          <w:sz w:val="28"/>
          <w:szCs w:val="26"/>
        </w:rPr>
        <w:t xml:space="preserve"> </w:t>
      </w:r>
    </w:p>
    <w:p w:rsidR="00F464C8" w:rsidRPr="00E4401D" w:rsidRDefault="00E4401D" w:rsidP="00F464C8">
      <w:pPr>
        <w:pStyle w:val="centrado"/>
        <w:spacing w:before="0" w:beforeAutospacing="0" w:after="0" w:afterAutospacing="0" w:line="270" w:lineRule="atLeast"/>
        <w:ind w:left="567" w:right="567"/>
        <w:jc w:val="center"/>
        <w:rPr>
          <w:rStyle w:val="baj"/>
          <w:rFonts w:ascii="Times New Roman" w:hAnsi="Times New Roman" w:cs="Times New Roman"/>
          <w:bCs/>
          <w:i/>
          <w:sz w:val="28"/>
          <w:szCs w:val="26"/>
        </w:rPr>
      </w:pPr>
    </w:p>
    <w:p w:rsidR="00F464C8" w:rsidRPr="00E4401D" w:rsidRDefault="00E4401D" w:rsidP="00F464C8">
      <w:pPr>
        <w:pStyle w:val="centrado"/>
        <w:spacing w:before="0" w:beforeAutospacing="0" w:after="0" w:afterAutospacing="0" w:line="270" w:lineRule="atLeast"/>
        <w:ind w:left="567" w:right="567"/>
        <w:jc w:val="center"/>
        <w:rPr>
          <w:rStyle w:val="baj"/>
          <w:rFonts w:ascii="Times New Roman" w:hAnsi="Times New Roman" w:cs="Times New Roman"/>
          <w:bCs/>
          <w:i/>
          <w:sz w:val="28"/>
          <w:szCs w:val="26"/>
        </w:rPr>
      </w:pPr>
      <w:r w:rsidRPr="00E4401D">
        <w:rPr>
          <w:rStyle w:val="baj"/>
          <w:rFonts w:ascii="Times New Roman" w:hAnsi="Times New Roman" w:cs="Times New Roman"/>
          <w:bCs/>
          <w:i/>
          <w:sz w:val="28"/>
          <w:szCs w:val="26"/>
        </w:rPr>
        <w:t>(…)</w:t>
      </w: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bCs/>
          <w:i/>
          <w:sz w:val="28"/>
          <w:szCs w:val="26"/>
        </w:rPr>
      </w:pP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b/>
          <w:i/>
          <w:sz w:val="28"/>
          <w:szCs w:val="26"/>
        </w:rPr>
      </w:pPr>
      <w:r w:rsidRPr="00E4401D">
        <w:rPr>
          <w:rFonts w:ascii="Times New Roman" w:hAnsi="Times New Roman" w:cs="Times New Roman"/>
          <w:b/>
          <w:i/>
          <w:sz w:val="28"/>
          <w:szCs w:val="26"/>
        </w:rPr>
        <w:t>TÍTULO III</w:t>
      </w: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b/>
          <w:i/>
          <w:sz w:val="28"/>
          <w:szCs w:val="26"/>
        </w:rPr>
      </w:pPr>
      <w:r w:rsidRPr="00E4401D">
        <w:rPr>
          <w:rFonts w:ascii="Times New Roman" w:hAnsi="Times New Roman" w:cs="Times New Roman"/>
          <w:b/>
          <w:i/>
          <w:sz w:val="28"/>
          <w:szCs w:val="26"/>
        </w:rPr>
        <w:t>MECANISMOS DE EJECUCIÓN DEL PLAN</w:t>
      </w:r>
    </w:p>
    <w:p w:rsidR="00F464C8" w:rsidRPr="00E4401D" w:rsidRDefault="00E4401D" w:rsidP="00F464C8">
      <w:pPr>
        <w:pStyle w:val="centrado"/>
        <w:spacing w:before="0" w:beforeAutospacing="0" w:after="0" w:afterAutospacing="0" w:line="270" w:lineRule="atLeast"/>
        <w:ind w:left="708" w:right="567" w:hanging="141"/>
        <w:jc w:val="center"/>
        <w:rPr>
          <w:rStyle w:val="baj"/>
          <w:rFonts w:ascii="Times New Roman" w:hAnsi="Times New Roman" w:cs="Times New Roman"/>
          <w:bCs/>
          <w:i/>
          <w:sz w:val="28"/>
          <w:szCs w:val="26"/>
        </w:rPr>
      </w:pPr>
    </w:p>
    <w:p w:rsidR="00F464C8" w:rsidRPr="00E4401D" w:rsidRDefault="00E4401D" w:rsidP="00F464C8">
      <w:pPr>
        <w:pStyle w:val="centrado"/>
        <w:spacing w:before="0" w:beforeAutospacing="0" w:after="0" w:afterAutospacing="0" w:line="270" w:lineRule="atLeast"/>
        <w:ind w:left="567" w:right="567"/>
        <w:jc w:val="center"/>
        <w:rPr>
          <w:rStyle w:val="baj"/>
          <w:rFonts w:ascii="Times New Roman" w:hAnsi="Times New Roman" w:cs="Times New Roman"/>
          <w:bCs/>
          <w:i/>
          <w:sz w:val="28"/>
          <w:szCs w:val="26"/>
        </w:rPr>
      </w:pPr>
      <w:r w:rsidRPr="00E4401D">
        <w:rPr>
          <w:rStyle w:val="baj"/>
          <w:rFonts w:ascii="Times New Roman" w:hAnsi="Times New Roman" w:cs="Times New Roman"/>
          <w:bCs/>
          <w:i/>
          <w:sz w:val="28"/>
          <w:szCs w:val="26"/>
        </w:rPr>
        <w:t>(…)</w:t>
      </w: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bCs/>
          <w:i/>
          <w:sz w:val="28"/>
          <w:szCs w:val="26"/>
        </w:rPr>
      </w:pP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b/>
          <w:i/>
          <w:sz w:val="28"/>
          <w:szCs w:val="26"/>
        </w:rPr>
      </w:pPr>
      <w:r w:rsidRPr="00E4401D">
        <w:rPr>
          <w:rFonts w:ascii="Times New Roman" w:hAnsi="Times New Roman" w:cs="Times New Roman"/>
          <w:b/>
          <w:i/>
          <w:sz w:val="28"/>
          <w:szCs w:val="26"/>
        </w:rPr>
        <w:t>CAPITULO II</w:t>
      </w: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b/>
          <w:i/>
          <w:sz w:val="28"/>
          <w:szCs w:val="26"/>
        </w:rPr>
      </w:pPr>
      <w:r w:rsidRPr="00E4401D">
        <w:rPr>
          <w:rFonts w:ascii="Times New Roman" w:hAnsi="Times New Roman" w:cs="Times New Roman"/>
          <w:b/>
          <w:i/>
          <w:sz w:val="28"/>
          <w:szCs w:val="26"/>
        </w:rPr>
        <w:t>ORDENAMIENTO DEL TERRITORIO ALREDEDOR DEL AGUA Y JUSTICIA AMBIENTAL</w:t>
      </w: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b/>
          <w:i/>
          <w:sz w:val="28"/>
          <w:szCs w:val="26"/>
        </w:rPr>
      </w:pP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bCs/>
          <w:i/>
          <w:sz w:val="28"/>
          <w:szCs w:val="26"/>
        </w:rPr>
      </w:pPr>
      <w:r w:rsidRPr="00E4401D">
        <w:rPr>
          <w:rFonts w:ascii="Times New Roman" w:hAnsi="Times New Roman" w:cs="Times New Roman"/>
          <w:bCs/>
          <w:i/>
          <w:sz w:val="28"/>
          <w:szCs w:val="26"/>
        </w:rPr>
        <w:t>(…)</w:t>
      </w: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bCs/>
          <w:i/>
          <w:sz w:val="28"/>
          <w:szCs w:val="26"/>
        </w:rPr>
      </w:pP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b/>
          <w:i/>
          <w:sz w:val="28"/>
          <w:szCs w:val="26"/>
        </w:rPr>
      </w:pPr>
      <w:r w:rsidRPr="00E4401D">
        <w:rPr>
          <w:rFonts w:ascii="Times New Roman" w:hAnsi="Times New Roman" w:cs="Times New Roman"/>
          <w:b/>
          <w:i/>
          <w:sz w:val="28"/>
          <w:szCs w:val="26"/>
        </w:rPr>
        <w:t>SECCIÓN VI</w:t>
      </w: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b/>
          <w:i/>
          <w:sz w:val="28"/>
          <w:szCs w:val="26"/>
        </w:rPr>
      </w:pPr>
      <w:r w:rsidRPr="00E4401D">
        <w:rPr>
          <w:rFonts w:ascii="Times New Roman" w:hAnsi="Times New Roman" w:cs="Times New Roman"/>
          <w:b/>
          <w:i/>
          <w:sz w:val="28"/>
          <w:szCs w:val="26"/>
        </w:rPr>
        <w:t xml:space="preserve">TENENCIA EN LAS ZONAS RURAL, URBANA Y SUBURBANA FORMALIZADA, </w:t>
      </w:r>
      <w:r w:rsidRPr="00E4401D">
        <w:rPr>
          <w:rFonts w:ascii="Times New Roman" w:hAnsi="Times New Roman" w:cs="Times New Roman"/>
          <w:b/>
          <w:i/>
          <w:sz w:val="28"/>
          <w:szCs w:val="26"/>
        </w:rPr>
        <w:t>ADJUDICADA Y REGULARIZADA</w:t>
      </w: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b/>
          <w:i/>
          <w:sz w:val="28"/>
          <w:szCs w:val="26"/>
        </w:rPr>
      </w:pPr>
    </w:p>
    <w:p w:rsidR="00F464C8" w:rsidRPr="00E4401D" w:rsidRDefault="00E4401D" w:rsidP="00F464C8">
      <w:pPr>
        <w:pStyle w:val="centrado"/>
        <w:spacing w:before="0" w:beforeAutospacing="0" w:after="0" w:afterAutospacing="0" w:line="270" w:lineRule="atLeast"/>
        <w:ind w:left="567" w:right="567"/>
        <w:jc w:val="center"/>
        <w:rPr>
          <w:rFonts w:ascii="Times New Roman" w:hAnsi="Times New Roman" w:cs="Times New Roman"/>
          <w:bCs/>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b/>
          <w:bCs/>
          <w:i/>
          <w:sz w:val="28"/>
          <w:szCs w:val="26"/>
        </w:rPr>
        <w:t>Artículo 61.</w:t>
      </w:r>
      <w:r w:rsidRPr="00E4401D">
        <w:rPr>
          <w:rFonts w:ascii="Times New Roman" w:hAnsi="Times New Roman" w:cs="Times New Roman"/>
          <w:i/>
          <w:sz w:val="28"/>
          <w:szCs w:val="26"/>
        </w:rPr>
        <w:t xml:space="preserve"> </w:t>
      </w:r>
      <w:r w:rsidRPr="00E4401D">
        <w:rPr>
          <w:rFonts w:ascii="Times New Roman" w:hAnsi="Times New Roman" w:cs="Times New Roman"/>
          <w:b/>
          <w:bCs/>
          <w:i/>
          <w:sz w:val="28"/>
          <w:szCs w:val="26"/>
        </w:rPr>
        <w:t>Mecanismos para facilitar y dinamizar los procesos de compra de tierras por oferta voluntaria</w:t>
      </w:r>
      <w:r w:rsidRPr="00E4401D">
        <w:rPr>
          <w:rFonts w:ascii="Times New Roman" w:hAnsi="Times New Roman" w:cs="Times New Roman"/>
          <w:i/>
          <w:sz w:val="28"/>
          <w:szCs w:val="26"/>
        </w:rPr>
        <w:t xml:space="preserve">. En el marco del procedimiento de compra por oferta voluntaria de tierras, que se destinarán al fondo de tierras a cargo </w:t>
      </w:r>
      <w:r w:rsidRPr="00E4401D">
        <w:rPr>
          <w:rFonts w:ascii="Times New Roman" w:hAnsi="Times New Roman" w:cs="Times New Roman"/>
          <w:i/>
          <w:sz w:val="28"/>
          <w:szCs w:val="26"/>
        </w:rPr>
        <w:t>de la Agencia Nacional de Tierras (ANT), podrán adelantarse las siguientes medidas:</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i/>
          <w:sz w:val="28"/>
          <w:szCs w:val="26"/>
        </w:rPr>
        <w:t>1. Saneamiento para la compra de tierras. En los eventos en que la ANT, en el marco de sus funciones, adquiera inmuebles por negociación directa, operará a su favor el san</w:t>
      </w:r>
      <w:r w:rsidRPr="00E4401D">
        <w:rPr>
          <w:rFonts w:ascii="Times New Roman" w:hAnsi="Times New Roman" w:cs="Times New Roman"/>
          <w:i/>
          <w:sz w:val="28"/>
          <w:szCs w:val="26"/>
        </w:rPr>
        <w:t>eamiento sobre la existencia de limitaciones, gravámenes, afectaciones o medidas cautelares que impidan el uso, goce y disposición plena del predio, incluso, las que surjan con posterioridad al proceso de adquisición. Lo anterior, sin perjuicio de las acci</w:t>
      </w:r>
      <w:r w:rsidRPr="00E4401D">
        <w:rPr>
          <w:rFonts w:ascii="Times New Roman" w:hAnsi="Times New Roman" w:cs="Times New Roman"/>
          <w:i/>
          <w:sz w:val="28"/>
          <w:szCs w:val="26"/>
        </w:rPr>
        <w:t>ones indemnizatorias que procedan según la ley. En caso de ser necesario, con cargo al precio de compra del inmueble, se asumirán las obligaciones causadas, tales como servicios públicos, obligaciones tributarias del orden nacional y territorial, valorizac</w:t>
      </w:r>
      <w:r w:rsidRPr="00E4401D">
        <w:rPr>
          <w:rFonts w:ascii="Times New Roman" w:hAnsi="Times New Roman" w:cs="Times New Roman"/>
          <w:i/>
          <w:sz w:val="28"/>
          <w:szCs w:val="26"/>
        </w:rPr>
        <w:t>ión y otras que recaigan sobre los inmuebles objeto de compra.</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i/>
          <w:sz w:val="28"/>
          <w:szCs w:val="26"/>
        </w:rPr>
        <w:t>El saneamiento previsto en el inciso anterior no operará en perjuicio de la presunción de bien baldío prevista en la Ley 160 de 1994. Así mismo, no operará cuando: i) se presente despojo por e</w:t>
      </w:r>
      <w:r w:rsidRPr="00E4401D">
        <w:rPr>
          <w:rFonts w:ascii="Times New Roman" w:hAnsi="Times New Roman" w:cs="Times New Roman"/>
          <w:i/>
          <w:sz w:val="28"/>
          <w:szCs w:val="26"/>
        </w:rPr>
        <w:t>l conflicto armado, en términos de la ley 1448 de 2011 y los Decretos Ley 4633, 4634 y 4635 de 2011; ii) existan medidas o limitaciones asociadas a procesos de restitución de tierras, conforme lo prescrito por la Ley 1448 de 2011; iii) existan medidas de p</w:t>
      </w:r>
      <w:r w:rsidRPr="00E4401D">
        <w:rPr>
          <w:rFonts w:ascii="Times New Roman" w:hAnsi="Times New Roman" w:cs="Times New Roman"/>
          <w:i/>
          <w:sz w:val="28"/>
          <w:szCs w:val="26"/>
        </w:rPr>
        <w:t>rotección de conformidad con lo previsto en la Ley 387 de 1997; y iv) se estén adelantando procesos de clarificación de la propiedad, extinción del dominio por incumplimiento de la función social y ecológica de la propiedad, deslinde y recuperación de bald</w:t>
      </w:r>
      <w:r w:rsidRPr="00E4401D">
        <w:rPr>
          <w:rFonts w:ascii="Times New Roman" w:hAnsi="Times New Roman" w:cs="Times New Roman"/>
          <w:i/>
          <w:sz w:val="28"/>
          <w:szCs w:val="26"/>
        </w:rPr>
        <w:t>íos de que trata la Ley 160 de 1994.</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i/>
          <w:sz w:val="28"/>
          <w:szCs w:val="26"/>
        </w:rPr>
        <w:t xml:space="preserve">Sobre las tierras que pretenda adquirir la ANT se debe acreditar propiedad privada de conformidad con lo previsto en el artículo 48 de la Ley 160 de 1994, se debe cumplir con las normas ambientales y agrarias, y deben </w:t>
      </w:r>
      <w:r w:rsidRPr="00E4401D">
        <w:rPr>
          <w:rFonts w:ascii="Times New Roman" w:hAnsi="Times New Roman" w:cs="Times New Roman"/>
          <w:i/>
          <w:sz w:val="28"/>
          <w:szCs w:val="26"/>
        </w:rPr>
        <w:t>estar en posesión de sus propietarios o del administrador del Frisco.</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i/>
          <w:sz w:val="28"/>
          <w:szCs w:val="26"/>
        </w:rPr>
        <w:t>2. Compra directa de tierras al Frisco. La ANT podrá adquirir de manera directa:</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u w:val="single"/>
        </w:rPr>
      </w:pPr>
      <w:r w:rsidRPr="00E4401D">
        <w:rPr>
          <w:rFonts w:ascii="Times New Roman" w:hAnsi="Times New Roman" w:cs="Times New Roman"/>
          <w:i/>
          <w:sz w:val="28"/>
          <w:szCs w:val="26"/>
        </w:rPr>
        <w:t xml:space="preserve">a) Inmuebles rurales no sociales con medidas cautelares dentro del proceso de extinción de dominio, </w:t>
      </w:r>
      <w:r w:rsidRPr="00E4401D">
        <w:rPr>
          <w:rFonts w:ascii="Times New Roman" w:hAnsi="Times New Roman" w:cs="Times New Roman"/>
          <w:b/>
          <w:bCs/>
          <w:i/>
          <w:sz w:val="28"/>
          <w:szCs w:val="26"/>
          <w:u w:val="single"/>
        </w:rPr>
        <w:t>bajo la figura de enajenación temprana, o cualquier otro mecanismo que establezca la ley. En los eventos en los que se hubiera constituido reserva técnica, o se hubiere pagado el valor de venta y siempre que sea declarada la extinción de dominio, estos ser</w:t>
      </w:r>
      <w:r w:rsidRPr="00E4401D">
        <w:rPr>
          <w:rFonts w:ascii="Times New Roman" w:hAnsi="Times New Roman" w:cs="Times New Roman"/>
          <w:b/>
          <w:bCs/>
          <w:i/>
          <w:sz w:val="28"/>
          <w:szCs w:val="26"/>
          <w:u w:val="single"/>
        </w:rPr>
        <w:t>án reintegrados en su totalidad al Fondo de Tierras.</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i/>
          <w:sz w:val="28"/>
          <w:szCs w:val="26"/>
        </w:rPr>
        <w:t xml:space="preserve">b) Inmuebles rurales propiedad de personas jurídicas incursas en procesos de liquidación y con medidas cautelares dentro del proceso de extinción de dominio, bajo el mecanismo de enajenación temprana, </w:t>
      </w:r>
      <w:r w:rsidRPr="00E4401D">
        <w:rPr>
          <w:rFonts w:ascii="Times New Roman" w:hAnsi="Times New Roman" w:cs="Times New Roman"/>
          <w:i/>
          <w:sz w:val="28"/>
          <w:szCs w:val="26"/>
        </w:rPr>
        <w:t>de conformidad con lo establecido en el artículo 93 de la Ley 1708 de 2014.</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i/>
          <w:sz w:val="28"/>
          <w:szCs w:val="26"/>
        </w:rPr>
        <w:t>Los predios deberán ser adquiridos por el precio base de venta definido en el avalúo comercial vigente al momento de la venta. El producto de la venta de estos bienes estará desti</w:t>
      </w:r>
      <w:r w:rsidRPr="00E4401D">
        <w:rPr>
          <w:rFonts w:ascii="Times New Roman" w:hAnsi="Times New Roman" w:cs="Times New Roman"/>
          <w:i/>
          <w:sz w:val="28"/>
          <w:szCs w:val="26"/>
        </w:rPr>
        <w:t>nado a cancelar las deudas a cargo de la sociedad, respetando el proceso de liquidación, sus etapas y las prelaciones legales.</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i/>
          <w:sz w:val="28"/>
          <w:szCs w:val="26"/>
        </w:rPr>
        <w:t>c) Inmuebles rurales propiedad de personas jurídicas incursas en procesos de liquidación y sobre las que se declare la extinción</w:t>
      </w:r>
      <w:r w:rsidRPr="00E4401D">
        <w:rPr>
          <w:rFonts w:ascii="Times New Roman" w:hAnsi="Times New Roman" w:cs="Times New Roman"/>
          <w:i/>
          <w:sz w:val="28"/>
          <w:szCs w:val="26"/>
        </w:rPr>
        <w:t xml:space="preserve"> de dominio, conforme lo establecido en el inciso segundo del artículo 105 de la Ley 1708 de 2014.</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i/>
          <w:sz w:val="28"/>
          <w:szCs w:val="26"/>
        </w:rPr>
        <w:t>Los predios deberán ser adquiridos por el precio base de venta definido en el avalúo comercial vigente al momento de la venta. El producto de la venta de es</w:t>
      </w:r>
      <w:r w:rsidRPr="00E4401D">
        <w:rPr>
          <w:rFonts w:ascii="Times New Roman" w:hAnsi="Times New Roman" w:cs="Times New Roman"/>
          <w:i/>
          <w:sz w:val="28"/>
          <w:szCs w:val="26"/>
        </w:rPr>
        <w:t>tos bienes estará destinado a cancelar las deudas a cargo de la sociedad, respetando el proceso de liquidación, sus etapas y las prelaciones legales.</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 xml:space="preserve">3. Compra directa de tierras al Fondo de Reparación de Víctimas. La ANT podrá adquirir de manera directa </w:t>
      </w:r>
      <w:r w:rsidRPr="00E4401D">
        <w:rPr>
          <w:rFonts w:ascii="Times New Roman" w:hAnsi="Times New Roman" w:cs="Times New Roman"/>
          <w:b/>
          <w:bCs/>
          <w:i/>
          <w:sz w:val="28"/>
          <w:szCs w:val="26"/>
          <w:u w:val="single"/>
        </w:rPr>
        <w:t>los inmuebles rurales del Fondo para la Reparación de las Víctimas susceptibles de comercialización, de que trata el artículo 54 de la Ley 975 de 2005, los cuales serán adquiridos por el monto fijado mediante avalúo comercial vigente.</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Cuando se trate de i</w:t>
      </w:r>
      <w:r w:rsidRPr="00E4401D">
        <w:rPr>
          <w:rFonts w:ascii="Times New Roman" w:hAnsi="Times New Roman" w:cs="Times New Roman"/>
          <w:b/>
          <w:bCs/>
          <w:i/>
          <w:sz w:val="28"/>
          <w:szCs w:val="26"/>
          <w:u w:val="single"/>
        </w:rPr>
        <w:t>nmuebles rurales vinculados a acciones de extinción del derecho de dominio en curso, la ANT los podrá adquirir tempranamente por el precio base de venta definido en el avalúo comercial vigente al momento de la venta. Para ello se aplicará el mecanismo de a</w:t>
      </w:r>
      <w:r w:rsidRPr="00E4401D">
        <w:rPr>
          <w:rFonts w:ascii="Times New Roman" w:hAnsi="Times New Roman" w:cs="Times New Roman"/>
          <w:b/>
          <w:bCs/>
          <w:i/>
          <w:sz w:val="28"/>
          <w:szCs w:val="26"/>
          <w:u w:val="single"/>
        </w:rPr>
        <w:t>dquisición temprana establecido a continuación:</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a) La Unidad Administrativa para la Reparación Integral de las Víctimas, en su condición de administradora del Fondo para la reparación de las Víctimas, podrá aplicar su reglamento interno para la enajenació</w:t>
      </w:r>
      <w:r w:rsidRPr="00E4401D">
        <w:rPr>
          <w:rFonts w:ascii="Times New Roman" w:hAnsi="Times New Roman" w:cs="Times New Roman"/>
          <w:b/>
          <w:bCs/>
          <w:i/>
          <w:sz w:val="28"/>
          <w:szCs w:val="26"/>
          <w:u w:val="single"/>
        </w:rPr>
        <w:t>n de inmuebles rurales vinculados a acciones de extinción de dominio, siempre y cuando el comprador sea la ANT.</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b) Una vez el inmueble sea vendido a la ANT, el administrador del Fondo para la Reparación de las Víctimas deberá informar a la autoridad judic</w:t>
      </w:r>
      <w:r w:rsidRPr="00E4401D">
        <w:rPr>
          <w:rFonts w:ascii="Times New Roman" w:hAnsi="Times New Roman" w:cs="Times New Roman"/>
          <w:b/>
          <w:bCs/>
          <w:i/>
          <w:sz w:val="28"/>
          <w:szCs w:val="26"/>
          <w:u w:val="single"/>
        </w:rPr>
        <w:t>ial que conoce del proceso de extinción de dominio.</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c) Con los dineros producto de la venta, el administrador del Fondo para la Reparación de las Víctimas constituirá una reserva técnica del treinta por ciento (30%), destinada a cumplir las órdenes judici</w:t>
      </w:r>
      <w:r w:rsidRPr="00E4401D">
        <w:rPr>
          <w:rFonts w:ascii="Times New Roman" w:hAnsi="Times New Roman" w:cs="Times New Roman"/>
          <w:b/>
          <w:bCs/>
          <w:i/>
          <w:sz w:val="28"/>
          <w:szCs w:val="26"/>
          <w:u w:val="single"/>
        </w:rPr>
        <w:t>ales de devolución que recaigan sobre los inmuebles objeto de venta.</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i/>
          <w:sz w:val="28"/>
          <w:szCs w:val="26"/>
        </w:rPr>
        <w:t xml:space="preserve">4. Transferencia directa por parte de otras entidades públicas. La ANT podrá adquirir, de manera directa, bienes inmuebles rurales de propiedad de las entidades públicas que cumplan con </w:t>
      </w:r>
      <w:r w:rsidRPr="00E4401D">
        <w:rPr>
          <w:rFonts w:ascii="Times New Roman" w:hAnsi="Times New Roman" w:cs="Times New Roman"/>
          <w:i/>
          <w:sz w:val="28"/>
          <w:szCs w:val="26"/>
        </w:rPr>
        <w:t>las condiciones para la implementación de programas de dotación de tierras.</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i/>
          <w:sz w:val="28"/>
          <w:szCs w:val="26"/>
        </w:rPr>
        <w:t>Las entidades de derecho público podrán realizar la transferencia a título gratuito. En estos casos, la transferencia puede condicionar que la ANT comprometa la inversión de recur</w:t>
      </w:r>
      <w:r w:rsidRPr="00E4401D">
        <w:rPr>
          <w:rFonts w:ascii="Times New Roman" w:hAnsi="Times New Roman" w:cs="Times New Roman"/>
          <w:i/>
          <w:sz w:val="28"/>
          <w:szCs w:val="26"/>
        </w:rPr>
        <w:t>sos. Estos recursos se destinarán a la compra de inmuebles para nuevas adjudicaciones, la adecuación de los bienes transferidos o su saneamiento.</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5. Identificación, priorización y compra de predios para la Reforma Rural Integral. Con el propósito de ident</w:t>
      </w:r>
      <w:r w:rsidRPr="00E4401D">
        <w:rPr>
          <w:rFonts w:ascii="Times New Roman" w:hAnsi="Times New Roman" w:cs="Times New Roman"/>
          <w:b/>
          <w:bCs/>
          <w:i/>
          <w:sz w:val="28"/>
          <w:szCs w:val="26"/>
          <w:u w:val="single"/>
        </w:rPr>
        <w:t>ificar predios idóneos para la reforma rural integral, el Ministerio de Agricultura y Desarrollo Rural (MADR), con el apoyo de la Unidad de Planificación Rural Agropecuaria (UPRA), adelantará análisis prediales a través de la consulta de información públic</w:t>
      </w:r>
      <w:r w:rsidRPr="00E4401D">
        <w:rPr>
          <w:rFonts w:ascii="Times New Roman" w:hAnsi="Times New Roman" w:cs="Times New Roman"/>
          <w:b/>
          <w:bCs/>
          <w:i/>
          <w:sz w:val="28"/>
          <w:szCs w:val="26"/>
          <w:u w:val="single"/>
        </w:rPr>
        <w:t>a, plataformas institucionales, capas geográficas, uso de las tecnologías de la información y demás métodos indirectos. El análisis identificará los predios con áreas superiores a dos (2) Unidades Agrícolas Familiares (UAF), calculadas por la metodología d</w:t>
      </w:r>
      <w:r w:rsidRPr="00E4401D">
        <w:rPr>
          <w:rFonts w:ascii="Times New Roman" w:hAnsi="Times New Roman" w:cs="Times New Roman"/>
          <w:b/>
          <w:bCs/>
          <w:i/>
          <w:sz w:val="28"/>
          <w:szCs w:val="26"/>
          <w:u w:val="single"/>
        </w:rPr>
        <w:t>e Zonas Relativamente Homogéneas. Los predios que cumplan con las condiciones anteriormente referidas constituirán la base para definir núcleos territoriales para su intervención prioritaria.</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 xml:space="preserve">El MADR remitirá la información de los núcleos territoriales </w:t>
      </w:r>
      <w:r w:rsidRPr="00E4401D">
        <w:rPr>
          <w:rFonts w:ascii="Times New Roman" w:hAnsi="Times New Roman" w:cs="Times New Roman"/>
          <w:b/>
          <w:bCs/>
          <w:i/>
          <w:sz w:val="28"/>
          <w:szCs w:val="26"/>
          <w:u w:val="single"/>
        </w:rPr>
        <w:t>priorizados a la Agencia Nacional de Tierras (ANT), con el propósito de que esta entidad proceda a la identificación de predios idóneos para la Reforma Rural Integral, y posterior aplicación del procedimiento de compra por oferta voluntaria.</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En aquellos c</w:t>
      </w:r>
      <w:r w:rsidRPr="00E4401D">
        <w:rPr>
          <w:rFonts w:ascii="Times New Roman" w:hAnsi="Times New Roman" w:cs="Times New Roman"/>
          <w:b/>
          <w:bCs/>
          <w:i/>
          <w:sz w:val="28"/>
          <w:szCs w:val="26"/>
          <w:u w:val="single"/>
        </w:rPr>
        <w:t>asos en los que los propietarios no procedan a la venta, la ANT adelantará el análisis de la explotación económica del predio, requiriendo a su propietario por una única vez, para que proceda a la enajenación de aquellas áreas que no se encuentren bajo apr</w:t>
      </w:r>
      <w:r w:rsidRPr="00E4401D">
        <w:rPr>
          <w:rFonts w:ascii="Times New Roman" w:hAnsi="Times New Roman" w:cs="Times New Roman"/>
          <w:b/>
          <w:bCs/>
          <w:i/>
          <w:sz w:val="28"/>
          <w:szCs w:val="26"/>
          <w:u w:val="single"/>
        </w:rPr>
        <w:t>ovechamiento económico y que excedan la extensión de la UAF.</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Cuando el propietario no acceda a la enajenación, la ANT aplicará los procedimientos agrarios a los que haya lugar.</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De manera simultánea, el Instituto Geográfico Agustín Codazzi (IGAC) prioriza</w:t>
      </w:r>
      <w:r w:rsidRPr="00E4401D">
        <w:rPr>
          <w:rFonts w:ascii="Times New Roman" w:hAnsi="Times New Roman" w:cs="Times New Roman"/>
          <w:b/>
          <w:bCs/>
          <w:i/>
          <w:sz w:val="28"/>
          <w:szCs w:val="26"/>
          <w:u w:val="single"/>
        </w:rPr>
        <w:t>rá la actualización catastral en las zonas definidas por el MADR, a partir de la metodología que el Instituto defina para tal fin. En las áreas restantes de los municipios, el IGAC adelantará la actualización catastral de manera progresiva. Los gestores ca</w:t>
      </w:r>
      <w:r w:rsidRPr="00E4401D">
        <w:rPr>
          <w:rFonts w:ascii="Times New Roman" w:hAnsi="Times New Roman" w:cs="Times New Roman"/>
          <w:b/>
          <w:bCs/>
          <w:i/>
          <w:sz w:val="28"/>
          <w:szCs w:val="26"/>
          <w:u w:val="single"/>
        </w:rPr>
        <w:t>tastrales deberán aplicar e incorporar dicha modificación en sus respectivas bases catastrales.</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6. Procedimientos de la autoridad de tierras que deberán ser resueltos en fase administrativa. Para los asuntos de que trata los numerales 4, 5 y 7 del artícul</w:t>
      </w:r>
      <w:r w:rsidRPr="00E4401D">
        <w:rPr>
          <w:rFonts w:ascii="Times New Roman" w:hAnsi="Times New Roman" w:cs="Times New Roman"/>
          <w:b/>
          <w:bCs/>
          <w:i/>
          <w:sz w:val="28"/>
          <w:szCs w:val="26"/>
          <w:u w:val="single"/>
        </w:rPr>
        <w:t>o 58 del Decreto Ley 902 de 2017, la Agencia Nacional de Tierras (ANT), mediante acto administrativo fundamentado en el informe técnico-jurídico definitivo y demás pruebas recaudadas, tomará la decisión de fondo que corresponda.</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En firme dicho acto admini</w:t>
      </w:r>
      <w:r w:rsidRPr="00E4401D">
        <w:rPr>
          <w:rFonts w:ascii="Times New Roman" w:hAnsi="Times New Roman" w:cs="Times New Roman"/>
          <w:b/>
          <w:bCs/>
          <w:i/>
          <w:sz w:val="28"/>
          <w:szCs w:val="26"/>
          <w:u w:val="single"/>
        </w:rPr>
        <w:t>strativo, la ANT procederá a su radicación en la Oficina de Registro de Instrumentos Públicos del círculo donde se encuentra el predio, con el fin de que se realice el respectivo registro en el folio de matrícula inmobiliaria.</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Los particulares que aduzcan</w:t>
      </w:r>
      <w:r w:rsidRPr="00E4401D">
        <w:rPr>
          <w:rFonts w:ascii="Times New Roman" w:hAnsi="Times New Roman" w:cs="Times New Roman"/>
          <w:b/>
          <w:bCs/>
          <w:i/>
          <w:sz w:val="28"/>
          <w:szCs w:val="26"/>
          <w:u w:val="single"/>
        </w:rPr>
        <w:t xml:space="preserve"> tener derechos reales sobre los predios sometidos a los asuntos indicados, podrán ejercer únicamente la acción de nulidad agraria de que trata el artículo 39 de dicho decreto.</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Dicha acción operará como control judicial frente al acto administrativo en el</w:t>
      </w:r>
      <w:r w:rsidRPr="00E4401D">
        <w:rPr>
          <w:rFonts w:ascii="Times New Roman" w:hAnsi="Times New Roman" w:cs="Times New Roman"/>
          <w:b/>
          <w:bCs/>
          <w:i/>
          <w:sz w:val="28"/>
          <w:szCs w:val="26"/>
          <w:u w:val="single"/>
        </w:rPr>
        <w:t xml:space="preserve"> que se toma la decisión de fondo. Para su interposición, el accionante contará con un término de tres (3) años, contados a partir de la fecha de inscripción del acto administrativo en el folio de matrícula inmobiliaria. Esta acción podrá interponerse dire</w:t>
      </w:r>
      <w:r w:rsidRPr="00E4401D">
        <w:rPr>
          <w:rFonts w:ascii="Times New Roman" w:hAnsi="Times New Roman" w:cs="Times New Roman"/>
          <w:b/>
          <w:bCs/>
          <w:i/>
          <w:sz w:val="28"/>
          <w:szCs w:val="26"/>
          <w:u w:val="single"/>
        </w:rPr>
        <w:t>ctamente, sin necesidad de haber agotado los recursos contra el acto administrativo.</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En los eventos en los que el juez disponga la suspensión provisional del acto administrativo en el marco de la acción de nulidad agraria, la ANT podrá disponer del inmueb</w:t>
      </w:r>
      <w:r w:rsidRPr="00E4401D">
        <w:rPr>
          <w:rFonts w:ascii="Times New Roman" w:hAnsi="Times New Roman" w:cs="Times New Roman"/>
          <w:b/>
          <w:bCs/>
          <w:i/>
          <w:sz w:val="28"/>
          <w:szCs w:val="26"/>
          <w:u w:val="single"/>
        </w:rPr>
        <w:t>le conforme a sus competencias legales, siempre y cuando constituya una reserva destinada a cumplir las órdenes judiciales que se puedan dar en favor de los accionantes. Dicha reserva podrá ser constituida con recursos de su presupuesto, vehículos financie</w:t>
      </w:r>
      <w:r w:rsidRPr="00E4401D">
        <w:rPr>
          <w:rFonts w:ascii="Times New Roman" w:hAnsi="Times New Roman" w:cs="Times New Roman"/>
          <w:b/>
          <w:bCs/>
          <w:i/>
          <w:sz w:val="28"/>
          <w:szCs w:val="26"/>
          <w:u w:val="single"/>
        </w:rPr>
        <w:t>ros públicos y/o cuentas especiales de la Nación.</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Los procedimientos especiales agrarios que hubiesen pasado a etapa judicial, empero no hayan surtido la fase probatoria en dicha instancia, podrán ser reasumidos, mediante acto administrativo, por la Agenc</w:t>
      </w:r>
      <w:r w:rsidRPr="00E4401D">
        <w:rPr>
          <w:rFonts w:ascii="Times New Roman" w:hAnsi="Times New Roman" w:cs="Times New Roman"/>
          <w:b/>
          <w:bCs/>
          <w:i/>
          <w:sz w:val="28"/>
          <w:szCs w:val="26"/>
          <w:u w:val="single"/>
        </w:rPr>
        <w:t>ia Nacional de Tierras y tramitarse atendiendo las disposiciones acá contenidas.</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Parágrafo 1o. En los mecanismos de compra previstos en los numerales 2, 3 y 4 del presente artículo, la ANT tendrá la primera opción de compra.</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Parágrafo 2o. Los literales a</w:t>
      </w:r>
      <w:r w:rsidRPr="00E4401D">
        <w:rPr>
          <w:rFonts w:ascii="Times New Roman" w:hAnsi="Times New Roman" w:cs="Times New Roman"/>
          <w:b/>
          <w:bCs/>
          <w:i/>
          <w:sz w:val="28"/>
          <w:szCs w:val="26"/>
          <w:u w:val="single"/>
        </w:rPr>
        <w:t xml:space="preserve"> y b del numeral 2 del presente artículo constituyen supuestos adicionales a las reglas aplicables para la enajenación temprana, previstos en la legislación vigente.</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Parágrafo 3o. El numeral 6 del presente artículo deroga el inciso segundo del artículo 39</w:t>
      </w:r>
      <w:r w:rsidRPr="00E4401D">
        <w:rPr>
          <w:rFonts w:ascii="Times New Roman" w:hAnsi="Times New Roman" w:cs="Times New Roman"/>
          <w:b/>
          <w:bCs/>
          <w:i/>
          <w:sz w:val="28"/>
          <w:szCs w:val="26"/>
          <w:u w:val="single"/>
        </w:rPr>
        <w:t>, el numeral 2 del artículo 60, el inciso segundo del artículo 61, el artículo 75 y el inciso tercero del artículo 76, solo en lo que respecta a los asuntos de que trata los numerales 4, 5 y 7 del artículo 58 del Decreto Ley 902 de 2017; y las demás normas</w:t>
      </w:r>
      <w:r w:rsidRPr="00E4401D">
        <w:rPr>
          <w:rFonts w:ascii="Times New Roman" w:hAnsi="Times New Roman" w:cs="Times New Roman"/>
          <w:b/>
          <w:bCs/>
          <w:i/>
          <w:sz w:val="28"/>
          <w:szCs w:val="26"/>
          <w:u w:val="single"/>
        </w:rPr>
        <w:t xml:space="preserve"> procedimentales que contradigan su contenido.</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Parágrafo 4o. El cumplimiento de lo dispuesto en este artículo estará sujeto al Marco Fiscal de Mediano Plazo, el Marco de Gasto de Mediano Plazo del correspondiente sector y a las disponibilidades presupuest</w:t>
      </w:r>
      <w:r w:rsidRPr="00E4401D">
        <w:rPr>
          <w:rFonts w:ascii="Times New Roman" w:hAnsi="Times New Roman" w:cs="Times New Roman"/>
          <w:b/>
          <w:bCs/>
          <w:i/>
          <w:sz w:val="28"/>
          <w:szCs w:val="26"/>
          <w:u w:val="single"/>
        </w:rPr>
        <w:t>ales.</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center"/>
        <w:rPr>
          <w:rFonts w:ascii="Times New Roman" w:hAnsi="Times New Roman" w:cs="Times New Roman"/>
          <w:b/>
          <w:bCs/>
          <w:i/>
          <w:sz w:val="28"/>
          <w:szCs w:val="26"/>
        </w:rPr>
      </w:pPr>
    </w:p>
    <w:p w:rsidR="00F464C8" w:rsidRPr="00E4401D" w:rsidRDefault="00E4401D" w:rsidP="00F464C8">
      <w:pPr>
        <w:ind w:left="567" w:right="567"/>
        <w:jc w:val="center"/>
        <w:rPr>
          <w:rFonts w:ascii="Times New Roman" w:hAnsi="Times New Roman" w:cs="Times New Roman"/>
          <w:i/>
          <w:sz w:val="28"/>
          <w:szCs w:val="26"/>
        </w:rPr>
      </w:pPr>
      <w:r w:rsidRPr="00E4401D">
        <w:rPr>
          <w:rFonts w:ascii="Times New Roman" w:hAnsi="Times New Roman" w:cs="Times New Roman"/>
          <w:i/>
          <w:sz w:val="28"/>
          <w:szCs w:val="26"/>
        </w:rPr>
        <w:t>(…)</w:t>
      </w:r>
    </w:p>
    <w:p w:rsidR="00F464C8" w:rsidRPr="00E4401D" w:rsidRDefault="00E4401D" w:rsidP="00F464C8">
      <w:pPr>
        <w:ind w:left="567" w:right="567"/>
        <w:jc w:val="center"/>
        <w:rPr>
          <w:rFonts w:ascii="Times New Roman" w:hAnsi="Times New Roman" w:cs="Times New Roman"/>
          <w:b/>
          <w:bCs/>
          <w:i/>
          <w:sz w:val="28"/>
          <w:szCs w:val="26"/>
        </w:rPr>
      </w:pPr>
    </w:p>
    <w:p w:rsidR="00F464C8" w:rsidRPr="00E4401D" w:rsidRDefault="00E4401D" w:rsidP="00F464C8">
      <w:pPr>
        <w:ind w:left="567" w:right="567"/>
        <w:jc w:val="center"/>
        <w:rPr>
          <w:rFonts w:ascii="Times New Roman" w:hAnsi="Times New Roman" w:cs="Times New Roman"/>
          <w:b/>
          <w:bCs/>
          <w:i/>
          <w:sz w:val="28"/>
          <w:szCs w:val="26"/>
        </w:rPr>
      </w:pPr>
      <w:r w:rsidRPr="00E4401D">
        <w:rPr>
          <w:rFonts w:ascii="Times New Roman" w:hAnsi="Times New Roman" w:cs="Times New Roman"/>
          <w:b/>
          <w:bCs/>
          <w:i/>
          <w:sz w:val="28"/>
          <w:szCs w:val="26"/>
        </w:rPr>
        <w:t>CAPITULO VI</w:t>
      </w:r>
    </w:p>
    <w:p w:rsidR="00F464C8" w:rsidRPr="00E4401D" w:rsidRDefault="00E4401D" w:rsidP="00F464C8">
      <w:pPr>
        <w:ind w:left="567" w:right="567"/>
        <w:jc w:val="center"/>
        <w:rPr>
          <w:rFonts w:ascii="Times New Roman" w:hAnsi="Times New Roman" w:cs="Times New Roman"/>
          <w:b/>
          <w:bCs/>
          <w:i/>
          <w:sz w:val="28"/>
          <w:szCs w:val="26"/>
        </w:rPr>
      </w:pPr>
      <w:r w:rsidRPr="00E4401D">
        <w:rPr>
          <w:rFonts w:ascii="Times New Roman" w:hAnsi="Times New Roman" w:cs="Times New Roman"/>
          <w:b/>
          <w:bCs/>
          <w:i/>
          <w:sz w:val="28"/>
          <w:szCs w:val="26"/>
        </w:rPr>
        <w:t>CONVERGENCIA REGIONAL</w:t>
      </w:r>
    </w:p>
    <w:p w:rsidR="00F464C8" w:rsidRPr="00E4401D" w:rsidRDefault="00E4401D" w:rsidP="00F464C8">
      <w:pPr>
        <w:ind w:left="567" w:right="567"/>
        <w:jc w:val="center"/>
        <w:rPr>
          <w:rFonts w:ascii="Times New Roman" w:hAnsi="Times New Roman" w:cs="Times New Roman"/>
          <w:b/>
          <w:bCs/>
          <w:i/>
          <w:sz w:val="28"/>
          <w:szCs w:val="26"/>
        </w:rPr>
      </w:pPr>
    </w:p>
    <w:p w:rsidR="00F464C8" w:rsidRPr="00E4401D" w:rsidRDefault="00E4401D" w:rsidP="00F464C8">
      <w:pPr>
        <w:ind w:left="567" w:right="567"/>
        <w:jc w:val="center"/>
        <w:rPr>
          <w:rFonts w:ascii="Times New Roman" w:hAnsi="Times New Roman" w:cs="Times New Roman"/>
          <w:i/>
          <w:sz w:val="28"/>
          <w:szCs w:val="26"/>
        </w:rPr>
      </w:pPr>
      <w:r w:rsidRPr="00E4401D">
        <w:rPr>
          <w:rFonts w:ascii="Times New Roman" w:hAnsi="Times New Roman" w:cs="Times New Roman"/>
          <w:i/>
          <w:sz w:val="28"/>
          <w:szCs w:val="26"/>
        </w:rPr>
        <w:t>(…)</w:t>
      </w:r>
    </w:p>
    <w:p w:rsidR="00F464C8" w:rsidRPr="00E4401D" w:rsidRDefault="00E4401D" w:rsidP="00F464C8">
      <w:pPr>
        <w:ind w:left="567" w:right="567"/>
        <w:jc w:val="center"/>
        <w:rPr>
          <w:rFonts w:ascii="Times New Roman" w:hAnsi="Times New Roman" w:cs="Times New Roman"/>
          <w:b/>
          <w:bCs/>
          <w:i/>
          <w:sz w:val="28"/>
          <w:szCs w:val="26"/>
        </w:rPr>
      </w:pPr>
    </w:p>
    <w:p w:rsidR="00F464C8" w:rsidRPr="00E4401D" w:rsidRDefault="00E4401D" w:rsidP="00F464C8">
      <w:pPr>
        <w:ind w:left="567" w:right="567"/>
        <w:jc w:val="center"/>
        <w:rPr>
          <w:rFonts w:ascii="Times New Roman" w:hAnsi="Times New Roman" w:cs="Times New Roman"/>
          <w:b/>
          <w:bCs/>
          <w:i/>
          <w:sz w:val="28"/>
          <w:szCs w:val="26"/>
        </w:rPr>
      </w:pPr>
      <w:r w:rsidRPr="00E4401D">
        <w:rPr>
          <w:rFonts w:ascii="Times New Roman" w:hAnsi="Times New Roman" w:cs="Times New Roman"/>
          <w:b/>
          <w:bCs/>
          <w:i/>
          <w:sz w:val="28"/>
          <w:szCs w:val="26"/>
        </w:rPr>
        <w:t>SECCIÓN II</w:t>
      </w:r>
    </w:p>
    <w:p w:rsidR="00F464C8" w:rsidRPr="00E4401D" w:rsidRDefault="00E4401D" w:rsidP="00F464C8">
      <w:pPr>
        <w:ind w:left="567" w:right="567"/>
        <w:jc w:val="center"/>
        <w:rPr>
          <w:rFonts w:ascii="Times New Roman" w:hAnsi="Times New Roman" w:cs="Times New Roman"/>
          <w:b/>
          <w:bCs/>
          <w:i/>
          <w:sz w:val="28"/>
          <w:szCs w:val="26"/>
        </w:rPr>
      </w:pPr>
      <w:r w:rsidRPr="00E4401D">
        <w:rPr>
          <w:rFonts w:ascii="Times New Roman" w:hAnsi="Times New Roman" w:cs="Times New Roman"/>
          <w:b/>
          <w:bCs/>
          <w:i/>
          <w:sz w:val="28"/>
          <w:szCs w:val="26"/>
        </w:rPr>
        <w:t>TERRITORIOS MÁS HUMANOS: HÁBITAT INTEGRAL</w:t>
      </w:r>
    </w:p>
    <w:p w:rsidR="00F464C8" w:rsidRPr="00E4401D" w:rsidRDefault="00E4401D" w:rsidP="00F464C8">
      <w:pPr>
        <w:ind w:left="567" w:right="567"/>
        <w:jc w:val="both"/>
        <w:rPr>
          <w:rFonts w:ascii="Times New Roman" w:hAnsi="Times New Roman" w:cs="Times New Roman"/>
          <w:b/>
          <w:bCs/>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b/>
          <w:bCs/>
          <w:i/>
          <w:sz w:val="28"/>
          <w:szCs w:val="26"/>
        </w:rPr>
        <w:t>Artículo 289.</w:t>
      </w:r>
      <w:r w:rsidRPr="00E4401D">
        <w:rPr>
          <w:rFonts w:ascii="Times New Roman" w:hAnsi="Times New Roman" w:cs="Times New Roman"/>
          <w:i/>
          <w:sz w:val="28"/>
          <w:szCs w:val="26"/>
        </w:rPr>
        <w:t xml:space="preserve"> </w:t>
      </w:r>
      <w:r w:rsidRPr="00E4401D">
        <w:rPr>
          <w:rFonts w:ascii="Times New Roman" w:hAnsi="Times New Roman" w:cs="Times New Roman"/>
          <w:b/>
          <w:bCs/>
          <w:i/>
          <w:sz w:val="28"/>
          <w:szCs w:val="26"/>
        </w:rPr>
        <w:t xml:space="preserve">Autorización excepcional para el otorgamiento de crédito directo a </w:t>
      </w:r>
      <w:r w:rsidRPr="00E4401D">
        <w:rPr>
          <w:rFonts w:ascii="Times New Roman" w:hAnsi="Times New Roman" w:cs="Times New Roman"/>
          <w:b/>
          <w:bCs/>
          <w:i/>
          <w:sz w:val="28"/>
          <w:szCs w:val="26"/>
          <w:u w:val="single"/>
        </w:rPr>
        <w:t>organizaciones comunales</w:t>
      </w:r>
      <w:r w:rsidRPr="00E4401D">
        <w:rPr>
          <w:rFonts w:ascii="Times New Roman" w:hAnsi="Times New Roman" w:cs="Times New Roman"/>
          <w:b/>
          <w:bCs/>
          <w:i/>
          <w:sz w:val="28"/>
          <w:szCs w:val="26"/>
        </w:rPr>
        <w:t xml:space="preserve">, y a los patrimonios autónomos que constituya la Financiera de Desarrollo Territorial S.A. – Findeter para el desarrollo de proyectos de inversión en infraestructura en sus sectores elegibles. </w:t>
      </w:r>
      <w:r w:rsidRPr="00E4401D">
        <w:rPr>
          <w:rFonts w:ascii="Times New Roman" w:hAnsi="Times New Roman" w:cs="Times New Roman"/>
          <w:i/>
          <w:sz w:val="28"/>
          <w:szCs w:val="26"/>
        </w:rPr>
        <w:t>Previa verificación de la Superintendencia Financiera de Colom</w:t>
      </w:r>
      <w:r w:rsidRPr="00E4401D">
        <w:rPr>
          <w:rFonts w:ascii="Times New Roman" w:hAnsi="Times New Roman" w:cs="Times New Roman"/>
          <w:i/>
          <w:sz w:val="28"/>
          <w:szCs w:val="26"/>
        </w:rPr>
        <w:t xml:space="preserve">bia del cumplimiento de los requisitos para la administración y gestión de los sistemas integrales de gestión de riesgos, se autoriza a la Financiera de Desarrollo Territorial S.A. - Findeter, para otorgar créditos directos </w:t>
      </w:r>
      <w:r w:rsidRPr="00E4401D">
        <w:rPr>
          <w:rFonts w:ascii="Times New Roman" w:hAnsi="Times New Roman" w:cs="Times New Roman"/>
          <w:b/>
          <w:bCs/>
          <w:i/>
          <w:sz w:val="28"/>
          <w:szCs w:val="26"/>
          <w:u w:val="single"/>
        </w:rPr>
        <w:t>a organizaciones comunales de la</w:t>
      </w:r>
      <w:r w:rsidRPr="00E4401D">
        <w:rPr>
          <w:rFonts w:ascii="Times New Roman" w:hAnsi="Times New Roman" w:cs="Times New Roman"/>
          <w:b/>
          <w:bCs/>
          <w:i/>
          <w:sz w:val="28"/>
          <w:szCs w:val="26"/>
          <w:u w:val="single"/>
        </w:rPr>
        <w:t>s que trata el artículo 7 de la Ley 2166 de 2021</w:t>
      </w:r>
      <w:r w:rsidRPr="00E4401D">
        <w:rPr>
          <w:rFonts w:ascii="Times New Roman" w:hAnsi="Times New Roman" w:cs="Times New Roman"/>
          <w:i/>
          <w:sz w:val="28"/>
          <w:szCs w:val="26"/>
        </w:rPr>
        <w:t>, y patrimonios autónomos creados por Findeter como fideicomitente dentro de un contrato de fiducia mercantil en virtud de la autorización contenida en el artículo 270 del Estatuto Orgánico del Sistema Financ</w:t>
      </w:r>
      <w:r w:rsidRPr="00E4401D">
        <w:rPr>
          <w:rFonts w:ascii="Times New Roman" w:hAnsi="Times New Roman" w:cs="Times New Roman"/>
          <w:i/>
          <w:sz w:val="28"/>
          <w:szCs w:val="26"/>
        </w:rPr>
        <w:t xml:space="preserve">iero (Decreto Ley 663 de 1993), y cuyo objeto sea el desarrollo de proyectos de inversión en infraestructura y los demás que se encuentren dentro de los sectores elegibles de conformidad con las normas vigentes. El otorgamiento de los créditos </w:t>
      </w:r>
      <w:r w:rsidRPr="00E4401D">
        <w:rPr>
          <w:rFonts w:ascii="Times New Roman" w:hAnsi="Times New Roman" w:cs="Times New Roman"/>
          <w:i/>
          <w:sz w:val="28"/>
          <w:szCs w:val="26"/>
          <w:u w:val="single"/>
        </w:rPr>
        <w:t>estará sujet</w:t>
      </w:r>
      <w:r w:rsidRPr="00E4401D">
        <w:rPr>
          <w:rFonts w:ascii="Times New Roman" w:hAnsi="Times New Roman" w:cs="Times New Roman"/>
          <w:i/>
          <w:sz w:val="28"/>
          <w:szCs w:val="26"/>
          <w:u w:val="single"/>
        </w:rPr>
        <w:t>o al cumplimiento de las condiciones definidas en el literal k) del numeral 1 del artículo 270 del Estatuto Orgánico del Sistema Financiero</w:t>
      </w:r>
      <w:r w:rsidRPr="00E4401D">
        <w:rPr>
          <w:rFonts w:ascii="Times New Roman" w:hAnsi="Times New Roman" w:cs="Times New Roman"/>
          <w:i/>
          <w:sz w:val="28"/>
          <w:szCs w:val="26"/>
        </w:rPr>
        <w:t>, y provendrá de los recursos propios disponibles de la Financiera de Desarrollo Territorial S.A. -Findeter.</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i/>
          <w:sz w:val="28"/>
          <w:szCs w:val="26"/>
        </w:rPr>
        <w:t>Lo disp</w:t>
      </w:r>
      <w:r w:rsidRPr="00E4401D">
        <w:rPr>
          <w:rFonts w:ascii="Times New Roman" w:hAnsi="Times New Roman" w:cs="Times New Roman"/>
          <w:i/>
          <w:sz w:val="28"/>
          <w:szCs w:val="26"/>
        </w:rPr>
        <w:t>uesto en este artículo, en ningún caso será aplicable a las operaciones de crédito público con cargo a la Asignación de Inversión Regional del Sistema General de Regalías, consagradas en el artículo 25 de la Ley 2279 de 2022 o en las normas que lo modifiqu</w:t>
      </w:r>
      <w:r w:rsidRPr="00E4401D">
        <w:rPr>
          <w:rFonts w:ascii="Times New Roman" w:hAnsi="Times New Roman" w:cs="Times New Roman"/>
          <w:i/>
          <w:sz w:val="28"/>
          <w:szCs w:val="26"/>
        </w:rPr>
        <w:t>en o sustituyan.</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i/>
          <w:sz w:val="28"/>
          <w:szCs w:val="26"/>
        </w:rPr>
        <w:t>La Financiera de Desarrollo Territorial S.A. -Findeter a través de sus reglamentos internos establecerá los montos máximos de recursos propios que se destinarán para apalancar esta modalidad de crédito, las condiciones financieras general</w:t>
      </w:r>
      <w:r w:rsidRPr="00E4401D">
        <w:rPr>
          <w:rFonts w:ascii="Times New Roman" w:hAnsi="Times New Roman" w:cs="Times New Roman"/>
          <w:i/>
          <w:sz w:val="28"/>
          <w:szCs w:val="26"/>
        </w:rPr>
        <w:t>es, especialmente sobre las fuentes de pago ciertas y las garantías admisibles para este tipo de operaciones.</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i/>
          <w:sz w:val="28"/>
          <w:szCs w:val="26"/>
        </w:rPr>
        <w:t>La Financiera de Desarrollo Territorial S.A. -Findeter deberá cumplir en todo momento con las condiciones establecidas en las disposiciones legal</w:t>
      </w:r>
      <w:r w:rsidRPr="00E4401D">
        <w:rPr>
          <w:rFonts w:ascii="Times New Roman" w:hAnsi="Times New Roman" w:cs="Times New Roman"/>
          <w:i/>
          <w:sz w:val="28"/>
          <w:szCs w:val="26"/>
        </w:rPr>
        <w:t xml:space="preserve">es y actos administrativos vigentes para realizar este tipo de operaciones en materia de otorgamiento, seguimiento y recuperación de los créditos otorgados y conflictos de interés que puedan configurarse, </w:t>
      </w:r>
      <w:r w:rsidRPr="00E4401D">
        <w:rPr>
          <w:rFonts w:ascii="Times New Roman" w:hAnsi="Times New Roman" w:cs="Times New Roman"/>
          <w:b/>
          <w:bCs/>
          <w:i/>
          <w:sz w:val="28"/>
          <w:szCs w:val="26"/>
          <w:u w:val="single"/>
        </w:rPr>
        <w:t>esto sin perjuicio de las facultades de la Superint</w:t>
      </w:r>
      <w:r w:rsidRPr="00E4401D">
        <w:rPr>
          <w:rFonts w:ascii="Times New Roman" w:hAnsi="Times New Roman" w:cs="Times New Roman"/>
          <w:b/>
          <w:bCs/>
          <w:i/>
          <w:sz w:val="28"/>
          <w:szCs w:val="26"/>
          <w:u w:val="single"/>
        </w:rPr>
        <w:t>endencia Financiera de Colombia respecto de la verificación del cumplimiento de los sistemas integrales de gestión de riesgos propios de las operaciones.</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b/>
          <w:bCs/>
          <w:i/>
          <w:sz w:val="28"/>
          <w:szCs w:val="26"/>
        </w:rPr>
        <w:t>Parágrafo 1o</w:t>
      </w:r>
      <w:r w:rsidRPr="00E4401D">
        <w:rPr>
          <w:rFonts w:ascii="Times New Roman" w:hAnsi="Times New Roman" w:cs="Times New Roman"/>
          <w:i/>
          <w:sz w:val="28"/>
          <w:szCs w:val="26"/>
        </w:rPr>
        <w:t>. El presente artículo no constituye una autorización general para la constitución de pat</w:t>
      </w:r>
      <w:r w:rsidRPr="00E4401D">
        <w:rPr>
          <w:rFonts w:ascii="Times New Roman" w:hAnsi="Times New Roman" w:cs="Times New Roman"/>
          <w:i/>
          <w:sz w:val="28"/>
          <w:szCs w:val="26"/>
        </w:rPr>
        <w:t>rimonios autónomos por parte de las entidades públicas del nivel nacional, territorial ni para Findeter.</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b/>
          <w:bCs/>
          <w:i/>
          <w:sz w:val="28"/>
          <w:szCs w:val="26"/>
        </w:rPr>
        <w:t>Parágrafo 2o</w:t>
      </w:r>
      <w:r w:rsidRPr="00E4401D">
        <w:rPr>
          <w:rFonts w:ascii="Times New Roman" w:hAnsi="Times New Roman" w:cs="Times New Roman"/>
          <w:i/>
          <w:sz w:val="28"/>
          <w:szCs w:val="26"/>
        </w:rPr>
        <w:t>. La operación de que trata este artículo no corresponde a aquellas calificadas como operaciones de crédito público.</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center"/>
        <w:rPr>
          <w:rFonts w:ascii="Times New Roman" w:hAnsi="Times New Roman" w:cs="Times New Roman"/>
          <w:b/>
          <w:bCs/>
          <w:i/>
          <w:sz w:val="28"/>
          <w:szCs w:val="26"/>
        </w:rPr>
      </w:pPr>
    </w:p>
    <w:p w:rsidR="00F464C8" w:rsidRPr="00E4401D" w:rsidRDefault="00E4401D" w:rsidP="00F464C8">
      <w:pPr>
        <w:ind w:left="567" w:right="567"/>
        <w:jc w:val="center"/>
        <w:rPr>
          <w:rFonts w:ascii="Times New Roman" w:hAnsi="Times New Roman" w:cs="Times New Roman"/>
          <w:i/>
          <w:sz w:val="28"/>
          <w:szCs w:val="26"/>
        </w:rPr>
      </w:pPr>
      <w:r w:rsidRPr="00E4401D">
        <w:rPr>
          <w:rFonts w:ascii="Times New Roman" w:hAnsi="Times New Roman" w:cs="Times New Roman"/>
          <w:i/>
          <w:sz w:val="28"/>
          <w:szCs w:val="26"/>
        </w:rPr>
        <w:t>(…)</w:t>
      </w:r>
    </w:p>
    <w:p w:rsidR="00F464C8" w:rsidRPr="00E4401D" w:rsidRDefault="00E4401D" w:rsidP="00F464C8">
      <w:pPr>
        <w:ind w:left="567" w:right="567"/>
        <w:jc w:val="center"/>
        <w:rPr>
          <w:rFonts w:ascii="Times New Roman" w:hAnsi="Times New Roman" w:cs="Times New Roman"/>
          <w:b/>
          <w:bCs/>
          <w:i/>
          <w:sz w:val="28"/>
          <w:szCs w:val="26"/>
        </w:rPr>
      </w:pPr>
    </w:p>
    <w:p w:rsidR="00F464C8" w:rsidRPr="00E4401D" w:rsidRDefault="00E4401D" w:rsidP="00F464C8">
      <w:pPr>
        <w:ind w:left="567" w:right="567"/>
        <w:jc w:val="both"/>
        <w:rPr>
          <w:rFonts w:ascii="Times New Roman" w:hAnsi="Times New Roman" w:cs="Times New Roman"/>
          <w:b/>
          <w:bCs/>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b/>
          <w:bCs/>
          <w:i/>
          <w:sz w:val="28"/>
          <w:szCs w:val="26"/>
        </w:rPr>
        <w:t>Artículo 297.</w:t>
      </w:r>
      <w:r w:rsidRPr="00E4401D">
        <w:rPr>
          <w:rFonts w:ascii="Times New Roman" w:hAnsi="Times New Roman" w:cs="Times New Roman"/>
          <w:i/>
          <w:sz w:val="28"/>
          <w:szCs w:val="26"/>
        </w:rPr>
        <w:t xml:space="preserve"> Adiciónese el inciso quinto y tres parágrafos al artículo 4o de la Ley 2079 de 2021, así:</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b/>
          <w:bCs/>
          <w:i/>
          <w:sz w:val="28"/>
          <w:szCs w:val="26"/>
        </w:rPr>
      </w:pPr>
      <w:r w:rsidRPr="00E4401D">
        <w:rPr>
          <w:rFonts w:ascii="Times New Roman" w:hAnsi="Times New Roman" w:cs="Times New Roman"/>
          <w:b/>
          <w:bCs/>
          <w:i/>
          <w:sz w:val="28"/>
          <w:szCs w:val="26"/>
        </w:rPr>
        <w:t>Artículo 4o.</w:t>
      </w:r>
      <w:r w:rsidRPr="00E4401D">
        <w:rPr>
          <w:rFonts w:ascii="Times New Roman" w:hAnsi="Times New Roman" w:cs="Times New Roman"/>
          <w:i/>
          <w:sz w:val="28"/>
          <w:szCs w:val="26"/>
        </w:rPr>
        <w:t xml:space="preserve"> </w:t>
      </w:r>
      <w:r w:rsidRPr="00E4401D">
        <w:rPr>
          <w:rFonts w:ascii="Times New Roman" w:hAnsi="Times New Roman" w:cs="Times New Roman"/>
          <w:b/>
          <w:bCs/>
          <w:i/>
          <w:sz w:val="28"/>
          <w:szCs w:val="26"/>
        </w:rPr>
        <w:t>Política de Estado de Vivienda y Hábitat</w:t>
      </w:r>
    </w:p>
    <w:p w:rsidR="00F464C8" w:rsidRPr="00E4401D" w:rsidRDefault="00E4401D" w:rsidP="00F464C8">
      <w:pPr>
        <w:ind w:left="567" w:right="567"/>
        <w:jc w:val="both"/>
        <w:rPr>
          <w:rFonts w:ascii="Times New Roman" w:hAnsi="Times New Roman" w:cs="Times New Roman"/>
          <w:b/>
          <w:bCs/>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i/>
          <w:sz w:val="28"/>
          <w:szCs w:val="26"/>
        </w:rPr>
        <w:t>(…)</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i/>
          <w:sz w:val="28"/>
          <w:szCs w:val="26"/>
        </w:rPr>
      </w:pPr>
      <w:r w:rsidRPr="00E4401D">
        <w:rPr>
          <w:rFonts w:ascii="Times New Roman" w:hAnsi="Times New Roman" w:cs="Times New Roman"/>
          <w:i/>
          <w:sz w:val="28"/>
          <w:szCs w:val="26"/>
        </w:rPr>
        <w:t>La política de vivienda y hábitat, a cargo del Gobierno Nacional, incluirá un enfoque diferencial que re</w:t>
      </w:r>
      <w:r w:rsidRPr="00E4401D">
        <w:rPr>
          <w:rFonts w:ascii="Times New Roman" w:hAnsi="Times New Roman" w:cs="Times New Roman"/>
          <w:i/>
          <w:sz w:val="28"/>
          <w:szCs w:val="26"/>
        </w:rPr>
        <w:t>conozca las condiciones socioeconómicas, y culturales de los pueblos indígenas, las comunidades negras, afrocolombianas raizales, palenqueras, campesinas y de grupos poblacionales específicos, especialmente de la población víctima del conflicto armado, inc</w:t>
      </w:r>
      <w:r w:rsidRPr="00E4401D">
        <w:rPr>
          <w:rFonts w:ascii="Times New Roman" w:hAnsi="Times New Roman" w:cs="Times New Roman"/>
          <w:i/>
          <w:sz w:val="28"/>
          <w:szCs w:val="26"/>
        </w:rPr>
        <w:t>luyendo para este último, el diseño de estrategias encaminadas a superar las barreras para la utilización de subsidios no aplicados en vigencias anteriores.</w:t>
      </w:r>
    </w:p>
    <w:p w:rsidR="00F464C8" w:rsidRPr="00E4401D" w:rsidRDefault="00E4401D" w:rsidP="00F464C8">
      <w:pPr>
        <w:ind w:left="567" w:right="567"/>
        <w:jc w:val="both"/>
        <w:rPr>
          <w:rFonts w:ascii="Times New Roman" w:hAnsi="Times New Roman" w:cs="Times New Roman"/>
          <w:i/>
          <w:sz w:val="28"/>
          <w:szCs w:val="26"/>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Parágrafo 1o. Para todos los efectos legales, se entiende que los negocios jurídicos celebrados po</w:t>
      </w:r>
      <w:r w:rsidRPr="00E4401D">
        <w:rPr>
          <w:rFonts w:ascii="Times New Roman" w:hAnsi="Times New Roman" w:cs="Times New Roman"/>
          <w:b/>
          <w:bCs/>
          <w:i/>
          <w:sz w:val="28"/>
          <w:szCs w:val="26"/>
          <w:u w:val="single"/>
        </w:rPr>
        <w:t>r los patrimonios autónomos constituidos por FONVIVIENDA, para efectos de la ejecución de los subsidios familiares de vivienda otorgados por el Gobierno Nacional en el marco de la política de vivienda y hábitat urbana y rural, son de naturaleza jurídica pr</w:t>
      </w:r>
      <w:r w:rsidRPr="00E4401D">
        <w:rPr>
          <w:rFonts w:ascii="Times New Roman" w:hAnsi="Times New Roman" w:cs="Times New Roman"/>
          <w:b/>
          <w:bCs/>
          <w:i/>
          <w:sz w:val="28"/>
          <w:szCs w:val="26"/>
          <w:u w:val="single"/>
        </w:rPr>
        <w:t>ivada.</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Parágrafo 2o. Con el fin de generar cohesión y articulación en la ejecución de la política de vivienda y hábitat, el Fondo Nacional de Vivienda “Fonvivienda” tendrá como objetivos consolidar el Sistema Nacional de Información de Vivienda y ejecutar</w:t>
      </w:r>
      <w:r w:rsidRPr="00E4401D">
        <w:rPr>
          <w:rFonts w:ascii="Times New Roman" w:hAnsi="Times New Roman" w:cs="Times New Roman"/>
          <w:b/>
          <w:bCs/>
          <w:i/>
          <w:sz w:val="28"/>
          <w:szCs w:val="26"/>
          <w:u w:val="single"/>
        </w:rPr>
        <w:t xml:space="preserve"> las políticas del Gobierno Nacional en materia de vivienda de interés social, agua y saneamiento básico, en particular aquellas orientadas a la descentralización territorial de la inmersión de los recursos destinados a estas actividades, administrando: Lo</w:t>
      </w:r>
      <w:r w:rsidRPr="00E4401D">
        <w:rPr>
          <w:rFonts w:ascii="Times New Roman" w:hAnsi="Times New Roman" w:cs="Times New Roman"/>
          <w:b/>
          <w:bCs/>
          <w:i/>
          <w:sz w:val="28"/>
          <w:szCs w:val="26"/>
          <w:u w:val="single"/>
        </w:rPr>
        <w:t>s recursos asignados en el Presupuesto General de la Nación en inversión para vivienda de interés social, agua y saneamiento básico; los recursos que se apropien para la formulación, organización, promoción, desarrollo, mantenimiento y consolidación del Si</w:t>
      </w:r>
      <w:r w:rsidRPr="00E4401D">
        <w:rPr>
          <w:rFonts w:ascii="Times New Roman" w:hAnsi="Times New Roman" w:cs="Times New Roman"/>
          <w:b/>
          <w:bCs/>
          <w:i/>
          <w:sz w:val="28"/>
          <w:szCs w:val="26"/>
          <w:u w:val="single"/>
        </w:rPr>
        <w:t>stema Nacional de Información de Vivienda y en general bienes y recursos de que trata la presente ley, para lo cual podrá constituir patrimonios autónomos a través de la suscripción de contratos de fiducia mercantil.</w:t>
      </w:r>
    </w:p>
    <w:p w:rsidR="00F464C8" w:rsidRPr="00E4401D" w:rsidRDefault="00E4401D" w:rsidP="00F464C8">
      <w:pPr>
        <w:ind w:left="567" w:right="567"/>
        <w:jc w:val="both"/>
        <w:rPr>
          <w:rFonts w:ascii="Times New Roman" w:hAnsi="Times New Roman" w:cs="Times New Roman"/>
          <w:b/>
          <w:bCs/>
          <w:i/>
          <w:sz w:val="28"/>
          <w:szCs w:val="26"/>
          <w:u w:val="single"/>
        </w:rPr>
      </w:pPr>
    </w:p>
    <w:p w:rsidR="00F464C8" w:rsidRPr="00E4401D" w:rsidRDefault="00E4401D" w:rsidP="00F464C8">
      <w:pPr>
        <w:ind w:left="567" w:right="567"/>
        <w:jc w:val="both"/>
        <w:rPr>
          <w:rFonts w:ascii="Times New Roman" w:hAnsi="Times New Roman" w:cs="Times New Roman"/>
          <w:b/>
          <w:bCs/>
          <w:i/>
          <w:sz w:val="28"/>
          <w:szCs w:val="26"/>
          <w:u w:val="single"/>
        </w:rPr>
      </w:pPr>
      <w:r w:rsidRPr="00E4401D">
        <w:rPr>
          <w:rFonts w:ascii="Times New Roman" w:hAnsi="Times New Roman" w:cs="Times New Roman"/>
          <w:b/>
          <w:bCs/>
          <w:i/>
          <w:sz w:val="28"/>
          <w:szCs w:val="26"/>
          <w:u w:val="single"/>
        </w:rPr>
        <w:t>Parágrafo 3o. El Fondo Nacional de Viv</w:t>
      </w:r>
      <w:r w:rsidRPr="00E4401D">
        <w:rPr>
          <w:rFonts w:ascii="Times New Roman" w:hAnsi="Times New Roman" w:cs="Times New Roman"/>
          <w:b/>
          <w:bCs/>
          <w:i/>
          <w:sz w:val="28"/>
          <w:szCs w:val="26"/>
          <w:u w:val="single"/>
        </w:rPr>
        <w:t>ienda podrá estructurar y ejecutar proyectos y programas para el sector de agua y saneamiento básico, que permitan garantizar las condiciones de acceso y mínimo vital de la población.</w:t>
      </w:r>
    </w:p>
    <w:p w:rsidR="004E3252" w:rsidRPr="00E4401D" w:rsidRDefault="00E4401D" w:rsidP="00B50220">
      <w:pPr>
        <w:rPr>
          <w:rFonts w:ascii="Times New Roman" w:hAnsi="Times New Roman" w:cs="Times New Roman"/>
          <w:sz w:val="28"/>
          <w:szCs w:val="26"/>
        </w:rPr>
      </w:pPr>
    </w:p>
    <w:p w:rsidR="004E3252" w:rsidRPr="00E4401D" w:rsidRDefault="00E4401D" w:rsidP="004E3252">
      <w:pPr>
        <w:pStyle w:val="Prrafodelista"/>
        <w:ind w:left="0"/>
        <w:jc w:val="both"/>
        <w:rPr>
          <w:rFonts w:ascii="Times New Roman" w:hAnsi="Times New Roman" w:cs="Times New Roman"/>
          <w:sz w:val="28"/>
          <w:szCs w:val="28"/>
        </w:rPr>
      </w:pPr>
    </w:p>
    <w:p w:rsidR="004E3252" w:rsidRPr="00E4401D" w:rsidRDefault="00E4401D" w:rsidP="004E3252">
      <w:pPr>
        <w:pStyle w:val="Ttulo2"/>
        <w:numPr>
          <w:ilvl w:val="0"/>
          <w:numId w:val="6"/>
        </w:numPr>
        <w:ind w:left="0" w:firstLine="0"/>
        <w:rPr>
          <w:rFonts w:ascii="Times New Roman" w:hAnsi="Times New Roman" w:cs="Times New Roman"/>
          <w:b/>
          <w:bCs/>
          <w:color w:val="auto"/>
          <w:sz w:val="28"/>
          <w:szCs w:val="28"/>
        </w:rPr>
      </w:pPr>
      <w:r w:rsidRPr="00E4401D">
        <w:rPr>
          <w:rFonts w:ascii="Times New Roman" w:hAnsi="Times New Roman" w:cs="Times New Roman"/>
          <w:b/>
          <w:bCs/>
          <w:color w:val="auto"/>
          <w:sz w:val="28"/>
          <w:szCs w:val="28"/>
        </w:rPr>
        <w:t>Segunda</w:t>
      </w:r>
      <w:r w:rsidRPr="00E4401D">
        <w:rPr>
          <w:rFonts w:ascii="Times New Roman" w:hAnsi="Times New Roman" w:cs="Times New Roman"/>
          <w:b/>
          <w:bCs/>
          <w:color w:val="auto"/>
          <w:sz w:val="28"/>
          <w:szCs w:val="28"/>
        </w:rPr>
        <w:t xml:space="preserve"> cuestión previa: cosa juzgada constitucional</w:t>
      </w:r>
    </w:p>
    <w:p w:rsidR="004E3252" w:rsidRPr="00E4401D" w:rsidRDefault="00E4401D" w:rsidP="004E3252">
      <w:pPr>
        <w:pStyle w:val="Prrafodelista"/>
        <w:rPr>
          <w:rFonts w:ascii="Times New Roman" w:hAnsi="Times New Roman" w:cs="Times New Roman"/>
          <w:sz w:val="28"/>
          <w:szCs w:val="28"/>
        </w:rPr>
      </w:pPr>
    </w:p>
    <w:p w:rsidR="00AD69C0" w:rsidRPr="00E4401D" w:rsidRDefault="00E4401D" w:rsidP="00E072CE">
      <w:pPr>
        <w:pStyle w:val="Prrafodelista"/>
        <w:ind w:left="360"/>
        <w:jc w:val="both"/>
        <w:rPr>
          <w:rFonts w:ascii="Times New Roman" w:hAnsi="Times New Roman" w:cs="Times New Roman"/>
          <w:sz w:val="28"/>
          <w:szCs w:val="28"/>
        </w:rPr>
      </w:pPr>
    </w:p>
    <w:p w:rsidR="007A4F11" w:rsidRPr="00E4401D" w:rsidRDefault="00E4401D" w:rsidP="004139A7">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La Señora Procuradora General de la Nación solicitó que la Corte Constitucional </w:t>
      </w:r>
      <w:r w:rsidRPr="00E4401D">
        <w:rPr>
          <w:rFonts w:ascii="Times New Roman" w:hAnsi="Times New Roman" w:cs="Times New Roman"/>
          <w:sz w:val="28"/>
          <w:szCs w:val="28"/>
        </w:rPr>
        <w:t>se esté</w:t>
      </w:r>
      <w:r w:rsidRPr="00E4401D">
        <w:rPr>
          <w:rFonts w:ascii="Times New Roman" w:hAnsi="Times New Roman" w:cs="Times New Roman"/>
          <w:sz w:val="28"/>
          <w:szCs w:val="28"/>
        </w:rPr>
        <w:t xml:space="preserve"> a lo resuelto </w:t>
      </w:r>
      <w:r w:rsidRPr="00E4401D">
        <w:rPr>
          <w:rFonts w:ascii="Times New Roman" w:hAnsi="Times New Roman" w:cs="Times New Roman"/>
          <w:sz w:val="28"/>
          <w:szCs w:val="28"/>
        </w:rPr>
        <w:t>en la</w:t>
      </w:r>
      <w:r w:rsidRPr="00E4401D">
        <w:rPr>
          <w:rFonts w:ascii="Times New Roman" w:hAnsi="Times New Roman" w:cs="Times New Roman"/>
          <w:sz w:val="28"/>
          <w:szCs w:val="28"/>
        </w:rPr>
        <w:t xml:space="preserve"> sentencia</w:t>
      </w:r>
      <w:r w:rsidRPr="00E4401D">
        <w:rPr>
          <w:rFonts w:ascii="Times New Roman" w:hAnsi="Times New Roman" w:cs="Times New Roman"/>
          <w:sz w:val="28"/>
          <w:szCs w:val="28"/>
        </w:rPr>
        <w:t xml:space="preserve"> que se profiera</w:t>
      </w:r>
      <w:r w:rsidRPr="00E4401D">
        <w:rPr>
          <w:rFonts w:ascii="Times New Roman" w:hAnsi="Times New Roman" w:cs="Times New Roman"/>
          <w:sz w:val="28"/>
          <w:szCs w:val="28"/>
        </w:rPr>
        <w:t xml:space="preserve"> de</w:t>
      </w:r>
      <w:r w:rsidRPr="00E4401D">
        <w:rPr>
          <w:rFonts w:ascii="Times New Roman" w:hAnsi="Times New Roman" w:cs="Times New Roman"/>
          <w:sz w:val="28"/>
          <w:szCs w:val="28"/>
        </w:rPr>
        <w:t>ntro del</w:t>
      </w:r>
      <w:r w:rsidRPr="00E4401D">
        <w:rPr>
          <w:rFonts w:ascii="Times New Roman" w:hAnsi="Times New Roman" w:cs="Times New Roman"/>
          <w:sz w:val="28"/>
          <w:szCs w:val="28"/>
        </w:rPr>
        <w:t xml:space="preserve"> expediente D-15380, debido a que en dicho proceso se planteó un cuestionamiento idéntico al del presente </w:t>
      </w:r>
      <w:r w:rsidRPr="00E4401D">
        <w:rPr>
          <w:rFonts w:ascii="Times New Roman" w:hAnsi="Times New Roman" w:cs="Times New Roman"/>
          <w:i/>
          <w:iCs/>
          <w:sz w:val="28"/>
          <w:szCs w:val="28"/>
        </w:rPr>
        <w:t>sub li</w:t>
      </w:r>
      <w:r w:rsidRPr="00E4401D">
        <w:rPr>
          <w:rFonts w:ascii="Times New Roman" w:hAnsi="Times New Roman" w:cs="Times New Roman"/>
          <w:i/>
          <w:iCs/>
          <w:sz w:val="28"/>
          <w:szCs w:val="28"/>
        </w:rPr>
        <w:t>te</w:t>
      </w:r>
      <w:r w:rsidRPr="00E4401D">
        <w:rPr>
          <w:rFonts w:ascii="Times New Roman" w:hAnsi="Times New Roman" w:cs="Times New Roman"/>
          <w:sz w:val="28"/>
          <w:szCs w:val="28"/>
        </w:rPr>
        <w:t>. Adicionalmente, la Sala Plena</w:t>
      </w:r>
      <w:r w:rsidRPr="00E4401D">
        <w:rPr>
          <w:rFonts w:ascii="Times New Roman" w:hAnsi="Times New Roman" w:cs="Times New Roman"/>
          <w:sz w:val="28"/>
          <w:szCs w:val="28"/>
        </w:rPr>
        <w:t xml:space="preserve"> advierte que </w:t>
      </w:r>
      <w:r w:rsidRPr="00E4401D">
        <w:rPr>
          <w:rFonts w:ascii="Times New Roman" w:hAnsi="Times New Roman" w:cs="Times New Roman"/>
          <w:sz w:val="28"/>
          <w:szCs w:val="28"/>
        </w:rPr>
        <w:t xml:space="preserve">en la sentencia C-294 de 2024, </w:t>
      </w:r>
      <w:r w:rsidRPr="00E4401D">
        <w:rPr>
          <w:rFonts w:ascii="Times New Roman" w:hAnsi="Times New Roman" w:cs="Times New Roman"/>
          <w:sz w:val="28"/>
          <w:szCs w:val="28"/>
        </w:rPr>
        <w:t xml:space="preserve">se </w:t>
      </w:r>
      <w:r w:rsidRPr="00E4401D">
        <w:rPr>
          <w:rFonts w:ascii="Times New Roman" w:hAnsi="Times New Roman" w:cs="Times New Roman"/>
          <w:sz w:val="28"/>
          <w:szCs w:val="28"/>
        </w:rPr>
        <w:t xml:space="preserve">resolvió una demanda de inconstitucionalidad </w:t>
      </w:r>
      <w:r w:rsidRPr="00E4401D">
        <w:rPr>
          <w:rFonts w:ascii="Times New Roman" w:hAnsi="Times New Roman" w:cs="Times New Roman"/>
          <w:sz w:val="28"/>
          <w:szCs w:val="28"/>
        </w:rPr>
        <w:t>contra el numeral 6 y el parágrafo 3 del artículo 61 de la Ley 2294 de 2023</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que también son objeto de control en este caso. </w:t>
      </w:r>
      <w:r w:rsidRPr="00E4401D">
        <w:rPr>
          <w:rFonts w:ascii="Times New Roman" w:hAnsi="Times New Roman" w:cs="Times New Roman"/>
          <w:sz w:val="28"/>
          <w:szCs w:val="28"/>
        </w:rPr>
        <w:t>Asimis</w:t>
      </w:r>
      <w:r w:rsidRPr="00E4401D">
        <w:rPr>
          <w:rFonts w:ascii="Times New Roman" w:hAnsi="Times New Roman" w:cs="Times New Roman"/>
          <w:sz w:val="28"/>
          <w:szCs w:val="28"/>
        </w:rPr>
        <w:t xml:space="preserve">mo, se observa que en la sentencia C-448 de 2024 se resolvió una demanda de </w:t>
      </w:r>
      <w:r w:rsidRPr="00E4401D">
        <w:rPr>
          <w:rFonts w:ascii="Times New Roman" w:hAnsi="Times New Roman" w:cs="Times New Roman"/>
          <w:sz w:val="28"/>
          <w:szCs w:val="28"/>
        </w:rPr>
        <w:t>in</w:t>
      </w:r>
      <w:r w:rsidRPr="00E4401D">
        <w:rPr>
          <w:rFonts w:ascii="Times New Roman" w:hAnsi="Times New Roman" w:cs="Times New Roman"/>
          <w:sz w:val="28"/>
          <w:szCs w:val="28"/>
        </w:rPr>
        <w:t xml:space="preserve">constitucionalidad contra varios artículos de la Ley 2294 de 2023, entre ellos los artículos 289 y 297, que </w:t>
      </w:r>
      <w:r w:rsidRPr="00E4401D">
        <w:rPr>
          <w:rFonts w:ascii="Times New Roman" w:hAnsi="Times New Roman" w:cs="Times New Roman"/>
          <w:sz w:val="28"/>
          <w:szCs w:val="28"/>
        </w:rPr>
        <w:t>son</w:t>
      </w:r>
      <w:r w:rsidRPr="00E4401D">
        <w:rPr>
          <w:rFonts w:ascii="Times New Roman" w:hAnsi="Times New Roman" w:cs="Times New Roman"/>
          <w:sz w:val="28"/>
          <w:szCs w:val="28"/>
        </w:rPr>
        <w:t xml:space="preserve"> objeto de control en </w:t>
      </w:r>
      <w:r w:rsidRPr="00E4401D">
        <w:rPr>
          <w:rFonts w:ascii="Times New Roman" w:hAnsi="Times New Roman" w:cs="Times New Roman"/>
          <w:sz w:val="28"/>
          <w:szCs w:val="28"/>
        </w:rPr>
        <w:t>este</w:t>
      </w:r>
      <w:r w:rsidRPr="00E4401D">
        <w:rPr>
          <w:rFonts w:ascii="Times New Roman" w:hAnsi="Times New Roman" w:cs="Times New Roman"/>
          <w:sz w:val="28"/>
          <w:szCs w:val="28"/>
        </w:rPr>
        <w:t xml:space="preserve"> proceso. </w:t>
      </w:r>
      <w:r w:rsidRPr="00E4401D">
        <w:rPr>
          <w:rFonts w:ascii="Times New Roman" w:hAnsi="Times New Roman" w:cs="Times New Roman"/>
          <w:sz w:val="28"/>
          <w:szCs w:val="28"/>
        </w:rPr>
        <w:t xml:space="preserve">En consecuencia, es necesario determinar si </w:t>
      </w:r>
      <w:r w:rsidRPr="00E4401D">
        <w:rPr>
          <w:rFonts w:ascii="Times New Roman" w:hAnsi="Times New Roman" w:cs="Times New Roman"/>
          <w:sz w:val="28"/>
          <w:szCs w:val="28"/>
        </w:rPr>
        <w:t xml:space="preserve">en este caso ha operado la </w:t>
      </w:r>
      <w:r w:rsidRPr="00E4401D">
        <w:rPr>
          <w:rFonts w:ascii="Times New Roman" w:hAnsi="Times New Roman" w:cs="Times New Roman"/>
          <w:sz w:val="28"/>
          <w:szCs w:val="28"/>
        </w:rPr>
        <w:t>cosa juzgada constitucional</w:t>
      </w:r>
      <w:r w:rsidRPr="00E4401D">
        <w:rPr>
          <w:rFonts w:ascii="Times New Roman" w:hAnsi="Times New Roman" w:cs="Times New Roman"/>
          <w:sz w:val="28"/>
          <w:szCs w:val="28"/>
        </w:rPr>
        <w:t xml:space="preserve">. </w:t>
      </w:r>
    </w:p>
    <w:p w:rsidR="007A4F11" w:rsidRPr="00E4401D" w:rsidRDefault="00E4401D" w:rsidP="007A4F11">
      <w:pPr>
        <w:pStyle w:val="Prrafodelista"/>
        <w:ind w:left="0"/>
        <w:jc w:val="both"/>
        <w:rPr>
          <w:rFonts w:ascii="Times New Roman" w:hAnsi="Times New Roman" w:cs="Times New Roman"/>
          <w:sz w:val="28"/>
          <w:szCs w:val="28"/>
        </w:rPr>
      </w:pPr>
    </w:p>
    <w:p w:rsidR="007A4F11" w:rsidRPr="00E4401D" w:rsidRDefault="00E4401D" w:rsidP="007A4F11">
      <w:pPr>
        <w:pStyle w:val="Ttulo3"/>
        <w:rPr>
          <w:rFonts w:ascii="Times New Roman" w:hAnsi="Times New Roman" w:cs="Times New Roman"/>
          <w:b/>
          <w:bCs/>
          <w:i/>
          <w:iCs/>
          <w:color w:val="auto"/>
          <w:sz w:val="28"/>
          <w:szCs w:val="28"/>
        </w:rPr>
      </w:pPr>
      <w:r w:rsidRPr="00E4401D">
        <w:rPr>
          <w:rFonts w:ascii="Times New Roman" w:hAnsi="Times New Roman" w:cs="Times New Roman"/>
          <w:b/>
          <w:bCs/>
          <w:i/>
          <w:iCs/>
          <w:color w:val="auto"/>
          <w:sz w:val="28"/>
          <w:szCs w:val="28"/>
        </w:rPr>
        <w:t>La cosa juzgada constitucional. Reiteración de la jurisprudencia</w:t>
      </w:r>
    </w:p>
    <w:p w:rsidR="007A4F11" w:rsidRPr="00E4401D" w:rsidRDefault="00E4401D" w:rsidP="007A4F11">
      <w:pPr>
        <w:pStyle w:val="Prrafodelista"/>
        <w:ind w:left="0"/>
        <w:jc w:val="both"/>
        <w:rPr>
          <w:rFonts w:ascii="Times New Roman" w:hAnsi="Times New Roman" w:cs="Times New Roman"/>
          <w:sz w:val="28"/>
          <w:szCs w:val="28"/>
        </w:rPr>
      </w:pPr>
    </w:p>
    <w:p w:rsidR="007A4F11" w:rsidRPr="00E4401D" w:rsidRDefault="00E4401D" w:rsidP="007A4F11">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De acuerdo con el artículo 243 de la Constitución Política, </w:t>
      </w:r>
      <w:r w:rsidRPr="00E4401D">
        <w:rPr>
          <w:rFonts w:ascii="Times New Roman" w:hAnsi="Times New Roman" w:cs="Times New Roman"/>
          <w:sz w:val="28"/>
          <w:szCs w:val="28"/>
        </w:rPr>
        <w:t>y los</w:t>
      </w:r>
      <w:r w:rsidRPr="00E4401D">
        <w:rPr>
          <w:rFonts w:ascii="Times New Roman" w:hAnsi="Times New Roman" w:cs="Times New Roman"/>
          <w:sz w:val="28"/>
          <w:szCs w:val="28"/>
        </w:rPr>
        <w:t xml:space="preserve"> artículo</w:t>
      </w:r>
      <w:r w:rsidRPr="00E4401D">
        <w:rPr>
          <w:rFonts w:ascii="Times New Roman" w:hAnsi="Times New Roman" w:cs="Times New Roman"/>
          <w:sz w:val="28"/>
          <w:szCs w:val="28"/>
        </w:rPr>
        <w:t>s</w:t>
      </w:r>
      <w:r w:rsidRPr="00E4401D">
        <w:rPr>
          <w:rFonts w:ascii="Times New Roman" w:hAnsi="Times New Roman" w:cs="Times New Roman"/>
          <w:sz w:val="28"/>
          <w:szCs w:val="28"/>
        </w:rPr>
        <w:t xml:space="preserve"> 48 de la Ley</w:t>
      </w:r>
      <w:r w:rsidRPr="00E4401D">
        <w:rPr>
          <w:rFonts w:ascii="Times New Roman" w:hAnsi="Times New Roman" w:cs="Times New Roman"/>
          <w:sz w:val="28"/>
          <w:szCs w:val="28"/>
        </w:rPr>
        <w:t xml:space="preserve"> 270 de 1996 y 22 del Decreto 2067 de 1991, las decisiones </w:t>
      </w:r>
      <w:r w:rsidRPr="00E4401D">
        <w:rPr>
          <w:rFonts w:ascii="Times New Roman" w:hAnsi="Times New Roman" w:cs="Times New Roman"/>
          <w:sz w:val="28"/>
          <w:szCs w:val="28"/>
        </w:rPr>
        <w:t xml:space="preserve">que profiera </w:t>
      </w:r>
      <w:r w:rsidRPr="00E4401D">
        <w:rPr>
          <w:rFonts w:ascii="Times New Roman" w:hAnsi="Times New Roman" w:cs="Times New Roman"/>
          <w:sz w:val="28"/>
          <w:szCs w:val="28"/>
        </w:rPr>
        <w:t xml:space="preserve">la Corte Constitucional </w:t>
      </w:r>
      <w:r w:rsidRPr="00E4401D">
        <w:rPr>
          <w:rFonts w:ascii="Times New Roman" w:hAnsi="Times New Roman" w:cs="Times New Roman"/>
          <w:sz w:val="28"/>
          <w:szCs w:val="28"/>
        </w:rPr>
        <w:t>en ejercicio de</w:t>
      </w:r>
      <w:r w:rsidRPr="00E4401D">
        <w:rPr>
          <w:rFonts w:ascii="Times New Roman" w:hAnsi="Times New Roman" w:cs="Times New Roman"/>
          <w:sz w:val="28"/>
          <w:szCs w:val="28"/>
        </w:rPr>
        <w:t>l control abstracto de constitucionalidad “</w:t>
      </w:r>
      <w:r w:rsidRPr="00E4401D">
        <w:rPr>
          <w:rFonts w:ascii="Times New Roman" w:hAnsi="Times New Roman" w:cs="Times New Roman"/>
          <w:i/>
          <w:iCs/>
          <w:sz w:val="28"/>
          <w:szCs w:val="28"/>
        </w:rPr>
        <w:t>hacen tránsito a cosa juzgada constitucional</w:t>
      </w:r>
      <w:r w:rsidRPr="00E4401D">
        <w:rPr>
          <w:rFonts w:ascii="Times New Roman" w:hAnsi="Times New Roman" w:cs="Times New Roman"/>
          <w:sz w:val="28"/>
          <w:szCs w:val="28"/>
        </w:rPr>
        <w:t>”. Por este motivo, la Corte, en general, no “</w:t>
      </w:r>
      <w:r w:rsidRPr="00E4401D">
        <w:rPr>
          <w:rFonts w:ascii="Times New Roman" w:hAnsi="Times New Roman" w:cs="Times New Roman"/>
          <w:i/>
          <w:iCs/>
          <w:sz w:val="28"/>
          <w:szCs w:val="28"/>
        </w:rPr>
        <w:t>puede volver</w:t>
      </w:r>
      <w:r w:rsidRPr="00E4401D">
        <w:rPr>
          <w:rFonts w:ascii="Times New Roman" w:hAnsi="Times New Roman" w:cs="Times New Roman"/>
          <w:i/>
          <w:iCs/>
          <w:sz w:val="28"/>
          <w:szCs w:val="28"/>
        </w:rPr>
        <w:t xml:space="preserve"> a pronunciarse sobre un asunto ya discutido y decidido</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7"/>
      </w:r>
      <w:r w:rsidRPr="00E4401D">
        <w:rPr>
          <w:rFonts w:ascii="Times New Roman" w:hAnsi="Times New Roman" w:cs="Times New Roman"/>
          <w:sz w:val="28"/>
          <w:szCs w:val="28"/>
        </w:rPr>
        <w:t xml:space="preserve"> Estas decisiones son inmutables, vinculantes y definitivas,</w:t>
      </w:r>
      <w:r w:rsidRPr="00E4401D">
        <w:rPr>
          <w:rStyle w:val="Refdenotaalpie"/>
          <w:rFonts w:ascii="Times New Roman" w:hAnsi="Times New Roman" w:cs="Times New Roman"/>
          <w:sz w:val="28"/>
          <w:szCs w:val="28"/>
        </w:rPr>
        <w:footnoteReference w:id="8"/>
      </w:r>
      <w:r w:rsidRPr="00E4401D">
        <w:rPr>
          <w:rFonts w:ascii="Times New Roman" w:hAnsi="Times New Roman" w:cs="Times New Roman"/>
          <w:sz w:val="28"/>
          <w:szCs w:val="28"/>
        </w:rPr>
        <w:t xml:space="preserve"> y buscan proteger “</w:t>
      </w:r>
      <w:r w:rsidRPr="00E4401D">
        <w:rPr>
          <w:rFonts w:ascii="Times New Roman" w:hAnsi="Times New Roman" w:cs="Times New Roman"/>
          <w:i/>
          <w:iCs/>
          <w:sz w:val="28"/>
          <w:szCs w:val="28"/>
        </w:rPr>
        <w:t>la institución jurídico procesal de la cosa juzgada constitucional</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9"/>
      </w:r>
    </w:p>
    <w:p w:rsidR="007A4F11" w:rsidRPr="00E4401D" w:rsidRDefault="00E4401D" w:rsidP="007A4F11">
      <w:pPr>
        <w:pStyle w:val="Prrafodelista"/>
        <w:ind w:left="0"/>
        <w:jc w:val="both"/>
        <w:rPr>
          <w:rFonts w:ascii="Times New Roman" w:hAnsi="Times New Roman" w:cs="Times New Roman"/>
          <w:sz w:val="28"/>
          <w:szCs w:val="28"/>
        </w:rPr>
      </w:pPr>
    </w:p>
    <w:p w:rsidR="00621E9D" w:rsidRPr="00E4401D" w:rsidRDefault="00E4401D" w:rsidP="007A4F11">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shd w:val="clear" w:color="auto" w:fill="FFFFFF"/>
        </w:rPr>
        <w:t>La Corte Constitucional ha señalado que la cosa juzgada constitucional tiene categorías claramente distinguibles entre sí: cosa juzgada formal y material, absoluta y relativa, relativa implícita y relativa explícita y, finalmente, aparente. Dada la abundan</w:t>
      </w:r>
      <w:r w:rsidRPr="00E4401D">
        <w:rPr>
          <w:rFonts w:ascii="Times New Roman" w:hAnsi="Times New Roman" w:cs="Times New Roman"/>
          <w:sz w:val="28"/>
          <w:szCs w:val="28"/>
          <w:shd w:val="clear" w:color="auto" w:fill="FFFFFF"/>
        </w:rPr>
        <w:t>cia de jurisprudencia al respecto, a continuación, se resumen las principales diferencias entre cada una de las categorías referidas</w:t>
      </w:r>
      <w:r w:rsidRPr="00E4401D">
        <w:rPr>
          <w:rStyle w:val="Refdenotaalpie"/>
          <w:rFonts w:ascii="Times New Roman" w:hAnsi="Times New Roman" w:cs="Times New Roman"/>
          <w:sz w:val="28"/>
          <w:szCs w:val="28"/>
          <w:shd w:val="clear" w:color="auto" w:fill="FFFFFF"/>
        </w:rPr>
        <w:footnoteReference w:id="10"/>
      </w:r>
      <w:r w:rsidRPr="00E4401D">
        <w:rPr>
          <w:rFonts w:ascii="Times New Roman" w:hAnsi="Times New Roman" w:cs="Times New Roman"/>
          <w:sz w:val="28"/>
          <w:szCs w:val="28"/>
          <w:shd w:val="clear" w:color="auto" w:fill="FFFFFF"/>
        </w:rPr>
        <w:t>:</w:t>
      </w:r>
    </w:p>
    <w:p w:rsidR="00621E9D" w:rsidRPr="00E4401D" w:rsidRDefault="00E4401D" w:rsidP="00621E9D">
      <w:pPr>
        <w:pStyle w:val="Prrafodelista"/>
        <w:rPr>
          <w:rFonts w:ascii="Times New Roman" w:hAnsi="Times New Roman" w:cs="Times New Roman"/>
          <w:sz w:val="28"/>
          <w:szCs w:val="28"/>
          <w:shd w:val="clear" w:color="auto" w:fill="FFFFFF"/>
        </w:rPr>
      </w:pPr>
    </w:p>
    <w:tbl>
      <w:tblPr>
        <w:tblStyle w:val="Tablaconcuadrcula"/>
        <w:tblW w:w="5000" w:type="pct"/>
        <w:tblLook w:val="04A0" w:firstRow="1" w:lastRow="0" w:firstColumn="1" w:lastColumn="0" w:noHBand="0" w:noVBand="1"/>
      </w:tblPr>
      <w:tblGrid>
        <w:gridCol w:w="4415"/>
        <w:gridCol w:w="4415"/>
      </w:tblGrid>
      <w:tr w:rsidR="00621E9D" w:rsidRPr="00E4401D" w:rsidTr="008A3C27">
        <w:tc>
          <w:tcPr>
            <w:tcW w:w="5000" w:type="pct"/>
            <w:gridSpan w:val="2"/>
          </w:tcPr>
          <w:p w:rsidR="00621E9D" w:rsidRPr="00E4401D" w:rsidRDefault="00E4401D" w:rsidP="008A3C27">
            <w:pPr>
              <w:pStyle w:val="Prrafodelista"/>
              <w:ind w:left="0"/>
              <w:jc w:val="center"/>
              <w:rPr>
                <w:rFonts w:ascii="Times New Roman" w:hAnsi="Times New Roman" w:cs="Times New Roman"/>
                <w:b/>
                <w:bCs/>
                <w:sz w:val="28"/>
                <w:szCs w:val="28"/>
                <w:shd w:val="clear" w:color="auto" w:fill="FFFFFF"/>
              </w:rPr>
            </w:pPr>
            <w:r w:rsidRPr="00E4401D">
              <w:rPr>
                <w:rFonts w:ascii="Times New Roman" w:hAnsi="Times New Roman" w:cs="Times New Roman"/>
                <w:b/>
                <w:bCs/>
                <w:sz w:val="28"/>
                <w:szCs w:val="28"/>
                <w:shd w:val="clear" w:color="auto" w:fill="FFFFFF"/>
              </w:rPr>
              <w:t>Por el objeto de control</w:t>
            </w:r>
          </w:p>
        </w:tc>
      </w:tr>
      <w:tr w:rsidR="00621E9D" w:rsidRPr="00E4401D" w:rsidTr="008A3C27">
        <w:tc>
          <w:tcPr>
            <w:tcW w:w="2500" w:type="pct"/>
          </w:tcPr>
          <w:p w:rsidR="00621E9D" w:rsidRPr="00E4401D" w:rsidRDefault="00E4401D" w:rsidP="008A3C27">
            <w:pPr>
              <w:pStyle w:val="Prrafodelista"/>
              <w:ind w:left="0"/>
              <w:jc w:val="both"/>
              <w:rPr>
                <w:rFonts w:ascii="Times New Roman" w:hAnsi="Times New Roman" w:cs="Times New Roman"/>
                <w:b/>
                <w:bCs/>
                <w:sz w:val="28"/>
                <w:szCs w:val="28"/>
                <w:shd w:val="clear" w:color="auto" w:fill="FFFFFF"/>
              </w:rPr>
            </w:pPr>
            <w:r w:rsidRPr="00E4401D">
              <w:rPr>
                <w:rFonts w:ascii="Times New Roman" w:hAnsi="Times New Roman" w:cs="Times New Roman"/>
                <w:b/>
                <w:bCs/>
                <w:sz w:val="28"/>
                <w:szCs w:val="28"/>
                <w:shd w:val="clear" w:color="auto" w:fill="FFFFFF"/>
              </w:rPr>
              <w:t>Cosa juzgada formal:</w:t>
            </w:r>
          </w:p>
          <w:p w:rsidR="00621E9D" w:rsidRPr="00E4401D" w:rsidRDefault="00E4401D" w:rsidP="008A3C27">
            <w:pPr>
              <w:pStyle w:val="Prrafodelista"/>
              <w:ind w:left="0"/>
              <w:jc w:val="both"/>
              <w:rPr>
                <w:rFonts w:ascii="Times New Roman" w:hAnsi="Times New Roman" w:cs="Times New Roman"/>
                <w:sz w:val="28"/>
                <w:szCs w:val="28"/>
                <w:shd w:val="clear" w:color="auto" w:fill="FFFFFF"/>
              </w:rPr>
            </w:pPr>
            <w:r w:rsidRPr="00E4401D">
              <w:rPr>
                <w:rFonts w:ascii="Times New Roman" w:hAnsi="Times New Roman" w:cs="Times New Roman"/>
                <w:sz w:val="28"/>
                <w:szCs w:val="28"/>
              </w:rPr>
              <w:t xml:space="preserve">Cuando la decisión previa de la Corte ha recaído sobre un texto igual al </w:t>
            </w:r>
            <w:r w:rsidRPr="00E4401D">
              <w:rPr>
                <w:rFonts w:ascii="Times New Roman" w:hAnsi="Times New Roman" w:cs="Times New Roman"/>
                <w:sz w:val="28"/>
                <w:szCs w:val="28"/>
              </w:rPr>
              <w:t>sometido nuevamente a su consideración.</w:t>
            </w:r>
          </w:p>
        </w:tc>
        <w:tc>
          <w:tcPr>
            <w:tcW w:w="2500" w:type="pct"/>
          </w:tcPr>
          <w:p w:rsidR="00621E9D" w:rsidRPr="00E4401D" w:rsidRDefault="00E4401D" w:rsidP="008A3C27">
            <w:pPr>
              <w:pStyle w:val="Prrafodelista"/>
              <w:ind w:left="0"/>
              <w:jc w:val="both"/>
              <w:rPr>
                <w:rFonts w:ascii="Times New Roman" w:hAnsi="Times New Roman" w:cs="Times New Roman"/>
                <w:b/>
                <w:bCs/>
                <w:sz w:val="28"/>
                <w:szCs w:val="28"/>
                <w:shd w:val="clear" w:color="auto" w:fill="FFFFFF"/>
              </w:rPr>
            </w:pPr>
            <w:r w:rsidRPr="00E4401D">
              <w:rPr>
                <w:rFonts w:ascii="Times New Roman" w:hAnsi="Times New Roman" w:cs="Times New Roman"/>
                <w:b/>
                <w:bCs/>
                <w:sz w:val="28"/>
                <w:szCs w:val="28"/>
                <w:shd w:val="clear" w:color="auto" w:fill="FFFFFF"/>
              </w:rPr>
              <w:t>Cosa juzgada material:</w:t>
            </w:r>
          </w:p>
          <w:p w:rsidR="00621E9D" w:rsidRPr="00E4401D" w:rsidRDefault="00E4401D" w:rsidP="008A3C27">
            <w:pPr>
              <w:pStyle w:val="Prrafodelista"/>
              <w:ind w:left="0"/>
              <w:jc w:val="both"/>
              <w:rPr>
                <w:rFonts w:ascii="Times New Roman" w:hAnsi="Times New Roman" w:cs="Times New Roman"/>
                <w:sz w:val="28"/>
                <w:szCs w:val="28"/>
                <w:shd w:val="clear" w:color="auto" w:fill="FFFFFF"/>
              </w:rPr>
            </w:pPr>
            <w:r w:rsidRPr="00E4401D">
              <w:rPr>
                <w:rFonts w:ascii="Times New Roman" w:hAnsi="Times New Roman" w:cs="Times New Roman"/>
                <w:sz w:val="28"/>
                <w:szCs w:val="28"/>
                <w:shd w:val="clear" w:color="auto" w:fill="FFFFFF"/>
              </w:rPr>
              <w:t xml:space="preserve">Cuando la sentencia previa examinó una norma </w:t>
            </w:r>
            <w:r w:rsidRPr="00E4401D">
              <w:rPr>
                <w:rFonts w:ascii="Times New Roman" w:hAnsi="Times New Roman" w:cs="Times New Roman"/>
                <w:sz w:val="28"/>
                <w:szCs w:val="28"/>
                <w:shd w:val="clear" w:color="auto" w:fill="FFFFFF"/>
              </w:rPr>
              <w:t xml:space="preserve">con idéntico contenido normativo </w:t>
            </w:r>
            <w:r w:rsidRPr="00E4401D">
              <w:rPr>
                <w:rFonts w:ascii="Times New Roman" w:hAnsi="Times New Roman" w:cs="Times New Roman"/>
                <w:sz w:val="28"/>
                <w:szCs w:val="28"/>
                <w:shd w:val="clear" w:color="auto" w:fill="FFFFFF"/>
              </w:rPr>
              <w:t xml:space="preserve">al de </w:t>
            </w:r>
            <w:r w:rsidRPr="00E4401D">
              <w:rPr>
                <w:rFonts w:ascii="Times New Roman" w:hAnsi="Times New Roman" w:cs="Times New Roman"/>
                <w:sz w:val="28"/>
                <w:szCs w:val="28"/>
                <w:shd w:val="clear" w:color="auto" w:fill="FFFFFF"/>
              </w:rPr>
              <w:t>la</w:t>
            </w:r>
            <w:r w:rsidRPr="00E4401D">
              <w:rPr>
                <w:rFonts w:ascii="Times New Roman" w:hAnsi="Times New Roman" w:cs="Times New Roman"/>
                <w:sz w:val="28"/>
                <w:szCs w:val="28"/>
                <w:shd w:val="clear" w:color="auto" w:fill="FFFFFF"/>
              </w:rPr>
              <w:t xml:space="preserve"> </w:t>
            </w:r>
            <w:r w:rsidRPr="00E4401D">
              <w:rPr>
                <w:rFonts w:ascii="Times New Roman" w:hAnsi="Times New Roman" w:cs="Times New Roman"/>
                <w:sz w:val="28"/>
                <w:szCs w:val="28"/>
                <w:shd w:val="clear" w:color="auto" w:fill="FFFFFF"/>
              </w:rPr>
              <w:t>disposición</w:t>
            </w:r>
            <w:r w:rsidRPr="00E4401D">
              <w:rPr>
                <w:rFonts w:ascii="Times New Roman" w:hAnsi="Times New Roman" w:cs="Times New Roman"/>
                <w:sz w:val="28"/>
                <w:szCs w:val="28"/>
                <w:shd w:val="clear" w:color="auto" w:fill="FFFFFF"/>
              </w:rPr>
              <w:t xml:space="preserve"> </w:t>
            </w:r>
            <w:r w:rsidRPr="00E4401D">
              <w:rPr>
                <w:rFonts w:ascii="Times New Roman" w:hAnsi="Times New Roman" w:cs="Times New Roman"/>
                <w:sz w:val="28"/>
                <w:szCs w:val="28"/>
                <w:shd w:val="clear" w:color="auto" w:fill="FFFFFF"/>
              </w:rPr>
              <w:t>demandada. De forma que producen los mismos efectos en cuanto contienen la misma regla.</w:t>
            </w:r>
          </w:p>
        </w:tc>
      </w:tr>
      <w:tr w:rsidR="00621E9D" w:rsidRPr="00E4401D" w:rsidTr="008A3C27">
        <w:tc>
          <w:tcPr>
            <w:tcW w:w="5000" w:type="pct"/>
            <w:gridSpan w:val="2"/>
          </w:tcPr>
          <w:p w:rsidR="00621E9D" w:rsidRPr="00E4401D" w:rsidRDefault="00E4401D" w:rsidP="008A3C27">
            <w:pPr>
              <w:pStyle w:val="Prrafodelista"/>
              <w:ind w:left="0"/>
              <w:jc w:val="center"/>
              <w:rPr>
                <w:rFonts w:ascii="Times New Roman" w:hAnsi="Times New Roman" w:cs="Times New Roman"/>
                <w:b/>
                <w:bCs/>
                <w:sz w:val="28"/>
                <w:szCs w:val="28"/>
                <w:shd w:val="clear" w:color="auto" w:fill="FFFFFF"/>
              </w:rPr>
            </w:pPr>
            <w:r w:rsidRPr="00E4401D">
              <w:rPr>
                <w:rFonts w:ascii="Times New Roman" w:hAnsi="Times New Roman" w:cs="Times New Roman"/>
                <w:b/>
                <w:bCs/>
                <w:sz w:val="28"/>
                <w:szCs w:val="28"/>
                <w:shd w:val="clear" w:color="auto" w:fill="FFFFFF"/>
              </w:rPr>
              <w:t xml:space="preserve">Por </w:t>
            </w:r>
            <w:r w:rsidRPr="00E4401D">
              <w:rPr>
                <w:rFonts w:ascii="Times New Roman" w:hAnsi="Times New Roman" w:cs="Times New Roman"/>
                <w:b/>
                <w:bCs/>
                <w:sz w:val="28"/>
                <w:szCs w:val="28"/>
                <w:shd w:val="clear" w:color="auto" w:fill="FFFFFF"/>
              </w:rPr>
              <w:t>el cargo de constitucionalidad</w:t>
            </w:r>
          </w:p>
        </w:tc>
      </w:tr>
      <w:tr w:rsidR="00621E9D" w:rsidRPr="00E4401D" w:rsidTr="008A3C27">
        <w:tc>
          <w:tcPr>
            <w:tcW w:w="2500" w:type="pct"/>
          </w:tcPr>
          <w:p w:rsidR="00621E9D" w:rsidRPr="00E4401D" w:rsidRDefault="00E4401D" w:rsidP="008A3C27">
            <w:pPr>
              <w:pStyle w:val="Prrafodelista"/>
              <w:ind w:left="0"/>
              <w:jc w:val="both"/>
              <w:rPr>
                <w:rFonts w:ascii="Times New Roman" w:hAnsi="Times New Roman" w:cs="Times New Roman"/>
                <w:b/>
                <w:bCs/>
                <w:sz w:val="28"/>
                <w:szCs w:val="28"/>
              </w:rPr>
            </w:pPr>
            <w:r w:rsidRPr="00E4401D">
              <w:rPr>
                <w:rFonts w:ascii="Times New Roman" w:hAnsi="Times New Roman" w:cs="Times New Roman"/>
                <w:b/>
                <w:bCs/>
                <w:sz w:val="28"/>
                <w:szCs w:val="28"/>
              </w:rPr>
              <w:t>Cosa juzgada absoluta:</w:t>
            </w:r>
          </w:p>
          <w:p w:rsidR="00621E9D" w:rsidRPr="00E4401D" w:rsidRDefault="00E4401D" w:rsidP="008A3C27">
            <w:pPr>
              <w:pStyle w:val="Prrafodelista"/>
              <w:ind w:left="0"/>
              <w:jc w:val="both"/>
              <w:rPr>
                <w:rFonts w:ascii="Times New Roman" w:hAnsi="Times New Roman" w:cs="Times New Roman"/>
                <w:sz w:val="28"/>
                <w:szCs w:val="28"/>
                <w:shd w:val="clear" w:color="auto" w:fill="FFFFFF"/>
              </w:rPr>
            </w:pPr>
            <w:r w:rsidRPr="00E4401D">
              <w:rPr>
                <w:rFonts w:ascii="Times New Roman" w:hAnsi="Times New Roman" w:cs="Times New Roman"/>
                <w:sz w:val="28"/>
                <w:szCs w:val="28"/>
              </w:rPr>
              <w:t>Cuando la primera decisión agotó cualquier debate sobre la constitucionalidad de la norma acusada. Ocurre cuando se analizó la validez de la norma acusada con</w:t>
            </w:r>
            <w:r w:rsidRPr="00E4401D">
              <w:rPr>
                <w:rFonts w:ascii="Times New Roman" w:hAnsi="Times New Roman" w:cs="Times New Roman"/>
                <w:sz w:val="28"/>
                <w:szCs w:val="28"/>
              </w:rPr>
              <w:t xml:space="preserve"> todo el ordenamiento constitucional</w:t>
            </w:r>
            <w:r w:rsidRPr="00E4401D">
              <w:rPr>
                <w:rFonts w:ascii="Times New Roman" w:hAnsi="Times New Roman" w:cs="Times New Roman"/>
                <w:sz w:val="28"/>
                <w:szCs w:val="28"/>
              </w:rPr>
              <w:t xml:space="preserve">. Por </w:t>
            </w:r>
            <w:r w:rsidRPr="00E4401D">
              <w:rPr>
                <w:rFonts w:ascii="Times New Roman" w:hAnsi="Times New Roman" w:cs="Times New Roman"/>
                <w:sz w:val="28"/>
                <w:szCs w:val="28"/>
              </w:rPr>
              <w:t>regla general corresponde a las sentencias emitidas en ejercicio del control automático e integral que la Constitución Política asigna a cierto tipo de normas con rango de ley.</w:t>
            </w:r>
          </w:p>
        </w:tc>
        <w:tc>
          <w:tcPr>
            <w:tcW w:w="2500" w:type="pct"/>
          </w:tcPr>
          <w:p w:rsidR="00621E9D" w:rsidRPr="00E4401D" w:rsidRDefault="00E4401D" w:rsidP="008A3C27">
            <w:pPr>
              <w:pStyle w:val="Prrafodelista"/>
              <w:ind w:left="0"/>
              <w:jc w:val="both"/>
              <w:rPr>
                <w:rFonts w:ascii="Times New Roman" w:hAnsi="Times New Roman" w:cs="Times New Roman"/>
                <w:b/>
                <w:bCs/>
                <w:sz w:val="28"/>
                <w:szCs w:val="28"/>
              </w:rPr>
            </w:pPr>
            <w:r w:rsidRPr="00E4401D">
              <w:rPr>
                <w:rFonts w:ascii="Times New Roman" w:hAnsi="Times New Roman" w:cs="Times New Roman"/>
                <w:b/>
                <w:bCs/>
                <w:sz w:val="28"/>
                <w:szCs w:val="28"/>
              </w:rPr>
              <w:t>Cosa juzgada relativa:</w:t>
            </w:r>
          </w:p>
          <w:p w:rsidR="00621E9D" w:rsidRPr="00E4401D" w:rsidRDefault="00E4401D" w:rsidP="008A3C27">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Cuando la decisión previa juzgó la validez constituciona</w:t>
            </w:r>
            <w:r w:rsidRPr="00E4401D">
              <w:rPr>
                <w:rFonts w:ascii="Times New Roman" w:hAnsi="Times New Roman" w:cs="Times New Roman"/>
                <w:sz w:val="28"/>
                <w:szCs w:val="28"/>
              </w:rPr>
              <w:t>l sólo desde la perspectiva de algunos de los cargos posibles.</w:t>
            </w:r>
            <w:r w:rsidRPr="00E4401D">
              <w:rPr>
                <w:rFonts w:ascii="Times New Roman" w:hAnsi="Times New Roman" w:cs="Times New Roman"/>
                <w:sz w:val="28"/>
                <w:szCs w:val="28"/>
              </w:rPr>
              <w:t xml:space="preserve"> De modo que admite que en el futuro se formulen nuevos cargos de inconstitucionalidad contra la norma que ha sido objeto de examen, siempre y cuando sean distintos a los que la Corte ya analizó</w:t>
            </w:r>
            <w:r w:rsidRPr="00E4401D">
              <w:rPr>
                <w:rFonts w:ascii="Times New Roman" w:hAnsi="Times New Roman" w:cs="Times New Roman"/>
                <w:sz w:val="28"/>
                <w:szCs w:val="28"/>
              </w:rPr>
              <w:t>.</w:t>
            </w:r>
          </w:p>
          <w:p w:rsidR="00621E9D" w:rsidRPr="00E4401D" w:rsidRDefault="00E4401D" w:rsidP="008A3C27">
            <w:pPr>
              <w:pStyle w:val="Prrafodelista"/>
              <w:ind w:left="0"/>
              <w:jc w:val="both"/>
              <w:rPr>
                <w:rFonts w:ascii="Times New Roman" w:hAnsi="Times New Roman" w:cs="Times New Roman"/>
                <w:sz w:val="28"/>
                <w:szCs w:val="28"/>
                <w:shd w:val="clear" w:color="auto" w:fill="FFFFFF"/>
              </w:rPr>
            </w:pPr>
          </w:p>
          <w:p w:rsidR="00621E9D" w:rsidRPr="00E4401D" w:rsidRDefault="00E4401D" w:rsidP="008A3C27">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La cosa juzgada relativa puede ser explícita o implícita.</w:t>
            </w:r>
          </w:p>
          <w:p w:rsidR="00621E9D" w:rsidRPr="00E4401D" w:rsidRDefault="00E4401D" w:rsidP="008A3C27">
            <w:pPr>
              <w:pStyle w:val="Prrafodelista"/>
              <w:ind w:left="0"/>
              <w:jc w:val="both"/>
              <w:rPr>
                <w:rFonts w:ascii="Times New Roman" w:hAnsi="Times New Roman" w:cs="Times New Roman"/>
                <w:sz w:val="28"/>
                <w:szCs w:val="28"/>
              </w:rPr>
            </w:pPr>
          </w:p>
          <w:p w:rsidR="00621E9D" w:rsidRPr="00E4401D" w:rsidRDefault="00E4401D" w:rsidP="008A3C27">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 xml:space="preserve">Será </w:t>
            </w:r>
            <w:r w:rsidRPr="00E4401D">
              <w:rPr>
                <w:rFonts w:ascii="Times New Roman" w:hAnsi="Times New Roman" w:cs="Times New Roman"/>
                <w:b/>
                <w:bCs/>
                <w:sz w:val="28"/>
                <w:szCs w:val="28"/>
              </w:rPr>
              <w:t>cosa juzgada relativa explícita</w:t>
            </w:r>
            <w:r w:rsidRPr="00E4401D">
              <w:rPr>
                <w:rFonts w:ascii="Times New Roman" w:hAnsi="Times New Roman" w:cs="Times New Roman"/>
                <w:sz w:val="28"/>
                <w:szCs w:val="28"/>
              </w:rPr>
              <w:t xml:space="preserve"> cuando en la parte resolutiva de la sentencia se establece expresamente que el pronunciamiento de la Corte se limita a los cargos analizados. </w:t>
            </w:r>
          </w:p>
          <w:p w:rsidR="00621E9D" w:rsidRPr="00E4401D" w:rsidRDefault="00E4401D" w:rsidP="008A3C27">
            <w:pPr>
              <w:pStyle w:val="Prrafodelista"/>
              <w:ind w:left="0"/>
              <w:jc w:val="both"/>
              <w:rPr>
                <w:rFonts w:ascii="Times New Roman" w:hAnsi="Times New Roman" w:cs="Times New Roman"/>
                <w:sz w:val="28"/>
                <w:szCs w:val="28"/>
              </w:rPr>
            </w:pPr>
          </w:p>
          <w:p w:rsidR="00621E9D" w:rsidRPr="00E4401D" w:rsidRDefault="00E4401D" w:rsidP="008A3C27">
            <w:pPr>
              <w:pStyle w:val="Prrafodelista"/>
              <w:ind w:left="0"/>
              <w:jc w:val="both"/>
              <w:rPr>
                <w:rFonts w:ascii="Times New Roman" w:hAnsi="Times New Roman" w:cs="Times New Roman"/>
                <w:sz w:val="28"/>
                <w:szCs w:val="28"/>
                <w:shd w:val="clear" w:color="auto" w:fill="FFFFFF"/>
              </w:rPr>
            </w:pPr>
            <w:r w:rsidRPr="00E4401D">
              <w:rPr>
                <w:rFonts w:ascii="Times New Roman" w:hAnsi="Times New Roman" w:cs="Times New Roman"/>
                <w:sz w:val="28"/>
                <w:szCs w:val="28"/>
              </w:rPr>
              <w:t xml:space="preserve">Será </w:t>
            </w:r>
            <w:r w:rsidRPr="00E4401D">
              <w:rPr>
                <w:rFonts w:ascii="Times New Roman" w:hAnsi="Times New Roman" w:cs="Times New Roman"/>
                <w:b/>
                <w:bCs/>
                <w:sz w:val="28"/>
                <w:szCs w:val="28"/>
              </w:rPr>
              <w:t>cosa juz</w:t>
            </w:r>
            <w:r w:rsidRPr="00E4401D">
              <w:rPr>
                <w:rFonts w:ascii="Times New Roman" w:hAnsi="Times New Roman" w:cs="Times New Roman"/>
                <w:b/>
                <w:bCs/>
                <w:sz w:val="28"/>
                <w:szCs w:val="28"/>
              </w:rPr>
              <w:t>gada relativa implícita</w:t>
            </w:r>
            <w:r w:rsidRPr="00E4401D">
              <w:rPr>
                <w:rFonts w:ascii="Times New Roman" w:hAnsi="Times New Roman" w:cs="Times New Roman"/>
                <w:sz w:val="28"/>
                <w:szCs w:val="28"/>
              </w:rPr>
              <w:t xml:space="preserve"> cuando, pese a no hacerse tal referencia en la parte resolutiva, de las consideraciones de la sentencia se puede desprender que la Corte limitó su juicio a determinados cargos.</w:t>
            </w:r>
          </w:p>
        </w:tc>
      </w:tr>
      <w:tr w:rsidR="00621E9D" w:rsidRPr="00E4401D" w:rsidTr="008A3C27">
        <w:tc>
          <w:tcPr>
            <w:tcW w:w="5000" w:type="pct"/>
            <w:gridSpan w:val="2"/>
          </w:tcPr>
          <w:p w:rsidR="00621E9D" w:rsidRPr="00E4401D" w:rsidRDefault="00E4401D" w:rsidP="008A3C27">
            <w:pPr>
              <w:pStyle w:val="Prrafodelista"/>
              <w:ind w:left="0"/>
              <w:jc w:val="center"/>
              <w:rPr>
                <w:rFonts w:ascii="Times New Roman" w:hAnsi="Times New Roman" w:cs="Times New Roman"/>
                <w:b/>
                <w:bCs/>
                <w:sz w:val="28"/>
                <w:szCs w:val="28"/>
              </w:rPr>
            </w:pPr>
            <w:r w:rsidRPr="00E4401D">
              <w:rPr>
                <w:rFonts w:ascii="Times New Roman" w:hAnsi="Times New Roman" w:cs="Times New Roman"/>
                <w:b/>
                <w:bCs/>
                <w:sz w:val="28"/>
                <w:szCs w:val="28"/>
              </w:rPr>
              <w:t>Cosa juzgada aparente</w:t>
            </w:r>
            <w:r w:rsidRPr="00E4401D">
              <w:rPr>
                <w:rStyle w:val="Refdenotaalpie"/>
                <w:rFonts w:ascii="Times New Roman" w:hAnsi="Times New Roman" w:cs="Times New Roman"/>
                <w:b/>
                <w:bCs/>
                <w:sz w:val="28"/>
                <w:szCs w:val="28"/>
              </w:rPr>
              <w:footnoteReference w:id="11"/>
            </w:r>
          </w:p>
        </w:tc>
      </w:tr>
      <w:tr w:rsidR="00621E9D" w:rsidRPr="00E4401D" w:rsidTr="008A3C27">
        <w:tc>
          <w:tcPr>
            <w:tcW w:w="5000" w:type="pct"/>
            <w:gridSpan w:val="2"/>
          </w:tcPr>
          <w:p w:rsidR="00621E9D" w:rsidRPr="00E4401D" w:rsidRDefault="00E4401D" w:rsidP="008A3C27">
            <w:pPr>
              <w:contextualSpacing/>
              <w:jc w:val="both"/>
              <w:rPr>
                <w:rFonts w:ascii="Times New Roman" w:hAnsi="Times New Roman" w:cs="Times New Roman"/>
                <w:noProof/>
                <w:sz w:val="28"/>
                <w:szCs w:val="28"/>
                <w:lang w:val="es-ES_tradnl"/>
              </w:rPr>
            </w:pPr>
            <w:r w:rsidRPr="00E4401D">
              <w:rPr>
                <w:rFonts w:ascii="Times New Roman" w:hAnsi="Times New Roman" w:cs="Times New Roman"/>
                <w:noProof/>
                <w:sz w:val="28"/>
                <w:szCs w:val="28"/>
              </w:rPr>
              <w:t>Ocurre cuando</w:t>
            </w:r>
            <w:r w:rsidRPr="00E4401D">
              <w:rPr>
                <w:rFonts w:ascii="Times New Roman" w:hAnsi="Times New Roman" w:cs="Times New Roman"/>
                <w:noProof/>
                <w:sz w:val="28"/>
                <w:szCs w:val="28"/>
                <w:lang w:val="es-ES_tradnl"/>
              </w:rPr>
              <w:t xml:space="preserve"> la Corte, “</w:t>
            </w:r>
            <w:r w:rsidRPr="00E4401D">
              <w:rPr>
                <w:rFonts w:ascii="Times New Roman" w:hAnsi="Times New Roman" w:cs="Times New Roman"/>
                <w:i/>
                <w:iCs/>
                <w:noProof/>
                <w:sz w:val="28"/>
                <w:szCs w:val="28"/>
                <w:lang w:val="es-ES_tradnl"/>
              </w:rPr>
              <w:t xml:space="preserve">a </w:t>
            </w:r>
            <w:r w:rsidRPr="00E4401D">
              <w:rPr>
                <w:rFonts w:ascii="Times New Roman" w:hAnsi="Times New Roman" w:cs="Times New Roman"/>
                <w:i/>
                <w:iCs/>
                <w:noProof/>
                <w:sz w:val="28"/>
                <w:szCs w:val="28"/>
                <w:lang w:val="es-ES_tradnl"/>
              </w:rPr>
              <w:t>pesar de adoptar una decisión en la parte resolutiva de sus providencias declarando la exequibilidad de una norma, en realidad no ejerce función jurisdiccional alguna y, por ello, la cosa juzgada es ficticia</w:t>
            </w:r>
            <w:r w:rsidRPr="00E4401D">
              <w:rPr>
                <w:rFonts w:ascii="Times New Roman" w:hAnsi="Times New Roman" w:cs="Times New Roman"/>
                <w:noProof/>
                <w:sz w:val="28"/>
                <w:szCs w:val="28"/>
                <w:lang w:val="es-ES_tradnl"/>
              </w:rPr>
              <w:t>”.</w:t>
            </w:r>
            <w:r w:rsidRPr="00E4401D">
              <w:rPr>
                <w:rStyle w:val="Refdenotaalpie"/>
                <w:rFonts w:ascii="Times New Roman" w:hAnsi="Times New Roman" w:cs="Times New Roman"/>
                <w:sz w:val="28"/>
                <w:szCs w:val="28"/>
              </w:rPr>
              <w:footnoteReference w:id="12"/>
            </w:r>
          </w:p>
          <w:p w:rsidR="00621E9D" w:rsidRPr="00E4401D" w:rsidRDefault="00E4401D" w:rsidP="008A3C27">
            <w:pPr>
              <w:contextualSpacing/>
              <w:jc w:val="both"/>
              <w:rPr>
                <w:rFonts w:ascii="Times New Roman" w:hAnsi="Times New Roman" w:cs="Times New Roman"/>
                <w:noProof/>
                <w:sz w:val="28"/>
                <w:szCs w:val="28"/>
                <w:lang w:val="es-ES_tradnl"/>
              </w:rPr>
            </w:pPr>
          </w:p>
          <w:p w:rsidR="00621E9D" w:rsidRPr="00E4401D" w:rsidRDefault="00E4401D" w:rsidP="008A3C27">
            <w:pPr>
              <w:contextualSpacing/>
              <w:jc w:val="both"/>
              <w:rPr>
                <w:rFonts w:ascii="Times New Roman" w:hAnsi="Times New Roman" w:cs="Times New Roman"/>
                <w:noProof/>
                <w:sz w:val="28"/>
                <w:szCs w:val="28"/>
                <w:lang w:val="es-ES_tradnl"/>
              </w:rPr>
            </w:pPr>
            <w:r w:rsidRPr="00E4401D">
              <w:rPr>
                <w:rFonts w:ascii="Times New Roman" w:hAnsi="Times New Roman" w:cs="Times New Roman"/>
                <w:noProof/>
                <w:sz w:val="28"/>
                <w:szCs w:val="28"/>
                <w:lang w:val="es-ES_tradnl"/>
              </w:rPr>
              <w:t>La cosa juzgada aparente depende de que la d</w:t>
            </w:r>
            <w:r w:rsidRPr="00E4401D">
              <w:rPr>
                <w:rFonts w:ascii="Times New Roman" w:hAnsi="Times New Roman" w:cs="Times New Roman"/>
                <w:noProof/>
                <w:sz w:val="28"/>
                <w:szCs w:val="28"/>
                <w:lang w:val="es-ES_tradnl"/>
              </w:rPr>
              <w:t>eclaración de exequibilidad carezca de toda motivación en el cuerpo de la providencia. En este caso, aunque la declaración de exequibilidad da la apariencia de cosa juzgada, en realidad la norma demandada no está revestida de cosa juzgada, ni formal, ni ma</w:t>
            </w:r>
            <w:r w:rsidRPr="00E4401D">
              <w:rPr>
                <w:rFonts w:ascii="Times New Roman" w:hAnsi="Times New Roman" w:cs="Times New Roman"/>
                <w:noProof/>
                <w:sz w:val="28"/>
                <w:szCs w:val="28"/>
                <w:lang w:val="es-ES_tradnl"/>
              </w:rPr>
              <w:t xml:space="preserve">terial debido a la ausencia de motivación de la providencia en tal sentido. </w:t>
            </w:r>
          </w:p>
          <w:p w:rsidR="00621E9D" w:rsidRPr="00E4401D" w:rsidRDefault="00E4401D" w:rsidP="008A3C27">
            <w:pPr>
              <w:contextualSpacing/>
              <w:jc w:val="both"/>
              <w:rPr>
                <w:rFonts w:ascii="Times New Roman" w:hAnsi="Times New Roman" w:cs="Times New Roman"/>
                <w:noProof/>
                <w:sz w:val="28"/>
                <w:szCs w:val="28"/>
                <w:lang w:val="es-ES_tradnl"/>
              </w:rPr>
            </w:pPr>
          </w:p>
          <w:p w:rsidR="00621E9D" w:rsidRPr="00E4401D" w:rsidRDefault="00E4401D" w:rsidP="008A3C27">
            <w:pPr>
              <w:jc w:val="both"/>
              <w:rPr>
                <w:rFonts w:ascii="Times New Roman" w:hAnsi="Times New Roman" w:cs="Times New Roman"/>
                <w:sz w:val="28"/>
                <w:szCs w:val="28"/>
              </w:rPr>
            </w:pPr>
            <w:r w:rsidRPr="00E4401D">
              <w:rPr>
                <w:rFonts w:ascii="Times New Roman" w:hAnsi="Times New Roman" w:cs="Times New Roman"/>
                <w:bCs/>
                <w:sz w:val="28"/>
                <w:szCs w:val="28"/>
              </w:rPr>
              <w:t xml:space="preserve">La cosa juzgada aparente tiene lugar en dos hipótesis: </w:t>
            </w:r>
            <w:r w:rsidRPr="00E4401D">
              <w:rPr>
                <w:rFonts w:ascii="Times New Roman" w:hAnsi="Times New Roman" w:cs="Times New Roman"/>
                <w:bCs/>
                <w:i/>
                <w:iCs/>
                <w:sz w:val="28"/>
                <w:szCs w:val="28"/>
              </w:rPr>
              <w:t>(i)</w:t>
            </w:r>
            <w:r w:rsidRPr="00E4401D">
              <w:rPr>
                <w:rFonts w:ascii="Times New Roman" w:hAnsi="Times New Roman" w:cs="Times New Roman"/>
                <w:bCs/>
                <w:sz w:val="28"/>
                <w:szCs w:val="28"/>
              </w:rPr>
              <w:t xml:space="preserve"> </w:t>
            </w:r>
            <w:r w:rsidRPr="00E4401D">
              <w:rPr>
                <w:rFonts w:ascii="Times New Roman" w:hAnsi="Times New Roman" w:cs="Times New Roman"/>
                <w:bCs/>
                <w:sz w:val="28"/>
                <w:szCs w:val="28"/>
              </w:rPr>
              <w:t>C</w:t>
            </w:r>
            <w:r w:rsidRPr="00E4401D">
              <w:rPr>
                <w:rFonts w:ascii="Times New Roman" w:hAnsi="Times New Roman" w:cs="Times New Roman"/>
                <w:bCs/>
                <w:sz w:val="28"/>
                <w:szCs w:val="28"/>
              </w:rPr>
              <w:t>uando la Corte resuelve declarar exequible una disposición, pero en la parte motiva de la sentencia omite totalmente e</w:t>
            </w:r>
            <w:r w:rsidRPr="00E4401D">
              <w:rPr>
                <w:rFonts w:ascii="Times New Roman" w:hAnsi="Times New Roman" w:cs="Times New Roman"/>
                <w:bCs/>
                <w:sz w:val="28"/>
                <w:szCs w:val="28"/>
              </w:rPr>
              <w:t xml:space="preserve">l estudio de constitucionalidad de aquella, de forma que la disposición no fue objeto de función jurisdiccional alguna. </w:t>
            </w:r>
            <w:r w:rsidRPr="00E4401D">
              <w:rPr>
                <w:rFonts w:ascii="Times New Roman" w:hAnsi="Times New Roman" w:cs="Times New Roman"/>
                <w:bCs/>
                <w:i/>
                <w:iCs/>
                <w:sz w:val="28"/>
                <w:szCs w:val="28"/>
              </w:rPr>
              <w:t>(ii)</w:t>
            </w:r>
            <w:r w:rsidRPr="00E4401D">
              <w:rPr>
                <w:rFonts w:ascii="Times New Roman" w:hAnsi="Times New Roman" w:cs="Times New Roman"/>
                <w:bCs/>
                <w:sz w:val="28"/>
                <w:szCs w:val="28"/>
              </w:rPr>
              <w:t xml:space="preserve"> </w:t>
            </w:r>
            <w:r w:rsidRPr="00E4401D">
              <w:rPr>
                <w:rFonts w:ascii="Times New Roman" w:hAnsi="Times New Roman" w:cs="Times New Roman"/>
                <w:bCs/>
                <w:sz w:val="28"/>
                <w:szCs w:val="28"/>
              </w:rPr>
              <w:t>c</w:t>
            </w:r>
            <w:r w:rsidRPr="00E4401D">
              <w:rPr>
                <w:rFonts w:ascii="Times New Roman" w:hAnsi="Times New Roman" w:cs="Times New Roman"/>
                <w:bCs/>
                <w:sz w:val="28"/>
                <w:szCs w:val="28"/>
              </w:rPr>
              <w:t>uando se declara exequible una disposición, pero en la parte motiva del fallo sólo se estudió una de las normas contenidas en aqué</w:t>
            </w:r>
            <w:r w:rsidRPr="00E4401D">
              <w:rPr>
                <w:rFonts w:ascii="Times New Roman" w:hAnsi="Times New Roman" w:cs="Times New Roman"/>
                <w:bCs/>
                <w:sz w:val="28"/>
                <w:szCs w:val="28"/>
              </w:rPr>
              <w:t>lla.</w:t>
            </w:r>
            <w:r w:rsidRPr="00E4401D">
              <w:rPr>
                <w:rStyle w:val="Refdenotaalpie"/>
                <w:rFonts w:ascii="Times New Roman" w:hAnsi="Times New Roman" w:cs="Times New Roman"/>
                <w:bCs/>
                <w:sz w:val="28"/>
                <w:szCs w:val="28"/>
              </w:rPr>
              <w:footnoteReference w:id="13"/>
            </w:r>
            <w:r w:rsidRPr="00E4401D">
              <w:rPr>
                <w:rFonts w:ascii="Times New Roman" w:hAnsi="Times New Roman" w:cs="Times New Roman"/>
                <w:bCs/>
                <w:sz w:val="28"/>
                <w:szCs w:val="28"/>
              </w:rPr>
              <w:t xml:space="preserve"> </w:t>
            </w:r>
            <w:r w:rsidRPr="00E4401D">
              <w:rPr>
                <w:rFonts w:ascii="Times New Roman" w:hAnsi="Times New Roman" w:cs="Times New Roman"/>
                <w:bCs/>
                <w:i/>
                <w:iCs/>
                <w:sz w:val="28"/>
                <w:szCs w:val="28"/>
              </w:rPr>
              <w:t>En este caso, las normas que carecieron de pronunciamiento jurisdiccional pueden ser objeto de un estudio de constitucionalidad en una nueva ocasión.</w:t>
            </w:r>
            <w:r w:rsidRPr="00E4401D">
              <w:rPr>
                <w:rStyle w:val="Refdenotaalpie"/>
                <w:rFonts w:ascii="Times New Roman" w:hAnsi="Times New Roman" w:cs="Times New Roman"/>
                <w:bCs/>
                <w:sz w:val="28"/>
                <w:szCs w:val="28"/>
              </w:rPr>
              <w:footnoteReference w:id="14"/>
            </w:r>
          </w:p>
        </w:tc>
      </w:tr>
    </w:tbl>
    <w:p w:rsidR="00621E9D" w:rsidRPr="00E4401D" w:rsidRDefault="00E4401D" w:rsidP="00621E9D">
      <w:pPr>
        <w:pStyle w:val="Prrafodelista"/>
        <w:ind w:left="0"/>
        <w:jc w:val="both"/>
        <w:rPr>
          <w:rFonts w:ascii="Times New Roman" w:hAnsi="Times New Roman" w:cs="Times New Roman"/>
          <w:sz w:val="28"/>
          <w:szCs w:val="28"/>
          <w:shd w:val="clear" w:color="auto" w:fill="FFFFFF"/>
        </w:rPr>
      </w:pPr>
    </w:p>
    <w:p w:rsidR="00621E9D" w:rsidRPr="00E4401D" w:rsidRDefault="00E4401D" w:rsidP="007A4F11">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shd w:val="clear" w:color="auto" w:fill="FFFFFF"/>
        </w:rPr>
        <w:t xml:space="preserve">Por último, la Corte ha admitido que, aun cuando se constate la existencia de cosa juzgada </w:t>
      </w:r>
      <w:r w:rsidRPr="00E4401D">
        <w:rPr>
          <w:rFonts w:ascii="Times New Roman" w:hAnsi="Times New Roman" w:cs="Times New Roman"/>
          <w:sz w:val="28"/>
          <w:szCs w:val="28"/>
          <w:shd w:val="clear" w:color="auto" w:fill="FFFFFF"/>
        </w:rPr>
        <w:t>constitucional, será posible reabrir el análisis de constitucionalidad ante la constatación de tres eventos excepcionales que enervan la cosa juzgada, estos son:</w:t>
      </w:r>
      <w:r w:rsidRPr="00E4401D">
        <w:rPr>
          <w:rFonts w:ascii="Times New Roman" w:hAnsi="Times New Roman" w:cs="Times New Roman"/>
          <w:sz w:val="28"/>
          <w:szCs w:val="28"/>
        </w:rPr>
        <w:t xml:space="preserve"> </w:t>
      </w:r>
      <w:r w:rsidRPr="00E4401D">
        <w:rPr>
          <w:rFonts w:ascii="Times New Roman" w:hAnsi="Times New Roman" w:cs="Times New Roman"/>
          <w:i/>
          <w:iCs/>
          <w:sz w:val="28"/>
          <w:szCs w:val="28"/>
          <w:shd w:val="clear" w:color="auto" w:fill="FFFFFF"/>
        </w:rPr>
        <w:t>(i)</w:t>
      </w:r>
      <w:r w:rsidRPr="00E4401D">
        <w:rPr>
          <w:rFonts w:ascii="Times New Roman" w:hAnsi="Times New Roman" w:cs="Times New Roman"/>
          <w:sz w:val="28"/>
          <w:szCs w:val="28"/>
          <w:shd w:val="clear" w:color="auto" w:fill="FFFFFF"/>
        </w:rPr>
        <w:t xml:space="preserve"> la modificación del parámetro de control, </w:t>
      </w:r>
      <w:r w:rsidRPr="00E4401D">
        <w:rPr>
          <w:rFonts w:ascii="Times New Roman" w:hAnsi="Times New Roman" w:cs="Times New Roman"/>
          <w:i/>
          <w:iCs/>
          <w:sz w:val="28"/>
          <w:szCs w:val="28"/>
          <w:shd w:val="clear" w:color="auto" w:fill="FFFFFF"/>
        </w:rPr>
        <w:t>(ii)</w:t>
      </w:r>
      <w:r w:rsidRPr="00E4401D">
        <w:rPr>
          <w:rFonts w:ascii="Times New Roman" w:hAnsi="Times New Roman" w:cs="Times New Roman"/>
          <w:sz w:val="28"/>
          <w:szCs w:val="28"/>
          <w:shd w:val="clear" w:color="auto" w:fill="FFFFFF"/>
        </w:rPr>
        <w:t xml:space="preserve"> el cambio en la significación material de l</w:t>
      </w:r>
      <w:r w:rsidRPr="00E4401D">
        <w:rPr>
          <w:rFonts w:ascii="Times New Roman" w:hAnsi="Times New Roman" w:cs="Times New Roman"/>
          <w:sz w:val="28"/>
          <w:szCs w:val="28"/>
          <w:shd w:val="clear" w:color="auto" w:fill="FFFFFF"/>
        </w:rPr>
        <w:t xml:space="preserve">a Constitución y </w:t>
      </w:r>
      <w:r w:rsidRPr="00E4401D">
        <w:rPr>
          <w:rFonts w:ascii="Times New Roman" w:hAnsi="Times New Roman" w:cs="Times New Roman"/>
          <w:i/>
          <w:iCs/>
          <w:sz w:val="28"/>
          <w:szCs w:val="28"/>
          <w:shd w:val="clear" w:color="auto" w:fill="FFFFFF"/>
        </w:rPr>
        <w:t>(iii)</w:t>
      </w:r>
      <w:r w:rsidRPr="00E4401D">
        <w:rPr>
          <w:rFonts w:ascii="Times New Roman" w:hAnsi="Times New Roman" w:cs="Times New Roman"/>
          <w:sz w:val="28"/>
          <w:szCs w:val="28"/>
          <w:shd w:val="clear" w:color="auto" w:fill="FFFFFF"/>
        </w:rPr>
        <w:t xml:space="preserve"> la variación del contexto normativo del objeto de control. El primer evento, se refiere a aquellos casos en los que la norma constitucional que sirvió de parámetro de control ha sido modificada, bien como resultado de una reforma con</w:t>
      </w:r>
      <w:r w:rsidRPr="00E4401D">
        <w:rPr>
          <w:rFonts w:ascii="Times New Roman" w:hAnsi="Times New Roman" w:cs="Times New Roman"/>
          <w:sz w:val="28"/>
          <w:szCs w:val="28"/>
          <w:shd w:val="clear" w:color="auto" w:fill="FFFFFF"/>
        </w:rPr>
        <w:t>stitucional, o por efecto de la incorporación de nuevas reglas al bloque de constitucionalidad. El segundo evento, cambio en la significación material de la Constitución, implica la variación del parámetro no por una modificación formal, como en el caso an</w:t>
      </w:r>
      <w:r w:rsidRPr="00E4401D">
        <w:rPr>
          <w:rFonts w:ascii="Times New Roman" w:hAnsi="Times New Roman" w:cs="Times New Roman"/>
          <w:sz w:val="28"/>
          <w:szCs w:val="28"/>
          <w:shd w:val="clear" w:color="auto" w:fill="FFFFFF"/>
        </w:rPr>
        <w:t xml:space="preserve">terior, sino por un cambio en las significaciones constitucionales que inspiraron el primer control; esta hipótesis se deriva del reconocimiento de que la Constitución es un texto vivo cuyo significado puede cambiar </w:t>
      </w:r>
      <w:r w:rsidRPr="00E4401D">
        <w:rPr>
          <w:rFonts w:ascii="Times New Roman" w:hAnsi="Times New Roman" w:cs="Times New Roman"/>
          <w:sz w:val="28"/>
          <w:szCs w:val="28"/>
        </w:rPr>
        <w:t xml:space="preserve">como resultado del </w:t>
      </w:r>
      <w:r w:rsidRPr="00E4401D">
        <w:rPr>
          <w:rFonts w:ascii="Times New Roman" w:hAnsi="Times New Roman" w:cs="Times New Roman"/>
          <w:sz w:val="28"/>
          <w:szCs w:val="28"/>
          <w:shd w:val="clear" w:color="auto" w:fill="FFFFFF"/>
        </w:rPr>
        <w:t>“</w:t>
      </w:r>
      <w:r w:rsidRPr="00E4401D">
        <w:rPr>
          <w:rFonts w:ascii="Times New Roman" w:hAnsi="Times New Roman" w:cs="Times New Roman"/>
          <w:i/>
          <w:sz w:val="28"/>
          <w:szCs w:val="28"/>
          <w:shd w:val="clear" w:color="auto" w:fill="FFFFFF"/>
        </w:rPr>
        <w:t>carácter dinámico de</w:t>
      </w:r>
      <w:r w:rsidRPr="00E4401D">
        <w:rPr>
          <w:rFonts w:ascii="Times New Roman" w:hAnsi="Times New Roman" w:cs="Times New Roman"/>
          <w:i/>
          <w:sz w:val="28"/>
          <w:szCs w:val="28"/>
          <w:shd w:val="clear" w:color="auto" w:fill="FFFFFF"/>
        </w:rPr>
        <w:t xml:space="preserve"> la Constitución, que se deriva de su relación directa con la realidad sociopolítica del país</w:t>
      </w:r>
      <w:r w:rsidRPr="00E4401D">
        <w:rPr>
          <w:rFonts w:ascii="Times New Roman" w:hAnsi="Times New Roman" w:cs="Times New Roman"/>
          <w:sz w:val="28"/>
          <w:szCs w:val="28"/>
          <w:shd w:val="clear" w:color="auto" w:fill="FFFFFF"/>
        </w:rPr>
        <w:t>”.</w:t>
      </w:r>
      <w:r w:rsidRPr="00E4401D">
        <w:rPr>
          <w:rStyle w:val="Refdenotaalpie"/>
          <w:rFonts w:ascii="Times New Roman" w:hAnsi="Times New Roman" w:cs="Times New Roman"/>
          <w:sz w:val="28"/>
          <w:szCs w:val="28"/>
          <w:shd w:val="clear" w:color="auto" w:fill="FFFFFF"/>
        </w:rPr>
        <w:footnoteReference w:id="15"/>
      </w:r>
      <w:r w:rsidRPr="00E4401D">
        <w:rPr>
          <w:rFonts w:ascii="Times New Roman" w:hAnsi="Times New Roman" w:cs="Times New Roman"/>
          <w:sz w:val="28"/>
          <w:szCs w:val="28"/>
        </w:rPr>
        <w:t xml:space="preserve"> El tercer evento, la variación del contexto normativo del objeto de control, supone que el contenido normativo previamente juzgado haya sido modificado, o que </w:t>
      </w:r>
      <w:r w:rsidRPr="00E4401D">
        <w:rPr>
          <w:rFonts w:ascii="Times New Roman" w:hAnsi="Times New Roman" w:cs="Times New Roman"/>
          <w:sz w:val="28"/>
          <w:szCs w:val="28"/>
        </w:rPr>
        <w:t>el ordenamiento en el que se inscribe haya variado de forma que incidió en el alcance de la norma originalmente juzgada.</w:t>
      </w:r>
    </w:p>
    <w:p w:rsidR="00621E9D" w:rsidRPr="00E4401D" w:rsidRDefault="00E4401D" w:rsidP="00621E9D">
      <w:pPr>
        <w:pStyle w:val="Prrafodelista"/>
        <w:ind w:left="0"/>
        <w:jc w:val="both"/>
        <w:rPr>
          <w:rFonts w:ascii="Times New Roman" w:hAnsi="Times New Roman" w:cs="Times New Roman"/>
          <w:sz w:val="28"/>
          <w:szCs w:val="28"/>
        </w:rPr>
      </w:pPr>
    </w:p>
    <w:p w:rsidR="004542D6" w:rsidRPr="00E4401D" w:rsidRDefault="00E4401D" w:rsidP="00C0650A">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Es importante destacar que el impacto de la cosa juzgada varía según la decisión previamente tomada. Si la decisión fue de inexequibil</w:t>
      </w:r>
      <w:r w:rsidRPr="00E4401D">
        <w:rPr>
          <w:rFonts w:ascii="Times New Roman" w:hAnsi="Times New Roman" w:cs="Times New Roman"/>
          <w:sz w:val="28"/>
          <w:szCs w:val="28"/>
        </w:rPr>
        <w:t>idad, la Corte tendrá que rechazar la demanda o estarse a lo resuelto en la sentencia que decidió la inexequibilidad, dado que no existe un asunto a revisar.</w:t>
      </w:r>
      <w:r w:rsidRPr="00E4401D">
        <w:rPr>
          <w:rStyle w:val="Refdenotaalpie"/>
          <w:rFonts w:ascii="Times New Roman" w:hAnsi="Times New Roman" w:cs="Times New Roman"/>
          <w:sz w:val="28"/>
          <w:szCs w:val="28"/>
        </w:rPr>
        <w:footnoteReference w:id="16"/>
      </w:r>
      <w:r w:rsidRPr="00E4401D">
        <w:rPr>
          <w:rFonts w:ascii="Times New Roman" w:hAnsi="Times New Roman" w:cs="Times New Roman"/>
          <w:sz w:val="28"/>
          <w:szCs w:val="28"/>
        </w:rPr>
        <w:t xml:space="preserve"> A continuación, se resumen los efectos de las decisiones dependiendo de</w:t>
      </w:r>
      <w:r w:rsidRPr="00E4401D">
        <w:rPr>
          <w:rFonts w:ascii="Times New Roman" w:hAnsi="Times New Roman" w:cs="Times New Roman"/>
          <w:sz w:val="28"/>
          <w:szCs w:val="28"/>
        </w:rPr>
        <w:t xml:space="preserve"> la categoría </w:t>
      </w:r>
      <w:r w:rsidRPr="00E4401D">
        <w:rPr>
          <w:rFonts w:ascii="Times New Roman" w:hAnsi="Times New Roman" w:cs="Times New Roman"/>
          <w:sz w:val="28"/>
          <w:szCs w:val="28"/>
        </w:rPr>
        <w:t>de cosa juzg</w:t>
      </w:r>
      <w:r w:rsidRPr="00E4401D">
        <w:rPr>
          <w:rFonts w:ascii="Times New Roman" w:hAnsi="Times New Roman" w:cs="Times New Roman"/>
          <w:sz w:val="28"/>
          <w:szCs w:val="28"/>
        </w:rPr>
        <w:t>ada</w:t>
      </w:r>
      <w:r w:rsidRPr="00E4401D">
        <w:rPr>
          <w:rStyle w:val="Refdenotaalpie"/>
          <w:rFonts w:ascii="Times New Roman" w:hAnsi="Times New Roman" w:cs="Times New Roman"/>
          <w:sz w:val="28"/>
          <w:szCs w:val="28"/>
        </w:rPr>
        <w:footnoteReference w:id="17"/>
      </w:r>
      <w:r w:rsidRPr="00E4401D">
        <w:rPr>
          <w:rFonts w:ascii="Times New Roman" w:hAnsi="Times New Roman" w:cs="Times New Roman"/>
          <w:sz w:val="28"/>
          <w:szCs w:val="28"/>
        </w:rPr>
        <w:t>:</w:t>
      </w:r>
    </w:p>
    <w:p w:rsidR="00C0650A" w:rsidRPr="00E4401D" w:rsidRDefault="00E4401D" w:rsidP="00C0650A">
      <w:pPr>
        <w:pStyle w:val="Prrafodelista"/>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1894"/>
        <w:gridCol w:w="6936"/>
      </w:tblGrid>
      <w:tr w:rsidR="00C0650A" w:rsidRPr="00E4401D" w:rsidTr="00C0650A">
        <w:tc>
          <w:tcPr>
            <w:tcW w:w="1980" w:type="dxa"/>
            <w:vAlign w:val="center"/>
          </w:tcPr>
          <w:p w:rsidR="00C0650A" w:rsidRPr="00E4401D" w:rsidRDefault="00E4401D" w:rsidP="00C0650A">
            <w:pPr>
              <w:pStyle w:val="Prrafodelista"/>
              <w:ind w:left="0"/>
              <w:jc w:val="center"/>
              <w:rPr>
                <w:rFonts w:ascii="Times New Roman" w:hAnsi="Times New Roman" w:cs="Times New Roman"/>
                <w:b/>
                <w:bCs/>
                <w:sz w:val="28"/>
                <w:szCs w:val="28"/>
              </w:rPr>
            </w:pPr>
            <w:r w:rsidRPr="00E4401D">
              <w:rPr>
                <w:rFonts w:ascii="Times New Roman" w:hAnsi="Times New Roman" w:cs="Times New Roman"/>
                <w:b/>
                <w:bCs/>
                <w:sz w:val="28"/>
                <w:szCs w:val="28"/>
              </w:rPr>
              <w:t>Tipología</w:t>
            </w:r>
          </w:p>
        </w:tc>
        <w:tc>
          <w:tcPr>
            <w:tcW w:w="7700" w:type="dxa"/>
          </w:tcPr>
          <w:p w:rsidR="00C0650A" w:rsidRPr="00E4401D" w:rsidRDefault="00E4401D" w:rsidP="00C0650A">
            <w:pPr>
              <w:pStyle w:val="Prrafodelista"/>
              <w:ind w:left="0"/>
              <w:jc w:val="center"/>
              <w:rPr>
                <w:rFonts w:ascii="Times New Roman" w:hAnsi="Times New Roman" w:cs="Times New Roman"/>
                <w:b/>
                <w:bCs/>
                <w:sz w:val="28"/>
                <w:szCs w:val="28"/>
              </w:rPr>
            </w:pPr>
            <w:r w:rsidRPr="00E4401D">
              <w:rPr>
                <w:rFonts w:ascii="Times New Roman" w:hAnsi="Times New Roman" w:cs="Times New Roman"/>
                <w:b/>
                <w:bCs/>
                <w:sz w:val="28"/>
                <w:szCs w:val="28"/>
              </w:rPr>
              <w:t>Consecuencias en los procesos que se encuentren en curso</w:t>
            </w:r>
          </w:p>
        </w:tc>
      </w:tr>
      <w:tr w:rsidR="00C0650A" w:rsidRPr="00E4401D" w:rsidTr="00C0650A">
        <w:trPr>
          <w:trHeight w:val="252"/>
        </w:trPr>
        <w:tc>
          <w:tcPr>
            <w:tcW w:w="1980" w:type="dxa"/>
            <w:vMerge w:val="restart"/>
            <w:vAlign w:val="center"/>
          </w:tcPr>
          <w:p w:rsidR="00C0650A" w:rsidRPr="00E4401D" w:rsidRDefault="00E4401D" w:rsidP="00C0650A">
            <w:pPr>
              <w:pStyle w:val="Prrafodelista"/>
              <w:ind w:left="0"/>
              <w:jc w:val="center"/>
              <w:rPr>
                <w:rFonts w:ascii="Times New Roman" w:hAnsi="Times New Roman" w:cs="Times New Roman"/>
                <w:sz w:val="28"/>
                <w:szCs w:val="28"/>
              </w:rPr>
            </w:pPr>
            <w:r w:rsidRPr="00E4401D">
              <w:rPr>
                <w:rFonts w:ascii="Times New Roman" w:hAnsi="Times New Roman" w:cs="Times New Roman"/>
                <w:sz w:val="28"/>
                <w:szCs w:val="28"/>
              </w:rPr>
              <w:t>Cosa juzgada formal</w:t>
            </w:r>
          </w:p>
        </w:tc>
        <w:tc>
          <w:tcPr>
            <w:tcW w:w="7700" w:type="dxa"/>
          </w:tcPr>
          <w:p w:rsidR="00C0650A" w:rsidRPr="00E4401D" w:rsidRDefault="00E4401D" w:rsidP="00C0650A">
            <w:pPr>
              <w:pStyle w:val="Prrafodelista"/>
              <w:ind w:left="0"/>
              <w:jc w:val="both"/>
              <w:rPr>
                <w:rFonts w:ascii="Times New Roman" w:hAnsi="Times New Roman" w:cs="Times New Roman"/>
                <w:sz w:val="28"/>
                <w:szCs w:val="28"/>
              </w:rPr>
            </w:pPr>
            <w:r w:rsidRPr="00E4401D">
              <w:rPr>
                <w:rFonts w:ascii="Times New Roman" w:hAnsi="Times New Roman" w:cs="Times New Roman"/>
                <w:i/>
                <w:iCs/>
                <w:sz w:val="28"/>
                <w:szCs w:val="28"/>
              </w:rPr>
              <w:t>Decisión previa de exequibilidad.</w:t>
            </w:r>
            <w:r w:rsidRPr="00E4401D">
              <w:rPr>
                <w:rFonts w:ascii="Times New Roman" w:hAnsi="Times New Roman" w:cs="Times New Roman"/>
                <w:sz w:val="28"/>
                <w:szCs w:val="28"/>
              </w:rPr>
              <w:t xml:space="preserve"> La Corte debe estarse a lo resuelto en la sentencia previa que declaró la exequibilidad</w:t>
            </w:r>
            <w:r w:rsidRPr="00E4401D">
              <w:rPr>
                <w:rFonts w:ascii="Times New Roman" w:hAnsi="Times New Roman" w:cs="Times New Roman"/>
                <w:sz w:val="28"/>
                <w:szCs w:val="28"/>
              </w:rPr>
              <w:t xml:space="preserve"> de la misma disposición, salvo que existan razones que debiliten la cosa juzgada.</w:t>
            </w:r>
          </w:p>
        </w:tc>
      </w:tr>
      <w:tr w:rsidR="00C0650A" w:rsidRPr="00E4401D" w:rsidTr="00C0650A">
        <w:trPr>
          <w:trHeight w:val="252"/>
        </w:trPr>
        <w:tc>
          <w:tcPr>
            <w:tcW w:w="1980" w:type="dxa"/>
            <w:vMerge/>
            <w:vAlign w:val="center"/>
          </w:tcPr>
          <w:p w:rsidR="00C0650A" w:rsidRPr="00E4401D" w:rsidRDefault="00E4401D" w:rsidP="00C0650A">
            <w:pPr>
              <w:pStyle w:val="Prrafodelista"/>
              <w:ind w:left="0"/>
              <w:jc w:val="center"/>
              <w:rPr>
                <w:rFonts w:ascii="Times New Roman" w:hAnsi="Times New Roman" w:cs="Times New Roman"/>
                <w:sz w:val="28"/>
                <w:szCs w:val="28"/>
              </w:rPr>
            </w:pPr>
          </w:p>
        </w:tc>
        <w:tc>
          <w:tcPr>
            <w:tcW w:w="7700" w:type="dxa"/>
          </w:tcPr>
          <w:p w:rsidR="00C0650A" w:rsidRPr="00E4401D" w:rsidRDefault="00E4401D" w:rsidP="00C0650A">
            <w:pPr>
              <w:pStyle w:val="Prrafodelista"/>
              <w:ind w:left="0"/>
              <w:jc w:val="both"/>
              <w:rPr>
                <w:rFonts w:ascii="Times New Roman" w:hAnsi="Times New Roman" w:cs="Times New Roman"/>
                <w:sz w:val="28"/>
                <w:szCs w:val="28"/>
              </w:rPr>
            </w:pPr>
            <w:r w:rsidRPr="00E4401D">
              <w:rPr>
                <w:rFonts w:ascii="Times New Roman" w:hAnsi="Times New Roman" w:cs="Times New Roman"/>
                <w:i/>
                <w:iCs/>
                <w:sz w:val="28"/>
                <w:szCs w:val="28"/>
              </w:rPr>
              <w:t>Decisión previa de inexequibilidad.</w:t>
            </w:r>
            <w:r w:rsidRPr="00E4401D">
              <w:rPr>
                <w:rFonts w:ascii="Times New Roman" w:hAnsi="Times New Roman" w:cs="Times New Roman"/>
                <w:sz w:val="28"/>
                <w:szCs w:val="28"/>
              </w:rPr>
              <w:t xml:space="preserve"> La Corte debe estarse a lo resuelto en la sentencia previa que declaró la inexequibilidad de la misma disposición.</w:t>
            </w:r>
          </w:p>
        </w:tc>
      </w:tr>
      <w:tr w:rsidR="00C0650A" w:rsidRPr="00E4401D" w:rsidTr="00C0650A">
        <w:trPr>
          <w:trHeight w:val="252"/>
        </w:trPr>
        <w:tc>
          <w:tcPr>
            <w:tcW w:w="1980" w:type="dxa"/>
            <w:vMerge w:val="restart"/>
            <w:vAlign w:val="center"/>
          </w:tcPr>
          <w:p w:rsidR="00C0650A" w:rsidRPr="00E4401D" w:rsidRDefault="00E4401D" w:rsidP="00C0650A">
            <w:pPr>
              <w:pStyle w:val="Prrafodelista"/>
              <w:ind w:left="0"/>
              <w:jc w:val="center"/>
              <w:rPr>
                <w:rFonts w:ascii="Times New Roman" w:hAnsi="Times New Roman" w:cs="Times New Roman"/>
                <w:sz w:val="28"/>
                <w:szCs w:val="28"/>
              </w:rPr>
            </w:pPr>
            <w:r w:rsidRPr="00E4401D">
              <w:rPr>
                <w:rFonts w:ascii="Times New Roman" w:hAnsi="Times New Roman" w:cs="Times New Roman"/>
                <w:sz w:val="28"/>
                <w:szCs w:val="28"/>
              </w:rPr>
              <w:t xml:space="preserve">Cosa juzgada </w:t>
            </w:r>
            <w:r w:rsidRPr="00E4401D">
              <w:rPr>
                <w:rFonts w:ascii="Times New Roman" w:hAnsi="Times New Roman" w:cs="Times New Roman"/>
                <w:sz w:val="28"/>
                <w:szCs w:val="28"/>
              </w:rPr>
              <w:t>material</w:t>
            </w:r>
          </w:p>
        </w:tc>
        <w:tc>
          <w:tcPr>
            <w:tcW w:w="7700" w:type="dxa"/>
          </w:tcPr>
          <w:p w:rsidR="00C0650A" w:rsidRPr="00E4401D" w:rsidRDefault="00E4401D" w:rsidP="00C0650A">
            <w:pPr>
              <w:pStyle w:val="Prrafodelista"/>
              <w:ind w:left="0"/>
              <w:jc w:val="both"/>
              <w:rPr>
                <w:rFonts w:ascii="Times New Roman" w:hAnsi="Times New Roman" w:cs="Times New Roman"/>
                <w:sz w:val="28"/>
                <w:szCs w:val="28"/>
              </w:rPr>
            </w:pPr>
            <w:r w:rsidRPr="00E4401D">
              <w:rPr>
                <w:rFonts w:ascii="Times New Roman" w:hAnsi="Times New Roman" w:cs="Times New Roman"/>
                <w:i/>
                <w:iCs/>
                <w:sz w:val="28"/>
                <w:szCs w:val="28"/>
              </w:rPr>
              <w:t>Decisión previa de exequibilidad.</w:t>
            </w:r>
            <w:r w:rsidRPr="00E4401D">
              <w:rPr>
                <w:rFonts w:ascii="Times New Roman" w:hAnsi="Times New Roman" w:cs="Times New Roman"/>
                <w:sz w:val="28"/>
                <w:szCs w:val="28"/>
              </w:rPr>
              <w:t xml:space="preserve"> La Corte debe estarse a lo resuelto en la decisión previa que declaró la exequibilidad del mismo contenido normativo y, por consiguiente, declarar exequible la disposición ahora controlada, salvo que existan razon</w:t>
            </w:r>
            <w:r w:rsidRPr="00E4401D">
              <w:rPr>
                <w:rFonts w:ascii="Times New Roman" w:hAnsi="Times New Roman" w:cs="Times New Roman"/>
                <w:sz w:val="28"/>
                <w:szCs w:val="28"/>
              </w:rPr>
              <w:t>es que debiliten la cosa juzgada.</w:t>
            </w:r>
          </w:p>
        </w:tc>
      </w:tr>
      <w:tr w:rsidR="00C0650A" w:rsidRPr="00E4401D" w:rsidTr="00C0650A">
        <w:trPr>
          <w:trHeight w:val="252"/>
        </w:trPr>
        <w:tc>
          <w:tcPr>
            <w:tcW w:w="1980" w:type="dxa"/>
            <w:vMerge/>
            <w:vAlign w:val="center"/>
          </w:tcPr>
          <w:p w:rsidR="00C0650A" w:rsidRPr="00E4401D" w:rsidRDefault="00E4401D" w:rsidP="00C0650A">
            <w:pPr>
              <w:pStyle w:val="Prrafodelista"/>
              <w:ind w:left="0"/>
              <w:jc w:val="center"/>
              <w:rPr>
                <w:rFonts w:ascii="Times New Roman" w:hAnsi="Times New Roman" w:cs="Times New Roman"/>
                <w:sz w:val="28"/>
                <w:szCs w:val="28"/>
              </w:rPr>
            </w:pPr>
          </w:p>
        </w:tc>
        <w:tc>
          <w:tcPr>
            <w:tcW w:w="7700" w:type="dxa"/>
          </w:tcPr>
          <w:p w:rsidR="00C0650A" w:rsidRPr="00E4401D" w:rsidRDefault="00E4401D" w:rsidP="00C0650A">
            <w:pPr>
              <w:pStyle w:val="Prrafodelista"/>
              <w:ind w:left="0"/>
              <w:jc w:val="both"/>
              <w:rPr>
                <w:rFonts w:ascii="Times New Roman" w:hAnsi="Times New Roman" w:cs="Times New Roman"/>
                <w:sz w:val="28"/>
                <w:szCs w:val="28"/>
              </w:rPr>
            </w:pPr>
            <w:r w:rsidRPr="00E4401D">
              <w:rPr>
                <w:rFonts w:ascii="Times New Roman" w:hAnsi="Times New Roman" w:cs="Times New Roman"/>
                <w:i/>
                <w:iCs/>
                <w:sz w:val="28"/>
                <w:szCs w:val="28"/>
              </w:rPr>
              <w:t>Decisión previa de inexequibilidad.</w:t>
            </w:r>
            <w:r w:rsidRPr="00E4401D">
              <w:rPr>
                <w:rFonts w:ascii="Times New Roman" w:hAnsi="Times New Roman" w:cs="Times New Roman"/>
                <w:sz w:val="28"/>
                <w:szCs w:val="28"/>
              </w:rPr>
              <w:t xml:space="preserve"> La Corte debe estarse a lo resuelto en la sentencia previa que declaró la inexequibilidad del mismo contenido normativo y, por lo tanto, declarar inexequible la disposición ahora contr</w:t>
            </w:r>
            <w:r w:rsidRPr="00E4401D">
              <w:rPr>
                <w:rFonts w:ascii="Times New Roman" w:hAnsi="Times New Roman" w:cs="Times New Roman"/>
                <w:sz w:val="28"/>
                <w:szCs w:val="28"/>
              </w:rPr>
              <w:t>olada, en virtud de lo dispuesto en el artículo 243 de la Constitución.</w:t>
            </w:r>
          </w:p>
        </w:tc>
      </w:tr>
      <w:tr w:rsidR="00C0650A" w:rsidRPr="00E4401D" w:rsidTr="00C0650A">
        <w:tc>
          <w:tcPr>
            <w:tcW w:w="1980" w:type="dxa"/>
            <w:vAlign w:val="center"/>
          </w:tcPr>
          <w:p w:rsidR="00C0650A" w:rsidRPr="00E4401D" w:rsidRDefault="00E4401D" w:rsidP="00C0650A">
            <w:pPr>
              <w:pStyle w:val="Prrafodelista"/>
              <w:ind w:left="0"/>
              <w:jc w:val="center"/>
              <w:rPr>
                <w:rFonts w:ascii="Times New Roman" w:hAnsi="Times New Roman" w:cs="Times New Roman"/>
                <w:sz w:val="28"/>
                <w:szCs w:val="28"/>
              </w:rPr>
            </w:pPr>
            <w:r w:rsidRPr="00E4401D">
              <w:rPr>
                <w:rFonts w:ascii="Times New Roman" w:hAnsi="Times New Roman" w:cs="Times New Roman"/>
                <w:sz w:val="28"/>
                <w:szCs w:val="28"/>
              </w:rPr>
              <w:t>Cosa juzgada absoluta</w:t>
            </w:r>
          </w:p>
        </w:tc>
        <w:tc>
          <w:tcPr>
            <w:tcW w:w="7700" w:type="dxa"/>
          </w:tcPr>
          <w:p w:rsidR="00C0650A" w:rsidRPr="00E4401D" w:rsidRDefault="00E4401D" w:rsidP="00C0650A">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La Corte debe estarse a lo resuelto en la sentencia previa.</w:t>
            </w:r>
          </w:p>
        </w:tc>
      </w:tr>
      <w:tr w:rsidR="00C0650A" w:rsidRPr="00E4401D" w:rsidTr="00C0650A">
        <w:tc>
          <w:tcPr>
            <w:tcW w:w="1980" w:type="dxa"/>
            <w:vAlign w:val="center"/>
          </w:tcPr>
          <w:p w:rsidR="00C0650A" w:rsidRPr="00E4401D" w:rsidRDefault="00E4401D" w:rsidP="00C0650A">
            <w:pPr>
              <w:pStyle w:val="Prrafodelista"/>
              <w:ind w:left="0"/>
              <w:jc w:val="center"/>
              <w:rPr>
                <w:rFonts w:ascii="Times New Roman" w:hAnsi="Times New Roman" w:cs="Times New Roman"/>
                <w:sz w:val="28"/>
                <w:szCs w:val="28"/>
              </w:rPr>
            </w:pPr>
            <w:r w:rsidRPr="00E4401D">
              <w:rPr>
                <w:rFonts w:ascii="Times New Roman" w:hAnsi="Times New Roman" w:cs="Times New Roman"/>
                <w:sz w:val="28"/>
                <w:szCs w:val="28"/>
              </w:rPr>
              <w:t>Cosa juzgada relativa</w:t>
            </w:r>
          </w:p>
        </w:tc>
        <w:tc>
          <w:tcPr>
            <w:tcW w:w="7700" w:type="dxa"/>
          </w:tcPr>
          <w:p w:rsidR="00C0650A" w:rsidRPr="00E4401D" w:rsidRDefault="00E4401D" w:rsidP="00C0650A">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Es posible un nuevo pronunciamiento sobre la disposición únicamente por cargos</w:t>
            </w:r>
            <w:r w:rsidRPr="00E4401D">
              <w:rPr>
                <w:rFonts w:ascii="Times New Roman" w:hAnsi="Times New Roman" w:cs="Times New Roman"/>
                <w:sz w:val="28"/>
                <w:szCs w:val="28"/>
              </w:rPr>
              <w:t xml:space="preserve"> nuevos.</w:t>
            </w:r>
          </w:p>
        </w:tc>
      </w:tr>
      <w:tr w:rsidR="00C0650A" w:rsidRPr="00E4401D" w:rsidTr="00C0650A">
        <w:tc>
          <w:tcPr>
            <w:tcW w:w="1980" w:type="dxa"/>
            <w:vAlign w:val="center"/>
          </w:tcPr>
          <w:p w:rsidR="00C0650A" w:rsidRPr="00E4401D" w:rsidRDefault="00E4401D" w:rsidP="00C0650A">
            <w:pPr>
              <w:pStyle w:val="Prrafodelista"/>
              <w:ind w:left="0"/>
              <w:jc w:val="center"/>
              <w:rPr>
                <w:rFonts w:ascii="Times New Roman" w:hAnsi="Times New Roman" w:cs="Times New Roman"/>
                <w:sz w:val="28"/>
                <w:szCs w:val="28"/>
              </w:rPr>
            </w:pPr>
            <w:r w:rsidRPr="00E4401D">
              <w:rPr>
                <w:rFonts w:ascii="Times New Roman" w:hAnsi="Times New Roman" w:cs="Times New Roman"/>
                <w:sz w:val="28"/>
                <w:szCs w:val="28"/>
              </w:rPr>
              <w:t>Cosa juzgada aparente</w:t>
            </w:r>
          </w:p>
        </w:tc>
        <w:tc>
          <w:tcPr>
            <w:tcW w:w="7700" w:type="dxa"/>
          </w:tcPr>
          <w:p w:rsidR="00C0650A" w:rsidRPr="00E4401D" w:rsidRDefault="00E4401D" w:rsidP="00C0650A">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Es posible un nuevo pronunciamiento sobre la disposición.</w:t>
            </w:r>
          </w:p>
        </w:tc>
      </w:tr>
    </w:tbl>
    <w:p w:rsidR="00C0650A" w:rsidRPr="00E4401D" w:rsidRDefault="00E4401D" w:rsidP="008A3C27">
      <w:pPr>
        <w:rPr>
          <w:rFonts w:ascii="Times New Roman" w:hAnsi="Times New Roman" w:cs="Times New Roman"/>
          <w:sz w:val="28"/>
          <w:szCs w:val="28"/>
        </w:rPr>
      </w:pPr>
    </w:p>
    <w:p w:rsidR="004542D6" w:rsidRPr="00E4401D" w:rsidRDefault="00E4401D" w:rsidP="00BE66DF">
      <w:pPr>
        <w:pStyle w:val="Ttulo3"/>
        <w:rPr>
          <w:rFonts w:ascii="Times New Roman" w:hAnsi="Times New Roman" w:cs="Times New Roman"/>
          <w:b/>
          <w:bCs/>
          <w:i/>
          <w:iCs/>
          <w:color w:val="auto"/>
          <w:sz w:val="28"/>
          <w:szCs w:val="28"/>
        </w:rPr>
      </w:pPr>
      <w:r w:rsidRPr="00E4401D">
        <w:rPr>
          <w:rFonts w:ascii="Times New Roman" w:hAnsi="Times New Roman" w:cs="Times New Roman"/>
          <w:b/>
          <w:bCs/>
          <w:i/>
          <w:iCs/>
          <w:color w:val="auto"/>
          <w:sz w:val="28"/>
          <w:szCs w:val="28"/>
        </w:rPr>
        <w:t>Análisis del caso concreto</w:t>
      </w:r>
    </w:p>
    <w:p w:rsidR="004542D6" w:rsidRPr="00E4401D" w:rsidRDefault="00E4401D" w:rsidP="004542D6">
      <w:pPr>
        <w:pStyle w:val="Prrafodelista"/>
        <w:rPr>
          <w:rFonts w:ascii="Times New Roman" w:hAnsi="Times New Roman" w:cs="Times New Roman"/>
          <w:sz w:val="28"/>
          <w:szCs w:val="28"/>
        </w:rPr>
      </w:pPr>
    </w:p>
    <w:p w:rsidR="00830DBB" w:rsidRPr="00E4401D" w:rsidRDefault="00E4401D" w:rsidP="00830DBB">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En primer lugar, </w:t>
      </w:r>
      <w:r w:rsidRPr="00E4401D">
        <w:rPr>
          <w:rFonts w:ascii="Times New Roman" w:hAnsi="Times New Roman" w:cs="Times New Roman"/>
          <w:sz w:val="28"/>
          <w:szCs w:val="28"/>
        </w:rPr>
        <w:t>para atender</w:t>
      </w:r>
      <w:r w:rsidRPr="00E4401D">
        <w:rPr>
          <w:rFonts w:ascii="Times New Roman" w:hAnsi="Times New Roman" w:cs="Times New Roman"/>
          <w:sz w:val="28"/>
          <w:szCs w:val="28"/>
        </w:rPr>
        <w:t xml:space="preserve"> la solicitud</w:t>
      </w:r>
      <w:r w:rsidRPr="00E4401D">
        <w:rPr>
          <w:rFonts w:ascii="Times New Roman" w:hAnsi="Times New Roman" w:cs="Times New Roman"/>
          <w:sz w:val="28"/>
          <w:szCs w:val="28"/>
        </w:rPr>
        <w:t xml:space="preserve"> elevada por</w:t>
      </w:r>
      <w:r w:rsidRPr="00E4401D">
        <w:rPr>
          <w:rFonts w:ascii="Times New Roman" w:hAnsi="Times New Roman" w:cs="Times New Roman"/>
          <w:sz w:val="28"/>
          <w:szCs w:val="28"/>
        </w:rPr>
        <w:t xml:space="preserve"> la Procuradora General de la Nación la Sala </w:t>
      </w:r>
      <w:r w:rsidRPr="00E4401D">
        <w:rPr>
          <w:rFonts w:ascii="Times New Roman" w:hAnsi="Times New Roman" w:cs="Times New Roman"/>
          <w:sz w:val="28"/>
          <w:szCs w:val="28"/>
        </w:rPr>
        <w:t xml:space="preserve">verifica que </w:t>
      </w:r>
      <w:r w:rsidRPr="00E4401D">
        <w:rPr>
          <w:rFonts w:ascii="Times New Roman" w:hAnsi="Times New Roman" w:cs="Times New Roman"/>
          <w:sz w:val="28"/>
          <w:szCs w:val="28"/>
          <w:shd w:val="clear" w:color="auto" w:fill="FFFFFF"/>
        </w:rPr>
        <w:t>s</w:t>
      </w:r>
      <w:r w:rsidRPr="00E4401D">
        <w:rPr>
          <w:rFonts w:ascii="Times New Roman" w:hAnsi="Times New Roman" w:cs="Times New Roman"/>
          <w:sz w:val="28"/>
          <w:szCs w:val="28"/>
        </w:rPr>
        <w:t xml:space="preserve">egún el sistema de consulta de la Corte Constitucional, </w:t>
      </w:r>
      <w:r w:rsidRPr="00E4401D">
        <w:rPr>
          <w:rFonts w:ascii="Times New Roman" w:hAnsi="Times New Roman" w:cs="Times New Roman"/>
          <w:sz w:val="28"/>
          <w:szCs w:val="28"/>
        </w:rPr>
        <w:t xml:space="preserve">es cierto que </w:t>
      </w:r>
      <w:r w:rsidRPr="00E4401D">
        <w:rPr>
          <w:rFonts w:ascii="Times New Roman" w:hAnsi="Times New Roman" w:cs="Times New Roman"/>
          <w:sz w:val="28"/>
          <w:szCs w:val="28"/>
        </w:rPr>
        <w:t xml:space="preserve">dentro </w:t>
      </w:r>
      <w:r w:rsidRPr="00E4401D">
        <w:rPr>
          <w:rFonts w:ascii="Times New Roman" w:hAnsi="Times New Roman" w:cs="Times New Roman"/>
          <w:sz w:val="28"/>
          <w:szCs w:val="28"/>
        </w:rPr>
        <w:t>d</w:t>
      </w:r>
      <w:r w:rsidRPr="00E4401D">
        <w:rPr>
          <w:rFonts w:ascii="Times New Roman" w:hAnsi="Times New Roman" w:cs="Times New Roman"/>
          <w:sz w:val="28"/>
          <w:szCs w:val="28"/>
        </w:rPr>
        <w:t xml:space="preserve">el expediente D-15380 cursa otra demanda de inconstitucionalidad </w:t>
      </w:r>
      <w:r w:rsidRPr="00E4401D">
        <w:rPr>
          <w:rFonts w:ascii="Times New Roman" w:hAnsi="Times New Roman" w:cs="Times New Roman"/>
          <w:sz w:val="28"/>
          <w:szCs w:val="28"/>
        </w:rPr>
        <w:t xml:space="preserve">con el mismo objeto que el presente </w:t>
      </w:r>
      <w:r w:rsidRPr="00E4401D">
        <w:rPr>
          <w:rFonts w:ascii="Times New Roman" w:hAnsi="Times New Roman" w:cs="Times New Roman"/>
          <w:i/>
          <w:iCs/>
          <w:sz w:val="28"/>
          <w:szCs w:val="28"/>
        </w:rPr>
        <w:t>sub lite</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sin embargo</w:t>
      </w:r>
      <w:r w:rsidRPr="00E4401D">
        <w:rPr>
          <w:rFonts w:ascii="Times New Roman" w:hAnsi="Times New Roman" w:cs="Times New Roman"/>
          <w:sz w:val="28"/>
          <w:szCs w:val="28"/>
        </w:rPr>
        <w:t xml:space="preserve"> e</w:t>
      </w:r>
      <w:r w:rsidRPr="00E4401D">
        <w:rPr>
          <w:rFonts w:ascii="Times New Roman" w:hAnsi="Times New Roman" w:cs="Times New Roman"/>
          <w:sz w:val="28"/>
          <w:szCs w:val="28"/>
        </w:rPr>
        <w:t xml:space="preserve">n </w:t>
      </w:r>
      <w:r w:rsidRPr="00E4401D">
        <w:rPr>
          <w:rFonts w:ascii="Times New Roman" w:hAnsi="Times New Roman" w:cs="Times New Roman"/>
          <w:sz w:val="28"/>
          <w:szCs w:val="28"/>
        </w:rPr>
        <w:t>este</w:t>
      </w:r>
      <w:r w:rsidRPr="00E4401D">
        <w:rPr>
          <w:rFonts w:ascii="Times New Roman" w:hAnsi="Times New Roman" w:cs="Times New Roman"/>
          <w:sz w:val="28"/>
          <w:szCs w:val="28"/>
        </w:rPr>
        <w:t xml:space="preserve"> proceso </w:t>
      </w:r>
      <w:r w:rsidRPr="00E4401D">
        <w:rPr>
          <w:rFonts w:ascii="Times New Roman" w:hAnsi="Times New Roman" w:cs="Times New Roman"/>
          <w:sz w:val="28"/>
          <w:szCs w:val="28"/>
        </w:rPr>
        <w:t xml:space="preserve">no </w:t>
      </w:r>
      <w:r w:rsidRPr="00E4401D">
        <w:rPr>
          <w:rFonts w:ascii="Times New Roman" w:hAnsi="Times New Roman" w:cs="Times New Roman"/>
          <w:sz w:val="28"/>
          <w:szCs w:val="28"/>
        </w:rPr>
        <w:t>se ha proferido sentencia</w:t>
      </w:r>
      <w:r w:rsidRPr="00E4401D">
        <w:rPr>
          <w:rFonts w:ascii="Times New Roman" w:hAnsi="Times New Roman" w:cs="Times New Roman"/>
          <w:sz w:val="28"/>
          <w:szCs w:val="28"/>
        </w:rPr>
        <w:t>, de modo qu</w:t>
      </w:r>
      <w:r w:rsidRPr="00E4401D">
        <w:rPr>
          <w:rFonts w:ascii="Times New Roman" w:hAnsi="Times New Roman" w:cs="Times New Roman"/>
          <w:sz w:val="28"/>
          <w:szCs w:val="28"/>
        </w:rPr>
        <w:t>e no se configura la cosa juzgada</w:t>
      </w:r>
      <w:r w:rsidRPr="00E4401D">
        <w:rPr>
          <w:rFonts w:ascii="Times New Roman" w:hAnsi="Times New Roman" w:cs="Times New Roman"/>
          <w:sz w:val="28"/>
          <w:szCs w:val="28"/>
        </w:rPr>
        <w:t xml:space="preserve"> por esa razón.</w:t>
      </w:r>
    </w:p>
    <w:p w:rsidR="00655AA0" w:rsidRPr="00E4401D" w:rsidRDefault="00E4401D" w:rsidP="0057633A">
      <w:pPr>
        <w:pStyle w:val="Prrafodelista"/>
        <w:ind w:left="0"/>
        <w:jc w:val="both"/>
        <w:rPr>
          <w:rFonts w:ascii="Times New Roman" w:hAnsi="Times New Roman" w:cs="Times New Roman"/>
          <w:sz w:val="28"/>
          <w:szCs w:val="28"/>
        </w:rPr>
      </w:pPr>
    </w:p>
    <w:p w:rsidR="00762B12" w:rsidRPr="00E4401D" w:rsidRDefault="00E4401D" w:rsidP="00621E9D">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Por otra parte, </w:t>
      </w:r>
      <w:r w:rsidRPr="00E4401D">
        <w:rPr>
          <w:rFonts w:ascii="Times New Roman" w:hAnsi="Times New Roman" w:cs="Times New Roman"/>
          <w:sz w:val="28"/>
          <w:szCs w:val="28"/>
        </w:rPr>
        <w:t>se</w:t>
      </w:r>
      <w:r w:rsidRPr="00E4401D">
        <w:rPr>
          <w:rFonts w:ascii="Times New Roman" w:hAnsi="Times New Roman" w:cs="Times New Roman"/>
          <w:sz w:val="28"/>
          <w:szCs w:val="28"/>
        </w:rPr>
        <w:t xml:space="preserve"> constata que</w:t>
      </w:r>
      <w:r w:rsidRPr="00E4401D">
        <w:rPr>
          <w:rFonts w:ascii="Times New Roman" w:hAnsi="Times New Roman" w:cs="Times New Roman"/>
          <w:sz w:val="28"/>
          <w:szCs w:val="28"/>
        </w:rPr>
        <w:t xml:space="preserve"> en</w:t>
      </w:r>
      <w:r w:rsidRPr="00E4401D">
        <w:rPr>
          <w:rFonts w:ascii="Times New Roman" w:hAnsi="Times New Roman" w:cs="Times New Roman"/>
          <w:sz w:val="28"/>
          <w:szCs w:val="28"/>
        </w:rPr>
        <w:t xml:space="preserve"> la Sentencia C-</w:t>
      </w:r>
      <w:r w:rsidRPr="00E4401D">
        <w:rPr>
          <w:rFonts w:ascii="Times New Roman" w:hAnsi="Times New Roman" w:cs="Times New Roman"/>
          <w:sz w:val="28"/>
          <w:szCs w:val="28"/>
        </w:rPr>
        <w:t>2</w:t>
      </w:r>
      <w:r w:rsidRPr="00E4401D">
        <w:rPr>
          <w:rFonts w:ascii="Times New Roman" w:hAnsi="Times New Roman" w:cs="Times New Roman"/>
          <w:sz w:val="28"/>
          <w:szCs w:val="28"/>
        </w:rPr>
        <w:t>9</w:t>
      </w:r>
      <w:r w:rsidRPr="00E4401D">
        <w:rPr>
          <w:rFonts w:ascii="Times New Roman" w:hAnsi="Times New Roman" w:cs="Times New Roman"/>
          <w:sz w:val="28"/>
          <w:szCs w:val="28"/>
        </w:rPr>
        <w:t>4</w:t>
      </w:r>
      <w:r w:rsidRPr="00E4401D">
        <w:rPr>
          <w:rFonts w:ascii="Times New Roman" w:hAnsi="Times New Roman" w:cs="Times New Roman"/>
          <w:sz w:val="28"/>
          <w:szCs w:val="28"/>
        </w:rPr>
        <w:t xml:space="preserve"> de 202</w:t>
      </w:r>
      <w:r w:rsidRPr="00E4401D">
        <w:rPr>
          <w:rFonts w:ascii="Times New Roman" w:hAnsi="Times New Roman" w:cs="Times New Roman"/>
          <w:sz w:val="28"/>
          <w:szCs w:val="28"/>
        </w:rPr>
        <w:t>4</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se </w:t>
      </w:r>
      <w:r w:rsidRPr="00E4401D">
        <w:rPr>
          <w:rFonts w:ascii="Times New Roman" w:hAnsi="Times New Roman" w:cs="Times New Roman"/>
          <w:sz w:val="28"/>
          <w:szCs w:val="28"/>
        </w:rPr>
        <w:t>declaró la inexequibilidad de</w:t>
      </w:r>
      <w:r w:rsidRPr="00E4401D">
        <w:rPr>
          <w:rFonts w:ascii="Times New Roman" w:hAnsi="Times New Roman" w:cs="Times New Roman"/>
          <w:sz w:val="28"/>
          <w:szCs w:val="28"/>
        </w:rPr>
        <w:t>l numeral 6 y del parágrafo 3 de</w:t>
      </w:r>
      <w:r w:rsidRPr="00E4401D">
        <w:rPr>
          <w:rFonts w:ascii="Times New Roman" w:hAnsi="Times New Roman" w:cs="Times New Roman"/>
          <w:sz w:val="28"/>
          <w:szCs w:val="28"/>
        </w:rPr>
        <w:t>l artículo 61</w:t>
      </w:r>
      <w:r w:rsidRPr="00E4401D">
        <w:rPr>
          <w:rFonts w:ascii="Times New Roman" w:hAnsi="Times New Roman" w:cs="Times New Roman"/>
          <w:sz w:val="28"/>
          <w:szCs w:val="28"/>
        </w:rPr>
        <w:t xml:space="preserve"> de la Ley 2294</w:t>
      </w:r>
      <w:r w:rsidRPr="00E4401D">
        <w:rPr>
          <w:rFonts w:ascii="Times New Roman" w:hAnsi="Times New Roman" w:cs="Times New Roman"/>
          <w:sz w:val="28"/>
          <w:szCs w:val="28"/>
        </w:rPr>
        <w:t xml:space="preserve"> de 2023</w:t>
      </w:r>
      <w:r w:rsidRPr="00E4401D">
        <w:rPr>
          <w:rFonts w:ascii="Times New Roman" w:hAnsi="Times New Roman" w:cs="Times New Roman"/>
          <w:sz w:val="28"/>
          <w:szCs w:val="28"/>
        </w:rPr>
        <w:t xml:space="preserve">. La Corte </w:t>
      </w:r>
      <w:r w:rsidRPr="00E4401D">
        <w:rPr>
          <w:rFonts w:ascii="Times New Roman" w:hAnsi="Times New Roman" w:cs="Times New Roman"/>
          <w:sz w:val="28"/>
          <w:szCs w:val="28"/>
        </w:rPr>
        <w:t>encontró</w:t>
      </w:r>
      <w:r w:rsidRPr="00E4401D">
        <w:rPr>
          <w:rFonts w:ascii="Times New Roman" w:hAnsi="Times New Roman" w:cs="Times New Roman"/>
          <w:sz w:val="28"/>
          <w:szCs w:val="28"/>
        </w:rPr>
        <w:t xml:space="preserve"> que</w:t>
      </w:r>
      <w:r w:rsidRPr="00E4401D">
        <w:rPr>
          <w:rFonts w:ascii="Times New Roman" w:hAnsi="Times New Roman" w:cs="Times New Roman"/>
          <w:sz w:val="28"/>
          <w:szCs w:val="28"/>
        </w:rPr>
        <w:t xml:space="preserve"> en el trámite legislativo</w:t>
      </w:r>
      <w:r w:rsidRPr="00E4401D">
        <w:rPr>
          <w:rFonts w:ascii="Times New Roman" w:hAnsi="Times New Roman" w:cs="Times New Roman"/>
          <w:sz w:val="28"/>
          <w:szCs w:val="28"/>
        </w:rPr>
        <w:t xml:space="preserve"> se incurrió en</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vicios de procedimiento en la adopción de las normas acusadas, relacionados con la falta de publicidad adecuada y la violación de los principios de consecutividad e identidad flexible</w:t>
      </w:r>
      <w:r w:rsidRPr="00E4401D">
        <w:rPr>
          <w:rFonts w:ascii="Times New Roman" w:hAnsi="Times New Roman" w:cs="Times New Roman"/>
          <w:sz w:val="28"/>
          <w:szCs w:val="28"/>
        </w:rPr>
        <w:t xml:space="preserve"> previstos en los artículos 157</w:t>
      </w:r>
      <w:r w:rsidRPr="00E4401D">
        <w:rPr>
          <w:rFonts w:ascii="Times New Roman" w:hAnsi="Times New Roman" w:cs="Times New Roman"/>
          <w:sz w:val="28"/>
          <w:szCs w:val="28"/>
        </w:rPr>
        <w:t xml:space="preserve"> y 160 de la Constitución Política. En consecuencia, dado que </w:t>
      </w:r>
      <w:r w:rsidRPr="00E4401D">
        <w:rPr>
          <w:rFonts w:ascii="Times New Roman" w:hAnsi="Times New Roman" w:cs="Times New Roman"/>
          <w:sz w:val="28"/>
          <w:szCs w:val="28"/>
        </w:rPr>
        <w:t xml:space="preserve">el numeral 6 y el parágrafo 3 del artículo 61 de la Ley 2294 de 2023 </w:t>
      </w:r>
      <w:r w:rsidRPr="00E4401D">
        <w:rPr>
          <w:rFonts w:ascii="Times New Roman" w:hAnsi="Times New Roman" w:cs="Times New Roman"/>
          <w:sz w:val="28"/>
          <w:szCs w:val="28"/>
        </w:rPr>
        <w:t>acusad</w:t>
      </w:r>
      <w:r w:rsidRPr="00E4401D">
        <w:rPr>
          <w:rFonts w:ascii="Times New Roman" w:hAnsi="Times New Roman" w:cs="Times New Roman"/>
          <w:sz w:val="28"/>
          <w:szCs w:val="28"/>
        </w:rPr>
        <w:t>os</w:t>
      </w:r>
      <w:r w:rsidRPr="00E4401D">
        <w:rPr>
          <w:rFonts w:ascii="Times New Roman" w:hAnsi="Times New Roman" w:cs="Times New Roman"/>
          <w:sz w:val="28"/>
          <w:szCs w:val="28"/>
        </w:rPr>
        <w:t xml:space="preserve"> en el expedient</w:t>
      </w:r>
      <w:r w:rsidRPr="00E4401D">
        <w:rPr>
          <w:rFonts w:ascii="Times New Roman" w:hAnsi="Times New Roman" w:cs="Times New Roman"/>
          <w:sz w:val="28"/>
          <w:szCs w:val="28"/>
        </w:rPr>
        <w:t xml:space="preserve">e </w:t>
      </w:r>
      <w:r w:rsidRPr="00E4401D">
        <w:rPr>
          <w:rFonts w:ascii="Times New Roman" w:hAnsi="Times New Roman" w:cs="Times New Roman"/>
          <w:i/>
          <w:iCs/>
          <w:sz w:val="28"/>
          <w:szCs w:val="28"/>
        </w:rPr>
        <w:t>sub examine</w:t>
      </w:r>
      <w:r w:rsidRPr="00E4401D">
        <w:rPr>
          <w:rFonts w:ascii="Times New Roman" w:hAnsi="Times New Roman" w:cs="Times New Roman"/>
          <w:sz w:val="28"/>
          <w:szCs w:val="28"/>
        </w:rPr>
        <w:t xml:space="preserve"> ha</w:t>
      </w:r>
      <w:r w:rsidRPr="00E4401D">
        <w:rPr>
          <w:rFonts w:ascii="Times New Roman" w:hAnsi="Times New Roman" w:cs="Times New Roman"/>
          <w:sz w:val="28"/>
          <w:szCs w:val="28"/>
        </w:rPr>
        <w:t>n</w:t>
      </w:r>
      <w:r w:rsidRPr="00E4401D">
        <w:rPr>
          <w:rFonts w:ascii="Times New Roman" w:hAnsi="Times New Roman" w:cs="Times New Roman"/>
          <w:sz w:val="28"/>
          <w:szCs w:val="28"/>
        </w:rPr>
        <w:t xml:space="preserve"> sido excluid</w:t>
      </w:r>
      <w:r w:rsidRPr="00E4401D">
        <w:rPr>
          <w:rFonts w:ascii="Times New Roman" w:hAnsi="Times New Roman" w:cs="Times New Roman"/>
          <w:sz w:val="28"/>
          <w:szCs w:val="28"/>
        </w:rPr>
        <w:t>os</w:t>
      </w:r>
      <w:r w:rsidRPr="00E4401D">
        <w:rPr>
          <w:rFonts w:ascii="Times New Roman" w:hAnsi="Times New Roman" w:cs="Times New Roman"/>
          <w:sz w:val="28"/>
          <w:szCs w:val="28"/>
        </w:rPr>
        <w:t xml:space="preserve"> del ordenamiento mediante una decisión que ha hecho tránsito a cosa juzgada constitucional formal absoluta, corresponde a la Corte estarse a lo resuelto en la referida sentencia C-</w:t>
      </w:r>
      <w:r w:rsidRPr="00E4401D">
        <w:rPr>
          <w:rFonts w:ascii="Times New Roman" w:hAnsi="Times New Roman" w:cs="Times New Roman"/>
          <w:sz w:val="28"/>
          <w:szCs w:val="28"/>
        </w:rPr>
        <w:t>2</w:t>
      </w:r>
      <w:r w:rsidRPr="00E4401D">
        <w:rPr>
          <w:rFonts w:ascii="Times New Roman" w:hAnsi="Times New Roman" w:cs="Times New Roman"/>
          <w:sz w:val="28"/>
          <w:szCs w:val="28"/>
        </w:rPr>
        <w:t>9</w:t>
      </w:r>
      <w:r w:rsidRPr="00E4401D">
        <w:rPr>
          <w:rFonts w:ascii="Times New Roman" w:hAnsi="Times New Roman" w:cs="Times New Roman"/>
          <w:sz w:val="28"/>
          <w:szCs w:val="28"/>
        </w:rPr>
        <w:t>4</w:t>
      </w:r>
      <w:r w:rsidRPr="00E4401D">
        <w:rPr>
          <w:rFonts w:ascii="Times New Roman" w:hAnsi="Times New Roman" w:cs="Times New Roman"/>
          <w:sz w:val="28"/>
          <w:szCs w:val="28"/>
        </w:rPr>
        <w:t xml:space="preserve"> de 202</w:t>
      </w:r>
      <w:r w:rsidRPr="00E4401D">
        <w:rPr>
          <w:rFonts w:ascii="Times New Roman" w:hAnsi="Times New Roman" w:cs="Times New Roman"/>
          <w:sz w:val="28"/>
          <w:szCs w:val="28"/>
        </w:rPr>
        <w:t>4 respecto a esas disposiciones.</w:t>
      </w:r>
    </w:p>
    <w:p w:rsidR="00724E11" w:rsidRPr="00E4401D" w:rsidRDefault="00E4401D" w:rsidP="00724E11">
      <w:pPr>
        <w:pStyle w:val="Prrafodelista"/>
        <w:rPr>
          <w:rFonts w:ascii="Times New Roman" w:hAnsi="Times New Roman" w:cs="Times New Roman"/>
          <w:sz w:val="28"/>
          <w:szCs w:val="28"/>
        </w:rPr>
      </w:pPr>
    </w:p>
    <w:p w:rsidR="00BC47EF" w:rsidRPr="00E4401D" w:rsidRDefault="00E4401D" w:rsidP="008A3C27">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En </w:t>
      </w:r>
      <w:r w:rsidRPr="00E4401D">
        <w:rPr>
          <w:rFonts w:ascii="Times New Roman" w:hAnsi="Times New Roman" w:cs="Times New Roman"/>
          <w:sz w:val="28"/>
          <w:szCs w:val="28"/>
        </w:rPr>
        <w:t>contraste</w:t>
      </w:r>
      <w:r w:rsidRPr="00E4401D">
        <w:rPr>
          <w:rFonts w:ascii="Times New Roman" w:hAnsi="Times New Roman" w:cs="Times New Roman"/>
          <w:sz w:val="28"/>
          <w:szCs w:val="28"/>
        </w:rPr>
        <w:t>, la Sala Plena con</w:t>
      </w:r>
      <w:r w:rsidRPr="00E4401D">
        <w:rPr>
          <w:rFonts w:ascii="Times New Roman" w:hAnsi="Times New Roman" w:cs="Times New Roman"/>
          <w:sz w:val="28"/>
          <w:szCs w:val="28"/>
        </w:rPr>
        <w:t xml:space="preserve">stata que la Sentencia C-448 de 2024 declaró la exequibilidad de los artículos de la Ley 2294 de 2023 que fueron </w:t>
      </w:r>
      <w:r w:rsidRPr="00E4401D">
        <w:rPr>
          <w:rFonts w:ascii="Times New Roman" w:hAnsi="Times New Roman" w:cs="Times New Roman"/>
          <w:sz w:val="28"/>
          <w:szCs w:val="28"/>
        </w:rPr>
        <w:t>objeto de conciliación</w:t>
      </w:r>
      <w:r w:rsidRPr="00E4401D">
        <w:rPr>
          <w:rFonts w:ascii="Times New Roman" w:hAnsi="Times New Roman" w:cs="Times New Roman"/>
          <w:sz w:val="28"/>
          <w:szCs w:val="28"/>
        </w:rPr>
        <w:t>, entre ellos los artículos 289 y 297. La Corte encontró que en el trámite legislativo se incurrió en vicios de procedimi</w:t>
      </w:r>
      <w:r w:rsidRPr="00E4401D">
        <w:rPr>
          <w:rFonts w:ascii="Times New Roman" w:hAnsi="Times New Roman" w:cs="Times New Roman"/>
          <w:sz w:val="28"/>
          <w:szCs w:val="28"/>
        </w:rPr>
        <w:t xml:space="preserve">ento en la adopción de las normas acusadas, relacionados con la falta de publicidad adecuada </w:t>
      </w:r>
      <w:r w:rsidRPr="00E4401D">
        <w:rPr>
          <w:rFonts w:ascii="Times New Roman" w:hAnsi="Times New Roman" w:cs="Times New Roman"/>
          <w:sz w:val="28"/>
          <w:szCs w:val="28"/>
        </w:rPr>
        <w:t>del informe de conciliación durante el trámite surtido ante la sesión plenaria del Senado de la República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Mediante el Auto 705 de 2024, la Corte constató la exist</w:t>
      </w:r>
      <w:r w:rsidRPr="00E4401D">
        <w:rPr>
          <w:rFonts w:ascii="Times New Roman" w:hAnsi="Times New Roman" w:cs="Times New Roman"/>
          <w:sz w:val="28"/>
          <w:szCs w:val="28"/>
        </w:rPr>
        <w:t>encia de dicho vicio</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consideró que era subsanable </w:t>
      </w:r>
      <w:r w:rsidRPr="00E4401D">
        <w:rPr>
          <w:rFonts w:ascii="Times New Roman" w:hAnsi="Times New Roman" w:cs="Times New Roman"/>
          <w:sz w:val="28"/>
          <w:szCs w:val="28"/>
        </w:rPr>
        <w:t>y ordenó al Senado de la Rep</w:t>
      </w:r>
      <w:r w:rsidRPr="00E4401D">
        <w:rPr>
          <w:rFonts w:ascii="Times New Roman" w:hAnsi="Times New Roman" w:cs="Times New Roman"/>
          <w:sz w:val="28"/>
          <w:szCs w:val="28"/>
        </w:rPr>
        <w:t>ú</w:t>
      </w:r>
      <w:r w:rsidRPr="00E4401D">
        <w:rPr>
          <w:rFonts w:ascii="Times New Roman" w:hAnsi="Times New Roman" w:cs="Times New Roman"/>
          <w:sz w:val="28"/>
          <w:szCs w:val="28"/>
        </w:rPr>
        <w:t xml:space="preserve">blica adoptar las medidas para su corrección. </w:t>
      </w:r>
      <w:r w:rsidRPr="00E4401D">
        <w:rPr>
          <w:rFonts w:ascii="Times New Roman" w:hAnsi="Times New Roman" w:cs="Times New Roman"/>
          <w:sz w:val="28"/>
          <w:szCs w:val="28"/>
        </w:rPr>
        <w:t xml:space="preserve">Tras verificar la subsanación, la Corte concluyó que el Senado </w:t>
      </w:r>
      <w:r w:rsidRPr="00E4401D">
        <w:rPr>
          <w:rFonts w:ascii="Times New Roman" w:hAnsi="Times New Roman" w:cs="Times New Roman"/>
          <w:sz w:val="28"/>
          <w:szCs w:val="28"/>
        </w:rPr>
        <w:t>de la Rep</w:t>
      </w:r>
      <w:r w:rsidRPr="00E4401D">
        <w:rPr>
          <w:rFonts w:ascii="Times New Roman" w:hAnsi="Times New Roman" w:cs="Times New Roman"/>
          <w:sz w:val="28"/>
          <w:szCs w:val="28"/>
        </w:rPr>
        <w:t>ú</w:t>
      </w:r>
      <w:r w:rsidRPr="00E4401D">
        <w:rPr>
          <w:rFonts w:ascii="Times New Roman" w:hAnsi="Times New Roman" w:cs="Times New Roman"/>
          <w:sz w:val="28"/>
          <w:szCs w:val="28"/>
        </w:rPr>
        <w:t xml:space="preserve">blica </w:t>
      </w:r>
      <w:r w:rsidRPr="00E4401D">
        <w:rPr>
          <w:rFonts w:ascii="Times New Roman" w:hAnsi="Times New Roman" w:cs="Times New Roman"/>
          <w:sz w:val="28"/>
          <w:szCs w:val="28"/>
        </w:rPr>
        <w:t xml:space="preserve">subsanó adecuadamente el vicio procedimental. </w:t>
      </w:r>
    </w:p>
    <w:p w:rsidR="00BC47EF" w:rsidRPr="00E4401D" w:rsidRDefault="00E4401D" w:rsidP="00BC47EF">
      <w:pPr>
        <w:pStyle w:val="Prrafodelista"/>
        <w:rPr>
          <w:rFonts w:ascii="Times New Roman" w:hAnsi="Times New Roman" w:cs="Times New Roman"/>
          <w:sz w:val="28"/>
          <w:szCs w:val="28"/>
        </w:rPr>
      </w:pPr>
    </w:p>
    <w:p w:rsidR="00BC47EF" w:rsidRPr="00E4401D" w:rsidRDefault="00E4401D" w:rsidP="00BC47EF">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La </w:t>
      </w:r>
      <w:r w:rsidRPr="00E4401D">
        <w:rPr>
          <w:rFonts w:ascii="Times New Roman" w:hAnsi="Times New Roman" w:cs="Times New Roman"/>
          <w:sz w:val="28"/>
          <w:szCs w:val="28"/>
        </w:rPr>
        <w:t>Corte advierte que</w:t>
      </w:r>
      <w:r w:rsidRPr="00E4401D">
        <w:rPr>
          <w:rFonts w:ascii="Times New Roman" w:hAnsi="Times New Roman" w:cs="Times New Roman"/>
          <w:sz w:val="28"/>
          <w:szCs w:val="28"/>
        </w:rPr>
        <w:t xml:space="preserve">, si bien en la Sentencia C-448 de 2024 </w:t>
      </w:r>
      <w:r w:rsidRPr="00E4401D">
        <w:rPr>
          <w:rFonts w:ascii="Times New Roman" w:hAnsi="Times New Roman" w:cs="Times New Roman"/>
          <w:sz w:val="28"/>
          <w:szCs w:val="28"/>
        </w:rPr>
        <w:t>se</w:t>
      </w:r>
      <w:r w:rsidRPr="00E4401D">
        <w:rPr>
          <w:rFonts w:ascii="Times New Roman" w:hAnsi="Times New Roman" w:cs="Times New Roman"/>
          <w:sz w:val="28"/>
          <w:szCs w:val="28"/>
        </w:rPr>
        <w:t xml:space="preserve"> resolvió sobre la constitucionalidad de los artículos 289 y 297 en razón de un vicio procedimental vinculado con el principio de publicidad en la etapa de conciliación, ello no impide un nuevo pr</w:t>
      </w:r>
      <w:r w:rsidRPr="00E4401D">
        <w:rPr>
          <w:rFonts w:ascii="Times New Roman" w:hAnsi="Times New Roman" w:cs="Times New Roman"/>
          <w:sz w:val="28"/>
          <w:szCs w:val="28"/>
        </w:rPr>
        <w:t>onunciamiento sobre dichos artículos frente a un cargo distinto. En efecto, aunque existe identidad de objeto, por tratarse de los mismos preceptos legales, no se configura identidad de causa, ya que el vicio actualmente analizado recae sobre el trámite su</w:t>
      </w:r>
      <w:r w:rsidRPr="00E4401D">
        <w:rPr>
          <w:rFonts w:ascii="Times New Roman" w:hAnsi="Times New Roman" w:cs="Times New Roman"/>
          <w:sz w:val="28"/>
          <w:szCs w:val="28"/>
        </w:rPr>
        <w:t>rtido en el debate ante la sesión plenaria del Senado de la República, mientras que en la decisión anterior la Corte se pronunció exclusivamente sobre la fase de conciliación. Por tanto, los cargos formulados en esta oportunidad son diferentes y no se conf</w:t>
      </w:r>
      <w:r w:rsidRPr="00E4401D">
        <w:rPr>
          <w:rFonts w:ascii="Times New Roman" w:hAnsi="Times New Roman" w:cs="Times New Roman"/>
          <w:sz w:val="28"/>
          <w:szCs w:val="28"/>
        </w:rPr>
        <w:t>igura el fenómeno de la cosa juzgada constitucional.</w:t>
      </w:r>
    </w:p>
    <w:p w:rsidR="00716646" w:rsidRPr="00E4401D" w:rsidRDefault="00E4401D" w:rsidP="00716646">
      <w:pPr>
        <w:pStyle w:val="Prrafodelista"/>
        <w:rPr>
          <w:rFonts w:ascii="Times New Roman" w:hAnsi="Times New Roman" w:cs="Times New Roman"/>
          <w:sz w:val="28"/>
          <w:szCs w:val="28"/>
        </w:rPr>
      </w:pPr>
    </w:p>
    <w:p w:rsidR="00716646" w:rsidRPr="00E4401D" w:rsidRDefault="00E4401D" w:rsidP="00BC47EF">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Adicionalmente, la Sala considera necesario precisar que la subsanación del trámite del informe de conciliación ordenada por la Corte mediante el Auto 705 de 2024, si bien resultó suficiente para enmend</w:t>
      </w:r>
      <w:r w:rsidRPr="00E4401D">
        <w:rPr>
          <w:rFonts w:ascii="Times New Roman" w:hAnsi="Times New Roman" w:cs="Times New Roman"/>
          <w:sz w:val="28"/>
          <w:szCs w:val="28"/>
        </w:rPr>
        <w:t>ar el vicio detectado en aquella ocasión, no puede extenderse a otros defectos sobre otras etapas del procedimiento legislativo. En particular, no remedia el eventual desconocimiento del principio de publicidad respecto del trámite surtido en la sesión ple</w:t>
      </w:r>
      <w:r w:rsidRPr="00E4401D">
        <w:rPr>
          <w:rFonts w:ascii="Times New Roman" w:hAnsi="Times New Roman" w:cs="Times New Roman"/>
          <w:sz w:val="28"/>
          <w:szCs w:val="28"/>
        </w:rPr>
        <w:t>naria del Senado de la República, en el momento de aprobación de los artículos 289 y 297 de la Ley 2294 de 2023.</w:t>
      </w:r>
    </w:p>
    <w:p w:rsidR="00716646" w:rsidRPr="00E4401D" w:rsidRDefault="00E4401D" w:rsidP="00716646">
      <w:pPr>
        <w:pStyle w:val="Prrafodelista"/>
        <w:rPr>
          <w:rFonts w:ascii="Times New Roman" w:hAnsi="Times New Roman" w:cs="Times New Roman"/>
          <w:sz w:val="28"/>
          <w:szCs w:val="28"/>
        </w:rPr>
      </w:pPr>
    </w:p>
    <w:p w:rsidR="00716646" w:rsidRPr="00E4401D" w:rsidRDefault="00E4401D" w:rsidP="00BC47EF">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La Corte ha sostenido que la actuación de la comisión accidental de conciliación se limita a armonizar textos válidamente aprobados, sin que s</w:t>
      </w:r>
      <w:r w:rsidRPr="00E4401D">
        <w:rPr>
          <w:rFonts w:ascii="Times New Roman" w:hAnsi="Times New Roman" w:cs="Times New Roman"/>
          <w:sz w:val="28"/>
          <w:szCs w:val="28"/>
        </w:rPr>
        <w:t>u intervención tenga el efecto de sanear vicios de procedimiento acaecidos con anterioridad. En la Sentencia C-760 de 2001, esta Corte examinó un caso análogo en el que unas proposiciones modificativas y aditivas presentadas durante el debate en plenaria d</w:t>
      </w:r>
      <w:r w:rsidRPr="00E4401D">
        <w:rPr>
          <w:rFonts w:ascii="Times New Roman" w:hAnsi="Times New Roman" w:cs="Times New Roman"/>
          <w:sz w:val="28"/>
          <w:szCs w:val="28"/>
        </w:rPr>
        <w:t xml:space="preserve">e la Cámara de Representantes no fueron publicadas ni leídas antes de su votación. Aunque posteriormente el texto fue sometido al trámite de conciliación y este sí cumplió con los requisitos de publicidad, la Corte concluyó que dicho cumplimiento no podía </w:t>
      </w:r>
      <w:r w:rsidRPr="00E4401D">
        <w:rPr>
          <w:rFonts w:ascii="Times New Roman" w:hAnsi="Times New Roman" w:cs="Times New Roman"/>
          <w:sz w:val="28"/>
          <w:szCs w:val="28"/>
        </w:rPr>
        <w:t>convalidar el vicio inicial. En esa oportunidad, la Sala Plena advirtió que el debate y aprobación del informe de conciliación, por tener un objeto y alcance distinto, no suplen el debate legislativo propio de cada cámara ni corrigen la omisión en la publi</w:t>
      </w:r>
      <w:r w:rsidRPr="00E4401D">
        <w:rPr>
          <w:rFonts w:ascii="Times New Roman" w:hAnsi="Times New Roman" w:cs="Times New Roman"/>
          <w:sz w:val="28"/>
          <w:szCs w:val="28"/>
        </w:rPr>
        <w:t xml:space="preserve">cidad de las proposiciones en el momento en que estas debieron ser conocidas y discutidas. </w:t>
      </w:r>
      <w:r w:rsidRPr="00E4401D">
        <w:rPr>
          <w:rFonts w:ascii="Times New Roman" w:hAnsi="Times New Roman" w:cs="Times New Roman"/>
          <w:sz w:val="28"/>
          <w:szCs w:val="28"/>
        </w:rPr>
        <w:t xml:space="preserve">Esta regla de decisión fue reiterada </w:t>
      </w:r>
      <w:r w:rsidRPr="00E4401D">
        <w:rPr>
          <w:rFonts w:ascii="Times New Roman" w:hAnsi="Times New Roman" w:cs="Times New Roman"/>
          <w:sz w:val="28"/>
          <w:szCs w:val="28"/>
        </w:rPr>
        <w:t>en las Sentencias C-198 de 2002 y C-113 de 2003.</w:t>
      </w:r>
    </w:p>
    <w:p w:rsidR="00716646" w:rsidRPr="00E4401D" w:rsidRDefault="00E4401D" w:rsidP="00716646">
      <w:pPr>
        <w:pStyle w:val="Prrafodelista"/>
        <w:ind w:left="0"/>
        <w:jc w:val="both"/>
        <w:rPr>
          <w:rFonts w:ascii="Times New Roman" w:hAnsi="Times New Roman" w:cs="Times New Roman"/>
          <w:sz w:val="28"/>
          <w:szCs w:val="28"/>
        </w:rPr>
      </w:pPr>
    </w:p>
    <w:p w:rsidR="00C36684" w:rsidRPr="00E4401D" w:rsidRDefault="00E4401D" w:rsidP="00C36684">
      <w:pPr>
        <w:pStyle w:val="Prrafodelista"/>
        <w:ind w:left="0"/>
        <w:jc w:val="both"/>
        <w:rPr>
          <w:rFonts w:ascii="Times New Roman" w:hAnsi="Times New Roman" w:cs="Times New Roman"/>
          <w:sz w:val="28"/>
          <w:szCs w:val="28"/>
        </w:rPr>
      </w:pPr>
    </w:p>
    <w:p w:rsidR="00C36684" w:rsidRPr="00E4401D" w:rsidRDefault="00E4401D" w:rsidP="006611F1">
      <w:pPr>
        <w:pStyle w:val="Ttulo2"/>
        <w:numPr>
          <w:ilvl w:val="0"/>
          <w:numId w:val="6"/>
        </w:numPr>
        <w:spacing w:before="0"/>
        <w:ind w:left="0" w:firstLine="0"/>
        <w:jc w:val="both"/>
        <w:rPr>
          <w:rFonts w:ascii="Times New Roman" w:hAnsi="Times New Roman" w:cs="Times New Roman"/>
          <w:b/>
          <w:bCs/>
          <w:color w:val="auto"/>
          <w:sz w:val="28"/>
          <w:szCs w:val="28"/>
        </w:rPr>
      </w:pPr>
      <w:r w:rsidRPr="00E4401D">
        <w:rPr>
          <w:rFonts w:ascii="Times New Roman" w:hAnsi="Times New Roman" w:cs="Times New Roman"/>
          <w:b/>
          <w:bCs/>
          <w:color w:val="auto"/>
          <w:sz w:val="28"/>
          <w:szCs w:val="28"/>
        </w:rPr>
        <w:t>Tercera cuestión previa: solicitudes de realización de una audiencia pública</w:t>
      </w:r>
    </w:p>
    <w:p w:rsidR="00C36684" w:rsidRPr="00E4401D" w:rsidRDefault="00E4401D" w:rsidP="006611F1">
      <w:pPr>
        <w:pStyle w:val="Prrafodelista"/>
        <w:tabs>
          <w:tab w:val="left" w:pos="540"/>
        </w:tabs>
        <w:ind w:left="0"/>
        <w:mirrorIndents/>
        <w:jc w:val="both"/>
        <w:rPr>
          <w:rFonts w:ascii="Times New Roman" w:hAnsi="Times New Roman" w:cs="Times New Roman"/>
          <w:sz w:val="28"/>
          <w:szCs w:val="28"/>
        </w:rPr>
      </w:pPr>
    </w:p>
    <w:p w:rsidR="00C36684" w:rsidRPr="00E4401D" w:rsidRDefault="00E4401D" w:rsidP="006611F1">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El 15 de mayo de 2024, la ministra de Agricultura y Desarrollo Rural y el director general de la Agencia Nacional de Tierras solicitaron a esta Cor</w:t>
      </w:r>
      <w:r w:rsidRPr="00E4401D">
        <w:rPr>
          <w:rFonts w:ascii="Times New Roman" w:hAnsi="Times New Roman" w:cs="Times New Roman"/>
          <w:sz w:val="28"/>
          <w:szCs w:val="28"/>
        </w:rPr>
        <w:t>te</w:t>
      </w:r>
      <w:r w:rsidRPr="00E4401D">
        <w:rPr>
          <w:rFonts w:ascii="Times New Roman" w:hAnsi="Times New Roman" w:cs="Times New Roman"/>
          <w:sz w:val="28"/>
          <w:szCs w:val="28"/>
        </w:rPr>
        <w:t xml:space="preserve"> la realización de una audiencia pública</w:t>
      </w:r>
      <w:r w:rsidRPr="00E4401D">
        <w:rPr>
          <w:rFonts w:ascii="Times New Roman" w:hAnsi="Times New Roman" w:cs="Times New Roman"/>
          <w:sz w:val="28"/>
          <w:szCs w:val="28"/>
        </w:rPr>
        <w:t>. La</w:t>
      </w:r>
      <w:r w:rsidRPr="00E4401D">
        <w:rPr>
          <w:rFonts w:ascii="Times New Roman" w:hAnsi="Times New Roman" w:cs="Times New Roman"/>
          <w:sz w:val="28"/>
          <w:szCs w:val="28"/>
        </w:rPr>
        <w:t xml:space="preserve"> solicitud </w:t>
      </w:r>
      <w:r w:rsidRPr="00E4401D">
        <w:rPr>
          <w:rFonts w:ascii="Times New Roman" w:hAnsi="Times New Roman" w:cs="Times New Roman"/>
          <w:sz w:val="28"/>
          <w:szCs w:val="28"/>
        </w:rPr>
        <w:t xml:space="preserve">fue </w:t>
      </w:r>
      <w:r w:rsidRPr="00E4401D">
        <w:rPr>
          <w:rFonts w:ascii="Times New Roman" w:hAnsi="Times New Roman" w:cs="Times New Roman"/>
          <w:sz w:val="28"/>
          <w:szCs w:val="28"/>
        </w:rPr>
        <w:t>reitera</w:t>
      </w:r>
      <w:r w:rsidRPr="00E4401D">
        <w:rPr>
          <w:rFonts w:ascii="Times New Roman" w:hAnsi="Times New Roman" w:cs="Times New Roman"/>
          <w:sz w:val="28"/>
          <w:szCs w:val="28"/>
        </w:rPr>
        <w:t>da</w:t>
      </w:r>
      <w:r w:rsidRPr="00E4401D">
        <w:rPr>
          <w:rFonts w:ascii="Times New Roman" w:hAnsi="Times New Roman" w:cs="Times New Roman"/>
          <w:sz w:val="28"/>
          <w:szCs w:val="28"/>
        </w:rPr>
        <w:t xml:space="preserve"> el 12 de junio de 2024. Los peticionarios sustentaron su solicitud en la necesidad de ilustrar a la Corte sobre aspectos relevantes relacionados con el contexto, la aplicación y los efectos del artículo 61 de la Ley 2294 de 2023, cuya constitucionalidad s</w:t>
      </w:r>
      <w:r w:rsidRPr="00E4401D">
        <w:rPr>
          <w:rFonts w:ascii="Times New Roman" w:hAnsi="Times New Roman" w:cs="Times New Roman"/>
          <w:sz w:val="28"/>
          <w:szCs w:val="28"/>
        </w:rPr>
        <w:t>e cuestiona en el presente proceso.</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A continuación se resuelve la referida </w:t>
      </w:r>
      <w:r w:rsidRPr="00E4401D">
        <w:rPr>
          <w:rFonts w:ascii="Times New Roman" w:hAnsi="Times New Roman" w:cs="Times New Roman"/>
          <w:sz w:val="28"/>
          <w:szCs w:val="28"/>
        </w:rPr>
        <w:t>solicitud.</w:t>
      </w:r>
    </w:p>
    <w:p w:rsidR="00466DDD" w:rsidRPr="00E4401D" w:rsidRDefault="00E4401D" w:rsidP="00466DDD">
      <w:pPr>
        <w:pStyle w:val="Prrafodelista"/>
        <w:ind w:left="0"/>
        <w:jc w:val="both"/>
        <w:rPr>
          <w:rFonts w:ascii="Times New Roman" w:hAnsi="Times New Roman" w:cs="Times New Roman"/>
          <w:sz w:val="28"/>
          <w:szCs w:val="28"/>
        </w:rPr>
      </w:pPr>
    </w:p>
    <w:p w:rsidR="000114AA" w:rsidRPr="00E4401D" w:rsidRDefault="00E4401D" w:rsidP="00466DDD">
      <w:pPr>
        <w:pStyle w:val="Ttulo3"/>
        <w:rPr>
          <w:rFonts w:ascii="Times New Roman" w:hAnsi="Times New Roman" w:cs="Times New Roman"/>
          <w:b/>
          <w:bCs/>
          <w:i/>
          <w:iCs/>
          <w:color w:val="auto"/>
          <w:sz w:val="28"/>
          <w:szCs w:val="28"/>
        </w:rPr>
      </w:pPr>
      <w:r w:rsidRPr="00E4401D">
        <w:rPr>
          <w:rFonts w:ascii="Times New Roman" w:hAnsi="Times New Roman" w:cs="Times New Roman"/>
          <w:b/>
          <w:bCs/>
          <w:i/>
          <w:iCs/>
          <w:color w:val="auto"/>
          <w:sz w:val="28"/>
          <w:szCs w:val="28"/>
        </w:rPr>
        <w:t xml:space="preserve">Las audiencias públicas en procesos de control de constitucionalidad </w:t>
      </w:r>
    </w:p>
    <w:p w:rsidR="006611F1" w:rsidRPr="00E4401D" w:rsidRDefault="00E4401D" w:rsidP="006611F1">
      <w:pPr>
        <w:pStyle w:val="Prrafodelista"/>
        <w:tabs>
          <w:tab w:val="left" w:pos="540"/>
        </w:tabs>
        <w:ind w:left="0"/>
        <w:mirrorIndents/>
        <w:jc w:val="both"/>
        <w:rPr>
          <w:rFonts w:ascii="Times New Roman" w:hAnsi="Times New Roman" w:cs="Times New Roman"/>
          <w:sz w:val="28"/>
          <w:szCs w:val="28"/>
        </w:rPr>
      </w:pPr>
    </w:p>
    <w:p w:rsidR="006611F1" w:rsidRPr="00E4401D" w:rsidRDefault="00E4401D" w:rsidP="006611F1">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De conformidad con los artículos 12 y 13 del Decreto 2067 de 1991, la decisión de convocar o no un</w:t>
      </w:r>
      <w:r w:rsidRPr="00E4401D">
        <w:rPr>
          <w:rFonts w:ascii="Times New Roman" w:hAnsi="Times New Roman" w:cs="Times New Roman"/>
          <w:sz w:val="28"/>
          <w:szCs w:val="28"/>
        </w:rPr>
        <w:t>a audiencia pública corresponde a la Sala Plena, a iniciativa de cualquiera de los magistrados y previo examen de su conducencia y pertinencia para el esclarecimiento de los temas debatidos.</w:t>
      </w:r>
    </w:p>
    <w:p w:rsidR="00367FE5" w:rsidRPr="00E4401D" w:rsidRDefault="00E4401D" w:rsidP="00367FE5">
      <w:pPr>
        <w:pStyle w:val="Prrafodelista"/>
        <w:ind w:left="0"/>
        <w:jc w:val="both"/>
        <w:rPr>
          <w:rFonts w:ascii="Times New Roman" w:hAnsi="Times New Roman" w:cs="Times New Roman"/>
          <w:sz w:val="28"/>
          <w:szCs w:val="28"/>
        </w:rPr>
      </w:pPr>
    </w:p>
    <w:p w:rsidR="00367FE5" w:rsidRPr="00E4401D" w:rsidRDefault="00E4401D" w:rsidP="006611F1">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Dentro del trámite de control constitucional, las audiencias púb</w:t>
      </w:r>
      <w:r w:rsidRPr="00E4401D">
        <w:rPr>
          <w:rFonts w:ascii="Times New Roman" w:hAnsi="Times New Roman" w:cs="Times New Roman"/>
          <w:sz w:val="28"/>
          <w:szCs w:val="28"/>
        </w:rPr>
        <w:t>licas constituyen un mecanismo para recabar información adicional, especializada y plural sobre el tema bajo examen.</w:t>
      </w:r>
    </w:p>
    <w:p w:rsidR="00E93F0D" w:rsidRPr="00E4401D" w:rsidRDefault="00E4401D" w:rsidP="00E93F0D">
      <w:pPr>
        <w:pStyle w:val="Prrafodelista"/>
        <w:ind w:left="0"/>
        <w:jc w:val="both"/>
        <w:rPr>
          <w:rFonts w:ascii="Times New Roman" w:hAnsi="Times New Roman" w:cs="Times New Roman"/>
          <w:sz w:val="28"/>
          <w:szCs w:val="28"/>
        </w:rPr>
      </w:pPr>
    </w:p>
    <w:p w:rsidR="00E93F0D" w:rsidRPr="00E4401D" w:rsidRDefault="00E4401D" w:rsidP="00260320">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Las audiencias públicas en procesos de constitucionalidad no se llevan a cabo de manera automática en todas las demandas, sino que su real</w:t>
      </w:r>
      <w:r w:rsidRPr="00E4401D">
        <w:rPr>
          <w:rFonts w:ascii="Times New Roman" w:hAnsi="Times New Roman" w:cs="Times New Roman"/>
          <w:sz w:val="28"/>
          <w:szCs w:val="28"/>
        </w:rPr>
        <w:t>ización es excepcional y queda sujeta a criterios de necesidad y conveniencia.</w:t>
      </w:r>
      <w:r w:rsidRPr="00E4401D">
        <w:rPr>
          <w:rFonts w:ascii="Times New Roman" w:hAnsi="Times New Roman" w:cs="Times New Roman"/>
          <w:sz w:val="28"/>
          <w:szCs w:val="28"/>
        </w:rPr>
        <w:t xml:space="preserve"> También sirve de escenario para el diálogo constitucional entre la Corte y otros actores del Estado o de la sociedad.</w:t>
      </w:r>
      <w:r w:rsidRPr="00E4401D">
        <w:rPr>
          <w:rFonts w:ascii="Times New Roman" w:hAnsi="Times New Roman" w:cs="Times New Roman"/>
          <w:sz w:val="28"/>
          <w:szCs w:val="28"/>
        </w:rPr>
        <w:t xml:space="preserve"> De modo que n</w:t>
      </w:r>
      <w:r w:rsidRPr="00E4401D">
        <w:rPr>
          <w:rFonts w:ascii="Times New Roman" w:hAnsi="Times New Roman" w:cs="Times New Roman"/>
          <w:sz w:val="28"/>
          <w:szCs w:val="28"/>
        </w:rPr>
        <w:t xml:space="preserve">o existe un derecho subjetivo de las partes o </w:t>
      </w:r>
      <w:r w:rsidRPr="00E4401D">
        <w:rPr>
          <w:rFonts w:ascii="Times New Roman" w:hAnsi="Times New Roman" w:cs="Times New Roman"/>
          <w:sz w:val="28"/>
          <w:szCs w:val="28"/>
        </w:rPr>
        <w:t>terceros a que se realice una audiencia pública; su convocatoria depende de la apreciación que haga la Corte del caso. Incluso si múltiples ciudadanos o entidades lo solicitan, la Corte puede considerar que no es necesaria la audiencia cuando el expediente</w:t>
      </w:r>
      <w:r w:rsidRPr="00E4401D">
        <w:rPr>
          <w:rFonts w:ascii="Times New Roman" w:hAnsi="Times New Roman" w:cs="Times New Roman"/>
          <w:sz w:val="28"/>
          <w:szCs w:val="28"/>
        </w:rPr>
        <w:t xml:space="preserve"> ya cuenta con suficientes intervenciones y elementos de análisis.</w:t>
      </w:r>
      <w:r w:rsidRPr="00E4401D">
        <w:rPr>
          <w:rStyle w:val="Refdenotaalpie"/>
          <w:rFonts w:ascii="Times New Roman" w:hAnsi="Times New Roman" w:cs="Times New Roman"/>
          <w:sz w:val="28"/>
          <w:szCs w:val="28"/>
        </w:rPr>
        <w:t xml:space="preserve"> </w:t>
      </w:r>
      <w:r w:rsidRPr="00E4401D">
        <w:rPr>
          <w:rStyle w:val="Refdenotaalpie"/>
          <w:rFonts w:ascii="Times New Roman" w:hAnsi="Times New Roman" w:cs="Times New Roman"/>
          <w:sz w:val="28"/>
          <w:szCs w:val="28"/>
        </w:rPr>
        <w:footnoteReference w:id="18"/>
      </w:r>
    </w:p>
    <w:p w:rsidR="00E93F0D" w:rsidRPr="00E4401D" w:rsidRDefault="00E4401D" w:rsidP="00E93F0D">
      <w:pPr>
        <w:pStyle w:val="Prrafodelista"/>
        <w:rPr>
          <w:rFonts w:ascii="Times New Roman" w:hAnsi="Times New Roman" w:cs="Times New Roman"/>
          <w:sz w:val="28"/>
          <w:szCs w:val="28"/>
        </w:rPr>
      </w:pPr>
    </w:p>
    <w:p w:rsidR="00367FE5" w:rsidRPr="00E4401D" w:rsidRDefault="00E4401D" w:rsidP="00367FE5">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La jurisprudencia ha indicado que la realización de una audiencia pública, o su omisión, no vicia el proceso siempre que se respeten las garantías fundamentales del juicio </w:t>
      </w:r>
      <w:r w:rsidRPr="00E4401D">
        <w:rPr>
          <w:rFonts w:ascii="Times New Roman" w:hAnsi="Times New Roman" w:cs="Times New Roman"/>
          <w:sz w:val="28"/>
          <w:szCs w:val="28"/>
        </w:rPr>
        <w:t>constitucional, dado que no es un paso obligatorio sino facultativo</w:t>
      </w:r>
      <w:r w:rsidRPr="00E4401D">
        <w:rPr>
          <w:rStyle w:val="Refdenotaalpie"/>
          <w:rFonts w:ascii="Times New Roman" w:hAnsi="Times New Roman" w:cs="Times New Roman"/>
          <w:sz w:val="28"/>
          <w:szCs w:val="28"/>
        </w:rPr>
        <w:footnoteReference w:id="19"/>
      </w:r>
      <w:r w:rsidRPr="00E4401D">
        <w:rPr>
          <w:rFonts w:ascii="Times New Roman" w:hAnsi="Times New Roman" w:cs="Times New Roman"/>
          <w:sz w:val="28"/>
          <w:szCs w:val="28"/>
        </w:rPr>
        <w:t>.</w:t>
      </w:r>
    </w:p>
    <w:p w:rsidR="00367FE5" w:rsidRPr="00E4401D" w:rsidRDefault="00E4401D" w:rsidP="00367FE5">
      <w:pPr>
        <w:rPr>
          <w:rFonts w:ascii="Times New Roman" w:hAnsi="Times New Roman" w:cs="Times New Roman"/>
          <w:sz w:val="28"/>
          <w:szCs w:val="28"/>
        </w:rPr>
      </w:pPr>
    </w:p>
    <w:p w:rsidR="00367FE5" w:rsidRPr="00E4401D" w:rsidRDefault="00E4401D" w:rsidP="00367FE5">
      <w:pPr>
        <w:pStyle w:val="Ttulo3"/>
        <w:rPr>
          <w:rFonts w:ascii="Times New Roman" w:hAnsi="Times New Roman" w:cs="Times New Roman"/>
          <w:b/>
          <w:bCs/>
          <w:i/>
          <w:iCs/>
          <w:color w:val="auto"/>
          <w:sz w:val="28"/>
          <w:szCs w:val="28"/>
        </w:rPr>
      </w:pPr>
      <w:r w:rsidRPr="00E4401D">
        <w:rPr>
          <w:rFonts w:ascii="Times New Roman" w:hAnsi="Times New Roman" w:cs="Times New Roman"/>
          <w:b/>
          <w:bCs/>
          <w:i/>
          <w:iCs/>
          <w:color w:val="auto"/>
          <w:sz w:val="28"/>
          <w:szCs w:val="28"/>
        </w:rPr>
        <w:t>Análisis del caso concreto</w:t>
      </w:r>
    </w:p>
    <w:p w:rsidR="006611F1" w:rsidRPr="00E4401D" w:rsidRDefault="00E4401D" w:rsidP="006611F1">
      <w:pPr>
        <w:jc w:val="both"/>
        <w:rPr>
          <w:rFonts w:ascii="Times New Roman" w:hAnsi="Times New Roman" w:cs="Times New Roman"/>
          <w:sz w:val="28"/>
          <w:szCs w:val="28"/>
        </w:rPr>
      </w:pPr>
    </w:p>
    <w:p w:rsidR="006611F1" w:rsidRPr="00E4401D" w:rsidRDefault="00E4401D" w:rsidP="006611F1">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En el presente caso, el único cargo admitido contra el artículo 61 de la Ley 2294 de 2023 se refiere a presuntos vicios de procedimiento legislativo, </w:t>
      </w:r>
      <w:r w:rsidRPr="00E4401D">
        <w:rPr>
          <w:rFonts w:ascii="Times New Roman" w:hAnsi="Times New Roman" w:cs="Times New Roman"/>
          <w:sz w:val="28"/>
          <w:szCs w:val="28"/>
        </w:rPr>
        <w:t>particularmente por desconocimiento del principio de publicidad consagrado en los artículos 157 y 160 de la Constitución y el artículo 125 de la Ley 5 de 1992. Así, el objeto de análisis se limita a verificar si durante el trámite legislativo se cumplieron</w:t>
      </w:r>
      <w:r w:rsidRPr="00E4401D">
        <w:rPr>
          <w:rFonts w:ascii="Times New Roman" w:hAnsi="Times New Roman" w:cs="Times New Roman"/>
          <w:sz w:val="28"/>
          <w:szCs w:val="28"/>
        </w:rPr>
        <w:t xml:space="preserve"> las formalidades constitucionales y reglamentarias exigidas.</w:t>
      </w:r>
    </w:p>
    <w:p w:rsidR="006611F1" w:rsidRPr="00E4401D" w:rsidRDefault="00E4401D" w:rsidP="006611F1">
      <w:pPr>
        <w:pStyle w:val="Prrafodelista"/>
        <w:ind w:left="0"/>
        <w:jc w:val="both"/>
        <w:rPr>
          <w:rFonts w:ascii="Times New Roman" w:hAnsi="Times New Roman" w:cs="Times New Roman"/>
          <w:sz w:val="28"/>
          <w:szCs w:val="28"/>
        </w:rPr>
      </w:pPr>
    </w:p>
    <w:p w:rsidR="00C36684" w:rsidRPr="00E4401D" w:rsidRDefault="00E4401D" w:rsidP="00F66B84">
      <w:pPr>
        <w:pStyle w:val="Prrafodelista"/>
        <w:numPr>
          <w:ilvl w:val="0"/>
          <w:numId w:val="3"/>
        </w:numPr>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E</w:t>
      </w:r>
      <w:r w:rsidRPr="00E4401D">
        <w:rPr>
          <w:rFonts w:ascii="Times New Roman" w:hAnsi="Times New Roman" w:cs="Times New Roman"/>
          <w:sz w:val="28"/>
          <w:szCs w:val="28"/>
        </w:rPr>
        <w:t xml:space="preserve">n procesos donde se examinan vicios de procedimiento legislativo —y no aspectos materiales o sustantivos de la ley—, </w:t>
      </w:r>
      <w:r w:rsidRPr="00E4401D">
        <w:rPr>
          <w:rFonts w:ascii="Times New Roman" w:hAnsi="Times New Roman" w:cs="Times New Roman"/>
          <w:sz w:val="28"/>
          <w:szCs w:val="28"/>
        </w:rPr>
        <w:t xml:space="preserve">por regla general </w:t>
      </w:r>
      <w:r w:rsidRPr="00E4401D">
        <w:rPr>
          <w:rFonts w:ascii="Times New Roman" w:hAnsi="Times New Roman" w:cs="Times New Roman"/>
          <w:sz w:val="28"/>
          <w:szCs w:val="28"/>
        </w:rPr>
        <w:t>la información relativa al contenido, contexto o convenie</w:t>
      </w:r>
      <w:r w:rsidRPr="00E4401D">
        <w:rPr>
          <w:rFonts w:ascii="Times New Roman" w:hAnsi="Times New Roman" w:cs="Times New Roman"/>
          <w:sz w:val="28"/>
          <w:szCs w:val="28"/>
        </w:rPr>
        <w:t>ncia de las disposiciones resulta impertinente.</w:t>
      </w:r>
      <w:r w:rsidRPr="00E4401D">
        <w:rPr>
          <w:rStyle w:val="Refdenotaalpie"/>
          <w:rFonts w:ascii="Times New Roman" w:hAnsi="Times New Roman" w:cs="Times New Roman"/>
          <w:sz w:val="28"/>
          <w:szCs w:val="28"/>
        </w:rPr>
        <w:footnoteReference w:id="20"/>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En consecuencia, en el presente caso no se estimó necesario convocar a audiencia pública, dado que la información que </w:t>
      </w:r>
      <w:r w:rsidRPr="00E4401D">
        <w:rPr>
          <w:rFonts w:ascii="Times New Roman" w:hAnsi="Times New Roman" w:cs="Times New Roman"/>
          <w:sz w:val="28"/>
          <w:szCs w:val="28"/>
        </w:rPr>
        <w:t>el Ministerio solicitante</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pretendía </w:t>
      </w:r>
      <w:r w:rsidRPr="00E4401D">
        <w:rPr>
          <w:rFonts w:ascii="Times New Roman" w:hAnsi="Times New Roman" w:cs="Times New Roman"/>
          <w:sz w:val="28"/>
          <w:szCs w:val="28"/>
        </w:rPr>
        <w:t xml:space="preserve">introducir </w:t>
      </w:r>
      <w:r w:rsidRPr="00E4401D">
        <w:rPr>
          <w:rFonts w:ascii="Times New Roman" w:hAnsi="Times New Roman" w:cs="Times New Roman"/>
          <w:sz w:val="28"/>
          <w:szCs w:val="28"/>
        </w:rPr>
        <w:t xml:space="preserve">al proceso </w:t>
      </w:r>
      <w:r w:rsidRPr="00E4401D">
        <w:rPr>
          <w:rFonts w:ascii="Times New Roman" w:hAnsi="Times New Roman" w:cs="Times New Roman"/>
          <w:sz w:val="28"/>
          <w:szCs w:val="28"/>
        </w:rPr>
        <w:t>carecía de relevancia para el a</w:t>
      </w:r>
      <w:r w:rsidRPr="00E4401D">
        <w:rPr>
          <w:rFonts w:ascii="Times New Roman" w:hAnsi="Times New Roman" w:cs="Times New Roman"/>
          <w:sz w:val="28"/>
          <w:szCs w:val="28"/>
        </w:rPr>
        <w:t xml:space="preserve">nálisis de los vicios de procedimiento alegados. </w:t>
      </w:r>
    </w:p>
    <w:p w:rsidR="00FC16C6" w:rsidRPr="00E4401D" w:rsidRDefault="00E4401D" w:rsidP="00FC16C6">
      <w:pPr>
        <w:pStyle w:val="Prrafodelista"/>
        <w:rPr>
          <w:rFonts w:ascii="Times New Roman" w:hAnsi="Times New Roman" w:cs="Times New Roman"/>
          <w:sz w:val="28"/>
          <w:szCs w:val="28"/>
        </w:rPr>
      </w:pPr>
    </w:p>
    <w:p w:rsidR="00A140CC" w:rsidRPr="00E4401D" w:rsidRDefault="00E4401D" w:rsidP="00A140CC">
      <w:pPr>
        <w:pStyle w:val="Prrafodelista"/>
        <w:ind w:left="0"/>
        <w:jc w:val="both"/>
        <w:rPr>
          <w:rFonts w:ascii="Times New Roman" w:hAnsi="Times New Roman" w:cs="Times New Roman"/>
          <w:sz w:val="28"/>
          <w:szCs w:val="28"/>
        </w:rPr>
      </w:pPr>
    </w:p>
    <w:p w:rsidR="00D23FD6" w:rsidRPr="00E4401D" w:rsidRDefault="00E4401D" w:rsidP="00B749EF">
      <w:pPr>
        <w:pStyle w:val="Ttulo2"/>
        <w:numPr>
          <w:ilvl w:val="0"/>
          <w:numId w:val="6"/>
        </w:numPr>
        <w:ind w:left="0" w:firstLine="0"/>
        <w:jc w:val="both"/>
        <w:rPr>
          <w:rFonts w:ascii="Times New Roman" w:hAnsi="Times New Roman" w:cs="Times New Roman"/>
          <w:b/>
          <w:bCs/>
          <w:color w:val="auto"/>
          <w:sz w:val="28"/>
          <w:szCs w:val="28"/>
        </w:rPr>
      </w:pPr>
      <w:r w:rsidRPr="00E4401D">
        <w:rPr>
          <w:rFonts w:ascii="Times New Roman" w:hAnsi="Times New Roman" w:cs="Times New Roman"/>
          <w:b/>
          <w:bCs/>
          <w:color w:val="auto"/>
          <w:sz w:val="28"/>
          <w:szCs w:val="28"/>
        </w:rPr>
        <w:t>Cargo ú</w:t>
      </w:r>
      <w:r w:rsidRPr="00E4401D">
        <w:rPr>
          <w:rFonts w:ascii="Times New Roman" w:hAnsi="Times New Roman" w:cs="Times New Roman"/>
          <w:b/>
          <w:bCs/>
          <w:color w:val="auto"/>
          <w:sz w:val="28"/>
          <w:szCs w:val="28"/>
        </w:rPr>
        <w:t>nico</w:t>
      </w:r>
      <w:r w:rsidRPr="00E4401D">
        <w:rPr>
          <w:rFonts w:ascii="Times New Roman" w:hAnsi="Times New Roman" w:cs="Times New Roman"/>
          <w:b/>
          <w:bCs/>
          <w:color w:val="auto"/>
          <w:sz w:val="28"/>
          <w:szCs w:val="28"/>
        </w:rPr>
        <w:t>. P</w:t>
      </w:r>
      <w:r w:rsidRPr="00E4401D">
        <w:rPr>
          <w:rFonts w:ascii="Times New Roman" w:hAnsi="Times New Roman" w:cs="Times New Roman"/>
          <w:b/>
          <w:bCs/>
          <w:color w:val="auto"/>
          <w:sz w:val="28"/>
          <w:szCs w:val="28"/>
        </w:rPr>
        <w:t>resentación del caso, problema jurídico y metodología de la decisión</w:t>
      </w:r>
    </w:p>
    <w:p w:rsidR="00985B69" w:rsidRPr="00E4401D" w:rsidRDefault="00E4401D" w:rsidP="00985B69">
      <w:pPr>
        <w:pStyle w:val="Prrafodelista"/>
        <w:tabs>
          <w:tab w:val="left" w:pos="540"/>
        </w:tabs>
        <w:ind w:left="0"/>
        <w:mirrorIndents/>
        <w:jc w:val="both"/>
        <w:rPr>
          <w:rFonts w:ascii="Times New Roman" w:hAnsi="Times New Roman" w:cs="Times New Roman"/>
          <w:sz w:val="28"/>
          <w:szCs w:val="28"/>
        </w:rPr>
      </w:pPr>
    </w:p>
    <w:p w:rsidR="009933B0"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Los accionantes </w:t>
      </w:r>
      <w:r w:rsidRPr="00E4401D">
        <w:rPr>
          <w:rFonts w:ascii="Times New Roman" w:hAnsi="Times New Roman" w:cs="Times New Roman"/>
          <w:sz w:val="28"/>
          <w:szCs w:val="28"/>
        </w:rPr>
        <w:t xml:space="preserve">y algunos intervinientes consideran que en el proceso de </w:t>
      </w:r>
      <w:r w:rsidRPr="00E4401D">
        <w:rPr>
          <w:rFonts w:ascii="Times New Roman" w:hAnsi="Times New Roman" w:cs="Times New Roman"/>
          <w:sz w:val="28"/>
          <w:szCs w:val="28"/>
        </w:rPr>
        <w:t xml:space="preserve">aprobación de los artículos 5, 61, 289 y 297 se </w:t>
      </w:r>
      <w:r w:rsidRPr="00E4401D">
        <w:rPr>
          <w:rFonts w:ascii="Times New Roman" w:hAnsi="Times New Roman" w:cs="Times New Roman"/>
          <w:sz w:val="28"/>
          <w:szCs w:val="28"/>
        </w:rPr>
        <w:t>violó el principio de publicidad</w:t>
      </w:r>
      <w:r w:rsidRPr="00E4401D">
        <w:rPr>
          <w:rFonts w:ascii="Times New Roman" w:hAnsi="Times New Roman" w:cs="Times New Roman"/>
          <w:sz w:val="28"/>
          <w:szCs w:val="28"/>
        </w:rPr>
        <w:t xml:space="preserve"> previsto </w:t>
      </w:r>
      <w:r w:rsidRPr="00E4401D">
        <w:rPr>
          <w:rFonts w:ascii="Times New Roman" w:hAnsi="Times New Roman" w:cs="Times New Roman"/>
          <w:sz w:val="28"/>
          <w:szCs w:val="28"/>
        </w:rPr>
        <w:t xml:space="preserve">en </w:t>
      </w:r>
      <w:r w:rsidRPr="00E4401D">
        <w:rPr>
          <w:rFonts w:ascii="Times New Roman" w:hAnsi="Times New Roman" w:cs="Times New Roman"/>
          <w:sz w:val="28"/>
          <w:szCs w:val="28"/>
        </w:rPr>
        <w:t xml:space="preserve">el </w:t>
      </w:r>
      <w:r w:rsidRPr="00E4401D">
        <w:rPr>
          <w:rFonts w:ascii="Times New Roman" w:hAnsi="Times New Roman" w:cs="Times New Roman"/>
          <w:sz w:val="28"/>
          <w:szCs w:val="28"/>
        </w:rPr>
        <w:t xml:space="preserve">artículo 157 </w:t>
      </w:r>
      <w:r w:rsidRPr="00E4401D">
        <w:rPr>
          <w:rFonts w:ascii="Times New Roman" w:hAnsi="Times New Roman" w:cs="Times New Roman"/>
          <w:sz w:val="28"/>
          <w:szCs w:val="28"/>
        </w:rPr>
        <w:t>de la Constitución Política</w:t>
      </w:r>
      <w:r w:rsidRPr="00E4401D">
        <w:rPr>
          <w:rFonts w:ascii="Times New Roman" w:hAnsi="Times New Roman" w:cs="Times New Roman"/>
          <w:sz w:val="28"/>
          <w:szCs w:val="28"/>
        </w:rPr>
        <w:t xml:space="preserve">. Afirman </w:t>
      </w:r>
      <w:r w:rsidRPr="00E4401D">
        <w:rPr>
          <w:rFonts w:ascii="Times New Roman" w:hAnsi="Times New Roman" w:cs="Times New Roman"/>
          <w:sz w:val="28"/>
          <w:szCs w:val="28"/>
        </w:rPr>
        <w:t>que</w:t>
      </w:r>
      <w:r w:rsidRPr="00E4401D">
        <w:rPr>
          <w:rFonts w:ascii="Times New Roman" w:hAnsi="Times New Roman" w:cs="Times New Roman"/>
          <w:sz w:val="28"/>
          <w:szCs w:val="28"/>
        </w:rPr>
        <w:t xml:space="preserve"> las proposiciones modificativas de estas disposiciones no fueron leídas de manera completa e integral</w:t>
      </w:r>
      <w:r w:rsidRPr="00E4401D">
        <w:rPr>
          <w:rFonts w:ascii="Times New Roman" w:hAnsi="Times New Roman" w:cs="Times New Roman"/>
          <w:sz w:val="28"/>
          <w:szCs w:val="28"/>
        </w:rPr>
        <w:t xml:space="preserve"> en la sesión plenaria del Senado de la República, lo que impidió que los miembros de esa </w:t>
      </w:r>
      <w:r w:rsidRPr="00E4401D">
        <w:rPr>
          <w:rFonts w:ascii="Times New Roman" w:hAnsi="Times New Roman" w:cs="Times New Roman"/>
          <w:sz w:val="28"/>
          <w:szCs w:val="28"/>
        </w:rPr>
        <w:t>cámara tuvieran conocimiento pleno de las modificaciones propuestas y posteriormente votadas.</w:t>
      </w:r>
      <w:r w:rsidRPr="00E4401D">
        <w:rPr>
          <w:rFonts w:ascii="Times New Roman" w:hAnsi="Times New Roman" w:cs="Times New Roman"/>
          <w:sz w:val="28"/>
          <w:szCs w:val="28"/>
        </w:rPr>
        <w:t xml:space="preserve"> A</w:t>
      </w:r>
      <w:r w:rsidRPr="00E4401D">
        <w:rPr>
          <w:rFonts w:ascii="Times New Roman" w:hAnsi="Times New Roman" w:cs="Times New Roman"/>
          <w:sz w:val="28"/>
          <w:szCs w:val="28"/>
        </w:rPr>
        <w:t>rgumentaron que este proceder también contraviene la regla</w:t>
      </w:r>
      <w:r w:rsidRPr="00E4401D">
        <w:rPr>
          <w:rFonts w:ascii="Times New Roman" w:hAnsi="Times New Roman" w:cs="Times New Roman"/>
          <w:sz w:val="28"/>
          <w:szCs w:val="28"/>
        </w:rPr>
        <w:t xml:space="preserve"> prevista en </w:t>
      </w:r>
      <w:r w:rsidRPr="00E4401D">
        <w:rPr>
          <w:rFonts w:ascii="Times New Roman" w:hAnsi="Times New Roman" w:cs="Times New Roman"/>
          <w:sz w:val="28"/>
          <w:szCs w:val="28"/>
        </w:rPr>
        <w:t xml:space="preserve">el artículo 125 de la Ley </w:t>
      </w:r>
      <w:r w:rsidRPr="00E4401D">
        <w:rPr>
          <w:rFonts w:ascii="Times New Roman" w:hAnsi="Times New Roman" w:cs="Times New Roman"/>
          <w:sz w:val="28"/>
          <w:szCs w:val="28"/>
        </w:rPr>
        <w:t xml:space="preserve">5 de 1992, que establece que </w:t>
      </w:r>
      <w:r w:rsidRPr="00E4401D">
        <w:rPr>
          <w:rFonts w:ascii="Times New Roman" w:hAnsi="Times New Roman" w:cs="Times New Roman"/>
          <w:sz w:val="28"/>
          <w:szCs w:val="28"/>
        </w:rPr>
        <w:t>después del cierre de la discusión de cualquier proposición, esta debe leerse integralmente antes de proceder a la votación. Sostienen que</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al no realizarse una lectura completa y efectiva de las modif</w:t>
      </w:r>
      <w:r w:rsidRPr="00E4401D">
        <w:rPr>
          <w:rFonts w:ascii="Times New Roman" w:hAnsi="Times New Roman" w:cs="Times New Roman"/>
          <w:sz w:val="28"/>
          <w:szCs w:val="28"/>
        </w:rPr>
        <w:t>icaciones propuestas, se indujo a error a los senadores en la sesión plenaria.</w:t>
      </w:r>
    </w:p>
    <w:p w:rsidR="006139D5" w:rsidRPr="00E4401D" w:rsidRDefault="00E4401D" w:rsidP="006139D5">
      <w:pPr>
        <w:pStyle w:val="Prrafodelista"/>
        <w:tabs>
          <w:tab w:val="left" w:pos="540"/>
        </w:tabs>
        <w:ind w:left="0"/>
        <w:mirrorIndents/>
        <w:jc w:val="both"/>
        <w:rPr>
          <w:rFonts w:ascii="Times New Roman" w:hAnsi="Times New Roman" w:cs="Times New Roman"/>
          <w:sz w:val="28"/>
          <w:szCs w:val="28"/>
        </w:rPr>
      </w:pPr>
    </w:p>
    <w:p w:rsidR="00575ED8"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Por otro lado, las intervenciones que defienden la exequibilidad de la norma afirman</w:t>
      </w:r>
      <w:r w:rsidRPr="00E4401D">
        <w:rPr>
          <w:rFonts w:ascii="Times New Roman" w:hAnsi="Times New Roman" w:cs="Times New Roman"/>
          <w:sz w:val="28"/>
          <w:szCs w:val="28"/>
        </w:rPr>
        <w:t xml:space="preserve"> que </w:t>
      </w:r>
      <w:r w:rsidRPr="00E4401D">
        <w:rPr>
          <w:rFonts w:ascii="Times New Roman" w:hAnsi="Times New Roman" w:cs="Times New Roman"/>
          <w:sz w:val="28"/>
          <w:szCs w:val="28"/>
        </w:rPr>
        <w:t>el trámite legislativo cumplió con todos los requisitos constitucionales y legales</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Apuntan </w:t>
      </w:r>
      <w:r w:rsidRPr="00E4401D">
        <w:rPr>
          <w:rFonts w:ascii="Times New Roman" w:hAnsi="Times New Roman" w:cs="Times New Roman"/>
          <w:sz w:val="28"/>
          <w:szCs w:val="28"/>
        </w:rPr>
        <w:t>que los senadores tuvieron conocimiento del contenido de las proposiciones antes de la votación del texto definitivo</w:t>
      </w:r>
      <w:r w:rsidRPr="00E4401D">
        <w:rPr>
          <w:rFonts w:ascii="Times New Roman" w:hAnsi="Times New Roman" w:cs="Times New Roman"/>
          <w:sz w:val="28"/>
          <w:szCs w:val="28"/>
        </w:rPr>
        <w:t>, a través de la Gaceta</w:t>
      </w:r>
      <w:r w:rsidRPr="00E4401D">
        <w:rPr>
          <w:rFonts w:ascii="Times New Roman" w:hAnsi="Times New Roman" w:cs="Times New Roman"/>
          <w:sz w:val="28"/>
          <w:szCs w:val="28"/>
        </w:rPr>
        <w:t xml:space="preserve"> del Congreso</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la </w:t>
      </w:r>
      <w:r w:rsidRPr="00E4401D">
        <w:rPr>
          <w:rFonts w:ascii="Times New Roman" w:hAnsi="Times New Roman" w:cs="Times New Roman"/>
          <w:sz w:val="28"/>
          <w:szCs w:val="28"/>
        </w:rPr>
        <w:t>publicación en la página web de las cámaras</w:t>
      </w:r>
      <w:r w:rsidRPr="00E4401D">
        <w:rPr>
          <w:rFonts w:ascii="Times New Roman" w:hAnsi="Times New Roman" w:cs="Times New Roman"/>
          <w:sz w:val="28"/>
          <w:szCs w:val="28"/>
        </w:rPr>
        <w:t xml:space="preserve"> y la explicación </w:t>
      </w:r>
      <w:r w:rsidRPr="00E4401D">
        <w:rPr>
          <w:rFonts w:ascii="Times New Roman" w:hAnsi="Times New Roman" w:cs="Times New Roman"/>
          <w:sz w:val="28"/>
          <w:szCs w:val="28"/>
        </w:rPr>
        <w:t>oral</w:t>
      </w:r>
      <w:r w:rsidRPr="00E4401D">
        <w:rPr>
          <w:rFonts w:ascii="Times New Roman" w:hAnsi="Times New Roman" w:cs="Times New Roman"/>
          <w:sz w:val="28"/>
          <w:szCs w:val="28"/>
        </w:rPr>
        <w:t xml:space="preserve"> durante las sesiones plenarias, </w:t>
      </w:r>
      <w:r w:rsidRPr="00E4401D">
        <w:rPr>
          <w:rFonts w:ascii="Times New Roman" w:hAnsi="Times New Roman" w:cs="Times New Roman"/>
          <w:sz w:val="28"/>
          <w:szCs w:val="28"/>
        </w:rPr>
        <w:t>lo que permitió un conocimiento suficiente y oportuno de las mismas.</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Además, sostienen que las proposiciones avaladas fueron debatidas con todas las garantías constitucionales</w:t>
      </w:r>
      <w:r w:rsidRPr="00E4401D">
        <w:rPr>
          <w:rFonts w:ascii="Times New Roman" w:hAnsi="Times New Roman" w:cs="Times New Roman"/>
          <w:sz w:val="28"/>
          <w:szCs w:val="28"/>
        </w:rPr>
        <w:t xml:space="preserve"> y con</w:t>
      </w:r>
      <w:r w:rsidRPr="00E4401D">
        <w:rPr>
          <w:rFonts w:ascii="Times New Roman" w:hAnsi="Times New Roman" w:cs="Times New Roman"/>
          <w:sz w:val="28"/>
          <w:szCs w:val="28"/>
        </w:rPr>
        <w:t xml:space="preserve"> la participación de todos los partidos po</w:t>
      </w:r>
      <w:r w:rsidRPr="00E4401D">
        <w:rPr>
          <w:rFonts w:ascii="Times New Roman" w:hAnsi="Times New Roman" w:cs="Times New Roman"/>
          <w:sz w:val="28"/>
          <w:szCs w:val="28"/>
        </w:rPr>
        <w:t>líticos.</w:t>
      </w:r>
    </w:p>
    <w:p w:rsidR="006139D5" w:rsidRPr="00E4401D" w:rsidRDefault="00E4401D" w:rsidP="006139D5">
      <w:pPr>
        <w:pStyle w:val="Prrafodelista"/>
        <w:rPr>
          <w:rFonts w:ascii="Times New Roman" w:hAnsi="Times New Roman" w:cs="Times New Roman"/>
          <w:sz w:val="28"/>
          <w:szCs w:val="28"/>
        </w:rPr>
      </w:pPr>
    </w:p>
    <w:p w:rsidR="006139D5"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Con base en lo anterior</w:t>
      </w:r>
      <w:r w:rsidRPr="00E4401D">
        <w:rPr>
          <w:rFonts w:ascii="Times New Roman" w:hAnsi="Times New Roman" w:cs="Times New Roman"/>
          <w:sz w:val="28"/>
          <w:szCs w:val="28"/>
        </w:rPr>
        <w:t>, corresponde a la Sala Plena resolver el siguiente problema jurídico:</w:t>
      </w:r>
    </w:p>
    <w:p w:rsidR="0090141F" w:rsidRPr="00E4401D" w:rsidRDefault="00E4401D" w:rsidP="0090141F">
      <w:pPr>
        <w:pStyle w:val="Prrafodelista"/>
        <w:rPr>
          <w:rFonts w:ascii="Times New Roman" w:hAnsi="Times New Roman" w:cs="Times New Roman"/>
          <w:sz w:val="28"/>
          <w:szCs w:val="28"/>
        </w:rPr>
      </w:pPr>
    </w:p>
    <w:p w:rsidR="0090141F" w:rsidRPr="00E4401D" w:rsidRDefault="00E4401D" w:rsidP="00DF4372">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¿El Congreso de la República vulneró</w:t>
      </w:r>
      <w:r w:rsidRPr="00E4401D">
        <w:rPr>
          <w:rFonts w:ascii="Times New Roman" w:hAnsi="Times New Roman" w:cs="Times New Roman"/>
          <w:sz w:val="28"/>
          <w:szCs w:val="28"/>
        </w:rPr>
        <w:t xml:space="preserve"> el principio de publicidad previsto en el </w:t>
      </w:r>
      <w:r w:rsidRPr="00E4401D">
        <w:rPr>
          <w:rFonts w:ascii="Times New Roman" w:hAnsi="Times New Roman" w:cs="Times New Roman"/>
          <w:sz w:val="28"/>
          <w:szCs w:val="28"/>
        </w:rPr>
        <w:t xml:space="preserve">artículo 157 de la Constitución Política al aprobar </w:t>
      </w:r>
      <w:r w:rsidRPr="00E4401D">
        <w:rPr>
          <w:rFonts w:ascii="Times New Roman" w:hAnsi="Times New Roman" w:cs="Times New Roman"/>
          <w:sz w:val="28"/>
          <w:szCs w:val="28"/>
        </w:rPr>
        <w:t xml:space="preserve">los apartados de </w:t>
      </w:r>
      <w:r w:rsidRPr="00E4401D">
        <w:rPr>
          <w:rFonts w:ascii="Times New Roman" w:hAnsi="Times New Roman" w:cs="Times New Roman"/>
          <w:sz w:val="28"/>
          <w:szCs w:val="28"/>
        </w:rPr>
        <w:t>los</w:t>
      </w:r>
      <w:r w:rsidRPr="00E4401D">
        <w:rPr>
          <w:rFonts w:ascii="Times New Roman" w:hAnsi="Times New Roman" w:cs="Times New Roman"/>
          <w:sz w:val="28"/>
          <w:szCs w:val="28"/>
        </w:rPr>
        <w:t xml:space="preserve"> artículos 5, 61, 28</w:t>
      </w:r>
      <w:r w:rsidRPr="00E4401D">
        <w:rPr>
          <w:rFonts w:ascii="Times New Roman" w:hAnsi="Times New Roman" w:cs="Times New Roman"/>
          <w:sz w:val="28"/>
          <w:szCs w:val="28"/>
        </w:rPr>
        <w:t>9</w:t>
      </w:r>
      <w:r w:rsidRPr="00E4401D">
        <w:rPr>
          <w:rFonts w:ascii="Times New Roman" w:hAnsi="Times New Roman" w:cs="Times New Roman"/>
          <w:sz w:val="28"/>
          <w:szCs w:val="28"/>
        </w:rPr>
        <w:t xml:space="preserve"> y 29</w:t>
      </w:r>
      <w:r w:rsidRPr="00E4401D">
        <w:rPr>
          <w:rFonts w:ascii="Times New Roman" w:hAnsi="Times New Roman" w:cs="Times New Roman"/>
          <w:sz w:val="28"/>
          <w:szCs w:val="28"/>
        </w:rPr>
        <w:t>7</w:t>
      </w:r>
      <w:r w:rsidRPr="00E4401D">
        <w:rPr>
          <w:rFonts w:ascii="Times New Roman" w:hAnsi="Times New Roman" w:cs="Times New Roman"/>
          <w:sz w:val="28"/>
          <w:szCs w:val="28"/>
        </w:rPr>
        <w:t xml:space="preserve"> de la Ley 2294 de 2023</w:t>
      </w:r>
      <w:r w:rsidRPr="00E4401D">
        <w:rPr>
          <w:rFonts w:ascii="Times New Roman" w:hAnsi="Times New Roman" w:cs="Times New Roman"/>
          <w:sz w:val="28"/>
          <w:szCs w:val="28"/>
        </w:rPr>
        <w:t xml:space="preserve"> que fueron incorporados mediante proposiciones durante la sesión plenaria del Senado de la Rep</w:t>
      </w:r>
      <w:r w:rsidRPr="00E4401D">
        <w:rPr>
          <w:rFonts w:ascii="Times New Roman" w:hAnsi="Times New Roman" w:cs="Times New Roman"/>
          <w:sz w:val="28"/>
          <w:szCs w:val="28"/>
        </w:rPr>
        <w:t>ú</w:t>
      </w:r>
      <w:r w:rsidRPr="00E4401D">
        <w:rPr>
          <w:rFonts w:ascii="Times New Roman" w:hAnsi="Times New Roman" w:cs="Times New Roman"/>
          <w:sz w:val="28"/>
          <w:szCs w:val="28"/>
        </w:rPr>
        <w:t>blica?</w:t>
      </w:r>
    </w:p>
    <w:p w:rsidR="00B55929" w:rsidRPr="00E4401D" w:rsidRDefault="00E4401D" w:rsidP="00DF4372">
      <w:pPr>
        <w:pStyle w:val="Prrafodelista"/>
        <w:tabs>
          <w:tab w:val="left" w:pos="540"/>
        </w:tabs>
        <w:ind w:left="0"/>
        <w:mirrorIndents/>
        <w:jc w:val="both"/>
        <w:rPr>
          <w:rFonts w:ascii="Times New Roman" w:hAnsi="Times New Roman" w:cs="Times New Roman"/>
          <w:sz w:val="28"/>
          <w:szCs w:val="28"/>
        </w:rPr>
      </w:pPr>
    </w:p>
    <w:p w:rsidR="003F2FCD" w:rsidRPr="00E4401D" w:rsidRDefault="00E4401D" w:rsidP="00E91CC0">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Para resolver el problema propuesto, la Sala </w:t>
      </w:r>
      <w:r w:rsidRPr="00E4401D">
        <w:rPr>
          <w:rFonts w:ascii="Times New Roman" w:hAnsi="Times New Roman" w:cs="Times New Roman"/>
          <w:i/>
          <w:iCs/>
          <w:sz w:val="28"/>
          <w:szCs w:val="28"/>
        </w:rPr>
        <w:t>(i)</w:t>
      </w:r>
      <w:r w:rsidRPr="00E4401D">
        <w:rPr>
          <w:rFonts w:ascii="Times New Roman" w:hAnsi="Times New Roman" w:cs="Times New Roman"/>
          <w:sz w:val="28"/>
          <w:szCs w:val="28"/>
        </w:rPr>
        <w:t xml:space="preserve"> reiterará la jurisprudencia sobre </w:t>
      </w:r>
      <w:r w:rsidRPr="00E4401D">
        <w:rPr>
          <w:rFonts w:ascii="Times New Roman" w:hAnsi="Times New Roman" w:cs="Times New Roman"/>
          <w:sz w:val="28"/>
          <w:szCs w:val="28"/>
        </w:rPr>
        <w:t xml:space="preserve">el principio de publicidad en tanto condición </w:t>
      </w:r>
      <w:r w:rsidRPr="00E4401D">
        <w:rPr>
          <w:rFonts w:ascii="Times New Roman" w:hAnsi="Times New Roman" w:cs="Times New Roman"/>
          <w:sz w:val="28"/>
          <w:szCs w:val="28"/>
        </w:rPr>
        <w:t>de</w:t>
      </w:r>
      <w:r w:rsidRPr="00E4401D">
        <w:rPr>
          <w:rFonts w:ascii="Times New Roman" w:hAnsi="Times New Roman" w:cs="Times New Roman"/>
          <w:sz w:val="28"/>
          <w:szCs w:val="28"/>
        </w:rPr>
        <w:t xml:space="preserve"> validez del procedimiento legislativo </w:t>
      </w:r>
      <w:r w:rsidRPr="00E4401D">
        <w:rPr>
          <w:rFonts w:ascii="Times New Roman" w:hAnsi="Times New Roman" w:cs="Times New Roman"/>
          <w:sz w:val="28"/>
          <w:szCs w:val="28"/>
        </w:rPr>
        <w:t>y</w:t>
      </w:r>
      <w:r w:rsidRPr="00E4401D">
        <w:rPr>
          <w:rFonts w:ascii="Times New Roman" w:hAnsi="Times New Roman" w:cs="Times New Roman"/>
          <w:sz w:val="28"/>
          <w:szCs w:val="28"/>
        </w:rPr>
        <w:t xml:space="preserve"> la votación de proposiciones; y</w:t>
      </w:r>
      <w:r w:rsidRPr="00E4401D">
        <w:rPr>
          <w:rFonts w:ascii="Times New Roman" w:hAnsi="Times New Roman" w:cs="Times New Roman"/>
          <w:sz w:val="28"/>
          <w:szCs w:val="28"/>
        </w:rPr>
        <w:t xml:space="preserve"> </w:t>
      </w:r>
      <w:r w:rsidRPr="00E4401D">
        <w:rPr>
          <w:rFonts w:ascii="Times New Roman" w:hAnsi="Times New Roman" w:cs="Times New Roman"/>
          <w:i/>
          <w:iCs/>
          <w:sz w:val="28"/>
          <w:szCs w:val="28"/>
        </w:rPr>
        <w:t>(ii)</w:t>
      </w:r>
      <w:r w:rsidRPr="00E4401D">
        <w:rPr>
          <w:rFonts w:ascii="Times New Roman" w:hAnsi="Times New Roman" w:cs="Times New Roman"/>
          <w:sz w:val="28"/>
          <w:szCs w:val="28"/>
        </w:rPr>
        <w:t xml:space="preserve"> solucionará el caso concreto.</w:t>
      </w:r>
    </w:p>
    <w:p w:rsidR="0067182B" w:rsidRPr="00E4401D" w:rsidRDefault="00E4401D" w:rsidP="0067182B">
      <w:pPr>
        <w:pStyle w:val="Prrafodelista"/>
        <w:ind w:left="0"/>
        <w:jc w:val="both"/>
        <w:rPr>
          <w:rFonts w:ascii="Times New Roman" w:hAnsi="Times New Roman" w:cs="Times New Roman"/>
          <w:sz w:val="28"/>
          <w:szCs w:val="28"/>
        </w:rPr>
      </w:pPr>
    </w:p>
    <w:p w:rsidR="0067182B" w:rsidRPr="00E4401D" w:rsidRDefault="00E4401D" w:rsidP="00807ECD">
      <w:pPr>
        <w:pStyle w:val="Ttulo3"/>
        <w:spacing w:before="0"/>
        <w:jc w:val="both"/>
        <w:rPr>
          <w:rFonts w:ascii="Times New Roman" w:hAnsi="Times New Roman" w:cs="Times New Roman"/>
          <w:b/>
          <w:bCs/>
          <w:i/>
          <w:iCs/>
          <w:color w:val="auto"/>
          <w:sz w:val="28"/>
          <w:szCs w:val="28"/>
        </w:rPr>
      </w:pPr>
      <w:r w:rsidRPr="00E4401D">
        <w:rPr>
          <w:rFonts w:ascii="Times New Roman" w:hAnsi="Times New Roman" w:cs="Times New Roman"/>
          <w:b/>
          <w:bCs/>
          <w:i/>
          <w:iCs/>
          <w:color w:val="auto"/>
          <w:sz w:val="28"/>
          <w:szCs w:val="28"/>
          <w:shd w:val="clear" w:color="auto" w:fill="FFFFFF"/>
        </w:rPr>
        <w:t>El principio de publicidad</w:t>
      </w:r>
      <w:r w:rsidRPr="00E4401D">
        <w:rPr>
          <w:rFonts w:ascii="Times New Roman" w:hAnsi="Times New Roman" w:cs="Times New Roman"/>
          <w:b/>
          <w:bCs/>
          <w:i/>
          <w:iCs/>
          <w:color w:val="auto"/>
          <w:sz w:val="28"/>
          <w:szCs w:val="28"/>
          <w:shd w:val="clear" w:color="auto" w:fill="FFFFFF"/>
        </w:rPr>
        <w:t>. Reiteración de jurisprudencia.</w:t>
      </w:r>
    </w:p>
    <w:p w:rsidR="00593249" w:rsidRPr="00E4401D" w:rsidRDefault="00E4401D" w:rsidP="003F2FCD">
      <w:pPr>
        <w:pStyle w:val="Prrafodelista"/>
        <w:tabs>
          <w:tab w:val="left" w:pos="540"/>
        </w:tabs>
        <w:ind w:left="0"/>
        <w:mirrorIndents/>
        <w:jc w:val="both"/>
        <w:rPr>
          <w:rFonts w:ascii="Times New Roman" w:hAnsi="Times New Roman" w:cs="Times New Roman"/>
          <w:sz w:val="28"/>
          <w:szCs w:val="28"/>
        </w:rPr>
      </w:pPr>
    </w:p>
    <w:p w:rsidR="00635FEF" w:rsidRPr="00E4401D" w:rsidRDefault="00E4401D" w:rsidP="00E91CC0">
      <w:pPr>
        <w:pStyle w:val="Prrafodelista"/>
        <w:numPr>
          <w:ilvl w:val="0"/>
          <w:numId w:val="3"/>
        </w:numPr>
        <w:tabs>
          <w:tab w:val="left" w:pos="540"/>
          <w:tab w:val="num" w:pos="1080"/>
        </w:tabs>
        <w:ind w:left="0" w:firstLine="0"/>
        <w:mirrorIndents/>
        <w:jc w:val="both"/>
        <w:rPr>
          <w:rFonts w:ascii="Times New Roman" w:hAnsi="Times New Roman" w:cs="Times New Roman"/>
          <w:b/>
          <w:bCs/>
          <w:sz w:val="28"/>
          <w:szCs w:val="28"/>
        </w:rPr>
      </w:pPr>
      <w:r w:rsidRPr="00E4401D">
        <w:rPr>
          <w:rFonts w:ascii="Times New Roman" w:hAnsi="Times New Roman" w:cs="Times New Roman"/>
          <w:sz w:val="28"/>
          <w:szCs w:val="28"/>
        </w:rPr>
        <w:t>L</w:t>
      </w:r>
      <w:r w:rsidRPr="00E4401D">
        <w:rPr>
          <w:rFonts w:ascii="Times New Roman" w:hAnsi="Times New Roman" w:cs="Times New Roman"/>
          <w:sz w:val="28"/>
          <w:szCs w:val="28"/>
        </w:rPr>
        <w:t xml:space="preserve">a capacidad del Congreso </w:t>
      </w:r>
      <w:r w:rsidRPr="00E4401D">
        <w:rPr>
          <w:rFonts w:ascii="Times New Roman" w:hAnsi="Times New Roman" w:cs="Times New Roman"/>
          <w:sz w:val="28"/>
          <w:szCs w:val="28"/>
        </w:rPr>
        <w:t>de la Rep</w:t>
      </w:r>
      <w:r w:rsidRPr="00E4401D">
        <w:rPr>
          <w:rFonts w:ascii="Times New Roman" w:hAnsi="Times New Roman" w:cs="Times New Roman"/>
          <w:sz w:val="28"/>
          <w:szCs w:val="28"/>
        </w:rPr>
        <w:t>ú</w:t>
      </w:r>
      <w:r w:rsidRPr="00E4401D">
        <w:rPr>
          <w:rFonts w:ascii="Times New Roman" w:hAnsi="Times New Roman" w:cs="Times New Roman"/>
          <w:sz w:val="28"/>
          <w:szCs w:val="28"/>
        </w:rPr>
        <w:t xml:space="preserve">blica para deliberar </w:t>
      </w:r>
      <w:r w:rsidRPr="00E4401D">
        <w:rPr>
          <w:rFonts w:ascii="Times New Roman" w:hAnsi="Times New Roman" w:cs="Times New Roman"/>
          <w:sz w:val="28"/>
          <w:szCs w:val="28"/>
        </w:rPr>
        <w:t xml:space="preserve">es esencial </w:t>
      </w:r>
      <w:r w:rsidRPr="00E4401D">
        <w:rPr>
          <w:rFonts w:ascii="Times New Roman" w:hAnsi="Times New Roman" w:cs="Times New Roman"/>
          <w:sz w:val="28"/>
          <w:szCs w:val="28"/>
        </w:rPr>
        <w:t xml:space="preserve">para </w:t>
      </w:r>
      <w:r w:rsidRPr="00E4401D">
        <w:rPr>
          <w:rFonts w:ascii="Times New Roman" w:hAnsi="Times New Roman" w:cs="Times New Roman"/>
          <w:sz w:val="28"/>
          <w:szCs w:val="28"/>
        </w:rPr>
        <w:t xml:space="preserve">el ejercicio de </w:t>
      </w:r>
      <w:r w:rsidRPr="00E4401D">
        <w:rPr>
          <w:rFonts w:ascii="Times New Roman" w:hAnsi="Times New Roman" w:cs="Times New Roman"/>
          <w:sz w:val="28"/>
          <w:szCs w:val="28"/>
        </w:rPr>
        <w:t>la función legislativa</w:t>
      </w:r>
      <w:r w:rsidRPr="00E4401D">
        <w:rPr>
          <w:rFonts w:ascii="Times New Roman" w:hAnsi="Times New Roman" w:cs="Times New Roman"/>
          <w:sz w:val="28"/>
          <w:szCs w:val="28"/>
          <w:vertAlign w:val="superscript"/>
        </w:rPr>
        <w:footnoteReference w:id="21"/>
      </w:r>
      <w:r w:rsidRPr="00E4401D">
        <w:rPr>
          <w:rFonts w:ascii="Times New Roman" w:hAnsi="Times New Roman" w:cs="Times New Roman"/>
          <w:sz w:val="28"/>
          <w:szCs w:val="28"/>
        </w:rPr>
        <w:t xml:space="preserve">, y se erige </w:t>
      </w:r>
      <w:r w:rsidRPr="00E4401D">
        <w:rPr>
          <w:rFonts w:ascii="Times New Roman" w:hAnsi="Times New Roman" w:cs="Times New Roman"/>
          <w:sz w:val="28"/>
          <w:szCs w:val="28"/>
        </w:rPr>
        <w:t>como</w:t>
      </w:r>
      <w:r w:rsidRPr="00E4401D">
        <w:rPr>
          <w:rFonts w:ascii="Times New Roman" w:hAnsi="Times New Roman" w:cs="Times New Roman"/>
          <w:sz w:val="28"/>
          <w:szCs w:val="28"/>
        </w:rPr>
        <w:t xml:space="preserve"> una manifestación de la autonomía de la Rama Legislativa</w:t>
      </w:r>
      <w:r w:rsidRPr="00E4401D">
        <w:rPr>
          <w:rStyle w:val="Refdenotaalpie"/>
          <w:rFonts w:ascii="Times New Roman" w:hAnsi="Times New Roman" w:cs="Times New Roman"/>
          <w:sz w:val="28"/>
          <w:szCs w:val="28"/>
        </w:rPr>
        <w:footnoteReference w:id="22"/>
      </w:r>
      <w:r w:rsidRPr="00E4401D">
        <w:rPr>
          <w:rFonts w:ascii="Times New Roman" w:hAnsi="Times New Roman" w:cs="Times New Roman"/>
          <w:sz w:val="28"/>
          <w:szCs w:val="28"/>
        </w:rPr>
        <w:t xml:space="preserve"> del poder público</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Para</w:t>
      </w:r>
      <w:r w:rsidRPr="00E4401D">
        <w:rPr>
          <w:rFonts w:ascii="Times New Roman" w:hAnsi="Times New Roman" w:cs="Times New Roman"/>
          <w:color w:val="000000" w:themeColor="text1"/>
          <w:sz w:val="28"/>
          <w:szCs w:val="28"/>
        </w:rPr>
        <w:t xml:space="preserve"> l</w:t>
      </w:r>
      <w:r w:rsidRPr="00E4401D">
        <w:rPr>
          <w:rFonts w:ascii="Times New Roman" w:hAnsi="Times New Roman" w:cs="Times New Roman"/>
          <w:color w:val="000000" w:themeColor="text1"/>
          <w:sz w:val="28"/>
          <w:szCs w:val="28"/>
        </w:rPr>
        <w:t xml:space="preserve">a correcta formación de la voluntad </w:t>
      </w:r>
      <w:r w:rsidRPr="00E4401D">
        <w:rPr>
          <w:rFonts w:ascii="Times New Roman" w:hAnsi="Times New Roman" w:cs="Times New Roman"/>
          <w:color w:val="000000" w:themeColor="text1"/>
          <w:sz w:val="28"/>
          <w:szCs w:val="28"/>
        </w:rPr>
        <w:t xml:space="preserve">democrática del Congreso de la República </w:t>
      </w:r>
      <w:r w:rsidRPr="00E4401D">
        <w:rPr>
          <w:rFonts w:ascii="Times New Roman" w:hAnsi="Times New Roman" w:cs="Times New Roman"/>
          <w:color w:val="000000" w:themeColor="text1"/>
          <w:sz w:val="28"/>
          <w:szCs w:val="28"/>
        </w:rPr>
        <w:t>c</w:t>
      </w:r>
      <w:r w:rsidRPr="00E4401D">
        <w:rPr>
          <w:rFonts w:ascii="Times New Roman" w:hAnsi="Times New Roman" w:cs="Times New Roman"/>
          <w:color w:val="000000" w:themeColor="text1"/>
          <w:sz w:val="28"/>
          <w:szCs w:val="28"/>
        </w:rPr>
        <w:t>oncurren</w:t>
      </w:r>
      <w:r w:rsidRPr="00E4401D">
        <w:rPr>
          <w:rFonts w:ascii="Times New Roman" w:hAnsi="Times New Roman" w:cs="Times New Roman"/>
          <w:color w:val="000000" w:themeColor="text1"/>
          <w:sz w:val="28"/>
          <w:szCs w:val="28"/>
        </w:rPr>
        <w:t xml:space="preserve"> varios supuestos de racionalidad deliberativa y decisoria</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 xml:space="preserve">entre ellos </w:t>
      </w:r>
      <w:r w:rsidRPr="00E4401D">
        <w:rPr>
          <w:rFonts w:ascii="Times New Roman" w:hAnsi="Times New Roman" w:cs="Times New Roman"/>
          <w:color w:val="000000" w:themeColor="text1"/>
          <w:sz w:val="28"/>
          <w:szCs w:val="28"/>
        </w:rPr>
        <w:t xml:space="preserve">el conocimiento </w:t>
      </w:r>
      <w:r w:rsidRPr="00E4401D">
        <w:rPr>
          <w:rFonts w:ascii="Times New Roman" w:hAnsi="Times New Roman" w:cs="Times New Roman"/>
          <w:color w:val="000000" w:themeColor="text1"/>
          <w:sz w:val="28"/>
          <w:szCs w:val="28"/>
        </w:rPr>
        <w:t>de los textos que se someten a discusión y aprobación</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Así, e</w:t>
      </w:r>
      <w:r w:rsidRPr="00E4401D">
        <w:rPr>
          <w:rFonts w:ascii="Times New Roman" w:hAnsi="Times New Roman" w:cs="Times New Roman"/>
          <w:color w:val="000000" w:themeColor="text1"/>
          <w:sz w:val="28"/>
          <w:szCs w:val="28"/>
        </w:rPr>
        <w:t>l principio de publicidad es</w:t>
      </w:r>
      <w:r w:rsidRPr="00E4401D">
        <w:rPr>
          <w:rFonts w:ascii="Times New Roman" w:hAnsi="Times New Roman" w:cs="Times New Roman"/>
          <w:color w:val="000000" w:themeColor="text1"/>
          <w:sz w:val="28"/>
          <w:szCs w:val="28"/>
        </w:rPr>
        <w:t xml:space="preserve"> una garantía institucional</w:t>
      </w:r>
      <w:r w:rsidRPr="00E4401D">
        <w:rPr>
          <w:rFonts w:ascii="Times New Roman" w:hAnsi="Times New Roman" w:cs="Times New Roman"/>
          <w:color w:val="000000" w:themeColor="text1"/>
          <w:sz w:val="28"/>
          <w:szCs w:val="28"/>
        </w:rPr>
        <w:t xml:space="preserve"> transversal a todo el procedimiento legislativo</w:t>
      </w:r>
      <w:r w:rsidRPr="00E4401D">
        <w:rPr>
          <w:rStyle w:val="Refdenotaalpie"/>
          <w:rFonts w:ascii="Times New Roman" w:eastAsiaTheme="majorEastAsia" w:hAnsi="Times New Roman" w:cs="Times New Roman"/>
          <w:color w:val="000000" w:themeColor="text1"/>
          <w:sz w:val="28"/>
          <w:szCs w:val="28"/>
        </w:rPr>
        <w:footnoteReference w:id="23"/>
      </w:r>
      <w:r w:rsidRPr="00E4401D">
        <w:rPr>
          <w:rFonts w:ascii="Times New Roman" w:hAnsi="Times New Roman" w:cs="Times New Roman"/>
          <w:color w:val="000000" w:themeColor="text1"/>
          <w:sz w:val="28"/>
          <w:szCs w:val="28"/>
        </w:rPr>
        <w:t xml:space="preserve"> y </w:t>
      </w:r>
      <w:r w:rsidRPr="00E4401D">
        <w:rPr>
          <w:rFonts w:ascii="Times New Roman" w:hAnsi="Times New Roman" w:cs="Times New Roman"/>
          <w:color w:val="000000" w:themeColor="text1"/>
          <w:sz w:val="28"/>
          <w:szCs w:val="28"/>
        </w:rPr>
        <w:t xml:space="preserve">es crucial </w:t>
      </w:r>
      <w:r w:rsidRPr="00E4401D">
        <w:rPr>
          <w:rFonts w:ascii="Times New Roman" w:hAnsi="Times New Roman" w:cs="Times New Roman"/>
          <w:color w:val="000000" w:themeColor="text1"/>
          <w:sz w:val="28"/>
          <w:szCs w:val="28"/>
        </w:rPr>
        <w:t>para la deliberación democrática</w:t>
      </w:r>
      <w:r w:rsidRPr="00E4401D">
        <w:rPr>
          <w:rStyle w:val="Refdenotaalpie"/>
          <w:rFonts w:ascii="Times New Roman" w:hAnsi="Times New Roman" w:cs="Times New Roman"/>
          <w:color w:val="000000" w:themeColor="text1"/>
          <w:sz w:val="28"/>
          <w:szCs w:val="28"/>
        </w:rPr>
        <w:footnoteReference w:id="24"/>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 xml:space="preserve">pues </w:t>
      </w:r>
      <w:r w:rsidRPr="00E4401D">
        <w:rPr>
          <w:rFonts w:ascii="Times New Roman" w:hAnsi="Times New Roman" w:cs="Times New Roman"/>
          <w:color w:val="000000" w:themeColor="text1"/>
          <w:sz w:val="28"/>
          <w:szCs w:val="28"/>
        </w:rPr>
        <w:t>asegura</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que cada congresista pueda formar un criterio informado</w:t>
      </w:r>
      <w:r w:rsidRPr="00E4401D">
        <w:rPr>
          <w:rFonts w:ascii="Times New Roman" w:hAnsi="Times New Roman" w:cs="Times New Roman"/>
          <w:color w:val="000000" w:themeColor="text1"/>
          <w:sz w:val="28"/>
          <w:szCs w:val="28"/>
        </w:rPr>
        <w:t xml:space="preserve"> al momento de votar</w:t>
      </w:r>
      <w:r w:rsidRPr="00E4401D">
        <w:rPr>
          <w:rFonts w:ascii="Times New Roman" w:hAnsi="Times New Roman" w:cs="Times New Roman"/>
          <w:color w:val="000000" w:themeColor="text1"/>
          <w:sz w:val="28"/>
          <w:szCs w:val="28"/>
        </w:rPr>
        <w:t>.</w:t>
      </w:r>
    </w:p>
    <w:p w:rsidR="00C52575" w:rsidRPr="00E4401D" w:rsidRDefault="00E4401D" w:rsidP="00C52575">
      <w:pPr>
        <w:pStyle w:val="Prrafodelista"/>
        <w:tabs>
          <w:tab w:val="left" w:pos="540"/>
        </w:tabs>
        <w:ind w:left="0"/>
        <w:mirrorIndents/>
        <w:jc w:val="both"/>
        <w:rPr>
          <w:rFonts w:ascii="Times New Roman" w:hAnsi="Times New Roman" w:cs="Times New Roman"/>
          <w:b/>
          <w:bCs/>
          <w:sz w:val="28"/>
          <w:szCs w:val="28"/>
        </w:rPr>
      </w:pPr>
    </w:p>
    <w:p w:rsidR="00C52575" w:rsidRPr="00E4401D" w:rsidRDefault="00E4401D" w:rsidP="00E91CC0">
      <w:pPr>
        <w:pStyle w:val="Prrafodelista"/>
        <w:numPr>
          <w:ilvl w:val="0"/>
          <w:numId w:val="3"/>
        </w:numPr>
        <w:tabs>
          <w:tab w:val="left" w:pos="540"/>
          <w:tab w:val="num" w:pos="1080"/>
        </w:tabs>
        <w:ind w:left="0" w:firstLine="0"/>
        <w:mirrorIndents/>
        <w:jc w:val="both"/>
        <w:rPr>
          <w:rFonts w:ascii="Times New Roman" w:hAnsi="Times New Roman" w:cs="Times New Roman"/>
          <w:b/>
          <w:bCs/>
          <w:sz w:val="28"/>
          <w:szCs w:val="28"/>
        </w:rPr>
      </w:pPr>
      <w:r w:rsidRPr="00E4401D">
        <w:rPr>
          <w:rFonts w:ascii="Times New Roman" w:hAnsi="Times New Roman" w:cs="Times New Roman"/>
          <w:color w:val="000000" w:themeColor="text1"/>
          <w:sz w:val="28"/>
          <w:szCs w:val="28"/>
        </w:rPr>
        <w:t>Además de ser una herramienta para el funcionamiento de la</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 xml:space="preserve">discusión al interior del órgano legislativo, la publicidad otorga las condiciones necesarias para que los ciudadanos conozcan las leyes en proceso de formación y, de considerarlo procedente, ejerzan </w:t>
      </w:r>
      <w:r w:rsidRPr="00E4401D">
        <w:rPr>
          <w:rFonts w:ascii="Times New Roman" w:hAnsi="Times New Roman" w:cs="Times New Roman"/>
          <w:i/>
          <w:iCs/>
          <w:color w:val="000000" w:themeColor="text1"/>
          <w:sz w:val="28"/>
          <w:szCs w:val="28"/>
        </w:rPr>
        <w:t>“el control político que tiene</w:t>
      </w:r>
      <w:r w:rsidRPr="00E4401D">
        <w:rPr>
          <w:rFonts w:ascii="Times New Roman" w:hAnsi="Times New Roman" w:cs="Times New Roman"/>
          <w:i/>
          <w:iCs/>
          <w:color w:val="000000" w:themeColor="text1"/>
          <w:sz w:val="28"/>
          <w:szCs w:val="28"/>
        </w:rPr>
        <w:t>n</w:t>
      </w:r>
      <w:r w:rsidRPr="00E4401D">
        <w:rPr>
          <w:rFonts w:ascii="Times New Roman" w:hAnsi="Times New Roman" w:cs="Times New Roman"/>
          <w:i/>
          <w:iCs/>
          <w:color w:val="000000" w:themeColor="text1"/>
          <w:sz w:val="28"/>
          <w:szCs w:val="28"/>
        </w:rPr>
        <w:t xml:space="preserve"> sobre sus representantes</w:t>
      </w:r>
      <w:r w:rsidRPr="00E4401D">
        <w:rPr>
          <w:rFonts w:ascii="Times New Roman" w:hAnsi="Times New Roman" w:cs="Times New Roman"/>
          <w:i/>
          <w:iCs/>
          <w:color w:val="000000" w:themeColor="text1"/>
          <w:sz w:val="28"/>
          <w:szCs w:val="28"/>
        </w:rPr>
        <w:t>”</w:t>
      </w:r>
      <w:r w:rsidRPr="00E4401D">
        <w:rPr>
          <w:rStyle w:val="Refdenotaalpie"/>
          <w:rFonts w:ascii="Times New Roman" w:eastAsiaTheme="majorEastAsia" w:hAnsi="Times New Roman" w:cs="Times New Roman"/>
          <w:color w:val="000000" w:themeColor="text1"/>
          <w:sz w:val="28"/>
          <w:szCs w:val="28"/>
        </w:rPr>
        <w:footnoteReference w:id="25"/>
      </w:r>
      <w:r w:rsidRPr="00E4401D">
        <w:rPr>
          <w:rFonts w:ascii="Times New Roman" w:hAnsi="Times New Roman" w:cs="Times New Roman"/>
          <w:color w:val="000000" w:themeColor="text1"/>
          <w:sz w:val="28"/>
          <w:szCs w:val="28"/>
        </w:rPr>
        <w:t>.</w:t>
      </w:r>
    </w:p>
    <w:p w:rsidR="00635FEF" w:rsidRPr="00E4401D" w:rsidRDefault="00E4401D" w:rsidP="00635FEF">
      <w:pPr>
        <w:pStyle w:val="Prrafodelista"/>
        <w:tabs>
          <w:tab w:val="left" w:pos="540"/>
        </w:tabs>
        <w:ind w:left="0"/>
        <w:mirrorIndents/>
        <w:jc w:val="both"/>
        <w:rPr>
          <w:rFonts w:ascii="Times New Roman" w:hAnsi="Times New Roman" w:cs="Times New Roman"/>
          <w:b/>
          <w:bCs/>
          <w:sz w:val="28"/>
          <w:szCs w:val="28"/>
        </w:rPr>
      </w:pPr>
    </w:p>
    <w:p w:rsidR="00411E6A" w:rsidRPr="00E4401D" w:rsidRDefault="00E4401D" w:rsidP="00E91CC0">
      <w:pPr>
        <w:pStyle w:val="Prrafodelista"/>
        <w:numPr>
          <w:ilvl w:val="0"/>
          <w:numId w:val="3"/>
        </w:numPr>
        <w:tabs>
          <w:tab w:val="left" w:pos="540"/>
          <w:tab w:val="num" w:pos="1080"/>
        </w:tabs>
        <w:ind w:left="0" w:firstLine="0"/>
        <w:mirrorIndents/>
        <w:jc w:val="both"/>
        <w:rPr>
          <w:rFonts w:ascii="Times New Roman" w:hAnsi="Times New Roman" w:cs="Times New Roman"/>
          <w:b/>
          <w:bCs/>
          <w:sz w:val="28"/>
          <w:szCs w:val="28"/>
        </w:rPr>
      </w:pPr>
      <w:r w:rsidRPr="00E4401D">
        <w:rPr>
          <w:rFonts w:ascii="Times New Roman" w:hAnsi="Times New Roman" w:cs="Times New Roman"/>
          <w:sz w:val="28"/>
          <w:szCs w:val="28"/>
        </w:rPr>
        <w:t>De esa forma</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la publicidad se erige como una condición constitucional necesaria para la participación de los congresistas en el debate y la aprobación de un texto legal</w:t>
      </w:r>
      <w:r w:rsidRPr="00E4401D">
        <w:rPr>
          <w:rFonts w:ascii="Times New Roman" w:hAnsi="Times New Roman" w:cs="Times New Roman"/>
          <w:sz w:val="28"/>
          <w:szCs w:val="28"/>
        </w:rPr>
        <w:t xml:space="preserve">, así como para el ejercicio del control político al que tienen derecho todos los </w:t>
      </w:r>
      <w:r w:rsidRPr="00E4401D">
        <w:rPr>
          <w:rFonts w:ascii="Times New Roman" w:hAnsi="Times New Roman" w:cs="Times New Roman"/>
          <w:sz w:val="28"/>
          <w:szCs w:val="28"/>
        </w:rPr>
        <w:t>ciudadanos</w:t>
      </w:r>
      <w:r w:rsidRPr="00E4401D">
        <w:rPr>
          <w:rFonts w:ascii="Times New Roman" w:hAnsi="Times New Roman" w:cs="Times New Roman"/>
          <w:sz w:val="28"/>
          <w:szCs w:val="28"/>
        </w:rPr>
        <w:t>. La finalidad de</w:t>
      </w:r>
      <w:r w:rsidRPr="00E4401D">
        <w:rPr>
          <w:rFonts w:ascii="Times New Roman" w:hAnsi="Times New Roman" w:cs="Times New Roman"/>
          <w:sz w:val="28"/>
          <w:szCs w:val="28"/>
        </w:rPr>
        <w:t>l</w:t>
      </w:r>
      <w:r w:rsidRPr="00E4401D">
        <w:rPr>
          <w:rFonts w:ascii="Times New Roman" w:hAnsi="Times New Roman" w:cs="Times New Roman"/>
          <w:sz w:val="28"/>
          <w:szCs w:val="28"/>
        </w:rPr>
        <w:t xml:space="preserve"> principio</w:t>
      </w:r>
      <w:r w:rsidRPr="00E4401D">
        <w:rPr>
          <w:rFonts w:ascii="Times New Roman" w:hAnsi="Times New Roman" w:cs="Times New Roman"/>
          <w:sz w:val="28"/>
          <w:szCs w:val="28"/>
        </w:rPr>
        <w:t xml:space="preserve"> de publicidad</w:t>
      </w:r>
      <w:r w:rsidRPr="00E4401D">
        <w:rPr>
          <w:rFonts w:ascii="Times New Roman" w:hAnsi="Times New Roman" w:cs="Times New Roman"/>
          <w:sz w:val="28"/>
          <w:szCs w:val="28"/>
        </w:rPr>
        <w:t xml:space="preserve"> es</w:t>
      </w:r>
      <w:r w:rsidRPr="00E4401D">
        <w:rPr>
          <w:rFonts w:ascii="Times New Roman" w:hAnsi="Times New Roman" w:cs="Times New Roman"/>
          <w:color w:val="000000" w:themeColor="text1"/>
          <w:sz w:val="28"/>
          <w:szCs w:val="28"/>
        </w:rPr>
        <w:t xml:space="preserve"> asegurar que los miembros de las cámaras </w:t>
      </w:r>
      <w:r w:rsidRPr="00E4401D">
        <w:rPr>
          <w:rFonts w:ascii="Times New Roman" w:hAnsi="Times New Roman" w:cs="Times New Roman"/>
          <w:sz w:val="28"/>
          <w:szCs w:val="28"/>
        </w:rPr>
        <w:t xml:space="preserve">tengan un conocimiento previo y suficiente de los textos sometidos a su consideración, para que el debate sea efectivo. Si el objeto del debate, es decir, el proyecto o proposición, no es conocido por los congresistas, no puede haber un verdadero debate o </w:t>
      </w:r>
      <w:r w:rsidRPr="00E4401D">
        <w:rPr>
          <w:rFonts w:ascii="Times New Roman" w:hAnsi="Times New Roman" w:cs="Times New Roman"/>
          <w:sz w:val="28"/>
          <w:szCs w:val="28"/>
        </w:rPr>
        <w:t xml:space="preserve">discusión. El desconocimiento general del proyecto excluye la posibilidad de debate, ya que equivale a la falta de objeto de discusión. </w:t>
      </w:r>
      <w:r w:rsidRPr="00E4401D">
        <w:rPr>
          <w:rFonts w:ascii="Times New Roman" w:hAnsi="Times New Roman" w:cs="Times New Roman"/>
          <w:sz w:val="28"/>
          <w:szCs w:val="28"/>
        </w:rPr>
        <w:t>A su turno</w:t>
      </w:r>
      <w:r w:rsidRPr="00E4401D">
        <w:rPr>
          <w:rFonts w:ascii="Times New Roman" w:hAnsi="Times New Roman" w:cs="Times New Roman"/>
          <w:sz w:val="28"/>
          <w:szCs w:val="28"/>
        </w:rPr>
        <w:t>, la votación sobre un texto desconocido no puede subsanar la falta de debate.</w:t>
      </w:r>
      <w:r w:rsidRPr="00E4401D">
        <w:rPr>
          <w:rStyle w:val="Refdenotaalpie"/>
          <w:rFonts w:ascii="Times New Roman" w:hAnsi="Times New Roman" w:cs="Times New Roman"/>
          <w:sz w:val="28"/>
          <w:szCs w:val="28"/>
        </w:rPr>
        <w:footnoteReference w:id="26"/>
      </w:r>
      <w:r w:rsidRPr="00E4401D">
        <w:rPr>
          <w:rFonts w:ascii="Times New Roman" w:hAnsi="Times New Roman" w:cs="Times New Roman"/>
          <w:sz w:val="28"/>
          <w:szCs w:val="28"/>
        </w:rPr>
        <w:t xml:space="preserve"> </w:t>
      </w:r>
      <w:r w:rsidRPr="00E4401D">
        <w:rPr>
          <w:rFonts w:ascii="Times New Roman" w:hAnsi="Times New Roman" w:cs="Times New Roman"/>
          <w:color w:val="000000" w:themeColor="text1"/>
          <w:sz w:val="28"/>
          <w:szCs w:val="28"/>
          <w:lang w:val="es-ES_tradnl"/>
        </w:rPr>
        <w:t xml:space="preserve">Esto, porque </w:t>
      </w:r>
      <w:r w:rsidRPr="00E4401D">
        <w:rPr>
          <w:rFonts w:ascii="Times New Roman" w:hAnsi="Times New Roman" w:cs="Times New Roman"/>
          <w:color w:val="000000" w:themeColor="text1"/>
          <w:sz w:val="28"/>
          <w:szCs w:val="28"/>
          <w:lang w:val="es-ES_tradnl"/>
        </w:rPr>
        <w:t xml:space="preserve">a </w:t>
      </w:r>
      <w:r w:rsidRPr="00E4401D">
        <w:rPr>
          <w:rFonts w:ascii="Times New Roman" w:hAnsi="Times New Roman" w:cs="Times New Roman"/>
          <w:color w:val="000000" w:themeColor="text1"/>
          <w:sz w:val="28"/>
          <w:szCs w:val="28"/>
          <w:lang w:val="es-ES_tradnl"/>
        </w:rPr>
        <w:t>los legisladore</w:t>
      </w:r>
      <w:r w:rsidRPr="00E4401D">
        <w:rPr>
          <w:rFonts w:ascii="Times New Roman" w:hAnsi="Times New Roman" w:cs="Times New Roman"/>
          <w:color w:val="000000" w:themeColor="text1"/>
          <w:sz w:val="28"/>
          <w:szCs w:val="28"/>
          <w:lang w:val="es-ES_tradnl"/>
        </w:rPr>
        <w:t xml:space="preserve">s les corresponde </w:t>
      </w:r>
      <w:r w:rsidRPr="00E4401D">
        <w:rPr>
          <w:rFonts w:ascii="Times New Roman" w:hAnsi="Times New Roman" w:cs="Times New Roman"/>
          <w:i/>
          <w:iCs/>
          <w:color w:val="000000" w:themeColor="text1"/>
          <w:sz w:val="28"/>
          <w:szCs w:val="28"/>
          <w:lang w:val="es-ES_tradnl"/>
        </w:rPr>
        <w:t xml:space="preserve">“aprobar textos </w:t>
      </w:r>
      <w:r w:rsidRPr="00E4401D">
        <w:rPr>
          <w:rFonts w:ascii="Times New Roman" w:hAnsi="Times New Roman" w:cs="Times New Roman"/>
          <w:color w:val="000000" w:themeColor="text1"/>
          <w:sz w:val="28"/>
          <w:szCs w:val="28"/>
          <w:lang w:val="es-ES_tradnl"/>
        </w:rPr>
        <w:t xml:space="preserve">[determinados], </w:t>
      </w:r>
      <w:r w:rsidRPr="00E4401D">
        <w:rPr>
          <w:rFonts w:ascii="Times New Roman" w:hAnsi="Times New Roman" w:cs="Times New Roman"/>
          <w:i/>
          <w:iCs/>
          <w:color w:val="000000" w:themeColor="text1"/>
          <w:sz w:val="28"/>
          <w:szCs w:val="28"/>
          <w:lang w:val="es-ES_tradnl"/>
        </w:rPr>
        <w:t>conocidos, explícitos, expresos e idénticos, que sólo así pueden devenir en leyes de obligatorio cumplimiento”</w:t>
      </w:r>
      <w:r w:rsidRPr="00E4401D">
        <w:rPr>
          <w:rStyle w:val="Refdenotaalpie"/>
          <w:rFonts w:ascii="Times New Roman" w:eastAsiaTheme="majorEastAsia" w:hAnsi="Times New Roman" w:cs="Times New Roman"/>
          <w:i/>
          <w:iCs/>
          <w:color w:val="000000" w:themeColor="text1"/>
          <w:sz w:val="28"/>
          <w:szCs w:val="28"/>
          <w:lang w:val="es-ES_tradnl"/>
        </w:rPr>
        <w:footnoteReference w:id="27"/>
      </w:r>
      <w:r w:rsidRPr="00E4401D">
        <w:rPr>
          <w:rFonts w:ascii="Times New Roman" w:hAnsi="Times New Roman" w:cs="Times New Roman"/>
          <w:color w:val="000000" w:themeColor="text1"/>
          <w:sz w:val="28"/>
          <w:szCs w:val="28"/>
          <w:lang w:val="es-ES_tradnl"/>
        </w:rPr>
        <w:t xml:space="preserve">. Desde esa perspectiva, entonces, la posibilidad de aprobar textos implícitos, indeterminados </w:t>
      </w:r>
      <w:r w:rsidRPr="00E4401D">
        <w:rPr>
          <w:rFonts w:ascii="Times New Roman" w:hAnsi="Times New Roman" w:cs="Times New Roman"/>
          <w:color w:val="000000" w:themeColor="text1"/>
          <w:sz w:val="28"/>
          <w:szCs w:val="28"/>
          <w:lang w:val="es-ES_tradnl"/>
        </w:rPr>
        <w:t xml:space="preserve">o </w:t>
      </w:r>
      <w:r w:rsidRPr="00E4401D">
        <w:rPr>
          <w:rFonts w:ascii="Times New Roman" w:hAnsi="Times New Roman" w:cs="Times New Roman"/>
          <w:color w:val="000000" w:themeColor="text1"/>
          <w:sz w:val="28"/>
          <w:szCs w:val="28"/>
          <w:lang w:val="es-ES_tradnl"/>
        </w:rPr>
        <w:t>determinables</w:t>
      </w:r>
      <w:r w:rsidRPr="00E4401D">
        <w:rPr>
          <w:rFonts w:ascii="Times New Roman" w:hAnsi="Times New Roman" w:cs="Times New Roman"/>
          <w:color w:val="000000" w:themeColor="text1"/>
          <w:sz w:val="28"/>
          <w:szCs w:val="28"/>
          <w:lang w:val="es-ES_tradnl"/>
        </w:rPr>
        <w:t xml:space="preserve"> resulta completamente ajena a la voluntad del constituyente</w:t>
      </w:r>
      <w:r w:rsidRPr="00E4401D">
        <w:rPr>
          <w:rStyle w:val="Refdenotaalpie"/>
          <w:rFonts w:ascii="Times New Roman" w:eastAsiaTheme="majorEastAsia" w:hAnsi="Times New Roman" w:cs="Times New Roman"/>
          <w:color w:val="000000" w:themeColor="text1"/>
          <w:sz w:val="28"/>
          <w:szCs w:val="28"/>
          <w:lang w:val="es-ES_tradnl"/>
        </w:rPr>
        <w:footnoteReference w:id="28"/>
      </w:r>
      <w:r w:rsidRPr="00E4401D">
        <w:rPr>
          <w:rFonts w:ascii="Times New Roman" w:hAnsi="Times New Roman" w:cs="Times New Roman"/>
          <w:color w:val="000000" w:themeColor="text1"/>
          <w:sz w:val="28"/>
          <w:szCs w:val="28"/>
          <w:lang w:val="es-ES_tradnl"/>
        </w:rPr>
        <w:t xml:space="preserve"> y lesiva del principio </w:t>
      </w:r>
      <w:r w:rsidRPr="00E4401D">
        <w:rPr>
          <w:rFonts w:ascii="Times New Roman" w:hAnsi="Times New Roman" w:cs="Times New Roman"/>
          <w:color w:val="000000" w:themeColor="text1"/>
          <w:sz w:val="28"/>
          <w:szCs w:val="28"/>
          <w:lang w:val="es-ES_tradnl"/>
        </w:rPr>
        <w:t>de publicidad.</w:t>
      </w:r>
    </w:p>
    <w:p w:rsidR="00411E6A" w:rsidRPr="00E4401D" w:rsidRDefault="00E4401D" w:rsidP="00411E6A">
      <w:pPr>
        <w:pStyle w:val="Prrafodelista"/>
        <w:tabs>
          <w:tab w:val="left" w:pos="540"/>
        </w:tabs>
        <w:ind w:left="0"/>
        <w:mirrorIndents/>
        <w:jc w:val="both"/>
        <w:rPr>
          <w:rFonts w:ascii="Times New Roman" w:hAnsi="Times New Roman" w:cs="Times New Roman"/>
          <w:b/>
          <w:bCs/>
          <w:sz w:val="28"/>
          <w:szCs w:val="28"/>
        </w:rPr>
      </w:pPr>
    </w:p>
    <w:p w:rsidR="00AF0C98" w:rsidRPr="00E4401D" w:rsidRDefault="00E4401D" w:rsidP="00E91CC0">
      <w:pPr>
        <w:pStyle w:val="Prrafodelista"/>
        <w:numPr>
          <w:ilvl w:val="0"/>
          <w:numId w:val="3"/>
        </w:numPr>
        <w:tabs>
          <w:tab w:val="left" w:pos="540"/>
          <w:tab w:val="num" w:pos="1080"/>
        </w:tabs>
        <w:ind w:left="0" w:firstLine="0"/>
        <w:mirrorIndents/>
        <w:jc w:val="both"/>
        <w:rPr>
          <w:rFonts w:ascii="Times New Roman" w:hAnsi="Times New Roman" w:cs="Times New Roman"/>
          <w:b/>
          <w:bCs/>
          <w:sz w:val="28"/>
          <w:szCs w:val="28"/>
        </w:rPr>
      </w:pPr>
      <w:r w:rsidRPr="00E4401D">
        <w:rPr>
          <w:rFonts w:ascii="Times New Roman" w:hAnsi="Times New Roman" w:cs="Times New Roman"/>
          <w:sz w:val="28"/>
          <w:szCs w:val="28"/>
        </w:rPr>
        <w:t xml:space="preserve">En este contexto, la Corte ha determinado que el cumplimiento del principio de publicidad está estrechamente relacionado con el principio de consecutividad, específicamente </w:t>
      </w:r>
      <w:r w:rsidRPr="00E4401D">
        <w:rPr>
          <w:rFonts w:ascii="Times New Roman" w:hAnsi="Times New Roman" w:cs="Times New Roman"/>
          <w:sz w:val="28"/>
          <w:szCs w:val="28"/>
        </w:rPr>
        <w:t>con</w:t>
      </w:r>
      <w:r w:rsidRPr="00E4401D">
        <w:rPr>
          <w:rFonts w:ascii="Times New Roman" w:hAnsi="Times New Roman" w:cs="Times New Roman"/>
          <w:sz w:val="28"/>
          <w:szCs w:val="28"/>
        </w:rPr>
        <w:t xml:space="preserve"> la realización efectiva del debate y la votación. Según el artículo 94 del Regl</w:t>
      </w:r>
      <w:r w:rsidRPr="00E4401D">
        <w:rPr>
          <w:rFonts w:ascii="Times New Roman" w:hAnsi="Times New Roman" w:cs="Times New Roman"/>
          <w:sz w:val="28"/>
          <w:szCs w:val="28"/>
        </w:rPr>
        <w:t>amento del Congreso, “[e]</w:t>
      </w:r>
      <w:r w:rsidRPr="00E4401D">
        <w:rPr>
          <w:rFonts w:ascii="Times New Roman" w:hAnsi="Times New Roman" w:cs="Times New Roman"/>
          <w:i/>
          <w:iCs/>
          <w:sz w:val="28"/>
          <w:szCs w:val="28"/>
        </w:rPr>
        <w:t>l sometimiento a discusión de cualquier proposición o proyecto sobre cuya adopción deba resolver la respectiva Corporación, es lo que constituye el debate. El debate empieza al abrirlo el presidente y termina con la votación genera</w:t>
      </w:r>
      <w:r w:rsidRPr="00E4401D">
        <w:rPr>
          <w:rFonts w:ascii="Times New Roman" w:hAnsi="Times New Roman" w:cs="Times New Roman"/>
          <w:i/>
          <w:iCs/>
          <w:sz w:val="28"/>
          <w:szCs w:val="28"/>
        </w:rPr>
        <w:t>l</w:t>
      </w:r>
      <w:r w:rsidRPr="00E4401D">
        <w:rPr>
          <w:rFonts w:ascii="Times New Roman" w:hAnsi="Times New Roman" w:cs="Times New Roman"/>
          <w:sz w:val="28"/>
          <w:szCs w:val="28"/>
        </w:rPr>
        <w:t xml:space="preserve">”. De esta definición, la Corte ha interpretado que el debate y la votación están interrelacionados: el debate tiene como objetivo la discusión de las proposiciones o proyectos, y la votación implica la aprobación o rechazo de las mismas. </w:t>
      </w:r>
      <w:r w:rsidRPr="00E4401D">
        <w:rPr>
          <w:rFonts w:ascii="Times New Roman" w:hAnsi="Times New Roman" w:cs="Times New Roman"/>
          <w:sz w:val="28"/>
          <w:szCs w:val="28"/>
        </w:rPr>
        <w:t>Sin embargo, est</w:t>
      </w:r>
      <w:r w:rsidRPr="00E4401D">
        <w:rPr>
          <w:rFonts w:ascii="Times New Roman" w:hAnsi="Times New Roman" w:cs="Times New Roman"/>
          <w:sz w:val="28"/>
          <w:szCs w:val="28"/>
        </w:rPr>
        <w:t>a relación funcional no significa que los principios de publicidad y consecutividad tengan un contenido normativo idéntico. Cada uno responde a exigencias constitucionales distintas: la publicidad garantiza el conocimiento previo y suficiente de los textos</w:t>
      </w:r>
      <w:r w:rsidRPr="00E4401D">
        <w:rPr>
          <w:rFonts w:ascii="Times New Roman" w:hAnsi="Times New Roman" w:cs="Times New Roman"/>
          <w:sz w:val="28"/>
          <w:szCs w:val="28"/>
        </w:rPr>
        <w:t xml:space="preserve"> sometidos a consideración, mientras que la consecutividad asegura que las deliberaciones y decisiones legislativas sigan un orden lógico y progresivo. Por tanto</w:t>
      </w:r>
      <w:r w:rsidRPr="00E4401D">
        <w:rPr>
          <w:rFonts w:ascii="Times New Roman" w:hAnsi="Times New Roman" w:cs="Times New Roman"/>
          <w:sz w:val="28"/>
          <w:szCs w:val="28"/>
        </w:rPr>
        <w:t>, un requisito lógico para que exista el debate es el conocimiento previo de</w:t>
      </w:r>
      <w:r w:rsidRPr="00E4401D">
        <w:rPr>
          <w:rFonts w:ascii="Times New Roman" w:hAnsi="Times New Roman" w:cs="Times New Roman"/>
          <w:sz w:val="28"/>
          <w:szCs w:val="28"/>
        </w:rPr>
        <w:t xml:space="preserve">l </w:t>
      </w:r>
      <w:r w:rsidRPr="00E4401D">
        <w:rPr>
          <w:rFonts w:ascii="Times New Roman" w:hAnsi="Times New Roman" w:cs="Times New Roman"/>
          <w:sz w:val="28"/>
          <w:szCs w:val="28"/>
        </w:rPr>
        <w:t xml:space="preserve">objeto </w:t>
      </w:r>
      <w:r w:rsidRPr="00E4401D">
        <w:rPr>
          <w:rFonts w:ascii="Times New Roman" w:hAnsi="Times New Roman" w:cs="Times New Roman"/>
          <w:sz w:val="28"/>
          <w:szCs w:val="28"/>
        </w:rPr>
        <w:t xml:space="preserve">a debatir </w:t>
      </w:r>
      <w:r w:rsidRPr="00E4401D">
        <w:rPr>
          <w:rFonts w:ascii="Times New Roman" w:hAnsi="Times New Roman" w:cs="Times New Roman"/>
          <w:sz w:val="28"/>
          <w:szCs w:val="28"/>
        </w:rPr>
        <w:t>—proposiciones o proyectos— por parte de quienes participan en él</w:t>
      </w:r>
      <w:r w:rsidRPr="00E4401D">
        <w:rPr>
          <w:rFonts w:ascii="Times New Roman" w:hAnsi="Times New Roman" w:cs="Times New Roman"/>
          <w:sz w:val="28"/>
          <w:szCs w:val="28"/>
        </w:rPr>
        <w:t xml:space="preserve"> (</w:t>
      </w:r>
      <w:r w:rsidRPr="00E4401D">
        <w:rPr>
          <w:rFonts w:ascii="Times New Roman" w:hAnsi="Times New Roman" w:cs="Times New Roman"/>
          <w:i/>
          <w:iCs/>
          <w:sz w:val="28"/>
          <w:szCs w:val="28"/>
        </w:rPr>
        <w:t xml:space="preserve">i.e. </w:t>
      </w:r>
      <w:r w:rsidRPr="00E4401D">
        <w:rPr>
          <w:rFonts w:ascii="Times New Roman" w:hAnsi="Times New Roman" w:cs="Times New Roman"/>
          <w:sz w:val="28"/>
          <w:szCs w:val="28"/>
        </w:rPr>
        <w:t>publicidad)</w:t>
      </w:r>
      <w:r w:rsidRPr="00E4401D">
        <w:rPr>
          <w:rFonts w:ascii="Times New Roman" w:hAnsi="Times New Roman" w:cs="Times New Roman"/>
          <w:sz w:val="28"/>
          <w:szCs w:val="28"/>
        </w:rPr>
        <w:t>. Por lo tanto</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no puede haber un verdadero debate según los términos del </w:t>
      </w:r>
      <w:r w:rsidRPr="00E4401D">
        <w:rPr>
          <w:rFonts w:ascii="Times New Roman" w:hAnsi="Times New Roman" w:cs="Times New Roman"/>
          <w:sz w:val="28"/>
          <w:szCs w:val="28"/>
        </w:rPr>
        <w:t>r</w:t>
      </w:r>
      <w:r w:rsidRPr="00E4401D">
        <w:rPr>
          <w:rFonts w:ascii="Times New Roman" w:hAnsi="Times New Roman" w:cs="Times New Roman"/>
          <w:sz w:val="28"/>
          <w:szCs w:val="28"/>
        </w:rPr>
        <w:t xml:space="preserve">eglamento del Congreso </w:t>
      </w:r>
      <w:r w:rsidRPr="00E4401D">
        <w:rPr>
          <w:rFonts w:ascii="Times New Roman" w:hAnsi="Times New Roman" w:cs="Times New Roman"/>
          <w:sz w:val="28"/>
          <w:szCs w:val="28"/>
        </w:rPr>
        <w:t xml:space="preserve">de la República </w:t>
      </w:r>
      <w:r w:rsidRPr="00E4401D">
        <w:rPr>
          <w:rFonts w:ascii="Times New Roman" w:hAnsi="Times New Roman" w:cs="Times New Roman"/>
          <w:sz w:val="28"/>
          <w:szCs w:val="28"/>
        </w:rPr>
        <w:t>si los congresistas no conocen previamente el contenido com</w:t>
      </w:r>
      <w:r w:rsidRPr="00E4401D">
        <w:rPr>
          <w:rFonts w:ascii="Times New Roman" w:hAnsi="Times New Roman" w:cs="Times New Roman"/>
          <w:sz w:val="28"/>
          <w:szCs w:val="28"/>
        </w:rPr>
        <w:t>pleto de los proyectos o proposiciones.</w:t>
      </w:r>
      <w:r w:rsidRPr="00E4401D">
        <w:rPr>
          <w:rFonts w:ascii="Times New Roman" w:hAnsi="Times New Roman" w:cs="Times New Roman"/>
          <w:sz w:val="28"/>
          <w:szCs w:val="28"/>
          <w:vertAlign w:val="superscript"/>
        </w:rPr>
        <w:footnoteReference w:id="29"/>
      </w:r>
    </w:p>
    <w:p w:rsidR="00AF0C98" w:rsidRPr="00E4401D" w:rsidRDefault="00E4401D" w:rsidP="00AF0C98">
      <w:pPr>
        <w:pStyle w:val="Prrafodelista"/>
        <w:rPr>
          <w:rFonts w:ascii="Times New Roman" w:hAnsi="Times New Roman" w:cs="Times New Roman"/>
          <w:sz w:val="28"/>
          <w:szCs w:val="28"/>
        </w:rPr>
      </w:pPr>
    </w:p>
    <w:p w:rsidR="002D365C"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Las células legislativas deben debatir todos los temas propuestos en el trámite legislativo. Esto incluye debatir y aprobar o rechazar el articulado presentado para el primer o segundo debate, así como las proposic</w:t>
      </w:r>
      <w:r w:rsidRPr="00E4401D">
        <w:rPr>
          <w:rFonts w:ascii="Times New Roman" w:hAnsi="Times New Roman" w:cs="Times New Roman"/>
          <w:sz w:val="28"/>
          <w:szCs w:val="28"/>
        </w:rPr>
        <w:t>iones que lo modifiquen o adicionen. En términos generales, una irregularidad relacionada con esta obligación puede resultar en la consideración de que se ha incurrido en un vicio de procedimiento por la elusión del debate.</w:t>
      </w:r>
      <w:r w:rsidRPr="00E4401D">
        <w:rPr>
          <w:rFonts w:ascii="Times New Roman" w:eastAsiaTheme="majorEastAsia" w:hAnsi="Times New Roman" w:cs="Times New Roman"/>
          <w:color w:val="000000" w:themeColor="text1"/>
          <w:sz w:val="28"/>
          <w:szCs w:val="28"/>
          <w:lang w:val="es-ES_tradnl"/>
        </w:rPr>
        <w:t xml:space="preserve"> </w:t>
      </w:r>
      <w:r w:rsidRPr="00E4401D">
        <w:rPr>
          <w:rStyle w:val="Refdenotaalpie"/>
          <w:rFonts w:ascii="Times New Roman" w:eastAsiaTheme="majorEastAsia" w:hAnsi="Times New Roman" w:cs="Times New Roman"/>
          <w:color w:val="000000" w:themeColor="text1"/>
          <w:sz w:val="28"/>
          <w:szCs w:val="28"/>
          <w:lang w:val="es-ES_tradnl"/>
        </w:rPr>
        <w:footnoteReference w:id="30"/>
      </w:r>
    </w:p>
    <w:p w:rsidR="002D365C" w:rsidRPr="00E4401D" w:rsidRDefault="00E4401D" w:rsidP="00DC374D">
      <w:pPr>
        <w:pStyle w:val="Prrafodelista"/>
        <w:tabs>
          <w:tab w:val="left" w:pos="540"/>
        </w:tabs>
        <w:ind w:left="360"/>
        <w:mirrorIndents/>
        <w:jc w:val="both"/>
        <w:rPr>
          <w:rFonts w:ascii="Times New Roman" w:hAnsi="Times New Roman" w:cs="Times New Roman"/>
          <w:sz w:val="28"/>
          <w:szCs w:val="28"/>
        </w:rPr>
      </w:pPr>
    </w:p>
    <w:p w:rsidR="00B233E1" w:rsidRPr="00E4401D" w:rsidRDefault="00E4401D" w:rsidP="00E91CC0">
      <w:pPr>
        <w:pStyle w:val="Prrafodelista"/>
        <w:numPr>
          <w:ilvl w:val="0"/>
          <w:numId w:val="3"/>
        </w:numPr>
        <w:tabs>
          <w:tab w:val="left" w:pos="540"/>
          <w:tab w:val="num" w:pos="1080"/>
        </w:tabs>
        <w:ind w:left="0" w:firstLine="0"/>
        <w:mirrorIndents/>
        <w:jc w:val="both"/>
        <w:rPr>
          <w:rFonts w:ascii="Times New Roman" w:hAnsi="Times New Roman" w:cs="Times New Roman"/>
          <w:b/>
          <w:bCs/>
          <w:sz w:val="28"/>
          <w:szCs w:val="28"/>
        </w:rPr>
      </w:pPr>
      <w:r w:rsidRPr="00E4401D">
        <w:rPr>
          <w:rFonts w:ascii="Times New Roman" w:hAnsi="Times New Roman" w:cs="Times New Roman"/>
          <w:sz w:val="28"/>
          <w:szCs w:val="28"/>
        </w:rPr>
        <w:t>Así, l</w:t>
      </w:r>
      <w:r w:rsidRPr="00E4401D">
        <w:rPr>
          <w:rFonts w:ascii="Times New Roman" w:hAnsi="Times New Roman" w:cs="Times New Roman"/>
          <w:sz w:val="28"/>
          <w:szCs w:val="28"/>
        </w:rPr>
        <w:t xml:space="preserve">a violación de las </w:t>
      </w:r>
      <w:r w:rsidRPr="00E4401D">
        <w:rPr>
          <w:rFonts w:ascii="Times New Roman" w:hAnsi="Times New Roman" w:cs="Times New Roman"/>
          <w:sz w:val="28"/>
          <w:szCs w:val="28"/>
        </w:rPr>
        <w:t>normas procedimentales relacionadas con el principio de publicidad</w:t>
      </w:r>
      <w:r w:rsidRPr="00E4401D">
        <w:rPr>
          <w:rFonts w:ascii="Times New Roman" w:hAnsi="Times New Roman" w:cs="Times New Roman"/>
          <w:sz w:val="28"/>
          <w:szCs w:val="28"/>
        </w:rPr>
        <w:t xml:space="preserve"> que </w:t>
      </w:r>
      <w:r w:rsidRPr="00E4401D">
        <w:rPr>
          <w:rFonts w:ascii="Times New Roman" w:hAnsi="Times New Roman" w:cs="Times New Roman"/>
          <w:sz w:val="28"/>
          <w:szCs w:val="28"/>
        </w:rPr>
        <w:t>impi</w:t>
      </w:r>
      <w:r w:rsidRPr="00E4401D">
        <w:rPr>
          <w:rFonts w:ascii="Times New Roman" w:hAnsi="Times New Roman" w:cs="Times New Roman"/>
          <w:sz w:val="28"/>
          <w:szCs w:val="28"/>
        </w:rPr>
        <w:t>da</w:t>
      </w:r>
      <w:r w:rsidRPr="00E4401D">
        <w:rPr>
          <w:rFonts w:ascii="Times New Roman" w:hAnsi="Times New Roman" w:cs="Times New Roman"/>
          <w:sz w:val="28"/>
          <w:szCs w:val="28"/>
        </w:rPr>
        <w:t xml:space="preserve"> que los congresistas tengan un conocimiento efectivo del objeto de discusión implica</w:t>
      </w:r>
      <w:r w:rsidRPr="00E4401D">
        <w:rPr>
          <w:rFonts w:ascii="Times New Roman" w:hAnsi="Times New Roman" w:cs="Times New Roman"/>
          <w:sz w:val="28"/>
          <w:szCs w:val="28"/>
        </w:rPr>
        <w:t>n</w:t>
      </w:r>
      <w:r w:rsidRPr="00E4401D">
        <w:rPr>
          <w:rFonts w:ascii="Times New Roman" w:hAnsi="Times New Roman" w:cs="Times New Roman"/>
          <w:sz w:val="28"/>
          <w:szCs w:val="28"/>
        </w:rPr>
        <w:t xml:space="preserve"> la inexistencia de un debate. Sin embargo, esta conclusión</w:t>
      </w:r>
      <w:r w:rsidRPr="00E4401D">
        <w:rPr>
          <w:rFonts w:ascii="Times New Roman" w:hAnsi="Times New Roman" w:cs="Times New Roman"/>
          <w:sz w:val="28"/>
          <w:szCs w:val="28"/>
        </w:rPr>
        <w:t xml:space="preserve"> tiene l</w:t>
      </w:r>
      <w:r w:rsidRPr="00E4401D">
        <w:rPr>
          <w:rFonts w:ascii="Times New Roman" w:hAnsi="Times New Roman" w:cs="Times New Roman"/>
          <w:sz w:val="28"/>
          <w:szCs w:val="28"/>
        </w:rPr>
        <w:t>os</w:t>
      </w:r>
      <w:r w:rsidRPr="00E4401D">
        <w:rPr>
          <w:rFonts w:ascii="Times New Roman" w:hAnsi="Times New Roman" w:cs="Times New Roman"/>
          <w:sz w:val="28"/>
          <w:szCs w:val="28"/>
        </w:rPr>
        <w:t xml:space="preserve"> siguientes mati</w:t>
      </w:r>
      <w:r w:rsidRPr="00E4401D">
        <w:rPr>
          <w:rFonts w:ascii="Times New Roman" w:hAnsi="Times New Roman" w:cs="Times New Roman"/>
          <w:sz w:val="28"/>
          <w:szCs w:val="28"/>
        </w:rPr>
        <w:t>ces</w:t>
      </w:r>
      <w:r w:rsidRPr="00E4401D">
        <w:rPr>
          <w:rFonts w:ascii="Times New Roman" w:hAnsi="Times New Roman" w:cs="Times New Roman"/>
          <w:sz w:val="28"/>
          <w:szCs w:val="28"/>
        </w:rPr>
        <w:t>: (i)</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las reglas de aprobación de los proyectos no tienen un fin en sí mismas, sino que deben interpretarse conforme a los valores sustantivos que buscan materializar (</w:t>
      </w:r>
      <w:r w:rsidRPr="00E4401D">
        <w:rPr>
          <w:rFonts w:ascii="Times New Roman" w:hAnsi="Times New Roman" w:cs="Times New Roman"/>
          <w:sz w:val="28"/>
          <w:szCs w:val="28"/>
        </w:rPr>
        <w:t>principio de instrumentali</w:t>
      </w:r>
      <w:r w:rsidRPr="00E4401D">
        <w:rPr>
          <w:rFonts w:ascii="Times New Roman" w:hAnsi="Times New Roman" w:cs="Times New Roman"/>
          <w:sz w:val="28"/>
          <w:szCs w:val="28"/>
        </w:rPr>
        <w:t>dad</w:t>
      </w:r>
      <w:r w:rsidRPr="00E4401D">
        <w:rPr>
          <w:rFonts w:ascii="Times New Roman" w:hAnsi="Times New Roman" w:cs="Times New Roman"/>
          <w:sz w:val="28"/>
          <w:szCs w:val="28"/>
        </w:rPr>
        <w:t xml:space="preserve"> de las formas</w:t>
      </w:r>
      <w:r w:rsidRPr="00E4401D">
        <w:rPr>
          <w:rFonts w:ascii="Times New Roman" w:hAnsi="Times New Roman" w:cs="Times New Roman"/>
          <w:sz w:val="28"/>
          <w:szCs w:val="28"/>
        </w:rPr>
        <w:t>)</w:t>
      </w:r>
      <w:r w:rsidRPr="00E4401D">
        <w:rPr>
          <w:rStyle w:val="Refdenotaalpie"/>
          <w:rFonts w:ascii="Times New Roman" w:eastAsiaTheme="majorEastAsia" w:hAnsi="Times New Roman" w:cs="Times New Roman"/>
          <w:color w:val="000000" w:themeColor="text1"/>
          <w:sz w:val="28"/>
          <w:szCs w:val="28"/>
          <w:lang w:val="es-ES_tradnl"/>
        </w:rPr>
        <w:footnoteReference w:id="31"/>
      </w:r>
      <w:r w:rsidRPr="00E4401D">
        <w:rPr>
          <w:rFonts w:ascii="Times New Roman" w:hAnsi="Times New Roman" w:cs="Times New Roman"/>
          <w:sz w:val="28"/>
          <w:szCs w:val="28"/>
        </w:rPr>
        <w:t>; (ii) se presume que los congresistas están inf</w:t>
      </w:r>
      <w:r w:rsidRPr="00E4401D">
        <w:rPr>
          <w:rFonts w:ascii="Times New Roman" w:hAnsi="Times New Roman" w:cs="Times New Roman"/>
          <w:sz w:val="28"/>
          <w:szCs w:val="28"/>
        </w:rPr>
        <w:t>ormados cuando se utilizan los medios oficiales para difundir información, es decir, la Gaceta del Congreso; y (iii) no obstante, es posible emplear medios alternativos de publicidad, siempre y cuando se demuestre que los congresistas tuvieron conocimiento</w:t>
      </w:r>
      <w:r w:rsidRPr="00E4401D">
        <w:rPr>
          <w:rFonts w:ascii="Times New Roman" w:hAnsi="Times New Roman" w:cs="Times New Roman"/>
          <w:sz w:val="28"/>
          <w:szCs w:val="28"/>
        </w:rPr>
        <w:t xml:space="preserve"> real de la información divulgada.</w:t>
      </w:r>
    </w:p>
    <w:p w:rsidR="00B56EFD" w:rsidRPr="00E4401D" w:rsidRDefault="00E4401D" w:rsidP="00B56EFD">
      <w:pPr>
        <w:pStyle w:val="Prrafodelista"/>
        <w:rPr>
          <w:rFonts w:ascii="Times New Roman" w:hAnsi="Times New Roman" w:cs="Times New Roman"/>
          <w:b/>
          <w:bCs/>
          <w:sz w:val="28"/>
          <w:szCs w:val="28"/>
        </w:rPr>
      </w:pPr>
    </w:p>
    <w:p w:rsidR="00B56EFD" w:rsidRPr="00E4401D" w:rsidRDefault="00E4401D" w:rsidP="00E91CC0">
      <w:pPr>
        <w:pStyle w:val="Prrafodelista"/>
        <w:numPr>
          <w:ilvl w:val="0"/>
          <w:numId w:val="3"/>
        </w:numPr>
        <w:tabs>
          <w:tab w:val="left" w:pos="540"/>
          <w:tab w:val="num" w:pos="108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Ahora bien, aunque la Corte ha reiterado que la finalidad del principio de publicidad es garantizar </w:t>
      </w:r>
      <w:r w:rsidRPr="00E4401D">
        <w:rPr>
          <w:rFonts w:ascii="Times New Roman" w:hAnsi="Times New Roman" w:cs="Times New Roman"/>
          <w:sz w:val="28"/>
          <w:szCs w:val="28"/>
        </w:rPr>
        <w:t xml:space="preserve">que los congresistas puedan tener </w:t>
      </w:r>
      <w:r w:rsidRPr="00E4401D">
        <w:rPr>
          <w:rFonts w:ascii="Times New Roman" w:hAnsi="Times New Roman" w:cs="Times New Roman"/>
          <w:sz w:val="28"/>
          <w:szCs w:val="28"/>
        </w:rPr>
        <w:t>conocimiento previo y suficiente de los textos sometidos a debate</w:t>
      </w:r>
      <w:r w:rsidRPr="00E4401D">
        <w:rPr>
          <w:rFonts w:ascii="Times New Roman" w:hAnsi="Times New Roman" w:cs="Times New Roman"/>
          <w:sz w:val="28"/>
          <w:szCs w:val="28"/>
        </w:rPr>
        <w:t>, e</w:t>
      </w:r>
      <w:r w:rsidRPr="00E4401D">
        <w:rPr>
          <w:rFonts w:ascii="Times New Roman" w:hAnsi="Times New Roman" w:cs="Times New Roman"/>
          <w:sz w:val="28"/>
          <w:szCs w:val="28"/>
        </w:rPr>
        <w:t xml:space="preserve">n la Sentencia </w:t>
      </w:r>
      <w:r w:rsidRPr="00E4401D">
        <w:rPr>
          <w:rFonts w:ascii="Times New Roman" w:hAnsi="Times New Roman" w:cs="Times New Roman"/>
          <w:sz w:val="28"/>
          <w:szCs w:val="28"/>
        </w:rPr>
        <w:t xml:space="preserve">C-134 de 2023 la Corte adoptó un estándar de disponibilidad de la información, en virtud del cual se entiende cumplido el requisito de publicidad cuando los congresistas tienen la posibilidad real de acceder al contenido de las proposiciones, aunque estas </w:t>
      </w:r>
      <w:r w:rsidRPr="00E4401D">
        <w:rPr>
          <w:rFonts w:ascii="Times New Roman" w:hAnsi="Times New Roman" w:cs="Times New Roman"/>
          <w:sz w:val="28"/>
          <w:szCs w:val="28"/>
        </w:rPr>
        <w:t>no hayan sido leídas en voz alta ni explícitamente explicadas durante la sesión.</w:t>
      </w:r>
      <w:r w:rsidRPr="00E4401D">
        <w:rPr>
          <w:rStyle w:val="Refdenotaalpie"/>
          <w:rFonts w:ascii="Times New Roman" w:hAnsi="Times New Roman" w:cs="Times New Roman"/>
          <w:sz w:val="28"/>
          <w:szCs w:val="28"/>
        </w:rPr>
        <w:footnoteReference w:id="32"/>
      </w:r>
      <w:r w:rsidRPr="00E4401D">
        <w:rPr>
          <w:rFonts w:ascii="Times New Roman" w:hAnsi="Times New Roman" w:cs="Times New Roman"/>
          <w:sz w:val="28"/>
          <w:szCs w:val="28"/>
        </w:rPr>
        <w:t xml:space="preserve"> Lo determinante es que la información haya sido puesta a disposición de los congresistas por medios que garanticen su accesibilidad y permitan un ejercicio informado de la fu</w:t>
      </w:r>
      <w:r w:rsidRPr="00E4401D">
        <w:rPr>
          <w:rFonts w:ascii="Times New Roman" w:hAnsi="Times New Roman" w:cs="Times New Roman"/>
          <w:sz w:val="28"/>
          <w:szCs w:val="28"/>
        </w:rPr>
        <w:t>nción legislativa.</w:t>
      </w:r>
    </w:p>
    <w:p w:rsidR="00125F1B" w:rsidRPr="00E4401D" w:rsidRDefault="00E4401D" w:rsidP="00125F1B">
      <w:pPr>
        <w:pStyle w:val="Prrafodelista"/>
        <w:rPr>
          <w:rFonts w:ascii="Times New Roman" w:hAnsi="Times New Roman" w:cs="Times New Roman"/>
          <w:sz w:val="28"/>
          <w:szCs w:val="28"/>
        </w:rPr>
      </w:pPr>
    </w:p>
    <w:p w:rsidR="00125F1B" w:rsidRPr="00E4401D" w:rsidRDefault="00E4401D" w:rsidP="00E91CC0">
      <w:pPr>
        <w:pStyle w:val="Prrafodelista"/>
        <w:numPr>
          <w:ilvl w:val="0"/>
          <w:numId w:val="3"/>
        </w:numPr>
        <w:tabs>
          <w:tab w:val="left" w:pos="540"/>
          <w:tab w:val="num" w:pos="108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Ahora bien, tratándose de una ley aprobatoria del Plan Nacional de Desarrollo, resulta pertinente reiterar que el principio de publicidad adquiere una relevancia especial. En reiterada jurisprudencia, esta Corte ha sostenido que las </w:t>
      </w:r>
      <w:r w:rsidRPr="00E4401D">
        <w:rPr>
          <w:rFonts w:ascii="Times New Roman" w:hAnsi="Times New Roman" w:cs="Times New Roman"/>
          <w:sz w:val="28"/>
          <w:szCs w:val="28"/>
        </w:rPr>
        <w:t>reglas sobre publicidad se aplican plenamente a este tipo de leyes, sin que sus particularidades —como la iniciativa exclusiva del Gobierno, el término restringido para su aprobación, la limitación en las posibilidades de modificación por parte del Congres</w:t>
      </w:r>
      <w:r w:rsidRPr="00E4401D">
        <w:rPr>
          <w:rFonts w:ascii="Times New Roman" w:hAnsi="Times New Roman" w:cs="Times New Roman"/>
          <w:sz w:val="28"/>
          <w:szCs w:val="28"/>
        </w:rPr>
        <w:t>o y su prelación normativa sobre las demás leyes— impliquen una excepción a la aplicación de los parámetros constitucionales y orgánicos que garantizan un procedimiento legislativo transparente y deliberativo.</w:t>
      </w:r>
      <w:r w:rsidRPr="00E4401D">
        <w:rPr>
          <w:rStyle w:val="Refdenotaalpie"/>
          <w:rFonts w:ascii="Times New Roman" w:hAnsi="Times New Roman" w:cs="Times New Roman"/>
          <w:sz w:val="28"/>
          <w:szCs w:val="28"/>
        </w:rPr>
        <w:footnoteReference w:id="33"/>
      </w:r>
      <w:r w:rsidRPr="00E4401D">
        <w:rPr>
          <w:rFonts w:ascii="Times New Roman" w:hAnsi="Times New Roman" w:cs="Times New Roman"/>
          <w:sz w:val="28"/>
          <w:szCs w:val="28"/>
        </w:rPr>
        <w:t xml:space="preserve"> Precisamente por esas particularidades, el pr</w:t>
      </w:r>
      <w:r w:rsidRPr="00E4401D">
        <w:rPr>
          <w:rFonts w:ascii="Times New Roman" w:hAnsi="Times New Roman" w:cs="Times New Roman"/>
          <w:sz w:val="28"/>
          <w:szCs w:val="28"/>
        </w:rPr>
        <w:t>incipio de publicidad cobra mayor importancia como mecanismo de control y equilibrio entre las ramas del poder, al asegurar que incluso en contextos de deliberación limitada, como sucede con la ley del plan, las cámaras legislativas cuent</w:t>
      </w:r>
      <w:r w:rsidRPr="00E4401D">
        <w:rPr>
          <w:rFonts w:ascii="Times New Roman" w:hAnsi="Times New Roman" w:cs="Times New Roman"/>
          <w:sz w:val="28"/>
          <w:szCs w:val="28"/>
        </w:rPr>
        <w:t>a</w:t>
      </w:r>
      <w:r w:rsidRPr="00E4401D">
        <w:rPr>
          <w:rFonts w:ascii="Times New Roman" w:hAnsi="Times New Roman" w:cs="Times New Roman"/>
          <w:sz w:val="28"/>
          <w:szCs w:val="28"/>
        </w:rPr>
        <w:t>n con los element</w:t>
      </w:r>
      <w:r w:rsidRPr="00E4401D">
        <w:rPr>
          <w:rFonts w:ascii="Times New Roman" w:hAnsi="Times New Roman" w:cs="Times New Roman"/>
          <w:sz w:val="28"/>
          <w:szCs w:val="28"/>
        </w:rPr>
        <w:t>os necesarios para ejercer su función de manera reflexiva, informada y pluralista.</w:t>
      </w:r>
    </w:p>
    <w:p w:rsidR="00B233E1" w:rsidRPr="00E4401D" w:rsidRDefault="00E4401D" w:rsidP="00B233E1">
      <w:pPr>
        <w:pStyle w:val="Prrafodelista"/>
        <w:tabs>
          <w:tab w:val="left" w:pos="540"/>
        </w:tabs>
        <w:ind w:left="0"/>
        <w:mirrorIndents/>
        <w:jc w:val="both"/>
        <w:rPr>
          <w:rFonts w:ascii="Times New Roman" w:hAnsi="Times New Roman" w:cs="Times New Roman"/>
          <w:b/>
          <w:bCs/>
          <w:sz w:val="28"/>
          <w:szCs w:val="28"/>
        </w:rPr>
      </w:pPr>
    </w:p>
    <w:p w:rsidR="00A9033C" w:rsidRPr="00E4401D" w:rsidRDefault="00E4401D" w:rsidP="00E91CC0">
      <w:pPr>
        <w:pStyle w:val="Prrafodelista"/>
        <w:numPr>
          <w:ilvl w:val="0"/>
          <w:numId w:val="3"/>
        </w:numPr>
        <w:tabs>
          <w:tab w:val="left" w:pos="540"/>
          <w:tab w:val="num" w:pos="1080"/>
        </w:tabs>
        <w:ind w:left="0" w:firstLine="0"/>
        <w:mirrorIndents/>
        <w:jc w:val="both"/>
        <w:rPr>
          <w:rFonts w:ascii="Times New Roman" w:hAnsi="Times New Roman" w:cs="Times New Roman"/>
          <w:b/>
          <w:bCs/>
          <w:sz w:val="28"/>
          <w:szCs w:val="28"/>
        </w:rPr>
      </w:pPr>
      <w:r w:rsidRPr="00E4401D">
        <w:rPr>
          <w:rFonts w:ascii="Times New Roman" w:hAnsi="Times New Roman" w:cs="Times New Roman"/>
          <w:color w:val="000000" w:themeColor="text1"/>
          <w:sz w:val="28"/>
          <w:szCs w:val="28"/>
        </w:rPr>
        <w:t>Respecto a la publicidad de las proposiciones</w:t>
      </w:r>
      <w:r w:rsidRPr="00E4401D">
        <w:rPr>
          <w:rFonts w:ascii="Times New Roman" w:hAnsi="Times New Roman" w:cs="Times New Roman"/>
          <w:color w:val="000000" w:themeColor="text1"/>
          <w:sz w:val="28"/>
          <w:szCs w:val="28"/>
          <w:lang w:val="es-ES_tradnl"/>
        </w:rPr>
        <w:t xml:space="preserve">, la jurisprudencia constitucional ha establecido que se debe garantizar en los términos del artículo 125 de la Ley 5 de 1992, </w:t>
      </w:r>
      <w:r w:rsidRPr="00E4401D">
        <w:rPr>
          <w:rFonts w:ascii="Times New Roman" w:hAnsi="Times New Roman" w:cs="Times New Roman"/>
          <w:color w:val="000000" w:themeColor="text1"/>
          <w:sz w:val="28"/>
          <w:szCs w:val="28"/>
          <w:lang w:val="es-ES_tradnl"/>
        </w:rPr>
        <w:t xml:space="preserve">según el cual estas deben ser leídas en dos oportunidades; una vez antes del debate respectivo y otra antes de la votación. </w:t>
      </w:r>
      <w:r w:rsidRPr="00E4401D">
        <w:rPr>
          <w:rFonts w:ascii="Times New Roman" w:hAnsi="Times New Roman" w:cs="Times New Roman"/>
          <w:color w:val="000000" w:themeColor="text1"/>
          <w:sz w:val="28"/>
          <w:szCs w:val="28"/>
          <w:lang w:val="es-ES_tradnl"/>
        </w:rPr>
        <w:t>Sin embargo</w:t>
      </w:r>
      <w:r w:rsidRPr="00E4401D">
        <w:rPr>
          <w:rFonts w:ascii="Times New Roman" w:hAnsi="Times New Roman" w:cs="Times New Roman"/>
          <w:color w:val="000000" w:themeColor="text1"/>
          <w:sz w:val="28"/>
          <w:szCs w:val="28"/>
          <w:lang w:val="es-ES_tradnl"/>
        </w:rPr>
        <w:t>,</w:t>
      </w:r>
      <w:r w:rsidRPr="00E4401D">
        <w:rPr>
          <w:rFonts w:ascii="Times New Roman" w:hAnsi="Times New Roman" w:cs="Times New Roman"/>
          <w:color w:val="000000" w:themeColor="text1"/>
          <w:sz w:val="28"/>
          <w:szCs w:val="28"/>
          <w:lang w:val="es-ES_tradnl"/>
        </w:rPr>
        <w:t xml:space="preserve"> </w:t>
      </w:r>
      <w:r w:rsidRPr="00E4401D">
        <w:rPr>
          <w:rFonts w:ascii="Times New Roman" w:hAnsi="Times New Roman" w:cs="Times New Roman"/>
          <w:color w:val="000000" w:themeColor="text1"/>
          <w:sz w:val="28"/>
          <w:szCs w:val="28"/>
          <w:lang w:val="es-ES_tradnl"/>
        </w:rPr>
        <w:t>en virtud d</w:t>
      </w:r>
      <w:r w:rsidRPr="00E4401D">
        <w:rPr>
          <w:rFonts w:ascii="Times New Roman" w:hAnsi="Times New Roman" w:cs="Times New Roman"/>
          <w:color w:val="000000" w:themeColor="text1"/>
          <w:sz w:val="28"/>
          <w:szCs w:val="28"/>
          <w:lang w:val="es-ES_tradnl"/>
        </w:rPr>
        <w:t xml:space="preserve">el principio de instrumentalidad de las formas, </w:t>
      </w:r>
      <w:r w:rsidRPr="00E4401D">
        <w:rPr>
          <w:rFonts w:ascii="Times New Roman" w:hAnsi="Times New Roman" w:cs="Times New Roman"/>
          <w:color w:val="000000" w:themeColor="text1"/>
          <w:sz w:val="28"/>
          <w:szCs w:val="28"/>
          <w:lang w:val="es-ES_tradnl"/>
        </w:rPr>
        <w:t xml:space="preserve">la Corte </w:t>
      </w:r>
      <w:r w:rsidRPr="00E4401D">
        <w:rPr>
          <w:rFonts w:ascii="Times New Roman" w:hAnsi="Times New Roman" w:cs="Times New Roman"/>
          <w:color w:val="000000" w:themeColor="text1"/>
          <w:sz w:val="28"/>
          <w:szCs w:val="28"/>
          <w:lang w:val="es-ES_tradnl"/>
        </w:rPr>
        <w:t>ha reconocido que si esto no ha ocurrido existen fo</w:t>
      </w:r>
      <w:r w:rsidRPr="00E4401D">
        <w:rPr>
          <w:rFonts w:ascii="Times New Roman" w:hAnsi="Times New Roman" w:cs="Times New Roman"/>
          <w:color w:val="000000" w:themeColor="text1"/>
          <w:sz w:val="28"/>
          <w:szCs w:val="28"/>
          <w:lang w:val="es-ES_tradnl"/>
        </w:rPr>
        <w:t>rmas de subsanación durante el trámite legislativo</w:t>
      </w:r>
      <w:r w:rsidRPr="00E4401D">
        <w:rPr>
          <w:rStyle w:val="Refdenotaalpie"/>
          <w:rFonts w:ascii="Times New Roman" w:eastAsiaTheme="majorEastAsia" w:hAnsi="Times New Roman" w:cs="Times New Roman"/>
          <w:color w:val="000000" w:themeColor="text1"/>
          <w:sz w:val="28"/>
          <w:szCs w:val="28"/>
          <w:lang w:val="es-ES_tradnl"/>
        </w:rPr>
        <w:footnoteReference w:id="34"/>
      </w:r>
      <w:r w:rsidRPr="00E4401D">
        <w:rPr>
          <w:rFonts w:ascii="Times New Roman" w:hAnsi="Times New Roman" w:cs="Times New Roman"/>
          <w:color w:val="000000" w:themeColor="text1"/>
          <w:sz w:val="28"/>
          <w:szCs w:val="28"/>
          <w:lang w:val="es-ES_tradnl"/>
        </w:rPr>
        <w:t>. Con todo, para que la publicidad de las proposiciones resulte válida, es necesario que la forma</w:t>
      </w:r>
      <w:r w:rsidRPr="00E4401D">
        <w:rPr>
          <w:rFonts w:ascii="Times New Roman" w:hAnsi="Times New Roman" w:cs="Times New Roman"/>
          <w:color w:val="000000" w:themeColor="text1"/>
          <w:sz w:val="28"/>
          <w:szCs w:val="28"/>
          <w:lang w:val="es-ES_tradnl"/>
        </w:rPr>
        <w:t xml:space="preserve"> </w:t>
      </w:r>
      <w:r w:rsidRPr="00E4401D">
        <w:rPr>
          <w:rFonts w:ascii="Times New Roman" w:hAnsi="Times New Roman" w:cs="Times New Roman"/>
          <w:color w:val="000000" w:themeColor="text1"/>
          <w:sz w:val="28"/>
          <w:szCs w:val="28"/>
          <w:lang w:val="es-ES_tradnl"/>
        </w:rPr>
        <w:t xml:space="preserve">empleada </w:t>
      </w:r>
      <w:r w:rsidRPr="00E4401D">
        <w:rPr>
          <w:rFonts w:ascii="Times New Roman" w:hAnsi="Times New Roman" w:cs="Times New Roman"/>
          <w:color w:val="000000" w:themeColor="text1"/>
          <w:sz w:val="28"/>
          <w:szCs w:val="28"/>
          <w:lang w:val="es-ES_tradnl"/>
        </w:rPr>
        <w:t xml:space="preserve">vaya dirigida a que los congresistas puedan conocer, con la debida antelación y de manera </w:t>
      </w:r>
      <w:r w:rsidRPr="00E4401D">
        <w:rPr>
          <w:rFonts w:ascii="Times New Roman" w:hAnsi="Times New Roman" w:cs="Times New Roman"/>
          <w:color w:val="000000" w:themeColor="text1"/>
          <w:sz w:val="28"/>
          <w:szCs w:val="28"/>
          <w:lang w:val="es-ES_tradnl"/>
        </w:rPr>
        <w:t>suficiente, el contenido de las modificaciones propuestas.</w:t>
      </w:r>
    </w:p>
    <w:p w:rsidR="00A9033C" w:rsidRPr="00E4401D" w:rsidRDefault="00E4401D" w:rsidP="00A9033C">
      <w:pPr>
        <w:pStyle w:val="Prrafodelista"/>
        <w:ind w:left="0"/>
        <w:jc w:val="both"/>
        <w:rPr>
          <w:rFonts w:ascii="Times New Roman" w:hAnsi="Times New Roman" w:cs="Times New Roman"/>
          <w:b/>
          <w:bCs/>
          <w:sz w:val="28"/>
          <w:szCs w:val="28"/>
        </w:rPr>
      </w:pPr>
    </w:p>
    <w:p w:rsidR="00A9033C"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Así</w:t>
      </w:r>
      <w:r w:rsidRPr="00E4401D">
        <w:rPr>
          <w:rFonts w:ascii="Times New Roman" w:hAnsi="Times New Roman" w:cs="Times New Roman"/>
          <w:sz w:val="28"/>
          <w:szCs w:val="28"/>
        </w:rPr>
        <w:t xml:space="preserve">, la jurisprudencia de la Corte ha sostenido que la exigencia de publicidad debe aplicarse con flexibilidad, de tal forma que permita diversas modalidades de comunicación de las proposiciones, </w:t>
      </w:r>
      <w:r w:rsidRPr="00E4401D">
        <w:rPr>
          <w:rFonts w:ascii="Times New Roman" w:hAnsi="Times New Roman" w:cs="Times New Roman"/>
          <w:sz w:val="28"/>
          <w:szCs w:val="28"/>
        </w:rPr>
        <w:t>siempre que estas permitan a los congresistas conocer su contenido de manera previa y suficiente. Entre los mecanismos válidos de comunicación, la Corte ha reconocido de forma no taxativa los siguientes:</w:t>
      </w:r>
    </w:p>
    <w:p w:rsidR="00FF5E94" w:rsidRPr="00E4401D" w:rsidRDefault="00E4401D" w:rsidP="00FF5E94">
      <w:pPr>
        <w:pStyle w:val="Prrafodelista"/>
        <w:tabs>
          <w:tab w:val="left" w:pos="540"/>
        </w:tabs>
        <w:ind w:left="0"/>
        <w:mirrorIndents/>
        <w:jc w:val="both"/>
        <w:rPr>
          <w:rFonts w:ascii="Times New Roman" w:hAnsi="Times New Roman" w:cs="Times New Roman"/>
          <w:sz w:val="28"/>
          <w:szCs w:val="28"/>
        </w:rPr>
      </w:pPr>
    </w:p>
    <w:p w:rsidR="00A9033C" w:rsidRPr="00E4401D" w:rsidRDefault="00E4401D" w:rsidP="00AC7450">
      <w:pPr>
        <w:pStyle w:val="Prrafodelista"/>
        <w:numPr>
          <w:ilvl w:val="0"/>
          <w:numId w:val="7"/>
        </w:numPr>
        <w:tabs>
          <w:tab w:val="left" w:pos="0"/>
        </w:tabs>
        <w:ind w:left="0" w:firstLine="0"/>
        <w:mirrorIndents/>
        <w:jc w:val="both"/>
        <w:rPr>
          <w:rFonts w:ascii="Times New Roman" w:hAnsi="Times New Roman" w:cs="Times New Roman"/>
          <w:sz w:val="28"/>
          <w:szCs w:val="28"/>
        </w:rPr>
      </w:pPr>
      <w:r w:rsidRPr="00E4401D">
        <w:rPr>
          <w:rFonts w:ascii="Times New Roman" w:hAnsi="Times New Roman" w:cs="Times New Roman"/>
          <w:i/>
          <w:iCs/>
          <w:sz w:val="28"/>
          <w:szCs w:val="28"/>
        </w:rPr>
        <w:t>Publicación en la Gaceta del Congreso</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Al tratarse </w:t>
      </w:r>
      <w:r w:rsidRPr="00E4401D">
        <w:rPr>
          <w:rFonts w:ascii="Times New Roman" w:hAnsi="Times New Roman" w:cs="Times New Roman"/>
          <w:sz w:val="28"/>
          <w:szCs w:val="28"/>
        </w:rPr>
        <w:t xml:space="preserve">de un medio oficial </w:t>
      </w:r>
      <w:r w:rsidRPr="00E4401D">
        <w:rPr>
          <w:rFonts w:ascii="Times New Roman" w:hAnsi="Times New Roman" w:cs="Times New Roman"/>
          <w:sz w:val="28"/>
          <w:szCs w:val="28"/>
        </w:rPr>
        <w:t>se presume que los congresistas están informados cuando se utiliza.</w:t>
      </w:r>
      <w:r w:rsidRPr="00E4401D">
        <w:rPr>
          <w:rFonts w:ascii="Times New Roman" w:hAnsi="Times New Roman" w:cs="Times New Roman"/>
          <w:sz w:val="28"/>
          <w:szCs w:val="28"/>
        </w:rPr>
        <w:t xml:space="preserve"> La Corte ha reconocido que la manera cómo funciona el Congreso y la forma como se surten los debates vinculados al ejercicio de la actividad legislativa, suponen la imp</w:t>
      </w:r>
      <w:r w:rsidRPr="00E4401D">
        <w:rPr>
          <w:rFonts w:ascii="Times New Roman" w:hAnsi="Times New Roman" w:cs="Times New Roman"/>
          <w:sz w:val="28"/>
          <w:szCs w:val="28"/>
        </w:rPr>
        <w:t>osibilidad práctica que toda información relacionada con el proceso de adopción de una ley sea objeto de publicación en el medio oficial dispuesto para el efecto, este es el caso de las proposiciones.</w:t>
      </w:r>
    </w:p>
    <w:p w:rsidR="003F3A87" w:rsidRPr="00E4401D" w:rsidRDefault="00E4401D" w:rsidP="00AC7450">
      <w:pPr>
        <w:pStyle w:val="Prrafodelista"/>
        <w:tabs>
          <w:tab w:val="left" w:pos="0"/>
        </w:tabs>
        <w:ind w:left="0"/>
        <w:mirrorIndents/>
        <w:jc w:val="both"/>
        <w:rPr>
          <w:rFonts w:ascii="Times New Roman" w:hAnsi="Times New Roman" w:cs="Times New Roman"/>
          <w:sz w:val="28"/>
          <w:szCs w:val="28"/>
        </w:rPr>
      </w:pPr>
    </w:p>
    <w:p w:rsidR="00A9033C" w:rsidRPr="00E4401D" w:rsidRDefault="00E4401D" w:rsidP="00AC7450">
      <w:pPr>
        <w:pStyle w:val="Prrafodelista"/>
        <w:numPr>
          <w:ilvl w:val="0"/>
          <w:numId w:val="7"/>
        </w:numPr>
        <w:tabs>
          <w:tab w:val="left" w:pos="0"/>
        </w:tabs>
        <w:ind w:left="0" w:firstLine="0"/>
        <w:mirrorIndents/>
        <w:jc w:val="both"/>
        <w:rPr>
          <w:rFonts w:ascii="Times New Roman" w:hAnsi="Times New Roman" w:cs="Times New Roman"/>
          <w:sz w:val="28"/>
          <w:szCs w:val="28"/>
        </w:rPr>
      </w:pPr>
      <w:r w:rsidRPr="00E4401D">
        <w:rPr>
          <w:rFonts w:ascii="Times New Roman" w:hAnsi="Times New Roman" w:cs="Times New Roman"/>
          <w:i/>
          <w:iCs/>
          <w:sz w:val="28"/>
          <w:szCs w:val="28"/>
        </w:rPr>
        <w:t>Lectura oral de la proposición</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Para su validez debe r</w:t>
      </w:r>
      <w:r w:rsidRPr="00E4401D">
        <w:rPr>
          <w:rFonts w:ascii="Times New Roman" w:hAnsi="Times New Roman" w:cs="Times New Roman"/>
          <w:sz w:val="28"/>
          <w:szCs w:val="28"/>
        </w:rPr>
        <w:t>ealizarse a</w:t>
      </w:r>
      <w:r w:rsidRPr="00E4401D">
        <w:rPr>
          <w:rFonts w:ascii="Times New Roman" w:hAnsi="Times New Roman" w:cs="Times New Roman"/>
          <w:sz w:val="28"/>
          <w:szCs w:val="28"/>
        </w:rPr>
        <w:t>ntes de someter</w:t>
      </w:r>
      <w:r w:rsidRPr="00E4401D">
        <w:rPr>
          <w:rFonts w:ascii="Times New Roman" w:hAnsi="Times New Roman" w:cs="Times New Roman"/>
          <w:sz w:val="28"/>
          <w:szCs w:val="28"/>
        </w:rPr>
        <w:t xml:space="preserve"> la proposición </w:t>
      </w:r>
      <w:r w:rsidRPr="00E4401D">
        <w:rPr>
          <w:rFonts w:ascii="Times New Roman" w:hAnsi="Times New Roman" w:cs="Times New Roman"/>
          <w:sz w:val="28"/>
          <w:szCs w:val="28"/>
        </w:rPr>
        <w:t>a debate y votación por parte de la comisión o plenaria correspondiente.</w:t>
      </w:r>
    </w:p>
    <w:p w:rsidR="00A9033C" w:rsidRPr="00E4401D" w:rsidRDefault="00E4401D" w:rsidP="00AC7450">
      <w:pPr>
        <w:pStyle w:val="Prrafodelista"/>
        <w:tabs>
          <w:tab w:val="left" w:pos="0"/>
        </w:tabs>
        <w:ind w:left="0"/>
        <w:jc w:val="both"/>
        <w:rPr>
          <w:rFonts w:ascii="Times New Roman" w:hAnsi="Times New Roman" w:cs="Times New Roman"/>
          <w:sz w:val="28"/>
          <w:szCs w:val="28"/>
        </w:rPr>
      </w:pPr>
    </w:p>
    <w:p w:rsidR="00A9033C" w:rsidRPr="00E4401D" w:rsidRDefault="00E4401D" w:rsidP="00AC7450">
      <w:pPr>
        <w:pStyle w:val="Prrafodelista"/>
        <w:numPr>
          <w:ilvl w:val="0"/>
          <w:numId w:val="7"/>
        </w:numPr>
        <w:tabs>
          <w:tab w:val="left" w:pos="0"/>
        </w:tabs>
        <w:ind w:left="0" w:firstLine="0"/>
        <w:mirrorIndents/>
        <w:jc w:val="both"/>
        <w:rPr>
          <w:rFonts w:ascii="Times New Roman" w:hAnsi="Times New Roman" w:cs="Times New Roman"/>
          <w:sz w:val="28"/>
          <w:szCs w:val="28"/>
        </w:rPr>
      </w:pPr>
      <w:r w:rsidRPr="00E4401D">
        <w:rPr>
          <w:rFonts w:ascii="Times New Roman" w:hAnsi="Times New Roman" w:cs="Times New Roman"/>
          <w:i/>
          <w:iCs/>
          <w:sz w:val="28"/>
          <w:szCs w:val="28"/>
        </w:rPr>
        <w:t>Distribución de copias:</w:t>
      </w:r>
      <w:r w:rsidRPr="00E4401D">
        <w:rPr>
          <w:rFonts w:ascii="Times New Roman" w:hAnsi="Times New Roman" w:cs="Times New Roman"/>
          <w:sz w:val="28"/>
          <w:szCs w:val="28"/>
        </w:rPr>
        <w:t xml:space="preserve"> La Corte ha señalado que</w:t>
      </w:r>
      <w:r w:rsidRPr="00E4401D">
        <w:rPr>
          <w:rFonts w:ascii="Times New Roman" w:hAnsi="Times New Roman" w:cs="Times New Roman"/>
          <w:sz w:val="28"/>
          <w:szCs w:val="28"/>
        </w:rPr>
        <w:t xml:space="preserve"> deben ser distribuidas de forma previa </w:t>
      </w:r>
      <w:r w:rsidRPr="00E4401D">
        <w:rPr>
          <w:rFonts w:ascii="Times New Roman" w:hAnsi="Times New Roman" w:cs="Times New Roman"/>
          <w:sz w:val="28"/>
          <w:szCs w:val="28"/>
        </w:rPr>
        <w:t xml:space="preserve">dentro de </w:t>
      </w:r>
      <w:r w:rsidRPr="00E4401D">
        <w:rPr>
          <w:rFonts w:ascii="Times New Roman" w:hAnsi="Times New Roman" w:cs="Times New Roman"/>
          <w:sz w:val="28"/>
          <w:szCs w:val="28"/>
        </w:rPr>
        <w:t xml:space="preserve">un </w:t>
      </w:r>
      <w:r w:rsidRPr="00E4401D">
        <w:rPr>
          <w:rFonts w:ascii="Times New Roman" w:hAnsi="Times New Roman" w:cs="Times New Roman"/>
          <w:sz w:val="28"/>
          <w:szCs w:val="28"/>
        </w:rPr>
        <w:t>tiempo</w:t>
      </w:r>
      <w:r w:rsidRPr="00E4401D">
        <w:rPr>
          <w:rFonts w:ascii="Times New Roman" w:hAnsi="Times New Roman" w:cs="Times New Roman"/>
          <w:sz w:val="28"/>
          <w:szCs w:val="28"/>
        </w:rPr>
        <w:t xml:space="preserve"> razonable antes de la votación</w:t>
      </w:r>
      <w:r w:rsidRPr="00E4401D">
        <w:rPr>
          <w:rFonts w:ascii="Times New Roman" w:hAnsi="Times New Roman" w:cs="Times New Roman"/>
          <w:sz w:val="28"/>
          <w:szCs w:val="28"/>
        </w:rPr>
        <w:t xml:space="preserve"> y que de este modo </w:t>
      </w:r>
      <w:r w:rsidRPr="00E4401D">
        <w:rPr>
          <w:rFonts w:ascii="Times New Roman" w:hAnsi="Times New Roman" w:cs="Times New Roman"/>
          <w:sz w:val="28"/>
          <w:szCs w:val="28"/>
        </w:rPr>
        <w:t>permite presumir el conocimiento individual de las proposiciones</w:t>
      </w:r>
      <w:r w:rsidRPr="00E4401D">
        <w:rPr>
          <w:rFonts w:ascii="Times New Roman" w:hAnsi="Times New Roman" w:cs="Times New Roman"/>
          <w:sz w:val="28"/>
          <w:szCs w:val="28"/>
        </w:rPr>
        <w:t xml:space="preserve"> y legitimar</w:t>
      </w:r>
      <w:r w:rsidRPr="00E4401D">
        <w:rPr>
          <w:rFonts w:ascii="Times New Roman" w:hAnsi="Times New Roman" w:cs="Times New Roman"/>
          <w:sz w:val="28"/>
          <w:szCs w:val="28"/>
        </w:rPr>
        <w:t xml:space="preserve"> el debate y la votación.</w:t>
      </w:r>
      <w:r w:rsidRPr="00E4401D">
        <w:rPr>
          <w:rStyle w:val="Refdenotaalpie"/>
          <w:rFonts w:ascii="Times New Roman" w:hAnsi="Times New Roman" w:cs="Times New Roman"/>
          <w:sz w:val="28"/>
          <w:szCs w:val="28"/>
        </w:rPr>
        <w:footnoteReference w:id="35"/>
      </w:r>
    </w:p>
    <w:p w:rsidR="00A9033C" w:rsidRPr="00E4401D" w:rsidRDefault="00E4401D" w:rsidP="00AC7450">
      <w:pPr>
        <w:pStyle w:val="Prrafodelista"/>
        <w:tabs>
          <w:tab w:val="left" w:pos="0"/>
        </w:tabs>
        <w:ind w:left="0"/>
        <w:jc w:val="both"/>
        <w:rPr>
          <w:rFonts w:ascii="Times New Roman" w:hAnsi="Times New Roman" w:cs="Times New Roman"/>
          <w:sz w:val="28"/>
          <w:szCs w:val="28"/>
        </w:rPr>
      </w:pPr>
    </w:p>
    <w:p w:rsidR="0009479D" w:rsidRPr="00E4401D" w:rsidRDefault="00E4401D" w:rsidP="00AC7450">
      <w:pPr>
        <w:pStyle w:val="Prrafodelista"/>
        <w:numPr>
          <w:ilvl w:val="0"/>
          <w:numId w:val="7"/>
        </w:numPr>
        <w:tabs>
          <w:tab w:val="left" w:pos="0"/>
        </w:tabs>
        <w:ind w:left="0" w:firstLine="0"/>
        <w:mirrorIndents/>
        <w:jc w:val="both"/>
        <w:rPr>
          <w:rFonts w:ascii="Times New Roman" w:hAnsi="Times New Roman" w:cs="Times New Roman"/>
          <w:sz w:val="28"/>
          <w:szCs w:val="28"/>
        </w:rPr>
      </w:pPr>
      <w:r w:rsidRPr="00E4401D">
        <w:rPr>
          <w:rFonts w:ascii="Times New Roman" w:hAnsi="Times New Roman" w:cs="Times New Roman"/>
          <w:i/>
          <w:iCs/>
          <w:sz w:val="28"/>
          <w:szCs w:val="28"/>
        </w:rPr>
        <w:t>Explicación oral detallada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Consiste en la e</w:t>
      </w:r>
      <w:r w:rsidRPr="00E4401D">
        <w:rPr>
          <w:rFonts w:ascii="Times New Roman" w:hAnsi="Times New Roman" w:cs="Times New Roman"/>
          <w:sz w:val="28"/>
          <w:szCs w:val="28"/>
        </w:rPr>
        <w:t xml:space="preserve">xplicación oral del contenido particular y concreto de la proposición, </w:t>
      </w:r>
      <w:r w:rsidRPr="00E4401D">
        <w:rPr>
          <w:rFonts w:ascii="Times New Roman" w:hAnsi="Times New Roman" w:cs="Times New Roman"/>
          <w:sz w:val="28"/>
          <w:szCs w:val="28"/>
        </w:rPr>
        <w:t>con tal “</w:t>
      </w:r>
      <w:r w:rsidRPr="00E4401D">
        <w:rPr>
          <w:rFonts w:ascii="Times New Roman" w:hAnsi="Times New Roman" w:cs="Times New Roman"/>
          <w:i/>
          <w:sz w:val="28"/>
          <w:szCs w:val="28"/>
        </w:rPr>
        <w:t>grado de</w:t>
      </w:r>
      <w:r w:rsidRPr="00E4401D">
        <w:rPr>
          <w:rFonts w:ascii="Times New Roman" w:hAnsi="Times New Roman" w:cs="Times New Roman"/>
          <w:i/>
          <w:sz w:val="28"/>
          <w:szCs w:val="28"/>
        </w:rPr>
        <w:t xml:space="preserve"> especificidad que permita a los congresistas conocer adecuada, previa y suficientemente la proposición normativa objeto de discusión y aprobación</w:t>
      </w:r>
      <w:r w:rsidRPr="00E4401D">
        <w:rPr>
          <w:rFonts w:ascii="Times New Roman" w:hAnsi="Times New Roman" w:cs="Times New Roman"/>
          <w:sz w:val="28"/>
          <w:szCs w:val="28"/>
        </w:rPr>
        <w:t>”</w:t>
      </w:r>
      <w:r w:rsidRPr="00E4401D">
        <w:rPr>
          <w:rFonts w:ascii="Times New Roman" w:hAnsi="Times New Roman" w:cs="Times New Roman"/>
          <w:sz w:val="28"/>
          <w:szCs w:val="28"/>
          <w:vertAlign w:val="superscript"/>
        </w:rPr>
        <w:footnoteReference w:id="36"/>
      </w:r>
      <w:r w:rsidRPr="00E4401D">
        <w:rPr>
          <w:rFonts w:ascii="Times New Roman" w:hAnsi="Times New Roman" w:cs="Times New Roman"/>
          <w:sz w:val="28"/>
          <w:szCs w:val="28"/>
        </w:rPr>
        <w:t>. En la sentencia C-131</w:t>
      </w:r>
      <w:r w:rsidRPr="00E4401D">
        <w:rPr>
          <w:rFonts w:ascii="Times New Roman" w:hAnsi="Times New Roman" w:cs="Times New Roman"/>
          <w:sz w:val="28"/>
          <w:szCs w:val="28"/>
        </w:rPr>
        <w:t xml:space="preserve"> de 20</w:t>
      </w:r>
      <w:r w:rsidRPr="00E4401D">
        <w:rPr>
          <w:rFonts w:ascii="Times New Roman" w:hAnsi="Times New Roman" w:cs="Times New Roman"/>
          <w:sz w:val="28"/>
          <w:szCs w:val="28"/>
        </w:rPr>
        <w:t>09, la Corte determinó que, aunque no se dio lectura al texto de un grupo de pr</w:t>
      </w:r>
      <w:r w:rsidRPr="00E4401D">
        <w:rPr>
          <w:rFonts w:ascii="Times New Roman" w:hAnsi="Times New Roman" w:cs="Times New Roman"/>
          <w:sz w:val="28"/>
          <w:szCs w:val="28"/>
        </w:rPr>
        <w:t xml:space="preserve">oposiciones, su contenido fue explicado durante la sesión, </w:t>
      </w:r>
      <w:r w:rsidRPr="00E4401D">
        <w:rPr>
          <w:rFonts w:ascii="Times New Roman" w:hAnsi="Times New Roman" w:cs="Times New Roman"/>
          <w:sz w:val="28"/>
          <w:szCs w:val="28"/>
        </w:rPr>
        <w:t xml:space="preserve">de modo que permitió </w:t>
      </w:r>
      <w:r w:rsidRPr="00E4401D">
        <w:rPr>
          <w:rFonts w:ascii="Times New Roman" w:hAnsi="Times New Roman" w:cs="Times New Roman"/>
          <w:sz w:val="28"/>
          <w:szCs w:val="28"/>
        </w:rPr>
        <w:t xml:space="preserve">que los congresistas expresaran sus opiniones sobre las modificaciones. Esto </w:t>
      </w:r>
      <w:r w:rsidRPr="00E4401D">
        <w:rPr>
          <w:rFonts w:ascii="Times New Roman" w:hAnsi="Times New Roman" w:cs="Times New Roman"/>
          <w:sz w:val="28"/>
          <w:szCs w:val="28"/>
        </w:rPr>
        <w:t>permitió inferir</w:t>
      </w:r>
      <w:r w:rsidRPr="00E4401D">
        <w:rPr>
          <w:rFonts w:ascii="Times New Roman" w:hAnsi="Times New Roman" w:cs="Times New Roman"/>
          <w:sz w:val="28"/>
          <w:szCs w:val="28"/>
        </w:rPr>
        <w:t xml:space="preserve"> que existía suficiente información para el debate y votación. La Corte concluyó qu</w:t>
      </w:r>
      <w:r w:rsidRPr="00E4401D">
        <w:rPr>
          <w:rFonts w:ascii="Times New Roman" w:hAnsi="Times New Roman" w:cs="Times New Roman"/>
          <w:sz w:val="28"/>
          <w:szCs w:val="28"/>
        </w:rPr>
        <w:t xml:space="preserve">e la publicidad de las propuestas, con su debida explicación, fue garantizada por el ponente y uno de los proponentes, </w:t>
      </w:r>
      <w:r w:rsidRPr="00E4401D">
        <w:rPr>
          <w:rFonts w:ascii="Times New Roman" w:hAnsi="Times New Roman" w:cs="Times New Roman"/>
          <w:sz w:val="28"/>
          <w:szCs w:val="28"/>
        </w:rPr>
        <w:t>y aseguró</w:t>
      </w:r>
      <w:r w:rsidRPr="00E4401D">
        <w:rPr>
          <w:rFonts w:ascii="Times New Roman" w:hAnsi="Times New Roman" w:cs="Times New Roman"/>
          <w:sz w:val="28"/>
          <w:szCs w:val="28"/>
        </w:rPr>
        <w:t xml:space="preserve"> así el conocimiento de todos los presentes. </w:t>
      </w:r>
    </w:p>
    <w:p w:rsidR="0009479D" w:rsidRPr="00E4401D" w:rsidRDefault="00E4401D" w:rsidP="00AC7450">
      <w:pPr>
        <w:pStyle w:val="Prrafodelista"/>
        <w:tabs>
          <w:tab w:val="left" w:pos="0"/>
        </w:tabs>
        <w:ind w:left="0"/>
        <w:rPr>
          <w:rFonts w:ascii="Times New Roman" w:hAnsi="Times New Roman" w:cs="Times New Roman"/>
          <w:sz w:val="28"/>
          <w:szCs w:val="28"/>
          <w:lang w:val="es-ES_tradnl" w:eastAsia="es-ES"/>
        </w:rPr>
      </w:pPr>
    </w:p>
    <w:p w:rsidR="006F62AE" w:rsidRPr="00E4401D" w:rsidRDefault="00E4401D" w:rsidP="00AC7450">
      <w:pPr>
        <w:pStyle w:val="Prrafodelista"/>
        <w:tabs>
          <w:tab w:val="left" w:pos="0"/>
        </w:tabs>
        <w:ind w:left="0"/>
        <w:mirrorIndents/>
        <w:jc w:val="both"/>
        <w:rPr>
          <w:rFonts w:ascii="Times New Roman" w:hAnsi="Times New Roman" w:cs="Times New Roman"/>
          <w:sz w:val="28"/>
          <w:szCs w:val="28"/>
        </w:rPr>
      </w:pPr>
      <w:r w:rsidRPr="00E4401D">
        <w:rPr>
          <w:rFonts w:ascii="Times New Roman" w:hAnsi="Times New Roman" w:cs="Times New Roman"/>
          <w:sz w:val="28"/>
          <w:szCs w:val="28"/>
          <w:lang w:val="es-ES_tradnl" w:eastAsia="es-ES"/>
        </w:rPr>
        <w:t xml:space="preserve">Además, </w:t>
      </w:r>
      <w:r w:rsidRPr="00E4401D">
        <w:rPr>
          <w:rFonts w:ascii="Times New Roman" w:hAnsi="Times New Roman" w:cs="Times New Roman"/>
          <w:sz w:val="28"/>
          <w:szCs w:val="28"/>
          <w:lang w:val="es-ES_tradnl" w:eastAsia="es-ES"/>
        </w:rPr>
        <w:t xml:space="preserve">en la </w:t>
      </w:r>
      <w:r w:rsidRPr="00E4401D">
        <w:rPr>
          <w:rFonts w:ascii="Times New Roman" w:hAnsi="Times New Roman" w:cs="Times New Roman"/>
          <w:sz w:val="28"/>
          <w:szCs w:val="28"/>
          <w:lang w:val="es-ES_tradnl" w:eastAsia="es-ES"/>
        </w:rPr>
        <w:t xml:space="preserve">Sentencia </w:t>
      </w:r>
      <w:r w:rsidRPr="00E4401D">
        <w:rPr>
          <w:rFonts w:ascii="Times New Roman" w:hAnsi="Times New Roman" w:cs="Times New Roman"/>
          <w:sz w:val="28"/>
          <w:szCs w:val="28"/>
          <w:lang w:val="es-ES_tradnl" w:eastAsia="es-ES"/>
        </w:rPr>
        <w:t xml:space="preserve">C-481 de 2019 </w:t>
      </w:r>
      <w:r w:rsidRPr="00E4401D">
        <w:rPr>
          <w:rFonts w:ascii="Times New Roman" w:hAnsi="Times New Roman" w:cs="Times New Roman"/>
          <w:sz w:val="28"/>
          <w:szCs w:val="28"/>
          <w:lang w:val="es-ES_tradnl" w:eastAsia="es-ES"/>
        </w:rPr>
        <w:t>esta corporación consider</w:t>
      </w:r>
      <w:r w:rsidRPr="00E4401D">
        <w:rPr>
          <w:rFonts w:ascii="Times New Roman" w:hAnsi="Times New Roman" w:cs="Times New Roman"/>
          <w:sz w:val="28"/>
          <w:szCs w:val="28"/>
          <w:lang w:val="es-ES_tradnl" w:eastAsia="es-ES"/>
        </w:rPr>
        <w:t>ó</w:t>
      </w:r>
      <w:r w:rsidRPr="00E4401D">
        <w:rPr>
          <w:rFonts w:ascii="Times New Roman" w:hAnsi="Times New Roman" w:cs="Times New Roman"/>
          <w:sz w:val="28"/>
          <w:szCs w:val="28"/>
          <w:lang w:val="es-ES_tradnl" w:eastAsia="es-ES"/>
        </w:rPr>
        <w:t xml:space="preserve"> que, en todo caso, </w:t>
      </w:r>
      <w:r w:rsidRPr="00E4401D">
        <w:rPr>
          <w:rFonts w:ascii="Times New Roman" w:hAnsi="Times New Roman" w:cs="Times New Roman"/>
          <w:sz w:val="28"/>
          <w:szCs w:val="28"/>
          <w:lang w:val="es-ES_tradnl" w:eastAsia="es-ES"/>
        </w:rPr>
        <w:t>l</w:t>
      </w:r>
      <w:r w:rsidRPr="00E4401D">
        <w:rPr>
          <w:rFonts w:ascii="Times New Roman" w:hAnsi="Times New Roman" w:cs="Times New Roman"/>
          <w:sz w:val="28"/>
          <w:szCs w:val="28"/>
        </w:rPr>
        <w:t xml:space="preserve">a </w:t>
      </w:r>
      <w:r w:rsidRPr="00E4401D">
        <w:rPr>
          <w:rFonts w:ascii="Times New Roman" w:hAnsi="Times New Roman" w:cs="Times New Roman"/>
          <w:i/>
          <w:sz w:val="28"/>
          <w:szCs w:val="28"/>
        </w:rPr>
        <w:t xml:space="preserve">especificidad </w:t>
      </w:r>
      <w:r w:rsidRPr="00E4401D">
        <w:rPr>
          <w:rFonts w:ascii="Times New Roman" w:hAnsi="Times New Roman" w:cs="Times New Roman"/>
          <w:sz w:val="28"/>
          <w:szCs w:val="28"/>
        </w:rPr>
        <w:t xml:space="preserve">y </w:t>
      </w:r>
      <w:r w:rsidRPr="00E4401D">
        <w:rPr>
          <w:rFonts w:ascii="Times New Roman" w:hAnsi="Times New Roman" w:cs="Times New Roman"/>
          <w:i/>
          <w:sz w:val="28"/>
          <w:szCs w:val="28"/>
        </w:rPr>
        <w:t xml:space="preserve">suficiencia </w:t>
      </w:r>
      <w:r w:rsidRPr="00E4401D">
        <w:rPr>
          <w:rFonts w:ascii="Times New Roman" w:hAnsi="Times New Roman" w:cs="Times New Roman"/>
          <w:iCs/>
          <w:sz w:val="28"/>
          <w:szCs w:val="28"/>
        </w:rPr>
        <w:t xml:space="preserve">de la explicación oral </w:t>
      </w:r>
      <w:r w:rsidRPr="00E4401D">
        <w:rPr>
          <w:rFonts w:ascii="Times New Roman" w:hAnsi="Times New Roman" w:cs="Times New Roman"/>
          <w:sz w:val="28"/>
          <w:szCs w:val="28"/>
        </w:rPr>
        <w:t>deben ser analizadas en cada caso concreto, en función de la naturaleza de la norma de que se trate y de los elementos centrales que la componen</w:t>
      </w:r>
      <w:r w:rsidRPr="00E4401D">
        <w:rPr>
          <w:rFonts w:ascii="Times New Roman" w:hAnsi="Times New Roman" w:cs="Times New Roman"/>
          <w:sz w:val="28"/>
          <w:szCs w:val="28"/>
        </w:rPr>
        <w:t>. Esto</w:t>
      </w:r>
      <w:r w:rsidRPr="00E4401D">
        <w:rPr>
          <w:rFonts w:ascii="Times New Roman" w:hAnsi="Times New Roman" w:cs="Times New Roman"/>
          <w:sz w:val="28"/>
          <w:szCs w:val="28"/>
        </w:rPr>
        <w:t>, para efecto de determinar si l</w:t>
      </w:r>
      <w:r w:rsidRPr="00E4401D">
        <w:rPr>
          <w:rFonts w:ascii="Times New Roman" w:hAnsi="Times New Roman" w:cs="Times New Roman"/>
          <w:sz w:val="28"/>
          <w:szCs w:val="28"/>
        </w:rPr>
        <w:t xml:space="preserve">as explicaciones </w:t>
      </w:r>
      <w:r w:rsidRPr="00E4401D">
        <w:rPr>
          <w:rFonts w:ascii="Times New Roman" w:hAnsi="Times New Roman" w:cs="Times New Roman"/>
          <w:sz w:val="28"/>
          <w:szCs w:val="28"/>
        </w:rPr>
        <w:t xml:space="preserve">comprenden </w:t>
      </w:r>
      <w:r w:rsidRPr="00E4401D">
        <w:rPr>
          <w:rFonts w:ascii="Times New Roman" w:hAnsi="Times New Roman" w:cs="Times New Roman"/>
          <w:sz w:val="28"/>
          <w:szCs w:val="28"/>
        </w:rPr>
        <w:t>o no el detalle necesario para ilustrar a los congresistas al momento de su discusión y votació</w:t>
      </w:r>
      <w:r w:rsidRPr="00E4401D">
        <w:rPr>
          <w:rFonts w:ascii="Times New Roman" w:hAnsi="Times New Roman" w:cs="Times New Roman"/>
          <w:sz w:val="28"/>
          <w:szCs w:val="28"/>
        </w:rPr>
        <w:t>n.</w:t>
      </w:r>
    </w:p>
    <w:p w:rsidR="00424E4B" w:rsidRPr="00E4401D" w:rsidRDefault="00E4401D" w:rsidP="00AC7450">
      <w:pPr>
        <w:pStyle w:val="Prrafodelista"/>
        <w:tabs>
          <w:tab w:val="left" w:pos="0"/>
        </w:tabs>
        <w:ind w:left="0"/>
        <w:mirrorIndents/>
        <w:jc w:val="both"/>
        <w:rPr>
          <w:rFonts w:ascii="Times New Roman" w:hAnsi="Times New Roman" w:cs="Times New Roman"/>
          <w:sz w:val="28"/>
          <w:szCs w:val="28"/>
        </w:rPr>
      </w:pPr>
    </w:p>
    <w:p w:rsidR="005D7F02" w:rsidRPr="00E4401D" w:rsidRDefault="00E4401D" w:rsidP="00AC7450">
      <w:pPr>
        <w:pStyle w:val="Prrafodelista"/>
        <w:tabs>
          <w:tab w:val="left" w:pos="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E</w:t>
      </w:r>
      <w:r w:rsidRPr="00E4401D">
        <w:rPr>
          <w:rFonts w:ascii="Times New Roman" w:hAnsi="Times New Roman" w:cs="Times New Roman"/>
          <w:color w:val="000000" w:themeColor="text1"/>
          <w:sz w:val="28"/>
          <w:szCs w:val="28"/>
          <w:lang w:val="es-ES_tradnl"/>
        </w:rPr>
        <w:t>n las Sentencias C-415 de 2020 y C-109 de 2023</w:t>
      </w:r>
      <w:r w:rsidRPr="00E4401D">
        <w:rPr>
          <w:rFonts w:ascii="Times New Roman" w:hAnsi="Times New Roman" w:cs="Times New Roman"/>
          <w:color w:val="000000" w:themeColor="text1"/>
          <w:sz w:val="28"/>
          <w:szCs w:val="28"/>
          <w:lang w:val="es-ES_tradnl"/>
        </w:rPr>
        <w:t>, la Sala Plena</w:t>
      </w:r>
      <w:r w:rsidRPr="00E4401D">
        <w:rPr>
          <w:rFonts w:ascii="Times New Roman" w:hAnsi="Times New Roman" w:cs="Times New Roman"/>
          <w:color w:val="000000" w:themeColor="text1"/>
          <w:sz w:val="28"/>
          <w:szCs w:val="28"/>
          <w:lang w:val="es-ES_tradnl"/>
        </w:rPr>
        <w:t xml:space="preserve"> optó por un estándar que impone estudiar si la explicación fue </w:t>
      </w:r>
      <w:r w:rsidRPr="00E4401D">
        <w:rPr>
          <w:rFonts w:ascii="Times New Roman" w:hAnsi="Times New Roman" w:cs="Times New Roman"/>
          <w:i/>
          <w:iCs/>
          <w:color w:val="000000" w:themeColor="text1"/>
          <w:sz w:val="28"/>
          <w:szCs w:val="28"/>
          <w:lang w:val="es-ES_tradnl"/>
        </w:rPr>
        <w:t>cla</w:t>
      </w:r>
      <w:r w:rsidRPr="00E4401D">
        <w:rPr>
          <w:rFonts w:ascii="Times New Roman" w:hAnsi="Times New Roman" w:cs="Times New Roman"/>
          <w:i/>
          <w:iCs/>
          <w:color w:val="000000" w:themeColor="text1"/>
          <w:sz w:val="28"/>
          <w:szCs w:val="28"/>
          <w:lang w:val="es-ES_tradnl"/>
        </w:rPr>
        <w:t xml:space="preserve">ra, precisa </w:t>
      </w:r>
      <w:r w:rsidRPr="00E4401D">
        <w:rPr>
          <w:rFonts w:ascii="Times New Roman" w:hAnsi="Times New Roman" w:cs="Times New Roman"/>
          <w:color w:val="000000" w:themeColor="text1"/>
          <w:sz w:val="28"/>
          <w:szCs w:val="28"/>
          <w:lang w:val="es-ES_tradnl"/>
        </w:rPr>
        <w:t xml:space="preserve">y </w:t>
      </w:r>
      <w:r w:rsidRPr="00E4401D">
        <w:rPr>
          <w:rFonts w:ascii="Times New Roman" w:hAnsi="Times New Roman" w:cs="Times New Roman"/>
          <w:i/>
          <w:iCs/>
          <w:color w:val="000000" w:themeColor="text1"/>
          <w:sz w:val="28"/>
          <w:szCs w:val="28"/>
          <w:lang w:val="es-ES_tradnl"/>
        </w:rPr>
        <w:t>necesaria</w:t>
      </w:r>
      <w:r w:rsidRPr="00E4401D">
        <w:rPr>
          <w:rFonts w:ascii="Times New Roman" w:hAnsi="Times New Roman" w:cs="Times New Roman"/>
          <w:color w:val="000000" w:themeColor="text1"/>
          <w:sz w:val="28"/>
          <w:szCs w:val="28"/>
          <w:lang w:val="es-ES_tradnl"/>
        </w:rPr>
        <w:t xml:space="preserve">. De especial importancia resulta el criterio de </w:t>
      </w:r>
      <w:r w:rsidRPr="00E4401D">
        <w:rPr>
          <w:rFonts w:ascii="Times New Roman" w:hAnsi="Times New Roman" w:cs="Times New Roman"/>
          <w:i/>
          <w:iCs/>
          <w:color w:val="000000" w:themeColor="text1"/>
          <w:sz w:val="28"/>
          <w:szCs w:val="28"/>
          <w:lang w:val="es-ES_tradnl"/>
        </w:rPr>
        <w:t>necesidad</w:t>
      </w:r>
      <w:r w:rsidRPr="00E4401D">
        <w:rPr>
          <w:rFonts w:ascii="Times New Roman" w:hAnsi="Times New Roman" w:cs="Times New Roman"/>
          <w:color w:val="000000" w:themeColor="text1"/>
          <w:sz w:val="28"/>
          <w:szCs w:val="28"/>
          <w:lang w:val="es-ES_tradnl"/>
        </w:rPr>
        <w:t xml:space="preserve">, habida cuenta de que la Corporación concluyó que </w:t>
      </w:r>
      <w:r w:rsidRPr="00E4401D">
        <w:rPr>
          <w:rFonts w:ascii="Times New Roman" w:hAnsi="Times New Roman" w:cs="Times New Roman"/>
          <w:i/>
          <w:iCs/>
          <w:color w:val="000000" w:themeColor="text1"/>
          <w:sz w:val="28"/>
          <w:szCs w:val="28"/>
          <w:lang w:val="es-ES_tradnl"/>
        </w:rPr>
        <w:t>“las explicaciones suministradas no necesariamente tenían que versar sobre todas y cada una de las disposiciones de la ley”</w:t>
      </w:r>
      <w:r w:rsidRPr="00E4401D">
        <w:rPr>
          <w:rStyle w:val="Refdenotaalpie"/>
          <w:rFonts w:ascii="Times New Roman" w:eastAsiaTheme="majorEastAsia" w:hAnsi="Times New Roman" w:cs="Times New Roman"/>
          <w:color w:val="000000" w:themeColor="text1"/>
          <w:sz w:val="28"/>
          <w:szCs w:val="28"/>
          <w:lang w:val="es-ES_tradnl"/>
        </w:rPr>
        <w:footnoteReference w:id="37"/>
      </w:r>
      <w:r w:rsidRPr="00E4401D">
        <w:rPr>
          <w:rFonts w:ascii="Times New Roman" w:hAnsi="Times New Roman" w:cs="Times New Roman"/>
          <w:color w:val="000000" w:themeColor="text1"/>
          <w:sz w:val="28"/>
          <w:szCs w:val="28"/>
          <w:lang w:val="es-ES_tradnl"/>
        </w:rPr>
        <w:t xml:space="preserve">. Igualmente, en la Sentencia C-314 de 2022 se adoptó un criterio de </w:t>
      </w:r>
      <w:r w:rsidRPr="00E4401D">
        <w:rPr>
          <w:rFonts w:ascii="Times New Roman" w:hAnsi="Times New Roman" w:cs="Times New Roman"/>
          <w:i/>
          <w:iCs/>
          <w:color w:val="000000" w:themeColor="text1"/>
          <w:sz w:val="28"/>
          <w:szCs w:val="28"/>
          <w:lang w:val="es-ES_tradnl"/>
        </w:rPr>
        <w:t>razonabilidad</w:t>
      </w:r>
      <w:r w:rsidRPr="00E4401D">
        <w:rPr>
          <w:rFonts w:ascii="Times New Roman" w:hAnsi="Times New Roman" w:cs="Times New Roman"/>
          <w:i/>
          <w:iCs/>
          <w:color w:val="000000" w:themeColor="text1"/>
          <w:sz w:val="28"/>
          <w:szCs w:val="28"/>
          <w:lang w:val="es-ES_tradnl"/>
        </w:rPr>
        <w:t xml:space="preserve">, </w:t>
      </w:r>
      <w:r w:rsidRPr="00E4401D">
        <w:rPr>
          <w:rFonts w:ascii="Times New Roman" w:hAnsi="Times New Roman" w:cs="Times New Roman"/>
          <w:color w:val="000000" w:themeColor="text1"/>
          <w:sz w:val="28"/>
          <w:szCs w:val="28"/>
          <w:lang w:val="es-ES_tradnl"/>
        </w:rPr>
        <w:t>que implica un</w:t>
      </w:r>
      <w:r w:rsidRPr="00E4401D">
        <w:rPr>
          <w:rFonts w:ascii="Times New Roman" w:hAnsi="Times New Roman" w:cs="Times New Roman"/>
          <w:color w:val="000000" w:themeColor="text1"/>
          <w:sz w:val="28"/>
          <w:szCs w:val="28"/>
          <w:lang w:val="es-ES_tradnl"/>
        </w:rPr>
        <w:t xml:space="preserve"> estándar de valoración menos estricto que en el primer caso</w:t>
      </w:r>
      <w:r w:rsidRPr="00E4401D">
        <w:rPr>
          <w:rFonts w:ascii="Times New Roman" w:hAnsi="Times New Roman" w:cs="Times New Roman"/>
          <w:color w:val="000000" w:themeColor="text1"/>
          <w:sz w:val="28"/>
          <w:szCs w:val="28"/>
          <w:lang w:val="es-ES_tradnl"/>
        </w:rPr>
        <w:t xml:space="preserve">. Esto se </w:t>
      </w:r>
      <w:r w:rsidRPr="00E4401D">
        <w:rPr>
          <w:rFonts w:ascii="Times New Roman" w:hAnsi="Times New Roman" w:cs="Times New Roman"/>
          <w:color w:val="000000" w:themeColor="text1"/>
          <w:sz w:val="28"/>
          <w:szCs w:val="28"/>
          <w:lang w:val="es-ES_tradnl"/>
        </w:rPr>
        <w:t>justific</w:t>
      </w:r>
      <w:r w:rsidRPr="00E4401D">
        <w:rPr>
          <w:rFonts w:ascii="Times New Roman" w:hAnsi="Times New Roman" w:cs="Times New Roman"/>
          <w:color w:val="000000" w:themeColor="text1"/>
          <w:sz w:val="28"/>
          <w:szCs w:val="28"/>
          <w:lang w:val="es-ES_tradnl"/>
        </w:rPr>
        <w:t xml:space="preserve">ó </w:t>
      </w:r>
      <w:r w:rsidRPr="00E4401D">
        <w:rPr>
          <w:rFonts w:ascii="Times New Roman" w:hAnsi="Times New Roman" w:cs="Times New Roman"/>
          <w:color w:val="000000" w:themeColor="text1"/>
          <w:sz w:val="28"/>
          <w:szCs w:val="28"/>
          <w:lang w:val="es-ES_tradnl"/>
        </w:rPr>
        <w:t xml:space="preserve">en </w:t>
      </w:r>
      <w:r w:rsidRPr="00E4401D">
        <w:rPr>
          <w:rFonts w:ascii="Times New Roman" w:hAnsi="Times New Roman" w:cs="Times New Roman"/>
          <w:color w:val="000000" w:themeColor="text1"/>
          <w:sz w:val="28"/>
          <w:szCs w:val="28"/>
          <w:lang w:val="es-ES_tradnl"/>
        </w:rPr>
        <w:t xml:space="preserve">el hecho de </w:t>
      </w:r>
      <w:r w:rsidRPr="00E4401D">
        <w:rPr>
          <w:rFonts w:ascii="Times New Roman" w:hAnsi="Times New Roman" w:cs="Times New Roman"/>
          <w:color w:val="000000" w:themeColor="text1"/>
          <w:sz w:val="28"/>
          <w:szCs w:val="28"/>
          <w:lang w:val="es-ES_tradnl"/>
        </w:rPr>
        <w:t>que e</w:t>
      </w:r>
      <w:r w:rsidRPr="00E4401D">
        <w:rPr>
          <w:rFonts w:ascii="Times New Roman" w:hAnsi="Times New Roman" w:cs="Times New Roman"/>
          <w:color w:val="000000" w:themeColor="text1"/>
          <w:sz w:val="28"/>
          <w:szCs w:val="28"/>
          <w:lang w:val="es-ES_tradnl"/>
        </w:rPr>
        <w:t xml:space="preserve">n la sentencia C-481 de 2019 </w:t>
      </w:r>
      <w:r w:rsidRPr="00E4401D">
        <w:rPr>
          <w:rFonts w:ascii="Times New Roman" w:hAnsi="Times New Roman" w:cs="Times New Roman"/>
          <w:color w:val="000000" w:themeColor="text1"/>
          <w:sz w:val="28"/>
          <w:szCs w:val="28"/>
          <w:lang w:val="es-ES_tradnl"/>
        </w:rPr>
        <w:t xml:space="preserve">se analizaron </w:t>
      </w:r>
      <w:r w:rsidRPr="00E4401D">
        <w:rPr>
          <w:rFonts w:ascii="Times New Roman" w:hAnsi="Times New Roman" w:cs="Times New Roman"/>
          <w:color w:val="000000" w:themeColor="text1"/>
          <w:sz w:val="28"/>
          <w:szCs w:val="28"/>
          <w:lang w:val="es-ES_tradnl"/>
        </w:rPr>
        <w:t>normas de orden</w:t>
      </w:r>
      <w:r w:rsidRPr="00E4401D">
        <w:rPr>
          <w:rFonts w:ascii="Times New Roman" w:hAnsi="Times New Roman" w:cs="Times New Roman"/>
          <w:color w:val="000000" w:themeColor="text1"/>
          <w:sz w:val="28"/>
          <w:szCs w:val="28"/>
          <w:lang w:val="es-ES_tradnl"/>
        </w:rPr>
        <w:t xml:space="preserve"> tributario.</w:t>
      </w:r>
      <w:r w:rsidRPr="00E4401D">
        <w:rPr>
          <w:rFonts w:ascii="Times New Roman" w:hAnsi="Times New Roman" w:cs="Times New Roman"/>
          <w:sz w:val="28"/>
          <w:szCs w:val="28"/>
        </w:rPr>
        <w:t xml:space="preserve"> Dentro de la explicación oral la Corte ha entendido que l</w:t>
      </w:r>
      <w:r w:rsidRPr="00E4401D">
        <w:rPr>
          <w:rFonts w:ascii="Times New Roman" w:hAnsi="Times New Roman" w:cs="Times New Roman"/>
          <w:sz w:val="28"/>
          <w:szCs w:val="28"/>
        </w:rPr>
        <w:t>a expresión de opiniones sobre las modificaciones propuestas puede derivar en la inferencia de que hubo información suficiente</w:t>
      </w:r>
      <w:r w:rsidRPr="00E4401D">
        <w:rPr>
          <w:rFonts w:ascii="Times New Roman" w:hAnsi="Times New Roman" w:cs="Times New Roman"/>
          <w:sz w:val="28"/>
          <w:szCs w:val="28"/>
          <w:vertAlign w:val="superscript"/>
        </w:rPr>
        <w:footnoteReference w:id="38"/>
      </w:r>
      <w:r w:rsidRPr="00E4401D">
        <w:rPr>
          <w:rFonts w:ascii="Times New Roman" w:hAnsi="Times New Roman" w:cs="Times New Roman"/>
          <w:sz w:val="28"/>
          <w:szCs w:val="28"/>
        </w:rPr>
        <w:t>.</w:t>
      </w:r>
    </w:p>
    <w:p w:rsidR="00467C74" w:rsidRPr="00E4401D" w:rsidRDefault="00E4401D" w:rsidP="00AC7450">
      <w:pPr>
        <w:pStyle w:val="Prrafodelista"/>
        <w:tabs>
          <w:tab w:val="left" w:pos="0"/>
        </w:tabs>
        <w:ind w:left="0"/>
        <w:mirrorIndents/>
        <w:jc w:val="both"/>
        <w:rPr>
          <w:rFonts w:ascii="Times New Roman" w:hAnsi="Times New Roman" w:cs="Times New Roman"/>
          <w:sz w:val="28"/>
          <w:szCs w:val="28"/>
        </w:rPr>
      </w:pPr>
    </w:p>
    <w:p w:rsidR="00467C74" w:rsidRPr="00E4401D" w:rsidRDefault="00E4401D" w:rsidP="00AC7450">
      <w:pPr>
        <w:pStyle w:val="Prrafodelista"/>
        <w:numPr>
          <w:ilvl w:val="0"/>
          <w:numId w:val="7"/>
        </w:numPr>
        <w:tabs>
          <w:tab w:val="left" w:pos="0"/>
        </w:tabs>
        <w:ind w:left="0" w:firstLine="0"/>
        <w:mirrorIndents/>
        <w:jc w:val="both"/>
        <w:rPr>
          <w:rFonts w:ascii="Times New Roman" w:hAnsi="Times New Roman" w:cs="Times New Roman"/>
          <w:sz w:val="28"/>
          <w:szCs w:val="28"/>
        </w:rPr>
      </w:pPr>
      <w:r w:rsidRPr="00E4401D">
        <w:rPr>
          <w:rFonts w:ascii="Times New Roman" w:hAnsi="Times New Roman" w:cs="Times New Roman"/>
          <w:i/>
          <w:iCs/>
          <w:color w:val="000000" w:themeColor="text1"/>
          <w:sz w:val="28"/>
          <w:szCs w:val="28"/>
          <w:lang w:val="es-ES_tradnl"/>
        </w:rPr>
        <w:t>Publicación</w:t>
      </w:r>
      <w:r w:rsidRPr="00E4401D">
        <w:rPr>
          <w:rFonts w:ascii="Times New Roman" w:hAnsi="Times New Roman" w:cs="Times New Roman"/>
          <w:i/>
          <w:iCs/>
          <w:color w:val="000000" w:themeColor="text1"/>
          <w:sz w:val="28"/>
          <w:szCs w:val="28"/>
          <w:lang w:val="es-ES_tradnl"/>
        </w:rPr>
        <w:t xml:space="preserve"> en página Web</w:t>
      </w:r>
      <w:r w:rsidRPr="00E4401D">
        <w:rPr>
          <w:rFonts w:ascii="Times New Roman" w:hAnsi="Times New Roman" w:cs="Times New Roman"/>
          <w:color w:val="000000" w:themeColor="text1"/>
          <w:sz w:val="28"/>
          <w:szCs w:val="28"/>
          <w:lang w:val="es-ES_tradnl"/>
        </w:rPr>
        <w:t xml:space="preserve">: </w:t>
      </w:r>
      <w:r w:rsidRPr="00E4401D">
        <w:rPr>
          <w:rFonts w:ascii="Times New Roman" w:hAnsi="Times New Roman" w:cs="Times New Roman"/>
          <w:color w:val="000000" w:themeColor="text1"/>
          <w:sz w:val="28"/>
          <w:szCs w:val="28"/>
          <w:lang w:val="es-ES_tradnl"/>
        </w:rPr>
        <w:t xml:space="preserve">A </w:t>
      </w:r>
      <w:r w:rsidRPr="00E4401D">
        <w:rPr>
          <w:rFonts w:ascii="Times New Roman" w:hAnsi="Times New Roman" w:cs="Times New Roman"/>
          <w:sz w:val="28"/>
          <w:szCs w:val="28"/>
        </w:rPr>
        <w:t>partir de la Sentencia C-481 de 2019 la Corte ha avalado que el conocimiento previo y completo de los textos sometidos a debate en efecto puede darse a través de las nuevas tecnologías de la información o cualquier medio adecuado para comunicarla a sus des</w:t>
      </w:r>
      <w:r w:rsidRPr="00E4401D">
        <w:rPr>
          <w:rFonts w:ascii="Times New Roman" w:hAnsi="Times New Roman" w:cs="Times New Roman"/>
          <w:sz w:val="28"/>
          <w:szCs w:val="28"/>
        </w:rPr>
        <w:t xml:space="preserve">tinatarios. </w:t>
      </w:r>
      <w:r w:rsidRPr="00E4401D">
        <w:rPr>
          <w:rFonts w:ascii="Times New Roman" w:hAnsi="Times New Roman" w:cs="Times New Roman"/>
          <w:sz w:val="28"/>
          <w:szCs w:val="28"/>
        </w:rPr>
        <w:t>En</w:t>
      </w:r>
      <w:r w:rsidRPr="00E4401D">
        <w:rPr>
          <w:rFonts w:ascii="Times New Roman" w:hAnsi="Times New Roman" w:cs="Times New Roman"/>
          <w:sz w:val="28"/>
          <w:szCs w:val="28"/>
        </w:rPr>
        <w:t xml:space="preserve"> la sentencia C-481 de 2019 </w:t>
      </w:r>
      <w:r w:rsidRPr="00E4401D">
        <w:rPr>
          <w:rFonts w:ascii="Times New Roman" w:hAnsi="Times New Roman" w:cs="Times New Roman"/>
          <w:sz w:val="28"/>
          <w:szCs w:val="28"/>
        </w:rPr>
        <w:t xml:space="preserve">se determinó que </w:t>
      </w:r>
      <w:r w:rsidRPr="00E4401D">
        <w:rPr>
          <w:rFonts w:ascii="Times New Roman" w:hAnsi="Times New Roman" w:cs="Times New Roman"/>
          <w:sz w:val="28"/>
          <w:szCs w:val="28"/>
        </w:rPr>
        <w:t>la publicación en página web era válida siempre y cuando se informara a los congresistas de dicha publicación.</w:t>
      </w:r>
    </w:p>
    <w:p w:rsidR="00467C74" w:rsidRPr="00E4401D" w:rsidRDefault="00E4401D" w:rsidP="00AC7450">
      <w:pPr>
        <w:pStyle w:val="Prrafodelista"/>
        <w:tabs>
          <w:tab w:val="left" w:pos="0"/>
        </w:tabs>
        <w:ind w:left="0"/>
        <w:mirrorIndents/>
        <w:jc w:val="both"/>
        <w:rPr>
          <w:rFonts w:ascii="Times New Roman" w:hAnsi="Times New Roman" w:cs="Times New Roman"/>
          <w:sz w:val="28"/>
          <w:szCs w:val="28"/>
        </w:rPr>
      </w:pPr>
    </w:p>
    <w:p w:rsidR="00467C74" w:rsidRPr="00E4401D" w:rsidRDefault="00E4401D" w:rsidP="00AC7450">
      <w:pPr>
        <w:pStyle w:val="Prrafodelista"/>
        <w:tabs>
          <w:tab w:val="left" w:pos="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En ese caso la </w:t>
      </w:r>
      <w:r w:rsidRPr="00E4401D">
        <w:rPr>
          <w:rFonts w:ascii="Times New Roman" w:hAnsi="Times New Roman" w:cs="Times New Roman"/>
          <w:sz w:val="28"/>
          <w:szCs w:val="28"/>
        </w:rPr>
        <w:t>Corte señaló que “</w:t>
      </w:r>
      <w:r w:rsidRPr="00E4401D">
        <w:rPr>
          <w:rFonts w:ascii="Times New Roman" w:hAnsi="Times New Roman" w:cs="Times New Roman"/>
          <w:i/>
          <w:iCs/>
          <w:sz w:val="28"/>
          <w:szCs w:val="28"/>
        </w:rPr>
        <w:t>el conocimiento previo y completo de los textos some</w:t>
      </w:r>
      <w:r w:rsidRPr="00E4401D">
        <w:rPr>
          <w:rFonts w:ascii="Times New Roman" w:hAnsi="Times New Roman" w:cs="Times New Roman"/>
          <w:i/>
          <w:iCs/>
          <w:sz w:val="28"/>
          <w:szCs w:val="28"/>
        </w:rPr>
        <w:t>tidos a debate en efecto puede darse a través de las nuevas tecnologías de la información o cualquier medio adecuado para comunicarla a sus destinatarios, pero para ello es necesario que se informe a los parlamentarios, y a la ciudadanía en general, en dón</w:t>
      </w:r>
      <w:r w:rsidRPr="00E4401D">
        <w:rPr>
          <w:rFonts w:ascii="Times New Roman" w:hAnsi="Times New Roman" w:cs="Times New Roman"/>
          <w:i/>
          <w:iCs/>
          <w:sz w:val="28"/>
          <w:szCs w:val="28"/>
        </w:rPr>
        <w:t>de se encuentran publicados</w:t>
      </w:r>
      <w:r w:rsidRPr="00E4401D">
        <w:rPr>
          <w:rFonts w:ascii="Times New Roman" w:hAnsi="Times New Roman" w:cs="Times New Roman"/>
          <w:sz w:val="28"/>
          <w:szCs w:val="28"/>
        </w:rPr>
        <w:t xml:space="preserve">”. Ahora, al momento de valorar la prueba, la Sala concluyó que la publicación en la página web del Senado de la República no podía tenerse como prueba del conocimiento para los representantes a la </w:t>
      </w:r>
      <w:r w:rsidRPr="00E4401D">
        <w:rPr>
          <w:rFonts w:ascii="Times New Roman" w:hAnsi="Times New Roman" w:cs="Times New Roman"/>
          <w:sz w:val="28"/>
          <w:szCs w:val="28"/>
        </w:rPr>
        <w:t>Cámara</w:t>
      </w:r>
      <w:r w:rsidRPr="00E4401D">
        <w:rPr>
          <w:rFonts w:ascii="Times New Roman" w:hAnsi="Times New Roman" w:cs="Times New Roman"/>
          <w:sz w:val="28"/>
          <w:szCs w:val="28"/>
        </w:rPr>
        <w:t xml:space="preserve">, por dos razones: (i) </w:t>
      </w:r>
      <w:r w:rsidRPr="00E4401D">
        <w:rPr>
          <w:rFonts w:ascii="Times New Roman" w:hAnsi="Times New Roman" w:cs="Times New Roman"/>
          <w:sz w:val="28"/>
          <w:szCs w:val="28"/>
        </w:rPr>
        <w:t>e</w:t>
      </w:r>
      <w:r w:rsidRPr="00E4401D">
        <w:rPr>
          <w:rFonts w:ascii="Times New Roman" w:hAnsi="Times New Roman" w:cs="Times New Roman"/>
          <w:sz w:val="28"/>
          <w:szCs w:val="28"/>
        </w:rPr>
        <w:t>l</w:t>
      </w:r>
      <w:r w:rsidRPr="00E4401D">
        <w:rPr>
          <w:rFonts w:ascii="Times New Roman" w:hAnsi="Times New Roman" w:cs="Times New Roman"/>
          <w:sz w:val="28"/>
          <w:szCs w:val="28"/>
        </w:rPr>
        <w:t xml:space="preserve"> representante no estaba obligado a conocer la publicación hecha en la página web de otra corporación pública y (ii) la ventana temporal de publicación fue corta (menor de 24 horas). Es importante destacar que en ese caso se analizó la publicidad de propos</w:t>
      </w:r>
      <w:r w:rsidRPr="00E4401D">
        <w:rPr>
          <w:rFonts w:ascii="Times New Roman" w:hAnsi="Times New Roman" w:cs="Times New Roman"/>
          <w:sz w:val="28"/>
          <w:szCs w:val="28"/>
        </w:rPr>
        <w:t>iciones propuestas durante la sesión plenaria de otra cámara.</w:t>
      </w:r>
    </w:p>
    <w:p w:rsidR="00467C74" w:rsidRPr="00E4401D" w:rsidRDefault="00E4401D" w:rsidP="00AC7450">
      <w:pPr>
        <w:pStyle w:val="Prrafodelista"/>
        <w:tabs>
          <w:tab w:val="left" w:pos="0"/>
        </w:tabs>
        <w:ind w:left="0"/>
        <w:rPr>
          <w:rFonts w:ascii="Times New Roman" w:hAnsi="Times New Roman" w:cs="Times New Roman"/>
          <w:sz w:val="28"/>
          <w:szCs w:val="28"/>
        </w:rPr>
      </w:pPr>
    </w:p>
    <w:p w:rsidR="00467C74" w:rsidRPr="00E4401D" w:rsidRDefault="00E4401D" w:rsidP="00AC7450">
      <w:pPr>
        <w:pStyle w:val="Prrafodelista"/>
        <w:tabs>
          <w:tab w:val="left" w:pos="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Así</w:t>
      </w:r>
      <w:r w:rsidRPr="00E4401D">
        <w:rPr>
          <w:rFonts w:ascii="Times New Roman" w:hAnsi="Times New Roman" w:cs="Times New Roman"/>
          <w:sz w:val="28"/>
          <w:szCs w:val="28"/>
        </w:rPr>
        <w:t>, las reglas que se desprenden de la Sentencia C-481 de 2019 para la validez de la publicación de proposiciones a través de la página web son las siguientes: (i) se debe avisar previamente a</w:t>
      </w:r>
      <w:r w:rsidRPr="00E4401D">
        <w:rPr>
          <w:rFonts w:ascii="Times New Roman" w:hAnsi="Times New Roman" w:cs="Times New Roman"/>
          <w:sz w:val="28"/>
          <w:szCs w:val="28"/>
        </w:rPr>
        <w:t xml:space="preserve"> los miembros de la cámara dónde se encuentran ubicad</w:t>
      </w:r>
      <w:r w:rsidRPr="00E4401D">
        <w:rPr>
          <w:rFonts w:ascii="Times New Roman" w:hAnsi="Times New Roman" w:cs="Times New Roman"/>
          <w:sz w:val="28"/>
          <w:szCs w:val="28"/>
        </w:rPr>
        <w:t>a</w:t>
      </w:r>
      <w:r w:rsidRPr="00E4401D">
        <w:rPr>
          <w:rFonts w:ascii="Times New Roman" w:hAnsi="Times New Roman" w:cs="Times New Roman"/>
          <w:sz w:val="28"/>
          <w:szCs w:val="28"/>
        </w:rPr>
        <w:t>s</w:t>
      </w:r>
      <w:r w:rsidRPr="00E4401D">
        <w:rPr>
          <w:rFonts w:ascii="Times New Roman" w:hAnsi="Times New Roman" w:cs="Times New Roman"/>
          <w:sz w:val="28"/>
          <w:szCs w:val="28"/>
        </w:rPr>
        <w:t xml:space="preserve"> las proposiciones publicadas</w:t>
      </w:r>
      <w:r w:rsidRPr="00E4401D">
        <w:rPr>
          <w:rFonts w:ascii="Times New Roman" w:hAnsi="Times New Roman" w:cs="Times New Roman"/>
          <w:sz w:val="28"/>
          <w:szCs w:val="28"/>
        </w:rPr>
        <w:t xml:space="preserve">; (ii) la página web que debe usarse para la publicación debe corresponder a la cámara en donde se pretende hacer la publicidad; y (iii) la publicación debe hacerse con un </w:t>
      </w:r>
      <w:r w:rsidRPr="00E4401D">
        <w:rPr>
          <w:rFonts w:ascii="Times New Roman" w:hAnsi="Times New Roman" w:cs="Times New Roman"/>
          <w:sz w:val="28"/>
          <w:szCs w:val="28"/>
        </w:rPr>
        <w:t>tiempo suficiente para que los miembros puedan conocer del contenido del objeto de la proposición.</w:t>
      </w:r>
    </w:p>
    <w:p w:rsidR="0055351A" w:rsidRPr="00E4401D" w:rsidRDefault="00E4401D" w:rsidP="00AC7450">
      <w:pPr>
        <w:pStyle w:val="Prrafodelista"/>
        <w:tabs>
          <w:tab w:val="left" w:pos="0"/>
        </w:tabs>
        <w:ind w:left="0"/>
        <w:mirrorIndents/>
        <w:jc w:val="both"/>
        <w:rPr>
          <w:rFonts w:ascii="Times New Roman" w:hAnsi="Times New Roman" w:cs="Times New Roman"/>
          <w:sz w:val="28"/>
          <w:szCs w:val="28"/>
        </w:rPr>
      </w:pPr>
    </w:p>
    <w:p w:rsidR="00637CCA" w:rsidRPr="00E4401D" w:rsidRDefault="00E4401D" w:rsidP="00AC7450">
      <w:pPr>
        <w:pStyle w:val="Prrafodelista"/>
        <w:tabs>
          <w:tab w:val="left" w:pos="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E</w:t>
      </w:r>
      <w:r w:rsidRPr="00E4401D">
        <w:rPr>
          <w:rFonts w:ascii="Times New Roman" w:hAnsi="Times New Roman" w:cs="Times New Roman"/>
          <w:sz w:val="28"/>
          <w:szCs w:val="28"/>
        </w:rPr>
        <w:t>n la Sentencia C-109 de 2023 la Corte ajustó el criterio de valoración del medio alternativo de publicación en página web y afirmó que el informe previo no</w:t>
      </w:r>
      <w:r w:rsidRPr="00E4401D">
        <w:rPr>
          <w:rFonts w:ascii="Times New Roman" w:hAnsi="Times New Roman" w:cs="Times New Roman"/>
          <w:sz w:val="28"/>
          <w:szCs w:val="28"/>
        </w:rPr>
        <w:t xml:space="preserve"> limitaba la validez de la publicación como herramienta para garantizar el principio de publicidad</w:t>
      </w:r>
      <w:r w:rsidRPr="00E4401D">
        <w:rPr>
          <w:rFonts w:ascii="Times New Roman" w:hAnsi="Times New Roman" w:cs="Times New Roman"/>
          <w:sz w:val="28"/>
          <w:szCs w:val="28"/>
        </w:rPr>
        <w:t>. Sin embargo</w:t>
      </w:r>
      <w:r w:rsidRPr="00E4401D">
        <w:rPr>
          <w:rFonts w:ascii="Times New Roman" w:hAnsi="Times New Roman" w:cs="Times New Roman"/>
          <w:sz w:val="28"/>
          <w:szCs w:val="28"/>
        </w:rPr>
        <w:t xml:space="preserve">, esta </w:t>
      </w:r>
      <w:r w:rsidRPr="00E4401D">
        <w:rPr>
          <w:rFonts w:ascii="Times New Roman" w:hAnsi="Times New Roman" w:cs="Times New Roman"/>
          <w:sz w:val="28"/>
          <w:szCs w:val="28"/>
        </w:rPr>
        <w:t>precisión de la regla</w:t>
      </w:r>
      <w:r w:rsidRPr="00E4401D">
        <w:rPr>
          <w:rFonts w:ascii="Times New Roman" w:hAnsi="Times New Roman" w:cs="Times New Roman"/>
          <w:sz w:val="28"/>
          <w:szCs w:val="28"/>
        </w:rPr>
        <w:t xml:space="preserve"> se fundamentó en las circunstancias particulares del trámite legislativo de la Ley 2099 de 2021. La Corte reconoció </w:t>
      </w:r>
      <w:r w:rsidRPr="00E4401D">
        <w:rPr>
          <w:rFonts w:ascii="Times New Roman" w:hAnsi="Times New Roman" w:cs="Times New Roman"/>
          <w:sz w:val="28"/>
          <w:szCs w:val="28"/>
        </w:rPr>
        <w:t xml:space="preserve">que dicha ley fue tramitada durante un período en el que el país atravesaba un proceso de estabilización y reducción de los contagios y las muertes causadas por </w:t>
      </w:r>
      <w:r w:rsidRPr="00E4401D">
        <w:rPr>
          <w:rFonts w:ascii="Times New Roman" w:hAnsi="Times New Roman" w:cs="Times New Roman"/>
          <w:sz w:val="28"/>
          <w:szCs w:val="28"/>
        </w:rPr>
        <w:t>la</w:t>
      </w:r>
      <w:r w:rsidRPr="00E4401D">
        <w:rPr>
          <w:rFonts w:ascii="Times New Roman" w:hAnsi="Times New Roman" w:cs="Times New Roman"/>
          <w:sz w:val="28"/>
          <w:szCs w:val="28"/>
        </w:rPr>
        <w:t xml:space="preserve"> Covid-19, situándose entre dos picos de contagios. Por ello, se justificó el uso de medios v</w:t>
      </w:r>
      <w:r w:rsidRPr="00E4401D">
        <w:rPr>
          <w:rFonts w:ascii="Times New Roman" w:hAnsi="Times New Roman" w:cs="Times New Roman"/>
          <w:sz w:val="28"/>
          <w:szCs w:val="28"/>
        </w:rPr>
        <w:t>irtuales de publicidad, dado que en esa época era necesario mantener el distanciamiento físico para controlar los contagios y las muertes. En consecuencia, este estándar de valoración no puede aplicarse de manera general, ya que fue concebido como una medi</w:t>
      </w:r>
      <w:r w:rsidRPr="00E4401D">
        <w:rPr>
          <w:rFonts w:ascii="Times New Roman" w:hAnsi="Times New Roman" w:cs="Times New Roman"/>
          <w:sz w:val="28"/>
          <w:szCs w:val="28"/>
        </w:rPr>
        <w:t>da excepcional debido a esas circunstancias específicas.</w:t>
      </w:r>
    </w:p>
    <w:p w:rsidR="000B72EA" w:rsidRPr="00E4401D" w:rsidRDefault="00E4401D" w:rsidP="00AC7450">
      <w:pPr>
        <w:pStyle w:val="Prrafodelista"/>
        <w:tabs>
          <w:tab w:val="left" w:pos="0"/>
        </w:tabs>
        <w:ind w:left="0"/>
        <w:mirrorIndents/>
        <w:jc w:val="both"/>
        <w:rPr>
          <w:rFonts w:ascii="Times New Roman" w:hAnsi="Times New Roman" w:cs="Times New Roman"/>
          <w:sz w:val="28"/>
          <w:szCs w:val="28"/>
        </w:rPr>
      </w:pPr>
    </w:p>
    <w:p w:rsidR="000B72EA" w:rsidRPr="00E4401D" w:rsidRDefault="00E4401D" w:rsidP="00AC7450">
      <w:pPr>
        <w:pStyle w:val="Prrafodelista"/>
        <w:tabs>
          <w:tab w:val="left" w:pos="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Posteriormente, la Sentencia C-294 de 2024 reiteró y precisó las subreglas que rigen la validez de la publicación en páginas web institucionales como forma de dar cumplimiento al principio de public</w:t>
      </w:r>
      <w:r w:rsidRPr="00E4401D">
        <w:rPr>
          <w:rFonts w:ascii="Times New Roman" w:hAnsi="Times New Roman" w:cs="Times New Roman"/>
          <w:sz w:val="28"/>
          <w:szCs w:val="28"/>
        </w:rPr>
        <w:t>idad. En particular, reafirmó que esta modalidad solo es admisible si se cumple con: (i) la identificación clara del canal oficial de publicación, correspondiente a la cámara legislativa competente; (ii) la notificación oportuna a los congresistas sobre la</w:t>
      </w:r>
      <w:r w:rsidRPr="00E4401D">
        <w:rPr>
          <w:rFonts w:ascii="Times New Roman" w:hAnsi="Times New Roman" w:cs="Times New Roman"/>
          <w:sz w:val="28"/>
          <w:szCs w:val="28"/>
        </w:rPr>
        <w:t xml:space="preserve"> ubicación del contenido en dicho medio; y (iii) la garantía de un plazo razonable que permita el acceso efectivo al contenido antes del debate y la votación.</w:t>
      </w:r>
    </w:p>
    <w:p w:rsidR="00637CCA" w:rsidRPr="00E4401D" w:rsidRDefault="00E4401D" w:rsidP="00637CCA">
      <w:pPr>
        <w:pStyle w:val="Prrafodelista"/>
        <w:tabs>
          <w:tab w:val="left" w:pos="540"/>
        </w:tabs>
        <w:ind w:left="0"/>
        <w:mirrorIndents/>
        <w:jc w:val="both"/>
        <w:rPr>
          <w:rFonts w:ascii="Times New Roman" w:hAnsi="Times New Roman" w:cs="Times New Roman"/>
          <w:sz w:val="28"/>
          <w:szCs w:val="28"/>
        </w:rPr>
      </w:pPr>
    </w:p>
    <w:p w:rsidR="00C735FC" w:rsidRPr="00E4401D" w:rsidRDefault="00E4401D" w:rsidP="008A3C27">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En </w:t>
      </w:r>
      <w:r w:rsidRPr="00E4401D">
        <w:rPr>
          <w:rFonts w:ascii="Times New Roman" w:hAnsi="Times New Roman" w:cs="Times New Roman"/>
          <w:sz w:val="28"/>
          <w:szCs w:val="28"/>
        </w:rPr>
        <w:t xml:space="preserve">la sentencia C-294 de 2024 </w:t>
      </w:r>
      <w:r w:rsidRPr="00E4401D">
        <w:rPr>
          <w:rFonts w:ascii="Times New Roman" w:hAnsi="Times New Roman" w:cs="Times New Roman"/>
          <w:sz w:val="28"/>
          <w:szCs w:val="28"/>
        </w:rPr>
        <w:t>la Corte concluyó</w:t>
      </w:r>
      <w:r w:rsidRPr="00E4401D">
        <w:rPr>
          <w:rFonts w:ascii="Times New Roman" w:hAnsi="Times New Roman" w:cs="Times New Roman"/>
          <w:sz w:val="28"/>
          <w:szCs w:val="28"/>
        </w:rPr>
        <w:t xml:space="preserve"> que </w:t>
      </w:r>
      <w:r w:rsidRPr="00E4401D">
        <w:rPr>
          <w:rFonts w:ascii="Times New Roman" w:hAnsi="Times New Roman" w:cs="Times New Roman"/>
          <w:sz w:val="28"/>
          <w:szCs w:val="28"/>
        </w:rPr>
        <w:t xml:space="preserve">el trámite de aprobación </w:t>
      </w:r>
      <w:r w:rsidRPr="00E4401D">
        <w:rPr>
          <w:rFonts w:ascii="Times New Roman" w:hAnsi="Times New Roman" w:cs="Times New Roman"/>
          <w:sz w:val="28"/>
          <w:szCs w:val="28"/>
        </w:rPr>
        <w:t xml:space="preserve">de </w:t>
      </w:r>
      <w:r w:rsidRPr="00E4401D">
        <w:rPr>
          <w:rFonts w:ascii="Times New Roman" w:hAnsi="Times New Roman" w:cs="Times New Roman"/>
          <w:sz w:val="28"/>
          <w:szCs w:val="28"/>
        </w:rPr>
        <w:t>l</w:t>
      </w:r>
      <w:r w:rsidRPr="00E4401D">
        <w:rPr>
          <w:rFonts w:ascii="Times New Roman" w:hAnsi="Times New Roman" w:cs="Times New Roman"/>
          <w:sz w:val="28"/>
          <w:szCs w:val="28"/>
        </w:rPr>
        <w:t xml:space="preserve">a proposición </w:t>
      </w:r>
      <w:r w:rsidRPr="00E4401D">
        <w:rPr>
          <w:rFonts w:ascii="Times New Roman" w:hAnsi="Times New Roman" w:cs="Times New Roman"/>
          <w:sz w:val="28"/>
          <w:szCs w:val="28"/>
        </w:rPr>
        <w:t>relativa a los</w:t>
      </w:r>
      <w:r w:rsidRPr="00E4401D">
        <w:rPr>
          <w:rFonts w:ascii="Times New Roman" w:hAnsi="Times New Roman" w:cs="Times New Roman"/>
          <w:sz w:val="28"/>
          <w:szCs w:val="28"/>
        </w:rPr>
        <w:t xml:space="preserve"> numerales 6 y el parágrafo 3 del artículo 61 de la Ley 2294 de 2023 </w:t>
      </w:r>
      <w:r w:rsidRPr="00E4401D">
        <w:rPr>
          <w:rFonts w:ascii="Times New Roman" w:hAnsi="Times New Roman" w:cs="Times New Roman"/>
          <w:sz w:val="28"/>
          <w:szCs w:val="28"/>
        </w:rPr>
        <w:t xml:space="preserve">durante la sesión plenaria </w:t>
      </w:r>
      <w:r w:rsidRPr="00E4401D">
        <w:rPr>
          <w:rFonts w:ascii="Times New Roman" w:hAnsi="Times New Roman" w:cs="Times New Roman"/>
          <w:sz w:val="28"/>
          <w:szCs w:val="28"/>
        </w:rPr>
        <w:t>del Senado de la Rep</w:t>
      </w:r>
      <w:r w:rsidRPr="00E4401D">
        <w:rPr>
          <w:rFonts w:ascii="Times New Roman" w:hAnsi="Times New Roman" w:cs="Times New Roman"/>
          <w:sz w:val="28"/>
          <w:szCs w:val="28"/>
        </w:rPr>
        <w:t>ú</w:t>
      </w:r>
      <w:r w:rsidRPr="00E4401D">
        <w:rPr>
          <w:rFonts w:ascii="Times New Roman" w:hAnsi="Times New Roman" w:cs="Times New Roman"/>
          <w:sz w:val="28"/>
          <w:szCs w:val="28"/>
        </w:rPr>
        <w:t xml:space="preserve">blica </w:t>
      </w:r>
      <w:r w:rsidRPr="00E4401D">
        <w:rPr>
          <w:rFonts w:ascii="Times New Roman" w:hAnsi="Times New Roman" w:cs="Times New Roman"/>
          <w:sz w:val="28"/>
          <w:szCs w:val="28"/>
        </w:rPr>
        <w:t>adolec</w:t>
      </w:r>
      <w:r w:rsidRPr="00E4401D">
        <w:rPr>
          <w:rFonts w:ascii="Times New Roman" w:hAnsi="Times New Roman" w:cs="Times New Roman"/>
          <w:sz w:val="28"/>
          <w:szCs w:val="28"/>
        </w:rPr>
        <w:t>ía</w:t>
      </w:r>
      <w:r w:rsidRPr="00E4401D">
        <w:rPr>
          <w:rFonts w:ascii="Times New Roman" w:hAnsi="Times New Roman" w:cs="Times New Roman"/>
          <w:sz w:val="28"/>
          <w:szCs w:val="28"/>
        </w:rPr>
        <w:t xml:space="preserve"> de vicios insubsanables en razón a su falta de publicidad.</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Para juzgar el caso </w:t>
      </w:r>
      <w:r w:rsidRPr="00E4401D">
        <w:rPr>
          <w:rFonts w:ascii="Times New Roman" w:hAnsi="Times New Roman" w:cs="Times New Roman"/>
          <w:i/>
          <w:iCs/>
          <w:sz w:val="28"/>
          <w:szCs w:val="28"/>
        </w:rPr>
        <w:t>sub judice</w:t>
      </w:r>
      <w:r w:rsidRPr="00E4401D">
        <w:rPr>
          <w:rFonts w:ascii="Times New Roman" w:hAnsi="Times New Roman" w:cs="Times New Roman"/>
          <w:sz w:val="28"/>
          <w:szCs w:val="28"/>
        </w:rPr>
        <w:t xml:space="preserve"> r</w:t>
      </w:r>
      <w:r w:rsidRPr="00E4401D">
        <w:rPr>
          <w:rFonts w:ascii="Times New Roman" w:hAnsi="Times New Roman" w:cs="Times New Roman"/>
          <w:sz w:val="28"/>
          <w:szCs w:val="28"/>
        </w:rPr>
        <w:t>esulta imperativo r</w:t>
      </w:r>
      <w:r w:rsidRPr="00E4401D">
        <w:rPr>
          <w:rFonts w:ascii="Times New Roman" w:hAnsi="Times New Roman" w:cs="Times New Roman"/>
          <w:sz w:val="28"/>
          <w:szCs w:val="28"/>
        </w:rPr>
        <w:t xml:space="preserve">eplicar el análisis efectuado en la sentencia referida, pues los apartados </w:t>
      </w:r>
      <w:r w:rsidRPr="00E4401D">
        <w:rPr>
          <w:rFonts w:ascii="Times New Roman" w:hAnsi="Times New Roman" w:cs="Times New Roman"/>
          <w:sz w:val="28"/>
          <w:szCs w:val="28"/>
        </w:rPr>
        <w:t>del artículo 61 que</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son objeto de control en </w:t>
      </w:r>
      <w:r w:rsidRPr="00E4401D">
        <w:rPr>
          <w:rFonts w:ascii="Times New Roman" w:hAnsi="Times New Roman" w:cs="Times New Roman"/>
          <w:sz w:val="28"/>
          <w:szCs w:val="28"/>
        </w:rPr>
        <w:t xml:space="preserve">este expediente </w:t>
      </w:r>
      <w:r w:rsidRPr="00E4401D">
        <w:rPr>
          <w:rFonts w:ascii="Times New Roman" w:hAnsi="Times New Roman" w:cs="Times New Roman"/>
          <w:sz w:val="28"/>
          <w:szCs w:val="28"/>
        </w:rPr>
        <w:t>estaban incluidos dentro d</w:t>
      </w:r>
      <w:r w:rsidRPr="00E4401D">
        <w:rPr>
          <w:rFonts w:ascii="Times New Roman" w:hAnsi="Times New Roman" w:cs="Times New Roman"/>
          <w:sz w:val="28"/>
          <w:szCs w:val="28"/>
        </w:rPr>
        <w:t xml:space="preserve">e la misma proposición </w:t>
      </w:r>
      <w:r w:rsidRPr="00E4401D">
        <w:rPr>
          <w:rFonts w:ascii="Times New Roman" w:hAnsi="Times New Roman" w:cs="Times New Roman"/>
          <w:sz w:val="28"/>
          <w:szCs w:val="28"/>
        </w:rPr>
        <w:t xml:space="preserve">y surtieron el mismo trámite </w:t>
      </w:r>
      <w:r w:rsidRPr="00E4401D">
        <w:rPr>
          <w:rFonts w:ascii="Times New Roman" w:hAnsi="Times New Roman" w:cs="Times New Roman"/>
          <w:sz w:val="28"/>
          <w:szCs w:val="28"/>
        </w:rPr>
        <w:t>que</w:t>
      </w:r>
      <w:r w:rsidRPr="00E4401D">
        <w:rPr>
          <w:rFonts w:ascii="Times New Roman" w:hAnsi="Times New Roman" w:cs="Times New Roman"/>
          <w:sz w:val="28"/>
          <w:szCs w:val="28"/>
        </w:rPr>
        <w:t xml:space="preserve"> las disposiciones </w:t>
      </w:r>
      <w:r w:rsidRPr="00E4401D">
        <w:rPr>
          <w:rFonts w:ascii="Times New Roman" w:hAnsi="Times New Roman" w:cs="Times New Roman"/>
          <w:sz w:val="28"/>
          <w:szCs w:val="28"/>
        </w:rPr>
        <w:t xml:space="preserve">declaradas inexequibles mediante </w:t>
      </w:r>
      <w:r w:rsidRPr="00E4401D">
        <w:rPr>
          <w:rFonts w:ascii="Times New Roman" w:hAnsi="Times New Roman" w:cs="Times New Roman"/>
          <w:sz w:val="28"/>
          <w:szCs w:val="28"/>
        </w:rPr>
        <w:t>la sentencia C-294 de 202</w:t>
      </w:r>
      <w:r w:rsidRPr="00E4401D">
        <w:rPr>
          <w:rFonts w:ascii="Times New Roman" w:hAnsi="Times New Roman" w:cs="Times New Roman"/>
          <w:sz w:val="28"/>
          <w:szCs w:val="28"/>
        </w:rPr>
        <w:t>4</w:t>
      </w:r>
      <w:r w:rsidRPr="00E4401D">
        <w:rPr>
          <w:rFonts w:ascii="Times New Roman" w:hAnsi="Times New Roman" w:cs="Times New Roman"/>
          <w:sz w:val="28"/>
          <w:szCs w:val="28"/>
        </w:rPr>
        <w:t>.</w:t>
      </w:r>
    </w:p>
    <w:p w:rsidR="00C735FC" w:rsidRPr="00E4401D" w:rsidRDefault="00E4401D" w:rsidP="00C735FC">
      <w:pPr>
        <w:pStyle w:val="Prrafodelista"/>
        <w:tabs>
          <w:tab w:val="left" w:pos="540"/>
        </w:tabs>
        <w:ind w:left="0"/>
        <w:mirrorIndents/>
        <w:jc w:val="both"/>
        <w:rPr>
          <w:rFonts w:ascii="Times New Roman" w:hAnsi="Times New Roman" w:cs="Times New Roman"/>
          <w:sz w:val="28"/>
          <w:szCs w:val="28"/>
        </w:rPr>
      </w:pPr>
    </w:p>
    <w:p w:rsidR="00A904AD" w:rsidRPr="00E4401D" w:rsidRDefault="00E4401D" w:rsidP="008A3C27">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color w:val="000000" w:themeColor="text1"/>
          <w:sz w:val="28"/>
          <w:szCs w:val="28"/>
          <w:lang w:val="es-ES"/>
        </w:rPr>
        <w:t xml:space="preserve">En la </w:t>
      </w:r>
      <w:r w:rsidRPr="00E4401D">
        <w:rPr>
          <w:rFonts w:ascii="Times New Roman" w:hAnsi="Times New Roman" w:cs="Times New Roman"/>
          <w:sz w:val="28"/>
          <w:szCs w:val="28"/>
          <w:lang w:val="es-ES"/>
        </w:rPr>
        <w:t>Sentencia</w:t>
      </w:r>
      <w:r w:rsidRPr="00E4401D">
        <w:rPr>
          <w:rFonts w:ascii="Times New Roman" w:hAnsi="Times New Roman" w:cs="Times New Roman"/>
          <w:color w:val="000000" w:themeColor="text1"/>
          <w:sz w:val="28"/>
          <w:szCs w:val="28"/>
          <w:lang w:val="es-ES"/>
        </w:rPr>
        <w:t xml:space="preserve"> C-294 de 2024, la Sala Plena constató que, al adoptar el numeral 6 y el parágrafo 3 del artículo 61 de la Ley 2294 de 2023, el legislador incurrió en vicios de trámite insubsanab</w:t>
      </w:r>
      <w:r w:rsidRPr="00E4401D">
        <w:rPr>
          <w:rFonts w:ascii="Times New Roman" w:hAnsi="Times New Roman" w:cs="Times New Roman"/>
          <w:color w:val="000000" w:themeColor="text1"/>
          <w:sz w:val="28"/>
          <w:szCs w:val="28"/>
          <w:lang w:val="es-ES"/>
        </w:rPr>
        <w:t xml:space="preserve">les. </w:t>
      </w:r>
      <w:r w:rsidRPr="00E4401D">
        <w:rPr>
          <w:rFonts w:ascii="Times New Roman" w:hAnsi="Times New Roman" w:cs="Times New Roman"/>
          <w:sz w:val="28"/>
          <w:szCs w:val="28"/>
        </w:rPr>
        <w:t xml:space="preserve">La Sala verificó que las normas demandadas se añadieron mediante una proposición </w:t>
      </w:r>
      <w:r w:rsidRPr="00E4401D">
        <w:rPr>
          <w:rFonts w:ascii="Times New Roman" w:hAnsi="Times New Roman" w:cs="Times New Roman"/>
          <w:sz w:val="28"/>
          <w:szCs w:val="28"/>
        </w:rPr>
        <w:t>modificatoria</w:t>
      </w:r>
      <w:r w:rsidRPr="00E4401D">
        <w:rPr>
          <w:rFonts w:ascii="Times New Roman" w:hAnsi="Times New Roman" w:cs="Times New Roman"/>
          <w:sz w:val="28"/>
          <w:szCs w:val="28"/>
        </w:rPr>
        <w:t xml:space="preserve"> al artículo 55 del proyecto de ley en ese momento. </w:t>
      </w:r>
      <w:r w:rsidRPr="00E4401D">
        <w:rPr>
          <w:rFonts w:ascii="Times New Roman" w:hAnsi="Times New Roman" w:cs="Times New Roman"/>
          <w:sz w:val="28"/>
          <w:szCs w:val="28"/>
        </w:rPr>
        <w:t>Constató que e</w:t>
      </w:r>
      <w:r w:rsidRPr="00E4401D">
        <w:rPr>
          <w:rFonts w:ascii="Times New Roman" w:hAnsi="Times New Roman" w:cs="Times New Roman"/>
          <w:sz w:val="28"/>
          <w:szCs w:val="28"/>
        </w:rPr>
        <w:t xml:space="preserve">sta proposición fue presentada el 26 de abril de 2023 </w:t>
      </w:r>
      <w:r w:rsidRPr="00E4401D">
        <w:rPr>
          <w:rFonts w:ascii="Times New Roman" w:hAnsi="Times New Roman" w:cs="Times New Roman"/>
          <w:sz w:val="28"/>
          <w:szCs w:val="28"/>
        </w:rPr>
        <w:t xml:space="preserve">ante la subsecretaría general del </w:t>
      </w:r>
      <w:r w:rsidRPr="00E4401D">
        <w:rPr>
          <w:rFonts w:ascii="Times New Roman" w:hAnsi="Times New Roman" w:cs="Times New Roman"/>
          <w:sz w:val="28"/>
          <w:szCs w:val="28"/>
        </w:rPr>
        <w:t>Sen</w:t>
      </w:r>
      <w:r w:rsidRPr="00E4401D">
        <w:rPr>
          <w:rFonts w:ascii="Times New Roman" w:hAnsi="Times New Roman" w:cs="Times New Roman"/>
          <w:sz w:val="28"/>
          <w:szCs w:val="28"/>
        </w:rPr>
        <w:t>ado</w:t>
      </w:r>
      <w:r w:rsidRPr="00E4401D">
        <w:rPr>
          <w:rFonts w:ascii="Times New Roman" w:hAnsi="Times New Roman" w:cs="Times New Roman"/>
          <w:sz w:val="28"/>
          <w:szCs w:val="28"/>
        </w:rPr>
        <w:t xml:space="preserve">, no fue incluida en el informe de ponencia para el debate de plenaria en el Senado de la República </w:t>
      </w:r>
      <w:r w:rsidRPr="00E4401D">
        <w:rPr>
          <w:rFonts w:ascii="Times New Roman" w:hAnsi="Times New Roman" w:cs="Times New Roman"/>
          <w:sz w:val="28"/>
          <w:szCs w:val="28"/>
        </w:rPr>
        <w:t xml:space="preserve">y </w:t>
      </w:r>
      <w:r w:rsidRPr="00E4401D">
        <w:rPr>
          <w:rFonts w:ascii="Times New Roman" w:hAnsi="Times New Roman" w:cs="Times New Roman"/>
          <w:sz w:val="28"/>
          <w:szCs w:val="28"/>
        </w:rPr>
        <w:t xml:space="preserve">fue </w:t>
      </w:r>
      <w:r w:rsidRPr="00E4401D">
        <w:rPr>
          <w:rFonts w:ascii="Times New Roman" w:hAnsi="Times New Roman" w:cs="Times New Roman"/>
          <w:sz w:val="28"/>
          <w:szCs w:val="28"/>
        </w:rPr>
        <w:t xml:space="preserve">aprobada en bloque el 2 de mayo del mismo año. </w:t>
      </w:r>
      <w:r w:rsidRPr="00E4401D">
        <w:rPr>
          <w:rFonts w:ascii="Times New Roman" w:hAnsi="Times New Roman" w:cs="Times New Roman"/>
          <w:sz w:val="28"/>
          <w:szCs w:val="28"/>
        </w:rPr>
        <w:t>La Corte tuvo por demostrado</w:t>
      </w:r>
      <w:r w:rsidRPr="00E4401D">
        <w:rPr>
          <w:rFonts w:ascii="Times New Roman" w:hAnsi="Times New Roman" w:cs="Times New Roman"/>
          <w:sz w:val="28"/>
          <w:szCs w:val="28"/>
        </w:rPr>
        <w:t xml:space="preserve"> que no se cumplió con el </w:t>
      </w:r>
      <w:r w:rsidRPr="00E4401D">
        <w:rPr>
          <w:rFonts w:ascii="Times New Roman" w:hAnsi="Times New Roman" w:cs="Times New Roman"/>
          <w:sz w:val="28"/>
          <w:szCs w:val="28"/>
        </w:rPr>
        <w:t>requisito</w:t>
      </w:r>
      <w:r w:rsidRPr="00E4401D">
        <w:rPr>
          <w:rFonts w:ascii="Times New Roman" w:hAnsi="Times New Roman" w:cs="Times New Roman"/>
          <w:sz w:val="28"/>
          <w:szCs w:val="28"/>
        </w:rPr>
        <w:t xml:space="preserve"> de publicidad establecido en la Ley </w:t>
      </w:r>
      <w:r w:rsidRPr="00E4401D">
        <w:rPr>
          <w:rFonts w:ascii="Times New Roman" w:hAnsi="Times New Roman" w:cs="Times New Roman"/>
          <w:sz w:val="28"/>
          <w:szCs w:val="28"/>
        </w:rPr>
        <w:t>5 de 1992,</w:t>
      </w:r>
      <w:r w:rsidRPr="00E4401D">
        <w:rPr>
          <w:rFonts w:ascii="Times New Roman" w:hAnsi="Times New Roman" w:cs="Times New Roman"/>
          <w:sz w:val="28"/>
          <w:szCs w:val="28"/>
        </w:rPr>
        <w:t xml:space="preserve"> pues la proposición no fue publicada por medios oficiales o alternativos previo a su debate y aprobación, ni tampoco fue leída o explicada</w:t>
      </w:r>
      <w:r w:rsidRPr="00E4401D">
        <w:rPr>
          <w:rFonts w:ascii="Times New Roman" w:hAnsi="Times New Roman" w:cs="Times New Roman"/>
          <w:sz w:val="28"/>
          <w:szCs w:val="28"/>
        </w:rPr>
        <w:t xml:space="preserve">. </w:t>
      </w:r>
    </w:p>
    <w:p w:rsidR="00A904AD" w:rsidRPr="00E4401D" w:rsidRDefault="00E4401D" w:rsidP="00A904AD">
      <w:pPr>
        <w:pStyle w:val="Prrafodelista"/>
        <w:rPr>
          <w:rFonts w:ascii="Times New Roman" w:hAnsi="Times New Roman" w:cs="Times New Roman"/>
          <w:color w:val="000000" w:themeColor="text1"/>
          <w:sz w:val="28"/>
          <w:szCs w:val="28"/>
        </w:rPr>
      </w:pPr>
    </w:p>
    <w:p w:rsidR="00A904AD" w:rsidRPr="00E4401D" w:rsidRDefault="00E4401D" w:rsidP="00A904AD">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color w:val="000000" w:themeColor="text1"/>
          <w:sz w:val="28"/>
          <w:szCs w:val="28"/>
        </w:rPr>
        <w:t xml:space="preserve">En primer lugar, </w:t>
      </w:r>
      <w:r w:rsidRPr="00E4401D">
        <w:rPr>
          <w:rFonts w:ascii="Times New Roman" w:hAnsi="Times New Roman" w:cs="Times New Roman"/>
          <w:color w:val="000000" w:themeColor="text1"/>
          <w:sz w:val="28"/>
          <w:szCs w:val="28"/>
        </w:rPr>
        <w:t xml:space="preserve">encontró que </w:t>
      </w:r>
      <w:r w:rsidRPr="00E4401D">
        <w:rPr>
          <w:rFonts w:ascii="Times New Roman" w:hAnsi="Times New Roman" w:cs="Times New Roman"/>
          <w:color w:val="000000" w:themeColor="text1"/>
          <w:sz w:val="28"/>
          <w:szCs w:val="28"/>
        </w:rPr>
        <w:t>la explicación dada por el presidente del Senado</w:t>
      </w:r>
      <w:r w:rsidRPr="00E4401D">
        <w:rPr>
          <w:rFonts w:ascii="Times New Roman" w:hAnsi="Times New Roman" w:cs="Times New Roman"/>
          <w:color w:val="000000" w:themeColor="text1"/>
          <w:sz w:val="28"/>
          <w:szCs w:val="28"/>
        </w:rPr>
        <w:t xml:space="preserve"> de la Rep</w:t>
      </w:r>
      <w:r w:rsidRPr="00E4401D">
        <w:rPr>
          <w:rFonts w:ascii="Times New Roman" w:hAnsi="Times New Roman" w:cs="Times New Roman"/>
          <w:color w:val="000000" w:themeColor="text1"/>
          <w:sz w:val="28"/>
          <w:szCs w:val="28"/>
        </w:rPr>
        <w:t>ú</w:t>
      </w:r>
      <w:r w:rsidRPr="00E4401D">
        <w:rPr>
          <w:rFonts w:ascii="Times New Roman" w:hAnsi="Times New Roman" w:cs="Times New Roman"/>
          <w:color w:val="000000" w:themeColor="text1"/>
          <w:sz w:val="28"/>
          <w:szCs w:val="28"/>
        </w:rPr>
        <w:t>blica</w:t>
      </w:r>
      <w:r w:rsidRPr="00E4401D">
        <w:rPr>
          <w:rFonts w:ascii="Times New Roman" w:hAnsi="Times New Roman" w:cs="Times New Roman"/>
          <w:color w:val="000000" w:themeColor="text1"/>
          <w:sz w:val="28"/>
          <w:szCs w:val="28"/>
        </w:rPr>
        <w:t xml:space="preserve"> sobre la proposición fue insuficiente, ya que no brindó a los </w:t>
      </w:r>
      <w:r w:rsidRPr="00E4401D">
        <w:rPr>
          <w:rFonts w:ascii="Times New Roman" w:hAnsi="Times New Roman" w:cs="Times New Roman"/>
          <w:color w:val="000000" w:themeColor="text1"/>
          <w:sz w:val="28"/>
          <w:szCs w:val="28"/>
        </w:rPr>
        <w:t>integrantes de la respectiva cámara</w:t>
      </w:r>
      <w:r w:rsidRPr="00E4401D">
        <w:rPr>
          <w:rFonts w:ascii="Times New Roman" w:hAnsi="Times New Roman" w:cs="Times New Roman"/>
          <w:color w:val="000000" w:themeColor="text1"/>
          <w:sz w:val="28"/>
          <w:szCs w:val="28"/>
        </w:rPr>
        <w:t xml:space="preserve"> la claridad necesaria para entender su alcance antes de ser aprobada. Además, </w:t>
      </w:r>
      <w:r w:rsidRPr="00E4401D">
        <w:rPr>
          <w:rFonts w:ascii="Times New Roman" w:hAnsi="Times New Roman" w:cs="Times New Roman"/>
          <w:color w:val="000000" w:themeColor="text1"/>
          <w:sz w:val="28"/>
          <w:szCs w:val="28"/>
        </w:rPr>
        <w:t xml:space="preserve">observó que </w:t>
      </w:r>
      <w:r w:rsidRPr="00E4401D">
        <w:rPr>
          <w:rFonts w:ascii="Times New Roman" w:hAnsi="Times New Roman" w:cs="Times New Roman"/>
          <w:color w:val="000000" w:themeColor="text1"/>
          <w:sz w:val="28"/>
          <w:szCs w:val="28"/>
        </w:rPr>
        <w:t>no se pudo demostrar que la publicación de la proposición en la pág</w:t>
      </w:r>
      <w:r w:rsidRPr="00E4401D">
        <w:rPr>
          <w:rFonts w:ascii="Times New Roman" w:hAnsi="Times New Roman" w:cs="Times New Roman"/>
          <w:color w:val="000000" w:themeColor="text1"/>
          <w:sz w:val="28"/>
          <w:szCs w:val="28"/>
        </w:rPr>
        <w:t xml:space="preserve">ina web del Senado ocurriera antes de la decisión; </w:t>
      </w:r>
      <w:r w:rsidRPr="00E4401D">
        <w:rPr>
          <w:rFonts w:ascii="Times New Roman" w:hAnsi="Times New Roman" w:cs="Times New Roman"/>
          <w:color w:val="000000" w:themeColor="text1"/>
          <w:sz w:val="28"/>
          <w:szCs w:val="28"/>
        </w:rPr>
        <w:t xml:space="preserve">y que </w:t>
      </w:r>
      <w:r w:rsidRPr="00E4401D">
        <w:rPr>
          <w:rFonts w:ascii="Times New Roman" w:hAnsi="Times New Roman" w:cs="Times New Roman"/>
          <w:color w:val="000000" w:themeColor="text1"/>
          <w:sz w:val="28"/>
          <w:szCs w:val="28"/>
        </w:rPr>
        <w:t>de hecho, en el trámite ante la plenaria, no se informó a los senadores que dicho medio sería el mecanismo de publicidad en esa instancia.</w:t>
      </w:r>
    </w:p>
    <w:p w:rsidR="00824794" w:rsidRPr="00E4401D" w:rsidRDefault="00E4401D" w:rsidP="00824794">
      <w:pPr>
        <w:pStyle w:val="Prrafodelista"/>
        <w:ind w:left="0"/>
        <w:rPr>
          <w:rFonts w:ascii="Times New Roman" w:hAnsi="Times New Roman" w:cs="Times New Roman"/>
          <w:color w:val="000000" w:themeColor="text1"/>
          <w:sz w:val="28"/>
          <w:szCs w:val="28"/>
          <w:lang w:val="es-ES"/>
        </w:rPr>
      </w:pPr>
    </w:p>
    <w:p w:rsidR="00824794" w:rsidRPr="00E4401D" w:rsidRDefault="00E4401D" w:rsidP="008A3C27">
      <w:pPr>
        <w:pStyle w:val="Prrafodelista"/>
        <w:numPr>
          <w:ilvl w:val="0"/>
          <w:numId w:val="3"/>
        </w:numPr>
        <w:ind w:left="0" w:firstLine="0"/>
        <w:jc w:val="both"/>
        <w:rPr>
          <w:rFonts w:ascii="Times New Roman" w:hAnsi="Times New Roman" w:cs="Times New Roman"/>
          <w:color w:val="000000" w:themeColor="text1"/>
          <w:sz w:val="28"/>
          <w:szCs w:val="28"/>
          <w:lang w:val="es-ES"/>
        </w:rPr>
      </w:pPr>
      <w:r w:rsidRPr="00E4401D">
        <w:rPr>
          <w:rFonts w:ascii="Times New Roman" w:hAnsi="Times New Roman" w:cs="Times New Roman"/>
          <w:color w:val="000000" w:themeColor="text1"/>
          <w:sz w:val="28"/>
          <w:szCs w:val="28"/>
        </w:rPr>
        <w:t>La Sala Plena también concluyó que</w:t>
      </w:r>
      <w:r w:rsidRPr="00E4401D">
        <w:rPr>
          <w:rFonts w:ascii="Times New Roman" w:hAnsi="Times New Roman" w:cs="Times New Roman"/>
          <w:color w:val="000000" w:themeColor="text1"/>
          <w:sz w:val="28"/>
          <w:szCs w:val="28"/>
        </w:rPr>
        <w:t>, como consecuencia de la</w:t>
      </w:r>
      <w:r w:rsidRPr="00E4401D">
        <w:rPr>
          <w:rFonts w:ascii="Times New Roman" w:hAnsi="Times New Roman" w:cs="Times New Roman"/>
          <w:color w:val="000000" w:themeColor="text1"/>
          <w:sz w:val="28"/>
          <w:szCs w:val="28"/>
        </w:rPr>
        <w:t xml:space="preserve"> violación del principio de publicidad,</w:t>
      </w:r>
      <w:r w:rsidRPr="00E4401D">
        <w:rPr>
          <w:rFonts w:ascii="Times New Roman" w:hAnsi="Times New Roman" w:cs="Times New Roman"/>
          <w:color w:val="000000" w:themeColor="text1"/>
          <w:sz w:val="28"/>
          <w:szCs w:val="28"/>
        </w:rPr>
        <w:t xml:space="preserve"> durante el trámite legislativo de las disposiciones en cuestión</w:t>
      </w:r>
      <w:r w:rsidRPr="00E4401D">
        <w:rPr>
          <w:rFonts w:ascii="Times New Roman" w:hAnsi="Times New Roman" w:cs="Times New Roman"/>
          <w:color w:val="000000" w:themeColor="text1"/>
          <w:sz w:val="28"/>
          <w:szCs w:val="28"/>
        </w:rPr>
        <w:t xml:space="preserve"> también</w:t>
      </w:r>
      <w:r w:rsidRPr="00E4401D">
        <w:rPr>
          <w:rFonts w:ascii="Times New Roman" w:hAnsi="Times New Roman" w:cs="Times New Roman"/>
          <w:color w:val="000000" w:themeColor="text1"/>
          <w:sz w:val="28"/>
          <w:szCs w:val="28"/>
        </w:rPr>
        <w:t xml:space="preserve"> se violaron los principios de consecutividad e identidad flexible. Aunque las medidas contenidas en el numeral 6 y el parágrafo 3 del artículo 6</w:t>
      </w:r>
      <w:r w:rsidRPr="00E4401D">
        <w:rPr>
          <w:rFonts w:ascii="Times New Roman" w:hAnsi="Times New Roman" w:cs="Times New Roman"/>
          <w:color w:val="000000" w:themeColor="text1"/>
          <w:sz w:val="28"/>
          <w:szCs w:val="28"/>
        </w:rPr>
        <w:t>1 de la Ley 2294 de 2023 estaban relacionadas con algunos temas del Plan Nacional de Desarrollo, estas no fueron debatidas en el primer debate ante las comisiones económicas conjuntas.</w:t>
      </w:r>
    </w:p>
    <w:p w:rsidR="002247CE" w:rsidRPr="00E4401D" w:rsidRDefault="00E4401D" w:rsidP="002247CE">
      <w:pPr>
        <w:pStyle w:val="Prrafodelista"/>
        <w:rPr>
          <w:rFonts w:ascii="Times New Roman" w:hAnsi="Times New Roman" w:cs="Times New Roman"/>
          <w:color w:val="000000" w:themeColor="text1"/>
          <w:sz w:val="28"/>
          <w:szCs w:val="28"/>
          <w:lang w:val="es-ES"/>
        </w:rPr>
      </w:pPr>
    </w:p>
    <w:p w:rsidR="002348C5" w:rsidRPr="00E4401D" w:rsidRDefault="00E4401D" w:rsidP="00E679D1">
      <w:pPr>
        <w:pStyle w:val="Prrafodelista"/>
        <w:numPr>
          <w:ilvl w:val="0"/>
          <w:numId w:val="3"/>
        </w:numPr>
        <w:ind w:left="0" w:firstLine="0"/>
        <w:jc w:val="both"/>
        <w:rPr>
          <w:rFonts w:ascii="Times New Roman" w:hAnsi="Times New Roman" w:cs="Times New Roman"/>
          <w:color w:val="000000" w:themeColor="text1"/>
          <w:sz w:val="28"/>
          <w:szCs w:val="28"/>
          <w:lang w:val="es-ES"/>
        </w:rPr>
      </w:pPr>
      <w:r w:rsidRPr="00E4401D">
        <w:rPr>
          <w:rFonts w:ascii="Times New Roman" w:hAnsi="Times New Roman" w:cs="Times New Roman"/>
          <w:color w:val="000000" w:themeColor="text1"/>
          <w:sz w:val="28"/>
          <w:szCs w:val="28"/>
        </w:rPr>
        <w:t>Así</w:t>
      </w:r>
      <w:r w:rsidRPr="00E4401D">
        <w:rPr>
          <w:rFonts w:ascii="Times New Roman" w:hAnsi="Times New Roman" w:cs="Times New Roman"/>
          <w:color w:val="000000" w:themeColor="text1"/>
          <w:sz w:val="28"/>
          <w:szCs w:val="28"/>
        </w:rPr>
        <w:t xml:space="preserve">, la Corte consideró que los vicios </w:t>
      </w:r>
      <w:r w:rsidRPr="00E4401D">
        <w:rPr>
          <w:rFonts w:ascii="Times New Roman" w:hAnsi="Times New Roman" w:cs="Times New Roman"/>
          <w:color w:val="000000" w:themeColor="text1"/>
          <w:sz w:val="28"/>
          <w:szCs w:val="28"/>
        </w:rPr>
        <w:t>advertidos</w:t>
      </w:r>
      <w:r w:rsidRPr="00E4401D">
        <w:rPr>
          <w:rFonts w:ascii="Times New Roman" w:hAnsi="Times New Roman" w:cs="Times New Roman"/>
          <w:color w:val="000000" w:themeColor="text1"/>
          <w:sz w:val="28"/>
          <w:szCs w:val="28"/>
        </w:rPr>
        <w:t xml:space="preserve"> durante el trámite d</w:t>
      </w:r>
      <w:r w:rsidRPr="00E4401D">
        <w:rPr>
          <w:rFonts w:ascii="Times New Roman" w:hAnsi="Times New Roman" w:cs="Times New Roman"/>
          <w:color w:val="000000" w:themeColor="text1"/>
          <w:sz w:val="28"/>
          <w:szCs w:val="28"/>
        </w:rPr>
        <w:t>e las normas impugnadas eran insubsanables. A</w:t>
      </w:r>
      <w:r w:rsidRPr="00E4401D">
        <w:rPr>
          <w:rFonts w:ascii="Times New Roman" w:hAnsi="Times New Roman" w:cs="Times New Roman"/>
          <w:color w:val="000000" w:themeColor="text1"/>
          <w:sz w:val="28"/>
          <w:szCs w:val="28"/>
        </w:rPr>
        <w:t>gregó</w:t>
      </w:r>
      <w:r w:rsidRPr="00E4401D">
        <w:rPr>
          <w:rFonts w:ascii="Times New Roman" w:hAnsi="Times New Roman" w:cs="Times New Roman"/>
          <w:color w:val="000000" w:themeColor="text1"/>
          <w:sz w:val="28"/>
          <w:szCs w:val="28"/>
        </w:rPr>
        <w:t xml:space="preserve"> que</w:t>
      </w:r>
      <w:r w:rsidRPr="00E4401D">
        <w:rPr>
          <w:rFonts w:ascii="Times New Roman" w:hAnsi="Times New Roman" w:cs="Times New Roman"/>
          <w:color w:val="000000" w:themeColor="text1"/>
          <w:sz w:val="28"/>
          <w:szCs w:val="28"/>
        </w:rPr>
        <w:t xml:space="preserve"> devolver la ley al Congreso para corregir los errores identificados habría significado, en la práctica, retroceder el proceso legislativo hasta el primer debate para que allí se discutiera la medida </w:t>
      </w:r>
      <w:r w:rsidRPr="00E4401D">
        <w:rPr>
          <w:rFonts w:ascii="Times New Roman" w:hAnsi="Times New Roman" w:cs="Times New Roman"/>
          <w:color w:val="000000" w:themeColor="text1"/>
          <w:sz w:val="28"/>
          <w:szCs w:val="28"/>
        </w:rPr>
        <w:t xml:space="preserve">demandada. </w:t>
      </w:r>
      <w:r w:rsidRPr="00E4401D">
        <w:rPr>
          <w:rFonts w:ascii="Times New Roman" w:hAnsi="Times New Roman" w:cs="Times New Roman"/>
          <w:color w:val="000000" w:themeColor="text1"/>
          <w:sz w:val="28"/>
          <w:szCs w:val="28"/>
          <w:lang w:val="es-ES"/>
        </w:rPr>
        <w:t xml:space="preserve">Por esos motivos, en la sentencia C-294 de 2024, la Sala Plena declaró la inexequibilidad del numeral 6 y del parágrafo 3 del artículo 61 de la Ley 2294 de 2023. </w:t>
      </w:r>
    </w:p>
    <w:p w:rsidR="001A481A" w:rsidRPr="00E4401D" w:rsidRDefault="00E4401D" w:rsidP="0055351A">
      <w:pPr>
        <w:pStyle w:val="Prrafodelista"/>
        <w:tabs>
          <w:tab w:val="left" w:pos="540"/>
        </w:tabs>
        <w:ind w:left="0"/>
        <w:mirrorIndents/>
        <w:jc w:val="both"/>
        <w:rPr>
          <w:rFonts w:ascii="Times New Roman" w:hAnsi="Times New Roman" w:cs="Times New Roman"/>
          <w:sz w:val="28"/>
          <w:szCs w:val="28"/>
        </w:rPr>
      </w:pPr>
    </w:p>
    <w:p w:rsidR="001927B4" w:rsidRPr="00E4401D" w:rsidRDefault="00E4401D" w:rsidP="00E91CC0">
      <w:pPr>
        <w:pStyle w:val="Ttulo2"/>
        <w:numPr>
          <w:ilvl w:val="0"/>
          <w:numId w:val="6"/>
        </w:numPr>
        <w:spacing w:before="0"/>
        <w:ind w:left="0" w:firstLine="0"/>
        <w:jc w:val="both"/>
        <w:rPr>
          <w:rFonts w:ascii="Times New Roman" w:hAnsi="Times New Roman" w:cs="Times New Roman"/>
          <w:b/>
          <w:bCs/>
          <w:color w:val="auto"/>
          <w:sz w:val="28"/>
          <w:szCs w:val="28"/>
          <w:u w:val="single"/>
          <w:shd w:val="clear" w:color="auto" w:fill="FFFFFF"/>
        </w:rPr>
      </w:pPr>
      <w:r w:rsidRPr="00E4401D">
        <w:rPr>
          <w:rFonts w:ascii="Times New Roman" w:hAnsi="Times New Roman" w:cs="Times New Roman"/>
          <w:b/>
          <w:bCs/>
          <w:color w:val="auto"/>
          <w:sz w:val="28"/>
          <w:szCs w:val="28"/>
          <w:u w:val="single"/>
          <w:shd w:val="clear" w:color="auto" w:fill="FFFFFF"/>
        </w:rPr>
        <w:t xml:space="preserve">Análisis del caso concreto </w:t>
      </w:r>
    </w:p>
    <w:p w:rsidR="00574695" w:rsidRPr="00E4401D" w:rsidRDefault="00E4401D" w:rsidP="00574695">
      <w:pPr>
        <w:pStyle w:val="Prrafodelista"/>
        <w:tabs>
          <w:tab w:val="left" w:pos="540"/>
        </w:tabs>
        <w:ind w:left="0"/>
        <w:mirrorIndents/>
        <w:jc w:val="both"/>
        <w:rPr>
          <w:rFonts w:ascii="Times New Roman" w:hAnsi="Times New Roman" w:cs="Times New Roman"/>
          <w:sz w:val="28"/>
          <w:szCs w:val="28"/>
        </w:rPr>
      </w:pPr>
    </w:p>
    <w:p w:rsidR="00FD5CA1"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A continuación, se resumen los antecedentes de</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la </w:t>
      </w:r>
      <w:r w:rsidRPr="00E4401D">
        <w:rPr>
          <w:rFonts w:ascii="Times New Roman" w:hAnsi="Times New Roman" w:cs="Times New Roman"/>
          <w:sz w:val="28"/>
          <w:szCs w:val="28"/>
        </w:rPr>
        <w:t>Ley 2294 de 2023:</w:t>
      </w:r>
    </w:p>
    <w:p w:rsidR="00FD5CA1" w:rsidRPr="00E4401D" w:rsidRDefault="00E4401D" w:rsidP="0012241E">
      <w:pPr>
        <w:pStyle w:val="Prrafodelista"/>
        <w:ind w:left="0"/>
        <w:jc w:val="both"/>
        <w:rPr>
          <w:rFonts w:ascii="Times New Roman" w:hAnsi="Times New Roman" w:cs="Times New Roman"/>
          <w:sz w:val="28"/>
          <w:szCs w:val="28"/>
        </w:rPr>
      </w:pPr>
    </w:p>
    <w:p w:rsidR="00F1723E"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El 6 de febrero de 2023, </w:t>
      </w:r>
      <w:r w:rsidRPr="00E4401D">
        <w:rPr>
          <w:rFonts w:ascii="Times New Roman" w:hAnsi="Times New Roman" w:cs="Times New Roman"/>
          <w:sz w:val="28"/>
          <w:szCs w:val="28"/>
        </w:rPr>
        <w:t>e</w:t>
      </w:r>
      <w:r w:rsidRPr="00E4401D">
        <w:rPr>
          <w:rFonts w:ascii="Times New Roman" w:hAnsi="Times New Roman" w:cs="Times New Roman"/>
          <w:sz w:val="28"/>
          <w:szCs w:val="28"/>
        </w:rPr>
        <w:t xml:space="preserve">l Ministerio de Hacienda y Crédito Público radicó en la Cámara de Representantes el Proyecto de Ley No. </w:t>
      </w:r>
      <w:r w:rsidRPr="00E4401D">
        <w:rPr>
          <w:rFonts w:ascii="Times New Roman" w:hAnsi="Times New Roman" w:cs="Times New Roman"/>
          <w:sz w:val="28"/>
          <w:szCs w:val="28"/>
        </w:rPr>
        <w:t>338</w:t>
      </w:r>
      <w:r w:rsidRPr="00E4401D">
        <w:rPr>
          <w:rFonts w:ascii="Times New Roman" w:hAnsi="Times New Roman" w:cs="Times New Roman"/>
          <w:sz w:val="28"/>
          <w:szCs w:val="28"/>
        </w:rPr>
        <w:t xml:space="preserve"> (Cámara) y </w:t>
      </w:r>
      <w:r w:rsidRPr="00E4401D">
        <w:rPr>
          <w:rFonts w:ascii="Times New Roman" w:hAnsi="Times New Roman" w:cs="Times New Roman"/>
          <w:sz w:val="28"/>
          <w:szCs w:val="28"/>
        </w:rPr>
        <w:t>274</w:t>
      </w:r>
      <w:r w:rsidRPr="00E4401D">
        <w:rPr>
          <w:rFonts w:ascii="Times New Roman" w:hAnsi="Times New Roman" w:cs="Times New Roman"/>
          <w:sz w:val="28"/>
          <w:szCs w:val="28"/>
        </w:rPr>
        <w:t xml:space="preserve"> (Senado) “</w:t>
      </w:r>
      <w:r w:rsidRPr="00E4401D">
        <w:rPr>
          <w:rFonts w:ascii="Times New Roman" w:hAnsi="Times New Roman" w:cs="Times New Roman"/>
          <w:i/>
          <w:iCs/>
          <w:sz w:val="28"/>
          <w:szCs w:val="28"/>
        </w:rPr>
        <w:t>p</w:t>
      </w:r>
      <w:r w:rsidRPr="00E4401D">
        <w:rPr>
          <w:rFonts w:ascii="Times New Roman" w:hAnsi="Times New Roman" w:cs="Times New Roman"/>
          <w:i/>
          <w:iCs/>
          <w:sz w:val="28"/>
          <w:szCs w:val="28"/>
        </w:rPr>
        <w:t xml:space="preserve">or medio </w:t>
      </w:r>
      <w:r w:rsidRPr="00E4401D">
        <w:rPr>
          <w:rFonts w:ascii="Times New Roman" w:hAnsi="Times New Roman" w:cs="Times New Roman"/>
          <w:i/>
          <w:iCs/>
          <w:sz w:val="28"/>
          <w:szCs w:val="28"/>
        </w:rPr>
        <w:t xml:space="preserve">el cual se expide el Plan Nacional de Desarrollo 2022-2026 </w:t>
      </w:r>
      <w:r w:rsidRPr="00E4401D">
        <w:rPr>
          <w:rFonts w:ascii="Times New Roman" w:hAnsi="Times New Roman" w:cs="Times New Roman"/>
          <w:i/>
          <w:iCs/>
          <w:sz w:val="28"/>
          <w:szCs w:val="28"/>
        </w:rPr>
        <w:t>“</w:t>
      </w:r>
      <w:r w:rsidRPr="00E4401D">
        <w:rPr>
          <w:rFonts w:ascii="Times New Roman" w:hAnsi="Times New Roman" w:cs="Times New Roman"/>
          <w:i/>
          <w:iCs/>
          <w:sz w:val="28"/>
          <w:szCs w:val="28"/>
        </w:rPr>
        <w:t>Colombia</w:t>
      </w:r>
      <w:r w:rsidRPr="00E4401D">
        <w:rPr>
          <w:rFonts w:ascii="Times New Roman" w:hAnsi="Times New Roman" w:cs="Times New Roman"/>
          <w:i/>
          <w:iCs/>
          <w:sz w:val="28"/>
          <w:szCs w:val="28"/>
        </w:rPr>
        <w:t xml:space="preserve"> potencia mundial de la vida</w:t>
      </w:r>
      <w:r w:rsidRPr="00E4401D">
        <w:rPr>
          <w:rFonts w:ascii="Times New Roman" w:hAnsi="Times New Roman" w:cs="Times New Roman"/>
          <w:i/>
          <w:iCs/>
          <w:sz w:val="28"/>
          <w:szCs w:val="28"/>
        </w:rPr>
        <w:t>”</w:t>
      </w:r>
      <w:r w:rsidRPr="00E4401D">
        <w:rPr>
          <w:rFonts w:ascii="Times New Roman" w:hAnsi="Times New Roman" w:cs="Times New Roman"/>
          <w:i/>
          <w:iCs/>
          <w:sz w:val="28"/>
          <w:szCs w:val="28"/>
        </w:rPr>
        <w:t>.</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El proyecto </w:t>
      </w:r>
      <w:r w:rsidRPr="00E4401D">
        <w:rPr>
          <w:rFonts w:ascii="Times New Roman" w:hAnsi="Times New Roman" w:cs="Times New Roman"/>
          <w:sz w:val="28"/>
          <w:szCs w:val="28"/>
        </w:rPr>
        <w:t xml:space="preserve">de ley </w:t>
      </w:r>
      <w:r w:rsidRPr="00E4401D">
        <w:rPr>
          <w:rFonts w:ascii="Times New Roman" w:hAnsi="Times New Roman" w:cs="Times New Roman"/>
          <w:sz w:val="28"/>
          <w:szCs w:val="28"/>
        </w:rPr>
        <w:t xml:space="preserve">fue </w:t>
      </w:r>
      <w:r w:rsidRPr="00E4401D">
        <w:rPr>
          <w:rFonts w:ascii="Times New Roman" w:hAnsi="Times New Roman" w:cs="Times New Roman"/>
          <w:sz w:val="28"/>
          <w:szCs w:val="28"/>
        </w:rPr>
        <w:t>publicado el 13 de febrero de 2023 en la Gaceta del Congreso No. 18 de 2023.</w:t>
      </w:r>
      <w:r w:rsidRPr="00E4401D">
        <w:rPr>
          <w:rFonts w:ascii="Times New Roman" w:hAnsi="Times New Roman" w:cs="Times New Roman"/>
          <w:sz w:val="28"/>
          <w:szCs w:val="28"/>
        </w:rPr>
        <w:t xml:space="preserve"> </w:t>
      </w:r>
    </w:p>
    <w:p w:rsidR="00F1723E" w:rsidRPr="00E4401D" w:rsidRDefault="00E4401D" w:rsidP="0012241E">
      <w:pPr>
        <w:pStyle w:val="Prrafodelista"/>
        <w:tabs>
          <w:tab w:val="left" w:pos="540"/>
        </w:tabs>
        <w:ind w:left="0"/>
        <w:mirrorIndents/>
        <w:jc w:val="both"/>
        <w:rPr>
          <w:rFonts w:ascii="Times New Roman" w:hAnsi="Times New Roman" w:cs="Times New Roman"/>
          <w:sz w:val="28"/>
          <w:szCs w:val="28"/>
        </w:rPr>
      </w:pPr>
    </w:p>
    <w:p w:rsidR="00374BCD"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El </w:t>
      </w:r>
      <w:r w:rsidRPr="00E4401D">
        <w:rPr>
          <w:rFonts w:ascii="Times New Roman" w:hAnsi="Times New Roman" w:cs="Times New Roman"/>
          <w:sz w:val="28"/>
          <w:szCs w:val="28"/>
        </w:rPr>
        <w:t xml:space="preserve">19 de marzo </w:t>
      </w:r>
      <w:r w:rsidRPr="00E4401D">
        <w:rPr>
          <w:rFonts w:ascii="Times New Roman" w:hAnsi="Times New Roman" w:cs="Times New Roman"/>
          <w:sz w:val="28"/>
          <w:szCs w:val="28"/>
        </w:rPr>
        <w:t xml:space="preserve">de 2023, </w:t>
      </w:r>
      <w:r w:rsidRPr="00E4401D">
        <w:rPr>
          <w:rFonts w:ascii="Times New Roman" w:hAnsi="Times New Roman" w:cs="Times New Roman"/>
          <w:sz w:val="28"/>
          <w:szCs w:val="28"/>
        </w:rPr>
        <w:t xml:space="preserve">los ponentes presentaron </w:t>
      </w:r>
      <w:r w:rsidRPr="00E4401D">
        <w:rPr>
          <w:rFonts w:ascii="Times New Roman" w:hAnsi="Times New Roman" w:cs="Times New Roman"/>
          <w:sz w:val="28"/>
          <w:szCs w:val="28"/>
        </w:rPr>
        <w:t xml:space="preserve">el informe de ponencia </w:t>
      </w:r>
      <w:r w:rsidRPr="00E4401D">
        <w:rPr>
          <w:rFonts w:ascii="Times New Roman" w:hAnsi="Times New Roman" w:cs="Times New Roman"/>
          <w:sz w:val="28"/>
          <w:szCs w:val="28"/>
        </w:rPr>
        <w:t xml:space="preserve">para el debate en las comisiones constitucionales </w:t>
      </w:r>
      <w:r w:rsidRPr="00E4401D">
        <w:rPr>
          <w:rFonts w:ascii="Times New Roman" w:hAnsi="Times New Roman" w:cs="Times New Roman"/>
          <w:sz w:val="28"/>
          <w:szCs w:val="28"/>
        </w:rPr>
        <w:t>permanentes conjuntas 3° y 4° del Senado de la Rep</w:t>
      </w:r>
      <w:r w:rsidRPr="00E4401D">
        <w:rPr>
          <w:rFonts w:ascii="Times New Roman" w:hAnsi="Times New Roman" w:cs="Times New Roman"/>
          <w:sz w:val="28"/>
          <w:szCs w:val="28"/>
        </w:rPr>
        <w:t>ú</w:t>
      </w:r>
      <w:r w:rsidRPr="00E4401D">
        <w:rPr>
          <w:rFonts w:ascii="Times New Roman" w:hAnsi="Times New Roman" w:cs="Times New Roman"/>
          <w:sz w:val="28"/>
          <w:szCs w:val="28"/>
        </w:rPr>
        <w:t xml:space="preserve">blica </w:t>
      </w:r>
      <w:r w:rsidRPr="00E4401D">
        <w:rPr>
          <w:rFonts w:ascii="Times New Roman" w:hAnsi="Times New Roman" w:cs="Times New Roman"/>
          <w:sz w:val="28"/>
          <w:szCs w:val="28"/>
        </w:rPr>
        <w:t xml:space="preserve">y de la Cámara de Representantes, la cual </w:t>
      </w:r>
      <w:r w:rsidRPr="00E4401D">
        <w:rPr>
          <w:rFonts w:ascii="Times New Roman" w:hAnsi="Times New Roman" w:cs="Times New Roman"/>
          <w:sz w:val="28"/>
          <w:szCs w:val="28"/>
        </w:rPr>
        <w:t xml:space="preserve">fue publicada </w:t>
      </w:r>
      <w:r w:rsidRPr="00E4401D">
        <w:rPr>
          <w:rFonts w:ascii="Times New Roman" w:hAnsi="Times New Roman" w:cs="Times New Roman"/>
          <w:sz w:val="28"/>
          <w:szCs w:val="28"/>
        </w:rPr>
        <w:t xml:space="preserve">en la Gaceta 180 </w:t>
      </w:r>
      <w:r w:rsidRPr="00E4401D">
        <w:rPr>
          <w:rFonts w:ascii="Times New Roman" w:hAnsi="Times New Roman" w:cs="Times New Roman"/>
          <w:sz w:val="28"/>
          <w:szCs w:val="28"/>
        </w:rPr>
        <w:t>(</w:t>
      </w:r>
      <w:r w:rsidRPr="00E4401D">
        <w:rPr>
          <w:rFonts w:ascii="Times New Roman" w:hAnsi="Times New Roman" w:cs="Times New Roman"/>
          <w:sz w:val="28"/>
          <w:szCs w:val="28"/>
        </w:rPr>
        <w:t>Cámara</w:t>
      </w:r>
      <w:r w:rsidRPr="00E4401D">
        <w:rPr>
          <w:rFonts w:ascii="Times New Roman" w:hAnsi="Times New Roman" w:cs="Times New Roman"/>
          <w:sz w:val="28"/>
          <w:szCs w:val="28"/>
        </w:rPr>
        <w:t xml:space="preserve"> de Representantes)</w:t>
      </w:r>
      <w:r w:rsidRPr="00E4401D">
        <w:rPr>
          <w:rFonts w:ascii="Times New Roman" w:hAnsi="Times New Roman" w:cs="Times New Roman"/>
          <w:sz w:val="28"/>
          <w:szCs w:val="28"/>
        </w:rPr>
        <w:t xml:space="preserve"> del 19 de marzo de 2023 y </w:t>
      </w:r>
      <w:r w:rsidRPr="00E4401D">
        <w:rPr>
          <w:rFonts w:ascii="Times New Roman" w:hAnsi="Times New Roman" w:cs="Times New Roman"/>
          <w:sz w:val="28"/>
          <w:szCs w:val="28"/>
        </w:rPr>
        <w:t xml:space="preserve">en </w:t>
      </w:r>
      <w:r w:rsidRPr="00E4401D">
        <w:rPr>
          <w:rFonts w:ascii="Times New Roman" w:hAnsi="Times New Roman" w:cs="Times New Roman"/>
          <w:sz w:val="28"/>
          <w:szCs w:val="28"/>
        </w:rPr>
        <w:t xml:space="preserve">la Gaceta 183 </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Senado </w:t>
      </w:r>
      <w:r w:rsidRPr="00E4401D">
        <w:rPr>
          <w:rFonts w:ascii="Times New Roman" w:hAnsi="Times New Roman" w:cs="Times New Roman"/>
          <w:sz w:val="28"/>
          <w:szCs w:val="28"/>
        </w:rPr>
        <w:t>de la Rep</w:t>
      </w:r>
      <w:r w:rsidRPr="00E4401D">
        <w:rPr>
          <w:rFonts w:ascii="Times New Roman" w:hAnsi="Times New Roman" w:cs="Times New Roman"/>
          <w:sz w:val="28"/>
          <w:szCs w:val="28"/>
        </w:rPr>
        <w:t>ú</w:t>
      </w:r>
      <w:r w:rsidRPr="00E4401D">
        <w:rPr>
          <w:rFonts w:ascii="Times New Roman" w:hAnsi="Times New Roman" w:cs="Times New Roman"/>
          <w:sz w:val="28"/>
          <w:szCs w:val="28"/>
        </w:rPr>
        <w:t xml:space="preserve">blica) </w:t>
      </w:r>
      <w:r w:rsidRPr="00E4401D">
        <w:rPr>
          <w:rFonts w:ascii="Times New Roman" w:hAnsi="Times New Roman" w:cs="Times New Roman"/>
          <w:sz w:val="28"/>
          <w:szCs w:val="28"/>
        </w:rPr>
        <w:t>del 20 de marzo de 2023</w:t>
      </w:r>
      <w:r w:rsidRPr="00E4401D">
        <w:rPr>
          <w:rFonts w:ascii="Times New Roman" w:hAnsi="Times New Roman" w:cs="Times New Roman"/>
          <w:sz w:val="28"/>
          <w:szCs w:val="28"/>
        </w:rPr>
        <w:t>.</w:t>
      </w:r>
    </w:p>
    <w:p w:rsidR="00255AB1" w:rsidRPr="00E4401D" w:rsidRDefault="00E4401D" w:rsidP="00255AB1">
      <w:pPr>
        <w:pStyle w:val="Prrafodelista"/>
        <w:tabs>
          <w:tab w:val="left" w:pos="540"/>
        </w:tabs>
        <w:ind w:left="0"/>
        <w:mirrorIndents/>
        <w:jc w:val="both"/>
        <w:rPr>
          <w:rFonts w:ascii="Times New Roman" w:hAnsi="Times New Roman" w:cs="Times New Roman"/>
          <w:sz w:val="28"/>
          <w:szCs w:val="28"/>
        </w:rPr>
      </w:pPr>
    </w:p>
    <w:p w:rsidR="00F1723E"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El de</w:t>
      </w:r>
      <w:r w:rsidRPr="00E4401D">
        <w:rPr>
          <w:rFonts w:ascii="Times New Roman" w:hAnsi="Times New Roman" w:cs="Times New Roman"/>
          <w:sz w:val="28"/>
          <w:szCs w:val="28"/>
        </w:rPr>
        <w:t>bate en la sesión de las comisiones constitucionales permanentes conjuntas 3° y 4° de Cámara de Representantes y del Senado de la Rep</w:t>
      </w:r>
      <w:r w:rsidRPr="00E4401D">
        <w:rPr>
          <w:rFonts w:ascii="Times New Roman" w:hAnsi="Times New Roman" w:cs="Times New Roman"/>
          <w:sz w:val="28"/>
          <w:szCs w:val="28"/>
        </w:rPr>
        <w:t>ú</w:t>
      </w:r>
      <w:r w:rsidRPr="00E4401D">
        <w:rPr>
          <w:rFonts w:ascii="Times New Roman" w:hAnsi="Times New Roman" w:cs="Times New Roman"/>
          <w:sz w:val="28"/>
          <w:szCs w:val="28"/>
        </w:rPr>
        <w:t>blica transcurrió los días</w:t>
      </w:r>
      <w:r w:rsidRPr="00E4401D">
        <w:rPr>
          <w:rFonts w:ascii="Times New Roman" w:hAnsi="Times New Roman" w:cs="Times New Roman"/>
          <w:sz w:val="28"/>
          <w:szCs w:val="28"/>
        </w:rPr>
        <w:t xml:space="preserve"> 20,</w:t>
      </w:r>
      <w:r w:rsidRPr="00E4401D">
        <w:rPr>
          <w:rFonts w:ascii="Times New Roman" w:hAnsi="Times New Roman" w:cs="Times New Roman"/>
          <w:sz w:val="28"/>
          <w:szCs w:val="28"/>
        </w:rPr>
        <w:t xml:space="preserve"> 21, 22 y 23 de marzo de 2023</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El debate fue</w:t>
      </w:r>
      <w:r w:rsidRPr="00E4401D">
        <w:rPr>
          <w:rFonts w:ascii="Times New Roman" w:hAnsi="Times New Roman" w:cs="Times New Roman"/>
          <w:sz w:val="28"/>
          <w:szCs w:val="28"/>
        </w:rPr>
        <w:t xml:space="preserve"> publicado a través de las </w:t>
      </w:r>
      <w:r w:rsidRPr="00E4401D">
        <w:rPr>
          <w:rFonts w:ascii="Times New Roman" w:hAnsi="Times New Roman" w:cs="Times New Roman"/>
          <w:sz w:val="28"/>
          <w:szCs w:val="28"/>
        </w:rPr>
        <w:t xml:space="preserve">Gacetas 858, 859 y </w:t>
      </w:r>
      <w:r w:rsidRPr="00E4401D">
        <w:rPr>
          <w:rFonts w:ascii="Times New Roman" w:hAnsi="Times New Roman" w:cs="Times New Roman"/>
          <w:sz w:val="28"/>
          <w:szCs w:val="28"/>
        </w:rPr>
        <w:t>860 de 2023.</w:t>
      </w:r>
      <w:r w:rsidRPr="00E4401D">
        <w:rPr>
          <w:rFonts w:ascii="Times New Roman" w:hAnsi="Times New Roman" w:cs="Times New Roman"/>
          <w:sz w:val="28"/>
          <w:szCs w:val="28"/>
        </w:rPr>
        <w:t xml:space="preserve"> E</w:t>
      </w:r>
      <w:r w:rsidRPr="00E4401D">
        <w:rPr>
          <w:rFonts w:ascii="Times New Roman" w:hAnsi="Times New Roman" w:cs="Times New Roman"/>
          <w:sz w:val="28"/>
          <w:szCs w:val="28"/>
        </w:rPr>
        <w:t>l texto aprobado consta en la Gaceta 274 del 10 de abril de 2023</w:t>
      </w:r>
      <w:r w:rsidRPr="00E4401D">
        <w:rPr>
          <w:rFonts w:ascii="Times New Roman" w:hAnsi="Times New Roman" w:cs="Times New Roman"/>
          <w:sz w:val="28"/>
          <w:szCs w:val="28"/>
        </w:rPr>
        <w:t>.</w:t>
      </w:r>
    </w:p>
    <w:p w:rsidR="00C86628" w:rsidRPr="00E4401D" w:rsidRDefault="00E4401D" w:rsidP="0012241E">
      <w:pPr>
        <w:pStyle w:val="Prrafodelista"/>
        <w:ind w:left="0"/>
        <w:jc w:val="both"/>
        <w:rPr>
          <w:rFonts w:ascii="Times New Roman" w:hAnsi="Times New Roman" w:cs="Times New Roman"/>
          <w:sz w:val="28"/>
          <w:szCs w:val="28"/>
        </w:rPr>
      </w:pPr>
    </w:p>
    <w:p w:rsidR="00C86628"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El 26 de abril de 202</w:t>
      </w:r>
      <w:r w:rsidRPr="00E4401D">
        <w:rPr>
          <w:rFonts w:ascii="Times New Roman" w:hAnsi="Times New Roman" w:cs="Times New Roman"/>
          <w:sz w:val="28"/>
          <w:szCs w:val="28"/>
        </w:rPr>
        <w:t>3</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los ponentes del proyecto presentaron </w:t>
      </w:r>
      <w:r w:rsidRPr="00E4401D">
        <w:rPr>
          <w:rFonts w:ascii="Times New Roman" w:hAnsi="Times New Roman" w:cs="Times New Roman"/>
          <w:sz w:val="28"/>
          <w:szCs w:val="28"/>
        </w:rPr>
        <w:t xml:space="preserve">el </w:t>
      </w:r>
      <w:r w:rsidRPr="00E4401D">
        <w:rPr>
          <w:rFonts w:ascii="Times New Roman" w:hAnsi="Times New Roman" w:cs="Times New Roman"/>
          <w:sz w:val="28"/>
          <w:szCs w:val="28"/>
        </w:rPr>
        <w:t xml:space="preserve">informe de ponencia para el debate en la sesión plenaria del Senado de la </w:t>
      </w:r>
      <w:r w:rsidRPr="00E4401D">
        <w:rPr>
          <w:rFonts w:ascii="Times New Roman" w:hAnsi="Times New Roman" w:cs="Times New Roman"/>
          <w:sz w:val="28"/>
          <w:szCs w:val="28"/>
        </w:rPr>
        <w:t>República con</w:t>
      </w:r>
      <w:r w:rsidRPr="00E4401D">
        <w:rPr>
          <w:rFonts w:ascii="Times New Roman" w:hAnsi="Times New Roman" w:cs="Times New Roman"/>
          <w:sz w:val="28"/>
          <w:szCs w:val="28"/>
        </w:rPr>
        <w:t xml:space="preserve"> las proposiciones radi</w:t>
      </w:r>
      <w:r w:rsidRPr="00E4401D">
        <w:rPr>
          <w:rFonts w:ascii="Times New Roman" w:hAnsi="Times New Roman" w:cs="Times New Roman"/>
          <w:sz w:val="28"/>
          <w:szCs w:val="28"/>
        </w:rPr>
        <w:t>cadas en las comisiones conjuntas tercera y cuarta, hecho que puede verificarse en la Gaceta 386 del 26 de abril de 2023</w:t>
      </w:r>
      <w:r w:rsidRPr="00E4401D">
        <w:rPr>
          <w:rFonts w:ascii="Times New Roman" w:hAnsi="Times New Roman" w:cs="Times New Roman"/>
          <w:sz w:val="28"/>
          <w:szCs w:val="28"/>
        </w:rPr>
        <w:t>.</w:t>
      </w:r>
    </w:p>
    <w:p w:rsidR="00C86628" w:rsidRPr="00E4401D" w:rsidRDefault="00E4401D" w:rsidP="0012241E">
      <w:pPr>
        <w:pStyle w:val="Prrafodelista"/>
        <w:tabs>
          <w:tab w:val="left" w:pos="540"/>
        </w:tabs>
        <w:ind w:left="0"/>
        <w:mirrorIndents/>
        <w:jc w:val="both"/>
        <w:rPr>
          <w:rFonts w:ascii="Times New Roman" w:hAnsi="Times New Roman" w:cs="Times New Roman"/>
          <w:sz w:val="28"/>
          <w:szCs w:val="28"/>
        </w:rPr>
      </w:pPr>
    </w:p>
    <w:p w:rsidR="00C86628"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El debate </w:t>
      </w:r>
      <w:r w:rsidRPr="00E4401D">
        <w:rPr>
          <w:rFonts w:ascii="Times New Roman" w:hAnsi="Times New Roman" w:cs="Times New Roman"/>
          <w:sz w:val="28"/>
          <w:szCs w:val="28"/>
        </w:rPr>
        <w:t>de la sesión plenaria del Senado de la Rep</w:t>
      </w:r>
      <w:r w:rsidRPr="00E4401D">
        <w:rPr>
          <w:rFonts w:ascii="Times New Roman" w:hAnsi="Times New Roman" w:cs="Times New Roman"/>
          <w:sz w:val="28"/>
          <w:szCs w:val="28"/>
        </w:rPr>
        <w:t>ú</w:t>
      </w:r>
      <w:r w:rsidRPr="00E4401D">
        <w:rPr>
          <w:rFonts w:ascii="Times New Roman" w:hAnsi="Times New Roman" w:cs="Times New Roman"/>
          <w:sz w:val="28"/>
          <w:szCs w:val="28"/>
        </w:rPr>
        <w:t xml:space="preserve">blica transcurrió los días 2 y 3 de mayo </w:t>
      </w:r>
      <w:r w:rsidRPr="00E4401D">
        <w:rPr>
          <w:rFonts w:ascii="Times New Roman" w:hAnsi="Times New Roman" w:cs="Times New Roman"/>
          <w:sz w:val="28"/>
          <w:szCs w:val="28"/>
        </w:rPr>
        <w:t>de 2023</w:t>
      </w:r>
      <w:r w:rsidRPr="00E4401D">
        <w:rPr>
          <w:rFonts w:ascii="Times New Roman" w:hAnsi="Times New Roman" w:cs="Times New Roman"/>
          <w:sz w:val="28"/>
          <w:szCs w:val="28"/>
        </w:rPr>
        <w:t xml:space="preserve">. El debate fue publicado </w:t>
      </w:r>
      <w:r w:rsidRPr="00E4401D">
        <w:rPr>
          <w:rFonts w:ascii="Times New Roman" w:hAnsi="Times New Roman" w:cs="Times New Roman"/>
          <w:sz w:val="28"/>
          <w:szCs w:val="28"/>
        </w:rPr>
        <w:t>en</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las</w:t>
      </w:r>
      <w:r w:rsidRPr="00E4401D">
        <w:rPr>
          <w:rFonts w:ascii="Times New Roman" w:hAnsi="Times New Roman" w:cs="Times New Roman"/>
          <w:sz w:val="28"/>
          <w:szCs w:val="28"/>
        </w:rPr>
        <w:t xml:space="preserve"> Gacetas 889</w:t>
      </w:r>
      <w:r w:rsidRPr="00E4401D">
        <w:rPr>
          <w:rFonts w:ascii="Times New Roman" w:hAnsi="Times New Roman" w:cs="Times New Roman"/>
          <w:sz w:val="28"/>
          <w:szCs w:val="28"/>
        </w:rPr>
        <w:t xml:space="preserve"> y 902 de 2023. </w:t>
      </w:r>
      <w:r w:rsidRPr="00E4401D">
        <w:rPr>
          <w:rFonts w:ascii="Times New Roman" w:hAnsi="Times New Roman" w:cs="Times New Roman"/>
          <w:sz w:val="28"/>
          <w:szCs w:val="28"/>
        </w:rPr>
        <w:t xml:space="preserve">El texto aprobado consta </w:t>
      </w:r>
      <w:r w:rsidRPr="00E4401D">
        <w:rPr>
          <w:rFonts w:ascii="Times New Roman" w:hAnsi="Times New Roman" w:cs="Times New Roman"/>
          <w:sz w:val="28"/>
          <w:szCs w:val="28"/>
        </w:rPr>
        <w:t>en la Gaceta 417 de 2023.</w:t>
      </w:r>
    </w:p>
    <w:p w:rsidR="00C86628" w:rsidRPr="00E4401D" w:rsidRDefault="00E4401D" w:rsidP="0012241E">
      <w:pPr>
        <w:pStyle w:val="Prrafodelista"/>
        <w:tabs>
          <w:tab w:val="left" w:pos="540"/>
        </w:tabs>
        <w:ind w:left="0"/>
        <w:mirrorIndents/>
        <w:jc w:val="both"/>
        <w:rPr>
          <w:rFonts w:ascii="Times New Roman" w:hAnsi="Times New Roman" w:cs="Times New Roman"/>
          <w:sz w:val="28"/>
          <w:szCs w:val="28"/>
        </w:rPr>
      </w:pPr>
    </w:p>
    <w:p w:rsidR="00D75DF8"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De otro lado,</w:t>
      </w:r>
      <w:r w:rsidRPr="00E4401D">
        <w:rPr>
          <w:rFonts w:ascii="Times New Roman" w:hAnsi="Times New Roman" w:cs="Times New Roman"/>
          <w:sz w:val="28"/>
          <w:szCs w:val="28"/>
        </w:rPr>
        <w:t xml:space="preserve"> el 26 de abril de 2023,</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los ponentes radicaron </w:t>
      </w:r>
      <w:r w:rsidRPr="00E4401D">
        <w:rPr>
          <w:rFonts w:ascii="Times New Roman" w:hAnsi="Times New Roman" w:cs="Times New Roman"/>
          <w:sz w:val="28"/>
          <w:szCs w:val="28"/>
        </w:rPr>
        <w:t>el informe de</w:t>
      </w:r>
      <w:r w:rsidRPr="00E4401D">
        <w:rPr>
          <w:rFonts w:ascii="Times New Roman" w:hAnsi="Times New Roman" w:cs="Times New Roman"/>
          <w:sz w:val="28"/>
          <w:szCs w:val="28"/>
        </w:rPr>
        <w:t xml:space="preserve"> ponencia para </w:t>
      </w:r>
      <w:r w:rsidRPr="00E4401D">
        <w:rPr>
          <w:rFonts w:ascii="Times New Roman" w:hAnsi="Times New Roman" w:cs="Times New Roman"/>
          <w:sz w:val="28"/>
          <w:szCs w:val="28"/>
        </w:rPr>
        <w:t xml:space="preserve">el </w:t>
      </w:r>
      <w:r w:rsidRPr="00E4401D">
        <w:rPr>
          <w:rFonts w:ascii="Times New Roman" w:hAnsi="Times New Roman" w:cs="Times New Roman"/>
          <w:sz w:val="28"/>
          <w:szCs w:val="28"/>
        </w:rPr>
        <w:t xml:space="preserve">debate </w:t>
      </w:r>
      <w:r w:rsidRPr="00E4401D">
        <w:rPr>
          <w:rFonts w:ascii="Times New Roman" w:hAnsi="Times New Roman" w:cs="Times New Roman"/>
          <w:sz w:val="28"/>
          <w:szCs w:val="28"/>
        </w:rPr>
        <w:t>en la sesión plenaria de la Cámara de Representantes</w:t>
      </w:r>
      <w:r w:rsidRPr="00E4401D">
        <w:rPr>
          <w:rFonts w:ascii="Times New Roman" w:hAnsi="Times New Roman" w:cs="Times New Roman"/>
          <w:sz w:val="28"/>
          <w:szCs w:val="28"/>
        </w:rPr>
        <w:t xml:space="preserve">. Este informe de </w:t>
      </w:r>
      <w:r w:rsidRPr="00E4401D">
        <w:rPr>
          <w:rFonts w:ascii="Times New Roman" w:hAnsi="Times New Roman" w:cs="Times New Roman"/>
          <w:sz w:val="28"/>
          <w:szCs w:val="28"/>
        </w:rPr>
        <w:t>ponencia fue publicado</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en la Gaceta 388 de 2023</w:t>
      </w:r>
      <w:r w:rsidRPr="00E4401D">
        <w:rPr>
          <w:rFonts w:ascii="Times New Roman" w:hAnsi="Times New Roman" w:cs="Times New Roman"/>
          <w:sz w:val="28"/>
          <w:szCs w:val="28"/>
        </w:rPr>
        <w:t>.</w:t>
      </w:r>
    </w:p>
    <w:p w:rsidR="00D75DF8" w:rsidRPr="00E4401D" w:rsidRDefault="00E4401D" w:rsidP="0012241E">
      <w:pPr>
        <w:pStyle w:val="Prrafodelista"/>
        <w:ind w:left="0"/>
        <w:jc w:val="both"/>
        <w:rPr>
          <w:rFonts w:ascii="Times New Roman" w:hAnsi="Times New Roman" w:cs="Times New Roman"/>
          <w:sz w:val="28"/>
          <w:szCs w:val="28"/>
        </w:rPr>
      </w:pPr>
    </w:p>
    <w:p w:rsidR="00D75DF8"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Así, el </w:t>
      </w:r>
      <w:r w:rsidRPr="00E4401D">
        <w:rPr>
          <w:rFonts w:ascii="Times New Roman" w:hAnsi="Times New Roman" w:cs="Times New Roman"/>
          <w:sz w:val="28"/>
          <w:szCs w:val="28"/>
        </w:rPr>
        <w:t>debate en la se</w:t>
      </w:r>
      <w:r w:rsidRPr="00E4401D">
        <w:rPr>
          <w:rFonts w:ascii="Times New Roman" w:hAnsi="Times New Roman" w:cs="Times New Roman"/>
          <w:sz w:val="28"/>
          <w:szCs w:val="28"/>
        </w:rPr>
        <w:t>sión</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p</w:t>
      </w:r>
      <w:r w:rsidRPr="00E4401D">
        <w:rPr>
          <w:rFonts w:ascii="Times New Roman" w:hAnsi="Times New Roman" w:cs="Times New Roman"/>
          <w:sz w:val="28"/>
          <w:szCs w:val="28"/>
        </w:rPr>
        <w:t xml:space="preserve">lenaria </w:t>
      </w:r>
      <w:r w:rsidRPr="00E4401D">
        <w:rPr>
          <w:rFonts w:ascii="Times New Roman" w:hAnsi="Times New Roman" w:cs="Times New Roman"/>
          <w:sz w:val="28"/>
          <w:szCs w:val="28"/>
        </w:rPr>
        <w:t>de la Cámara de Representantes</w:t>
      </w:r>
      <w:r w:rsidRPr="00E4401D">
        <w:rPr>
          <w:rFonts w:ascii="Times New Roman" w:hAnsi="Times New Roman" w:cs="Times New Roman"/>
          <w:sz w:val="28"/>
          <w:szCs w:val="28"/>
        </w:rPr>
        <w:t xml:space="preserve"> transcurrió</w:t>
      </w:r>
      <w:r w:rsidRPr="00E4401D">
        <w:rPr>
          <w:rFonts w:ascii="Times New Roman" w:hAnsi="Times New Roman" w:cs="Times New Roman"/>
          <w:sz w:val="28"/>
          <w:szCs w:val="28"/>
        </w:rPr>
        <w:t xml:space="preserve"> los días 2, 3 y 4 de mayo de 2023</w:t>
      </w:r>
      <w:r w:rsidRPr="00E4401D">
        <w:rPr>
          <w:rFonts w:ascii="Times New Roman" w:hAnsi="Times New Roman" w:cs="Times New Roman"/>
          <w:sz w:val="28"/>
          <w:szCs w:val="28"/>
        </w:rPr>
        <w:t xml:space="preserve">. El debate fue publicado </w:t>
      </w:r>
      <w:r w:rsidRPr="00E4401D">
        <w:rPr>
          <w:rFonts w:ascii="Times New Roman" w:hAnsi="Times New Roman" w:cs="Times New Roman"/>
          <w:sz w:val="28"/>
          <w:szCs w:val="28"/>
        </w:rPr>
        <w:t xml:space="preserve">en las </w:t>
      </w:r>
      <w:r w:rsidRPr="00E4401D">
        <w:rPr>
          <w:rFonts w:ascii="Times New Roman" w:hAnsi="Times New Roman" w:cs="Times New Roman"/>
          <w:sz w:val="28"/>
          <w:szCs w:val="28"/>
        </w:rPr>
        <w:t xml:space="preserve">Gacetas 982, 1311 y 1143 de 2023. El texto aprobado consta </w:t>
      </w:r>
      <w:r w:rsidRPr="00E4401D">
        <w:rPr>
          <w:rFonts w:ascii="Times New Roman" w:hAnsi="Times New Roman" w:cs="Times New Roman"/>
          <w:sz w:val="28"/>
          <w:szCs w:val="28"/>
        </w:rPr>
        <w:t>en la Gaceta del Congreso 428 de 2023.</w:t>
      </w:r>
    </w:p>
    <w:p w:rsidR="00D75DF8" w:rsidRPr="00E4401D" w:rsidRDefault="00E4401D" w:rsidP="0012241E">
      <w:pPr>
        <w:pStyle w:val="Prrafodelista"/>
        <w:ind w:left="0"/>
        <w:jc w:val="both"/>
        <w:rPr>
          <w:rFonts w:ascii="Times New Roman" w:hAnsi="Times New Roman" w:cs="Times New Roman"/>
          <w:sz w:val="28"/>
          <w:szCs w:val="28"/>
        </w:rPr>
      </w:pPr>
    </w:p>
    <w:p w:rsidR="00D75DF8"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 En cuanto a los textos aprobados en las</w:t>
      </w:r>
      <w:r w:rsidRPr="00E4401D">
        <w:rPr>
          <w:rFonts w:ascii="Times New Roman" w:hAnsi="Times New Roman" w:cs="Times New Roman"/>
          <w:sz w:val="28"/>
          <w:szCs w:val="28"/>
        </w:rPr>
        <w:t xml:space="preserve"> sesiones</w:t>
      </w:r>
      <w:r w:rsidRPr="00E4401D">
        <w:rPr>
          <w:rFonts w:ascii="Times New Roman" w:hAnsi="Times New Roman" w:cs="Times New Roman"/>
          <w:sz w:val="28"/>
          <w:szCs w:val="28"/>
        </w:rPr>
        <w:t xml:space="preserve"> plenarias de ambas cámaras, se encontraron discrepancias en 43 artículos, por lo que se hizo necesario integrar una Comisión Accidental de </w:t>
      </w:r>
      <w:r w:rsidRPr="00E4401D">
        <w:rPr>
          <w:rFonts w:ascii="Times New Roman" w:hAnsi="Times New Roman" w:cs="Times New Roman"/>
          <w:sz w:val="28"/>
          <w:szCs w:val="28"/>
        </w:rPr>
        <w:t>C</w:t>
      </w:r>
      <w:r w:rsidRPr="00E4401D">
        <w:rPr>
          <w:rFonts w:ascii="Times New Roman" w:hAnsi="Times New Roman" w:cs="Times New Roman"/>
          <w:sz w:val="28"/>
          <w:szCs w:val="28"/>
        </w:rPr>
        <w:t>onciliación, con el fin de</w:t>
      </w:r>
      <w:r w:rsidRPr="00E4401D">
        <w:rPr>
          <w:rFonts w:ascii="Times New Roman" w:hAnsi="Times New Roman" w:cs="Times New Roman"/>
          <w:sz w:val="28"/>
          <w:szCs w:val="28"/>
        </w:rPr>
        <w:t xml:space="preserve"> asegurar la representación de todas las corrientes políticas que conforman el Congreso</w:t>
      </w:r>
      <w:r w:rsidRPr="00E4401D">
        <w:rPr>
          <w:rFonts w:ascii="Times New Roman" w:hAnsi="Times New Roman" w:cs="Times New Roman"/>
          <w:sz w:val="28"/>
          <w:szCs w:val="28"/>
        </w:rPr>
        <w:t xml:space="preserve"> de la Rep</w:t>
      </w:r>
      <w:r w:rsidRPr="00E4401D">
        <w:rPr>
          <w:rFonts w:ascii="Times New Roman" w:hAnsi="Times New Roman" w:cs="Times New Roman"/>
          <w:sz w:val="28"/>
          <w:szCs w:val="28"/>
        </w:rPr>
        <w:t>ú</w:t>
      </w:r>
      <w:r w:rsidRPr="00E4401D">
        <w:rPr>
          <w:rFonts w:ascii="Times New Roman" w:hAnsi="Times New Roman" w:cs="Times New Roman"/>
          <w:sz w:val="28"/>
          <w:szCs w:val="28"/>
        </w:rPr>
        <w:t>blica.</w:t>
      </w:r>
    </w:p>
    <w:p w:rsidR="00D75DF8" w:rsidRPr="00E4401D" w:rsidRDefault="00E4401D" w:rsidP="0012241E">
      <w:pPr>
        <w:pStyle w:val="Prrafodelista"/>
        <w:ind w:left="0"/>
        <w:jc w:val="both"/>
        <w:rPr>
          <w:rFonts w:ascii="Times New Roman" w:hAnsi="Times New Roman" w:cs="Times New Roman"/>
          <w:sz w:val="28"/>
          <w:szCs w:val="28"/>
        </w:rPr>
      </w:pPr>
    </w:p>
    <w:p w:rsidR="008D797B"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De esta manera, la Comisión Accidental de Conciliación acogió el texto definitivo aprobado en la Cámara de Representantes respecto de 15 de los artícu</w:t>
      </w:r>
      <w:r w:rsidRPr="00E4401D">
        <w:rPr>
          <w:rFonts w:ascii="Times New Roman" w:hAnsi="Times New Roman" w:cs="Times New Roman"/>
          <w:sz w:val="28"/>
          <w:szCs w:val="28"/>
        </w:rPr>
        <w:t>los aprobados con discrepancias entre ambas cámaras</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I</w:t>
      </w:r>
      <w:r w:rsidRPr="00E4401D">
        <w:rPr>
          <w:rFonts w:ascii="Times New Roman" w:hAnsi="Times New Roman" w:cs="Times New Roman"/>
          <w:sz w:val="28"/>
          <w:szCs w:val="28"/>
        </w:rPr>
        <w:t>gualmente</w:t>
      </w:r>
      <w:r w:rsidRPr="00E4401D">
        <w:rPr>
          <w:rFonts w:ascii="Times New Roman" w:hAnsi="Times New Roman" w:cs="Times New Roman"/>
          <w:sz w:val="28"/>
          <w:szCs w:val="28"/>
        </w:rPr>
        <w:t>, acogió</w:t>
      </w:r>
      <w:r w:rsidRPr="00E4401D">
        <w:rPr>
          <w:rFonts w:ascii="Times New Roman" w:hAnsi="Times New Roman" w:cs="Times New Roman"/>
          <w:sz w:val="28"/>
          <w:szCs w:val="28"/>
        </w:rPr>
        <w:t xml:space="preserve"> el texto definitivo aprobado en el Senado de la República respecto de 25 de los artículos aprobados con discrepancias entre ambas cámaras</w:t>
      </w:r>
      <w:r w:rsidRPr="00E4401D">
        <w:rPr>
          <w:rFonts w:ascii="Times New Roman" w:hAnsi="Times New Roman" w:cs="Times New Roman"/>
          <w:sz w:val="28"/>
          <w:szCs w:val="28"/>
        </w:rPr>
        <w:t>. Finalmente,</w:t>
      </w:r>
      <w:r w:rsidRPr="00E4401D">
        <w:rPr>
          <w:rFonts w:ascii="Times New Roman" w:hAnsi="Times New Roman" w:cs="Times New Roman"/>
          <w:sz w:val="28"/>
          <w:szCs w:val="28"/>
        </w:rPr>
        <w:t xml:space="preserve"> aprobó la eliminación de 3 artícu</w:t>
      </w:r>
      <w:r w:rsidRPr="00E4401D">
        <w:rPr>
          <w:rFonts w:ascii="Times New Roman" w:hAnsi="Times New Roman" w:cs="Times New Roman"/>
          <w:sz w:val="28"/>
          <w:szCs w:val="28"/>
        </w:rPr>
        <w:t xml:space="preserve">los. </w:t>
      </w:r>
    </w:p>
    <w:p w:rsidR="008D797B" w:rsidRPr="00E4401D" w:rsidRDefault="00E4401D" w:rsidP="008D797B">
      <w:pPr>
        <w:pStyle w:val="Prrafodelista"/>
        <w:rPr>
          <w:rFonts w:ascii="Times New Roman" w:hAnsi="Times New Roman" w:cs="Times New Roman"/>
          <w:sz w:val="28"/>
          <w:szCs w:val="28"/>
        </w:rPr>
      </w:pPr>
    </w:p>
    <w:p w:rsidR="00517055"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El 4 de mayo de 2023, l</w:t>
      </w:r>
      <w:r w:rsidRPr="00E4401D">
        <w:rPr>
          <w:rFonts w:ascii="Times New Roman" w:hAnsi="Times New Roman" w:cs="Times New Roman"/>
          <w:sz w:val="28"/>
          <w:szCs w:val="28"/>
        </w:rPr>
        <w:t xml:space="preserve">a Comisión </w:t>
      </w:r>
      <w:r w:rsidRPr="00E4401D">
        <w:rPr>
          <w:rFonts w:ascii="Times New Roman" w:hAnsi="Times New Roman" w:cs="Times New Roman"/>
          <w:sz w:val="28"/>
          <w:szCs w:val="28"/>
        </w:rPr>
        <w:t>rindió</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e</w:t>
      </w:r>
      <w:r w:rsidRPr="00E4401D">
        <w:rPr>
          <w:rFonts w:ascii="Times New Roman" w:hAnsi="Times New Roman" w:cs="Times New Roman"/>
          <w:sz w:val="28"/>
          <w:szCs w:val="28"/>
        </w:rPr>
        <w:t xml:space="preserve">l informe </w:t>
      </w:r>
      <w:r w:rsidRPr="00E4401D">
        <w:rPr>
          <w:rFonts w:ascii="Times New Roman" w:hAnsi="Times New Roman" w:cs="Times New Roman"/>
          <w:sz w:val="28"/>
          <w:szCs w:val="28"/>
        </w:rPr>
        <w:t>de conciliación</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ante </w:t>
      </w:r>
      <w:r w:rsidRPr="00E4401D">
        <w:rPr>
          <w:rFonts w:ascii="Times New Roman" w:hAnsi="Times New Roman" w:cs="Times New Roman"/>
          <w:sz w:val="28"/>
          <w:szCs w:val="28"/>
        </w:rPr>
        <w:t xml:space="preserve">las sesiones plenarias de ambas cámaras. La presentación del informe fue </w:t>
      </w:r>
      <w:r w:rsidRPr="00E4401D">
        <w:rPr>
          <w:rFonts w:ascii="Times New Roman" w:hAnsi="Times New Roman" w:cs="Times New Roman"/>
          <w:sz w:val="28"/>
          <w:szCs w:val="28"/>
        </w:rPr>
        <w:t>publicada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en las Gacetas 427 y 429 de 2023.</w:t>
      </w:r>
    </w:p>
    <w:p w:rsidR="00B62244" w:rsidRPr="00E4401D" w:rsidRDefault="00E4401D" w:rsidP="00B62244">
      <w:pPr>
        <w:pStyle w:val="Prrafodelista"/>
        <w:rPr>
          <w:rFonts w:ascii="Times New Roman" w:hAnsi="Times New Roman" w:cs="Times New Roman"/>
          <w:sz w:val="28"/>
          <w:szCs w:val="28"/>
        </w:rPr>
      </w:pPr>
    </w:p>
    <w:p w:rsidR="00BB4373" w:rsidRPr="00E4401D" w:rsidRDefault="00E4401D" w:rsidP="00BB4373">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El 5 de mayo de 2023</w:t>
      </w:r>
      <w:r w:rsidRPr="00E4401D">
        <w:rPr>
          <w:rFonts w:ascii="Times New Roman" w:hAnsi="Times New Roman" w:cs="Times New Roman"/>
          <w:sz w:val="28"/>
          <w:szCs w:val="28"/>
        </w:rPr>
        <w:t>, las sesiones plenarias del Senado de</w:t>
      </w:r>
      <w:r w:rsidRPr="00E4401D">
        <w:rPr>
          <w:rFonts w:ascii="Times New Roman" w:hAnsi="Times New Roman" w:cs="Times New Roman"/>
          <w:sz w:val="28"/>
          <w:szCs w:val="28"/>
        </w:rPr>
        <w:t xml:space="preserve"> la Rep</w:t>
      </w:r>
      <w:r w:rsidRPr="00E4401D">
        <w:rPr>
          <w:rFonts w:ascii="Times New Roman" w:hAnsi="Times New Roman" w:cs="Times New Roman"/>
          <w:sz w:val="28"/>
          <w:szCs w:val="28"/>
        </w:rPr>
        <w:t>ú</w:t>
      </w:r>
      <w:r w:rsidRPr="00E4401D">
        <w:rPr>
          <w:rFonts w:ascii="Times New Roman" w:hAnsi="Times New Roman" w:cs="Times New Roman"/>
          <w:sz w:val="28"/>
          <w:szCs w:val="28"/>
        </w:rPr>
        <w:t xml:space="preserve">blica y </w:t>
      </w:r>
      <w:r w:rsidRPr="00E4401D">
        <w:rPr>
          <w:rFonts w:ascii="Times New Roman" w:hAnsi="Times New Roman" w:cs="Times New Roman"/>
          <w:sz w:val="28"/>
          <w:szCs w:val="28"/>
        </w:rPr>
        <w:t>de la Cámara de Representantes aprobaron el informe de conciliación</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Las sesiones fueron publicadas en las Gacetas 855 y 923 de 2023.</w:t>
      </w:r>
    </w:p>
    <w:p w:rsidR="00DD7986" w:rsidRPr="00E4401D" w:rsidRDefault="00E4401D" w:rsidP="00DD7986">
      <w:pPr>
        <w:pStyle w:val="Prrafodelista"/>
        <w:rPr>
          <w:rFonts w:ascii="Times New Roman" w:hAnsi="Times New Roman" w:cs="Times New Roman"/>
          <w:sz w:val="28"/>
          <w:szCs w:val="28"/>
        </w:rPr>
      </w:pPr>
    </w:p>
    <w:p w:rsidR="00B07FEE" w:rsidRPr="00E4401D" w:rsidRDefault="00E4401D" w:rsidP="00F53D06">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El 18 de mayo de 2023, el presidente de la República sancionó el proyecto de ley, y el 19 de mayo de 2023</w:t>
      </w:r>
      <w:r w:rsidRPr="00E4401D">
        <w:rPr>
          <w:rFonts w:ascii="Times New Roman" w:hAnsi="Times New Roman" w:cs="Times New Roman"/>
          <w:sz w:val="28"/>
          <w:szCs w:val="28"/>
        </w:rPr>
        <w:t>, la Ley 2294 de 2023, "por la cual se expide el Plan Nacional de Desarrollo 2022-2026 'Colombia Potencia Mundial de la Vida'", fue publicada en el Diario Oficial 52.400.</w:t>
      </w:r>
    </w:p>
    <w:p w:rsidR="00F53D06" w:rsidRPr="00E4401D" w:rsidRDefault="00E4401D" w:rsidP="00F53D06">
      <w:pPr>
        <w:pStyle w:val="Prrafodelista"/>
        <w:tabs>
          <w:tab w:val="left" w:pos="540"/>
        </w:tabs>
        <w:ind w:left="0"/>
        <w:mirrorIndents/>
        <w:jc w:val="both"/>
        <w:rPr>
          <w:rFonts w:ascii="Times New Roman" w:hAnsi="Times New Roman" w:cs="Times New Roman"/>
          <w:sz w:val="28"/>
          <w:szCs w:val="28"/>
        </w:rPr>
      </w:pPr>
    </w:p>
    <w:p w:rsidR="00CC0E6B" w:rsidRPr="00E4401D" w:rsidRDefault="00E4401D" w:rsidP="006D2C32">
      <w:pPr>
        <w:pStyle w:val="Prrafodelista"/>
        <w:numPr>
          <w:ilvl w:val="0"/>
          <w:numId w:val="3"/>
        </w:numPr>
        <w:tabs>
          <w:tab w:val="left" w:pos="540"/>
        </w:tabs>
        <w:ind w:left="0" w:firstLine="0"/>
        <w:mirrorIndents/>
        <w:jc w:val="both"/>
        <w:rPr>
          <w:rFonts w:ascii="Times New Roman" w:hAnsi="Times New Roman" w:cs="Times New Roman"/>
          <w:sz w:val="28"/>
          <w:szCs w:val="28"/>
        </w:rPr>
      </w:pPr>
      <w:bookmarkStart w:id="9" w:name="_Hlk196829246"/>
      <w:r w:rsidRPr="00E4401D">
        <w:rPr>
          <w:rFonts w:ascii="Times New Roman" w:hAnsi="Times New Roman" w:cs="Times New Roman"/>
          <w:sz w:val="28"/>
          <w:szCs w:val="28"/>
        </w:rPr>
        <w:t xml:space="preserve">En el marco del expediente D-15357, la Sala Plena </w:t>
      </w:r>
      <w:r w:rsidRPr="00E4401D">
        <w:rPr>
          <w:rFonts w:ascii="Times New Roman" w:hAnsi="Times New Roman" w:cs="Times New Roman"/>
          <w:sz w:val="28"/>
          <w:szCs w:val="28"/>
        </w:rPr>
        <w:t>profirió</w:t>
      </w:r>
      <w:r w:rsidRPr="00E4401D">
        <w:rPr>
          <w:rFonts w:ascii="Times New Roman" w:hAnsi="Times New Roman" w:cs="Times New Roman"/>
          <w:sz w:val="28"/>
          <w:szCs w:val="28"/>
        </w:rPr>
        <w:t xml:space="preserve"> el auto 705 el 10 de abril de 2024, mediante el cual</w:t>
      </w:r>
      <w:r w:rsidRPr="00E4401D">
        <w:rPr>
          <w:rFonts w:ascii="Times New Roman" w:hAnsi="Times New Roman" w:cs="Times New Roman"/>
          <w:sz w:val="28"/>
          <w:szCs w:val="28"/>
        </w:rPr>
        <w:t xml:space="preserve"> devolvió el expedient</w:t>
      </w:r>
      <w:r w:rsidRPr="00E4401D">
        <w:rPr>
          <w:rFonts w:ascii="Times New Roman" w:hAnsi="Times New Roman" w:cs="Times New Roman"/>
          <w:sz w:val="28"/>
          <w:szCs w:val="28"/>
        </w:rPr>
        <w:t xml:space="preserve">e </w:t>
      </w:r>
      <w:r w:rsidRPr="00E4401D">
        <w:rPr>
          <w:rFonts w:ascii="Times New Roman" w:hAnsi="Times New Roman" w:cs="Times New Roman"/>
          <w:sz w:val="28"/>
          <w:szCs w:val="28"/>
        </w:rPr>
        <w:t>legislativ</w:t>
      </w:r>
      <w:r w:rsidRPr="00E4401D">
        <w:rPr>
          <w:rFonts w:ascii="Times New Roman" w:hAnsi="Times New Roman" w:cs="Times New Roman"/>
          <w:sz w:val="28"/>
          <w:szCs w:val="28"/>
        </w:rPr>
        <w:t>o</w:t>
      </w:r>
      <w:r w:rsidRPr="00E4401D">
        <w:rPr>
          <w:rFonts w:ascii="Times New Roman" w:hAnsi="Times New Roman" w:cs="Times New Roman"/>
          <w:sz w:val="28"/>
          <w:szCs w:val="28"/>
        </w:rPr>
        <w:t xml:space="preserve"> de la Ley 2294 de 2023</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al Senado de la </w:t>
      </w:r>
      <w:r w:rsidRPr="00E4401D">
        <w:rPr>
          <w:rFonts w:ascii="Times New Roman" w:hAnsi="Times New Roman" w:cs="Times New Roman"/>
          <w:sz w:val="28"/>
          <w:szCs w:val="28"/>
        </w:rPr>
        <w:t>República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para efectos de</w:t>
      </w:r>
      <w:r w:rsidRPr="00E4401D">
        <w:rPr>
          <w:rFonts w:ascii="Times New Roman" w:hAnsi="Times New Roman" w:cs="Times New Roman"/>
          <w:sz w:val="28"/>
          <w:szCs w:val="28"/>
        </w:rPr>
        <w:t xml:space="preserve"> que</w:t>
      </w:r>
      <w:r w:rsidRPr="00E4401D">
        <w:rPr>
          <w:rFonts w:ascii="Times New Roman" w:hAnsi="Times New Roman" w:cs="Times New Roman"/>
          <w:sz w:val="28"/>
          <w:szCs w:val="28"/>
        </w:rPr>
        <w:t xml:space="preserve"> subsanar</w:t>
      </w:r>
      <w:r w:rsidRPr="00E4401D">
        <w:rPr>
          <w:rFonts w:ascii="Times New Roman" w:hAnsi="Times New Roman" w:cs="Times New Roman"/>
          <w:sz w:val="28"/>
          <w:szCs w:val="28"/>
        </w:rPr>
        <w:t>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el proceso en lo referente a los artículos que fueron objeto de conciliación, incluidos </w:t>
      </w:r>
      <w:r w:rsidRPr="00E4401D">
        <w:rPr>
          <w:rFonts w:ascii="Times New Roman" w:hAnsi="Times New Roman" w:cs="Times New Roman"/>
          <w:sz w:val="28"/>
          <w:szCs w:val="28"/>
        </w:rPr>
        <w:t>los artículos 289 y 297.</w:t>
      </w:r>
      <w:r w:rsidRPr="00E4401D">
        <w:rPr>
          <w:rFonts w:ascii="Times New Roman" w:hAnsi="Times New Roman" w:cs="Times New Roman"/>
          <w:sz w:val="28"/>
          <w:szCs w:val="28"/>
        </w:rPr>
        <w:t xml:space="preserve"> </w:t>
      </w:r>
      <w:bookmarkEnd w:id="9"/>
      <w:r w:rsidRPr="00E4401D">
        <w:rPr>
          <w:rFonts w:ascii="Times New Roman" w:hAnsi="Times New Roman" w:cs="Times New Roman"/>
          <w:sz w:val="28"/>
          <w:szCs w:val="28"/>
        </w:rPr>
        <w:t xml:space="preserve">En concreto, la Sala Plena </w:t>
      </w:r>
      <w:r w:rsidRPr="00E4401D">
        <w:rPr>
          <w:rFonts w:ascii="Times New Roman" w:hAnsi="Times New Roman" w:cs="Times New Roman"/>
          <w:sz w:val="28"/>
          <w:szCs w:val="28"/>
        </w:rPr>
        <w:t>concluy</w:t>
      </w:r>
      <w:r w:rsidRPr="00E4401D">
        <w:rPr>
          <w:rFonts w:ascii="Times New Roman" w:hAnsi="Times New Roman" w:cs="Times New Roman"/>
          <w:sz w:val="28"/>
          <w:szCs w:val="28"/>
        </w:rPr>
        <w:t>ó</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que </w:t>
      </w:r>
      <w:r w:rsidRPr="00E4401D">
        <w:rPr>
          <w:rFonts w:ascii="Times New Roman" w:hAnsi="Times New Roman" w:cs="Times New Roman"/>
          <w:sz w:val="28"/>
          <w:szCs w:val="28"/>
        </w:rPr>
        <w:t>no se cumplió con la obligación de publicar el informe de conciliación con al menos un día de anticipación antes de su discusión y votación en la plenaria del Senado, tal como lo exige el art</w:t>
      </w:r>
      <w:r w:rsidRPr="00E4401D">
        <w:rPr>
          <w:rFonts w:ascii="Times New Roman" w:hAnsi="Times New Roman" w:cs="Times New Roman"/>
          <w:sz w:val="28"/>
          <w:szCs w:val="28"/>
        </w:rPr>
        <w:t>ículo 161 de la Constitución</w:t>
      </w:r>
      <w:r w:rsidRPr="00E4401D">
        <w:rPr>
          <w:rFonts w:ascii="Times New Roman" w:hAnsi="Times New Roman" w:cs="Times New Roman"/>
          <w:sz w:val="28"/>
          <w:szCs w:val="28"/>
        </w:rPr>
        <w:t xml:space="preserve"> Política</w:t>
      </w:r>
      <w:r w:rsidRPr="00E4401D">
        <w:rPr>
          <w:rFonts w:ascii="Times New Roman" w:hAnsi="Times New Roman" w:cs="Times New Roman"/>
          <w:sz w:val="28"/>
          <w:szCs w:val="28"/>
        </w:rPr>
        <w:t>, ya que la Gaceta del Congreso que contenía dicho informe fue publicada después de la sesión en la que se aprobó, lo que implica que los senadores no tuvieron acceso adecuado al texto antes de la votación.</w:t>
      </w:r>
    </w:p>
    <w:p w:rsidR="006D2C32" w:rsidRPr="00E4401D" w:rsidRDefault="00E4401D" w:rsidP="006D2C32">
      <w:pPr>
        <w:pStyle w:val="Prrafodelista"/>
        <w:rPr>
          <w:rFonts w:ascii="Times New Roman" w:hAnsi="Times New Roman" w:cs="Times New Roman"/>
          <w:sz w:val="28"/>
          <w:szCs w:val="28"/>
        </w:rPr>
      </w:pPr>
    </w:p>
    <w:p w:rsidR="00CC0E6B" w:rsidRPr="00E4401D" w:rsidRDefault="00E4401D" w:rsidP="00BA721B">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De conformi</w:t>
      </w:r>
      <w:r w:rsidRPr="00E4401D">
        <w:rPr>
          <w:rFonts w:ascii="Times New Roman" w:hAnsi="Times New Roman" w:cs="Times New Roman"/>
          <w:sz w:val="28"/>
          <w:szCs w:val="28"/>
        </w:rPr>
        <w:t>dad con la anterior orden, m</w:t>
      </w:r>
      <w:r w:rsidRPr="00E4401D">
        <w:rPr>
          <w:rFonts w:ascii="Times New Roman" w:hAnsi="Times New Roman" w:cs="Times New Roman"/>
          <w:sz w:val="28"/>
          <w:szCs w:val="28"/>
        </w:rPr>
        <w:t xml:space="preserve">ediante Gaceta 453, del 22 de abril de 2024, </w:t>
      </w:r>
      <w:r w:rsidRPr="00E4401D">
        <w:rPr>
          <w:rFonts w:ascii="Times New Roman" w:hAnsi="Times New Roman" w:cs="Times New Roman"/>
          <w:sz w:val="28"/>
          <w:szCs w:val="28"/>
        </w:rPr>
        <w:t>se p</w:t>
      </w:r>
      <w:r w:rsidRPr="00E4401D">
        <w:rPr>
          <w:rFonts w:ascii="Times New Roman" w:hAnsi="Times New Roman" w:cs="Times New Roman"/>
          <w:sz w:val="28"/>
          <w:szCs w:val="28"/>
        </w:rPr>
        <w:t xml:space="preserve">ublicó nuevamente el informe </w:t>
      </w:r>
      <w:r w:rsidRPr="00E4401D">
        <w:rPr>
          <w:rFonts w:ascii="Times New Roman" w:hAnsi="Times New Roman" w:cs="Times New Roman"/>
          <w:sz w:val="28"/>
          <w:szCs w:val="28"/>
        </w:rPr>
        <w:t>de conciliación. Finalmente, e</w:t>
      </w:r>
      <w:r w:rsidRPr="00E4401D">
        <w:rPr>
          <w:rFonts w:ascii="Times New Roman" w:hAnsi="Times New Roman" w:cs="Times New Roman"/>
          <w:sz w:val="28"/>
          <w:szCs w:val="28"/>
        </w:rPr>
        <w:t xml:space="preserve">l </w:t>
      </w:r>
      <w:r w:rsidRPr="00E4401D">
        <w:rPr>
          <w:rFonts w:ascii="Times New Roman" w:hAnsi="Times New Roman" w:cs="Times New Roman"/>
          <w:sz w:val="28"/>
          <w:szCs w:val="28"/>
        </w:rPr>
        <w:t xml:space="preserve">4 de junio de 2024, la sesión plenaria del Senado de la </w:t>
      </w:r>
      <w:r w:rsidRPr="00E4401D">
        <w:rPr>
          <w:rFonts w:ascii="Times New Roman" w:hAnsi="Times New Roman" w:cs="Times New Roman"/>
          <w:sz w:val="28"/>
          <w:szCs w:val="28"/>
        </w:rPr>
        <w:t>República</w:t>
      </w:r>
      <w:r w:rsidRPr="00E4401D">
        <w:rPr>
          <w:rFonts w:ascii="Times New Roman" w:hAnsi="Times New Roman" w:cs="Times New Roman"/>
          <w:sz w:val="28"/>
          <w:szCs w:val="28"/>
        </w:rPr>
        <w:t xml:space="preserve"> aprobó</w:t>
      </w:r>
      <w:r w:rsidRPr="00E4401D">
        <w:rPr>
          <w:rFonts w:ascii="Times New Roman" w:hAnsi="Times New Roman" w:cs="Times New Roman"/>
          <w:sz w:val="28"/>
          <w:szCs w:val="28"/>
        </w:rPr>
        <w:t xml:space="preserve"> nuevamente</w:t>
      </w:r>
      <w:r w:rsidRPr="00E4401D">
        <w:rPr>
          <w:rFonts w:ascii="Times New Roman" w:hAnsi="Times New Roman" w:cs="Times New Roman"/>
          <w:sz w:val="28"/>
          <w:szCs w:val="28"/>
        </w:rPr>
        <w:t xml:space="preserve"> el </w:t>
      </w:r>
      <w:r w:rsidRPr="00E4401D">
        <w:rPr>
          <w:rFonts w:ascii="Times New Roman" w:hAnsi="Times New Roman" w:cs="Times New Roman"/>
          <w:sz w:val="28"/>
          <w:szCs w:val="28"/>
        </w:rPr>
        <w:t>i</w:t>
      </w:r>
      <w:r w:rsidRPr="00E4401D">
        <w:rPr>
          <w:rFonts w:ascii="Times New Roman" w:hAnsi="Times New Roman" w:cs="Times New Roman"/>
          <w:sz w:val="28"/>
          <w:szCs w:val="28"/>
        </w:rPr>
        <w:t xml:space="preserve">nforme de </w:t>
      </w:r>
      <w:r w:rsidRPr="00E4401D">
        <w:rPr>
          <w:rFonts w:ascii="Times New Roman" w:hAnsi="Times New Roman" w:cs="Times New Roman"/>
          <w:sz w:val="28"/>
          <w:szCs w:val="28"/>
        </w:rPr>
        <w:t>c</w:t>
      </w:r>
      <w:r w:rsidRPr="00E4401D">
        <w:rPr>
          <w:rFonts w:ascii="Times New Roman" w:hAnsi="Times New Roman" w:cs="Times New Roman"/>
          <w:sz w:val="28"/>
          <w:szCs w:val="28"/>
        </w:rPr>
        <w:t>onciliación</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Dicha </w:t>
      </w:r>
      <w:r w:rsidRPr="00E4401D">
        <w:rPr>
          <w:rFonts w:ascii="Times New Roman" w:hAnsi="Times New Roman" w:cs="Times New Roman"/>
          <w:sz w:val="28"/>
          <w:szCs w:val="28"/>
        </w:rPr>
        <w:t>sesión fue publicada en la Gaceta 1143 de 2024.</w:t>
      </w:r>
    </w:p>
    <w:p w:rsidR="00D07352" w:rsidRPr="00E4401D" w:rsidRDefault="00E4401D" w:rsidP="00D07352">
      <w:pPr>
        <w:pStyle w:val="Prrafodelista"/>
        <w:rPr>
          <w:rFonts w:ascii="Times New Roman" w:hAnsi="Times New Roman" w:cs="Times New Roman"/>
          <w:sz w:val="28"/>
          <w:szCs w:val="28"/>
        </w:rPr>
      </w:pPr>
    </w:p>
    <w:p w:rsidR="00D07352" w:rsidRPr="00E4401D" w:rsidRDefault="00E4401D" w:rsidP="00BA721B">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Mediante Sentencia C-448 de 2024, la Corte Constitucional constató que el vicio advertido en el Auto 705 de 2024 fue subsanado. En consecuencia, declaró la exequibilidad de </w:t>
      </w:r>
      <w:r w:rsidRPr="00E4401D">
        <w:rPr>
          <w:rFonts w:ascii="Times New Roman" w:hAnsi="Times New Roman" w:cs="Times New Roman"/>
          <w:sz w:val="28"/>
          <w:szCs w:val="28"/>
        </w:rPr>
        <w:t>los artículos 3, 8, 13, 16, 26, 27</w:t>
      </w:r>
      <w:r w:rsidRPr="00E4401D">
        <w:rPr>
          <w:rFonts w:ascii="Times New Roman" w:hAnsi="Times New Roman" w:cs="Times New Roman"/>
          <w:sz w:val="28"/>
          <w:szCs w:val="28"/>
        </w:rPr>
        <w:t>, 28, 32, 38, 40, 51, 55, 69, 83, 96, 100, 101, 121, 172, 173, 174, 180, 194, 200, 207, 210, 215, 224, 233, 275, 289, 293, 297, 312, 327, 337, 339, 342, 356, 371 y 372 de la Ley 2294 de 2023 “Por el cual se expide el Plan Nacional de Desarrollo 2022-2026 C</w:t>
      </w:r>
      <w:r w:rsidRPr="00E4401D">
        <w:rPr>
          <w:rFonts w:ascii="Times New Roman" w:hAnsi="Times New Roman" w:cs="Times New Roman"/>
          <w:sz w:val="28"/>
          <w:szCs w:val="28"/>
        </w:rPr>
        <w:t>olombia Potencia Mundial de la Vida”, por el cargo analizado y conforme con las consideraciones expuestas en la providencia.</w:t>
      </w:r>
    </w:p>
    <w:p w:rsidR="00D75DF8" w:rsidRPr="00E4401D" w:rsidRDefault="00E4401D" w:rsidP="00D75DF8">
      <w:pPr>
        <w:pStyle w:val="Prrafodelista"/>
        <w:tabs>
          <w:tab w:val="left" w:pos="540"/>
        </w:tabs>
        <w:ind w:left="0"/>
        <w:mirrorIndents/>
        <w:jc w:val="both"/>
        <w:rPr>
          <w:rFonts w:ascii="Times New Roman" w:hAnsi="Times New Roman" w:cs="Times New Roman"/>
          <w:sz w:val="28"/>
          <w:szCs w:val="28"/>
        </w:rPr>
      </w:pPr>
    </w:p>
    <w:p w:rsidR="008A6D28" w:rsidRPr="00E4401D" w:rsidRDefault="00E4401D" w:rsidP="002C618C">
      <w:pPr>
        <w:pStyle w:val="Ttulo4"/>
        <w:jc w:val="both"/>
        <w:rPr>
          <w:rFonts w:ascii="Times New Roman" w:hAnsi="Times New Roman" w:cs="Times New Roman"/>
          <w:b/>
          <w:bCs/>
          <w:i w:val="0"/>
          <w:iCs w:val="0"/>
          <w:color w:val="auto"/>
          <w:sz w:val="28"/>
          <w:szCs w:val="28"/>
        </w:rPr>
      </w:pPr>
      <w:r w:rsidRPr="00E4401D">
        <w:rPr>
          <w:rFonts w:ascii="Times New Roman" w:hAnsi="Times New Roman" w:cs="Times New Roman"/>
          <w:b/>
          <w:bCs/>
          <w:color w:val="auto"/>
          <w:sz w:val="28"/>
          <w:szCs w:val="28"/>
        </w:rPr>
        <w:t>Trámite legislativo que condujo a la aprobación del artículo 5 de la Ley 2294 de 2023</w:t>
      </w:r>
      <w:r w:rsidRPr="00E4401D">
        <w:rPr>
          <w:rFonts w:ascii="Times New Roman" w:hAnsi="Times New Roman" w:cs="Times New Roman"/>
          <w:b/>
          <w:bCs/>
          <w:color w:val="auto"/>
          <w:sz w:val="28"/>
          <w:szCs w:val="28"/>
        </w:rPr>
        <w:t xml:space="preserve"> en la sesión plenaria del Senado de la República</w:t>
      </w:r>
      <w:r w:rsidRPr="00E4401D">
        <w:rPr>
          <w:rFonts w:ascii="Times New Roman" w:hAnsi="Times New Roman" w:cs="Times New Roman"/>
          <w:b/>
          <w:bCs/>
          <w:color w:val="auto"/>
          <w:sz w:val="28"/>
          <w:szCs w:val="28"/>
        </w:rPr>
        <w:t xml:space="preserve"> y solución</w:t>
      </w:r>
      <w:r w:rsidRPr="00E4401D">
        <w:rPr>
          <w:rFonts w:ascii="Times New Roman" w:hAnsi="Times New Roman" w:cs="Times New Roman"/>
          <w:b/>
          <w:bCs/>
          <w:color w:val="auto"/>
          <w:sz w:val="28"/>
          <w:szCs w:val="28"/>
        </w:rPr>
        <w:t xml:space="preserve"> del caso </w:t>
      </w:r>
      <w:r w:rsidRPr="00E4401D">
        <w:rPr>
          <w:rFonts w:ascii="Times New Roman" w:hAnsi="Times New Roman" w:cs="Times New Roman"/>
          <w:b/>
          <w:bCs/>
          <w:color w:val="auto"/>
          <w:sz w:val="28"/>
          <w:szCs w:val="28"/>
        </w:rPr>
        <w:t>concreto</w:t>
      </w:r>
    </w:p>
    <w:p w:rsidR="008A6D28" w:rsidRPr="00E4401D" w:rsidRDefault="00E4401D" w:rsidP="00B71015">
      <w:pPr>
        <w:pStyle w:val="Prrafodelista"/>
        <w:tabs>
          <w:tab w:val="left" w:pos="540"/>
        </w:tabs>
        <w:ind w:left="0"/>
        <w:mirrorIndents/>
        <w:jc w:val="both"/>
        <w:rPr>
          <w:rFonts w:ascii="Times New Roman" w:hAnsi="Times New Roman" w:cs="Times New Roman"/>
          <w:sz w:val="28"/>
          <w:szCs w:val="28"/>
        </w:rPr>
      </w:pPr>
    </w:p>
    <w:p w:rsidR="00774A68"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En el </w:t>
      </w:r>
      <w:r w:rsidRPr="00E4401D">
        <w:rPr>
          <w:rFonts w:ascii="Times New Roman" w:hAnsi="Times New Roman" w:cs="Times New Roman"/>
          <w:sz w:val="28"/>
          <w:szCs w:val="28"/>
        </w:rPr>
        <w:t>p</w:t>
      </w:r>
      <w:r w:rsidRPr="00E4401D">
        <w:rPr>
          <w:rFonts w:ascii="Times New Roman" w:hAnsi="Times New Roman" w:cs="Times New Roman"/>
          <w:sz w:val="28"/>
          <w:szCs w:val="28"/>
        </w:rPr>
        <w:t xml:space="preserve">royecto de </w:t>
      </w:r>
      <w:r w:rsidRPr="00E4401D">
        <w:rPr>
          <w:rFonts w:ascii="Times New Roman" w:hAnsi="Times New Roman" w:cs="Times New Roman"/>
          <w:sz w:val="28"/>
          <w:szCs w:val="28"/>
        </w:rPr>
        <w:t>l</w:t>
      </w:r>
      <w:r w:rsidRPr="00E4401D">
        <w:rPr>
          <w:rFonts w:ascii="Times New Roman" w:hAnsi="Times New Roman" w:cs="Times New Roman"/>
          <w:sz w:val="28"/>
          <w:szCs w:val="28"/>
        </w:rPr>
        <w:t>ey radicado por el Gobierno nacional el 06 de febrero de 2023, esta disposición fue presentada como artículo 5</w:t>
      </w:r>
      <w:r w:rsidRPr="00E4401D">
        <w:rPr>
          <w:rStyle w:val="Refdenotaalpie"/>
          <w:rFonts w:ascii="Times New Roman" w:hAnsi="Times New Roman" w:cs="Times New Roman"/>
          <w:sz w:val="28"/>
          <w:szCs w:val="28"/>
        </w:rPr>
        <w:footnoteReference w:id="39"/>
      </w:r>
      <w:r w:rsidRPr="00E4401D">
        <w:rPr>
          <w:rFonts w:ascii="Times New Roman" w:hAnsi="Times New Roman" w:cs="Times New Roman"/>
          <w:sz w:val="28"/>
          <w:szCs w:val="28"/>
        </w:rPr>
        <w:t xml:space="preserve"> . </w:t>
      </w:r>
      <w:r w:rsidRPr="00E4401D">
        <w:rPr>
          <w:rFonts w:ascii="Times New Roman" w:hAnsi="Times New Roman" w:cs="Times New Roman"/>
          <w:sz w:val="28"/>
          <w:szCs w:val="28"/>
        </w:rPr>
        <w:t xml:space="preserve">El parágrafo 3° de este artículo </w:t>
      </w:r>
      <w:r w:rsidRPr="00E4401D">
        <w:rPr>
          <w:rFonts w:ascii="Times New Roman" w:hAnsi="Times New Roman" w:cs="Times New Roman"/>
          <w:sz w:val="28"/>
          <w:szCs w:val="28"/>
        </w:rPr>
        <w:t>era el sig</w:t>
      </w:r>
      <w:r w:rsidRPr="00E4401D">
        <w:rPr>
          <w:rFonts w:ascii="Times New Roman" w:hAnsi="Times New Roman" w:cs="Times New Roman"/>
          <w:sz w:val="28"/>
          <w:szCs w:val="28"/>
        </w:rPr>
        <w:t>uiente:</w:t>
      </w:r>
    </w:p>
    <w:p w:rsidR="00774A68" w:rsidRPr="00E4401D" w:rsidRDefault="00E4401D" w:rsidP="00774A68">
      <w:pPr>
        <w:pStyle w:val="Prrafodelista"/>
        <w:tabs>
          <w:tab w:val="left" w:pos="540"/>
        </w:tabs>
        <w:ind w:left="0"/>
        <w:mirrorIndents/>
        <w:jc w:val="both"/>
        <w:rPr>
          <w:rFonts w:ascii="Times New Roman" w:hAnsi="Times New Roman" w:cs="Times New Roman"/>
          <w:sz w:val="28"/>
          <w:szCs w:val="28"/>
        </w:rPr>
      </w:pPr>
    </w:p>
    <w:p w:rsidR="00774A68" w:rsidRPr="00E4401D" w:rsidRDefault="00E4401D" w:rsidP="00774A68">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 xml:space="preserve">PARÁGRAFO TERCERO. Como parte integral del Plan Plurianual de Inversiones se incluye una proyección indicativa para las comunidades Negras Afrocolombianas, Raizales y Palanqueras por un monto de cinco coma nueve (5,9) billones que corresponden a </w:t>
      </w:r>
      <w:r w:rsidRPr="00E4401D">
        <w:rPr>
          <w:rFonts w:ascii="Times New Roman" w:hAnsi="Times New Roman" w:cs="Times New Roman"/>
          <w:i/>
          <w:iCs/>
          <w:sz w:val="28"/>
          <w:szCs w:val="28"/>
        </w:rPr>
        <w:t>la proyección indicativa de los recursos del Presupuesto General de la Nación para el cumplimiento de los acuerdos de la consulta previa con estas comunidades étnicas. Estos recursos se proyectan respetando el Marco de Gasto de Mediano Plazo y el Marco Fis</w:t>
      </w:r>
      <w:r w:rsidRPr="00E4401D">
        <w:rPr>
          <w:rFonts w:ascii="Times New Roman" w:hAnsi="Times New Roman" w:cs="Times New Roman"/>
          <w:i/>
          <w:iCs/>
          <w:sz w:val="28"/>
          <w:szCs w:val="28"/>
        </w:rPr>
        <w:t>cal de Mediano Plazo.</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40"/>
      </w:r>
    </w:p>
    <w:p w:rsidR="00774A68" w:rsidRPr="00E4401D" w:rsidRDefault="00E4401D" w:rsidP="00774A68">
      <w:pPr>
        <w:pStyle w:val="Prrafodelista"/>
        <w:tabs>
          <w:tab w:val="left" w:pos="540"/>
        </w:tabs>
        <w:ind w:left="0"/>
        <w:mirrorIndents/>
        <w:jc w:val="both"/>
        <w:rPr>
          <w:rFonts w:ascii="Times New Roman" w:hAnsi="Times New Roman" w:cs="Times New Roman"/>
          <w:sz w:val="28"/>
          <w:szCs w:val="28"/>
        </w:rPr>
      </w:pPr>
    </w:p>
    <w:p w:rsidR="00987203" w:rsidRPr="00E4401D" w:rsidRDefault="00E4401D" w:rsidP="008A3C27">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Las </w:t>
      </w:r>
      <w:r w:rsidRPr="00E4401D">
        <w:rPr>
          <w:rFonts w:ascii="Times New Roman" w:hAnsi="Times New Roman" w:cs="Times New Roman"/>
          <w:sz w:val="28"/>
          <w:szCs w:val="28"/>
        </w:rPr>
        <w:t>comisiones económicas constitucionales permanentes</w:t>
      </w:r>
      <w:r w:rsidRPr="00E4401D">
        <w:rPr>
          <w:rFonts w:ascii="Times New Roman" w:hAnsi="Times New Roman" w:cs="Times New Roman"/>
          <w:sz w:val="28"/>
          <w:szCs w:val="28"/>
        </w:rPr>
        <w:t xml:space="preserve"> no introdujeron modificaciones al parágrafo 3° </w:t>
      </w:r>
      <w:r w:rsidRPr="00E4401D">
        <w:rPr>
          <w:rFonts w:ascii="Times New Roman" w:hAnsi="Times New Roman" w:cs="Times New Roman"/>
          <w:sz w:val="28"/>
          <w:szCs w:val="28"/>
        </w:rPr>
        <w:t>de la disposición acusada</w:t>
      </w:r>
      <w:r w:rsidRPr="00E4401D">
        <w:rPr>
          <w:rFonts w:ascii="Times New Roman" w:hAnsi="Times New Roman" w:cs="Times New Roman"/>
          <w:sz w:val="28"/>
          <w:szCs w:val="28"/>
        </w:rPr>
        <w:t xml:space="preserve">. Así consta en la Gaceta 274 de 2023, mediante la cual se </w:t>
      </w:r>
      <w:r w:rsidRPr="00E4401D">
        <w:rPr>
          <w:rFonts w:ascii="Times New Roman" w:hAnsi="Times New Roman" w:cs="Times New Roman"/>
          <w:sz w:val="28"/>
          <w:szCs w:val="28"/>
        </w:rPr>
        <w:t>publicó el te</w:t>
      </w:r>
      <w:r w:rsidRPr="00E4401D">
        <w:rPr>
          <w:rFonts w:ascii="Times New Roman" w:hAnsi="Times New Roman" w:cs="Times New Roman"/>
          <w:sz w:val="28"/>
          <w:szCs w:val="28"/>
        </w:rPr>
        <w:t>x</w:t>
      </w:r>
      <w:r w:rsidRPr="00E4401D">
        <w:rPr>
          <w:rFonts w:ascii="Times New Roman" w:hAnsi="Times New Roman" w:cs="Times New Roman"/>
          <w:sz w:val="28"/>
          <w:szCs w:val="28"/>
        </w:rPr>
        <w:t>to aprobado por las comisiones.</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Tampoco hubo modificaciones </w:t>
      </w:r>
      <w:r w:rsidRPr="00E4401D">
        <w:rPr>
          <w:rFonts w:ascii="Times New Roman" w:hAnsi="Times New Roman" w:cs="Times New Roman"/>
          <w:sz w:val="28"/>
          <w:szCs w:val="28"/>
        </w:rPr>
        <w:t>al parágrafo dentro d</w:t>
      </w:r>
      <w:r w:rsidRPr="00E4401D">
        <w:rPr>
          <w:rFonts w:ascii="Times New Roman" w:hAnsi="Times New Roman" w:cs="Times New Roman"/>
          <w:sz w:val="28"/>
          <w:szCs w:val="28"/>
        </w:rPr>
        <w:t xml:space="preserve">el </w:t>
      </w:r>
      <w:r w:rsidRPr="00E4401D">
        <w:rPr>
          <w:rFonts w:ascii="Times New Roman" w:hAnsi="Times New Roman" w:cs="Times New Roman"/>
          <w:sz w:val="28"/>
          <w:szCs w:val="28"/>
        </w:rPr>
        <w:t xml:space="preserve">texto del </w:t>
      </w:r>
      <w:r w:rsidRPr="00E4401D">
        <w:rPr>
          <w:rFonts w:ascii="Times New Roman" w:hAnsi="Times New Roman" w:cs="Times New Roman"/>
          <w:sz w:val="28"/>
          <w:szCs w:val="28"/>
        </w:rPr>
        <w:t>proyecto presentado en la ponencia para el debate en la sesión plenaria del Senado de la República.</w:t>
      </w:r>
      <w:r w:rsidRPr="00E4401D">
        <w:rPr>
          <w:rStyle w:val="Refdenotaalpie"/>
          <w:rFonts w:ascii="Times New Roman" w:hAnsi="Times New Roman" w:cs="Times New Roman"/>
          <w:sz w:val="28"/>
          <w:szCs w:val="28"/>
        </w:rPr>
        <w:footnoteReference w:id="41"/>
      </w:r>
    </w:p>
    <w:p w:rsidR="00987203" w:rsidRPr="00E4401D" w:rsidRDefault="00E4401D" w:rsidP="00987203">
      <w:pPr>
        <w:pStyle w:val="Prrafodelista"/>
        <w:rPr>
          <w:rFonts w:ascii="Times New Roman" w:hAnsi="Times New Roman" w:cs="Times New Roman"/>
          <w:sz w:val="28"/>
          <w:szCs w:val="28"/>
        </w:rPr>
      </w:pPr>
    </w:p>
    <w:p w:rsidR="00290A08"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C</w:t>
      </w:r>
      <w:r w:rsidRPr="00E4401D">
        <w:rPr>
          <w:rFonts w:ascii="Times New Roman" w:hAnsi="Times New Roman" w:cs="Times New Roman"/>
          <w:sz w:val="28"/>
          <w:szCs w:val="28"/>
        </w:rPr>
        <w:t xml:space="preserve">on el informe de ponencia para el debate en la sesión plenaria del </w:t>
      </w:r>
      <w:r w:rsidRPr="00E4401D">
        <w:rPr>
          <w:rFonts w:ascii="Times New Roman" w:hAnsi="Times New Roman" w:cs="Times New Roman"/>
          <w:sz w:val="28"/>
          <w:szCs w:val="28"/>
        </w:rPr>
        <w:t>Senado de la Rep</w:t>
      </w:r>
      <w:r w:rsidRPr="00E4401D">
        <w:rPr>
          <w:rFonts w:ascii="Times New Roman" w:hAnsi="Times New Roman" w:cs="Times New Roman"/>
          <w:sz w:val="28"/>
          <w:szCs w:val="28"/>
        </w:rPr>
        <w:t>ú</w:t>
      </w:r>
      <w:r w:rsidRPr="00E4401D">
        <w:rPr>
          <w:rFonts w:ascii="Times New Roman" w:hAnsi="Times New Roman" w:cs="Times New Roman"/>
          <w:sz w:val="28"/>
          <w:szCs w:val="28"/>
        </w:rPr>
        <w:t>blica</w:t>
      </w:r>
      <w:r w:rsidRPr="00E4401D">
        <w:rPr>
          <w:rFonts w:ascii="Times New Roman" w:hAnsi="Times New Roman" w:cs="Times New Roman"/>
          <w:sz w:val="28"/>
          <w:szCs w:val="28"/>
        </w:rPr>
        <w:t xml:space="preserve"> también</w:t>
      </w:r>
      <w:r w:rsidRPr="00E4401D">
        <w:rPr>
          <w:rFonts w:ascii="Times New Roman" w:hAnsi="Times New Roman" w:cs="Times New Roman"/>
          <w:sz w:val="28"/>
          <w:szCs w:val="28"/>
        </w:rPr>
        <w:t xml:space="preserve"> se publicaron </w:t>
      </w:r>
      <w:r w:rsidRPr="00E4401D">
        <w:rPr>
          <w:rFonts w:ascii="Times New Roman" w:hAnsi="Times New Roman" w:cs="Times New Roman"/>
          <w:sz w:val="28"/>
          <w:szCs w:val="28"/>
        </w:rPr>
        <w:t xml:space="preserve">las </w:t>
      </w:r>
      <w:r w:rsidRPr="00E4401D">
        <w:rPr>
          <w:rFonts w:ascii="Times New Roman" w:hAnsi="Times New Roman" w:cs="Times New Roman"/>
          <w:sz w:val="28"/>
          <w:szCs w:val="28"/>
        </w:rPr>
        <w:t xml:space="preserve">proposiciones </w:t>
      </w:r>
      <w:r w:rsidRPr="00E4401D">
        <w:rPr>
          <w:rFonts w:ascii="Times New Roman" w:hAnsi="Times New Roman" w:cs="Times New Roman"/>
          <w:sz w:val="28"/>
          <w:szCs w:val="28"/>
        </w:rPr>
        <w:t>recibidas en relación con e</w:t>
      </w:r>
      <w:r w:rsidRPr="00E4401D">
        <w:rPr>
          <w:rFonts w:ascii="Times New Roman" w:hAnsi="Times New Roman" w:cs="Times New Roman"/>
          <w:sz w:val="28"/>
          <w:szCs w:val="28"/>
        </w:rPr>
        <w:t>l parágrafo 3° del artículo 5</w:t>
      </w:r>
      <w:r w:rsidRPr="00E4401D">
        <w:rPr>
          <w:rStyle w:val="Refdenotaalpie"/>
          <w:rFonts w:ascii="Times New Roman" w:hAnsi="Times New Roman" w:cs="Times New Roman"/>
          <w:sz w:val="28"/>
          <w:szCs w:val="28"/>
        </w:rPr>
        <w:footnoteReference w:id="42"/>
      </w:r>
      <w:r w:rsidRPr="00E4401D">
        <w:rPr>
          <w:rFonts w:ascii="Times New Roman" w:hAnsi="Times New Roman" w:cs="Times New Roman"/>
          <w:sz w:val="28"/>
          <w:szCs w:val="28"/>
        </w:rPr>
        <w:t xml:space="preserve"> que se habían presentado</w:t>
      </w:r>
      <w:r w:rsidRPr="00E4401D">
        <w:rPr>
          <w:rFonts w:ascii="Times New Roman" w:hAnsi="Times New Roman" w:cs="Times New Roman"/>
          <w:sz w:val="28"/>
          <w:szCs w:val="28"/>
        </w:rPr>
        <w:t xml:space="preserve"> hasta ese momento</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En ese sentido</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se </w:t>
      </w:r>
      <w:r w:rsidRPr="00E4401D">
        <w:rPr>
          <w:rFonts w:ascii="Times New Roman" w:hAnsi="Times New Roman" w:cs="Times New Roman"/>
          <w:sz w:val="28"/>
          <w:szCs w:val="28"/>
        </w:rPr>
        <w:t xml:space="preserve">constatan las </w:t>
      </w:r>
      <w:r w:rsidRPr="00E4401D">
        <w:rPr>
          <w:rFonts w:ascii="Times New Roman" w:hAnsi="Times New Roman" w:cs="Times New Roman"/>
          <w:sz w:val="28"/>
          <w:szCs w:val="28"/>
        </w:rPr>
        <w:t xml:space="preserve">siguientes </w:t>
      </w:r>
      <w:r w:rsidRPr="00E4401D">
        <w:rPr>
          <w:rFonts w:ascii="Times New Roman" w:hAnsi="Times New Roman" w:cs="Times New Roman"/>
          <w:sz w:val="28"/>
          <w:szCs w:val="28"/>
        </w:rPr>
        <w:t>proposiciones</w:t>
      </w:r>
      <w:r w:rsidRPr="00E4401D">
        <w:rPr>
          <w:rFonts w:ascii="Times New Roman" w:hAnsi="Times New Roman" w:cs="Times New Roman"/>
          <w:sz w:val="28"/>
          <w:szCs w:val="28"/>
        </w:rPr>
        <w:t>:</w:t>
      </w:r>
    </w:p>
    <w:p w:rsidR="00290A08" w:rsidRPr="00E4401D" w:rsidRDefault="00E4401D" w:rsidP="00290A08">
      <w:pPr>
        <w:pStyle w:val="Prrafodelista"/>
        <w:rPr>
          <w:rFonts w:ascii="Times New Roman" w:hAnsi="Times New Roman" w:cs="Times New Roman"/>
          <w:sz w:val="28"/>
          <w:szCs w:val="28"/>
        </w:rPr>
      </w:pPr>
    </w:p>
    <w:p w:rsidR="00862D28" w:rsidRPr="00E4401D" w:rsidRDefault="00E4401D" w:rsidP="00203618">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(i) </w:t>
      </w:r>
      <w:r w:rsidRPr="00E4401D">
        <w:rPr>
          <w:rFonts w:ascii="Times New Roman" w:hAnsi="Times New Roman" w:cs="Times New Roman"/>
          <w:sz w:val="28"/>
          <w:szCs w:val="28"/>
        </w:rPr>
        <w:t>D</w:t>
      </w:r>
      <w:r w:rsidRPr="00E4401D">
        <w:rPr>
          <w:rFonts w:ascii="Times New Roman" w:hAnsi="Times New Roman" w:cs="Times New Roman"/>
          <w:sz w:val="28"/>
          <w:szCs w:val="28"/>
        </w:rPr>
        <w:t>e l</w:t>
      </w:r>
      <w:r w:rsidRPr="00E4401D">
        <w:rPr>
          <w:rFonts w:ascii="Times New Roman" w:hAnsi="Times New Roman" w:cs="Times New Roman"/>
          <w:sz w:val="28"/>
          <w:szCs w:val="28"/>
        </w:rPr>
        <w:t>a</w:t>
      </w:r>
      <w:r w:rsidRPr="00E4401D">
        <w:rPr>
          <w:rFonts w:ascii="Times New Roman" w:hAnsi="Times New Roman" w:cs="Times New Roman"/>
          <w:sz w:val="28"/>
          <w:szCs w:val="28"/>
        </w:rPr>
        <w:t xml:space="preserve"> Representante Dorina Hernández Palomino</w:t>
      </w:r>
      <w:r w:rsidRPr="00E4401D">
        <w:rPr>
          <w:rFonts w:ascii="Times New Roman" w:hAnsi="Times New Roman" w:cs="Times New Roman"/>
          <w:sz w:val="28"/>
          <w:szCs w:val="28"/>
        </w:rPr>
        <w:t>:</w:t>
      </w:r>
    </w:p>
    <w:p w:rsidR="002F5A59" w:rsidRPr="00E4401D" w:rsidRDefault="00E4401D" w:rsidP="00203618">
      <w:pPr>
        <w:pStyle w:val="Prrafodelista"/>
        <w:tabs>
          <w:tab w:val="left" w:pos="540"/>
        </w:tabs>
        <w:ind w:left="0"/>
        <w:mirrorIndents/>
        <w:jc w:val="both"/>
        <w:rPr>
          <w:rFonts w:ascii="Times New Roman" w:hAnsi="Times New Roman" w:cs="Times New Roman"/>
          <w:sz w:val="28"/>
          <w:szCs w:val="28"/>
        </w:rPr>
      </w:pPr>
    </w:p>
    <w:p w:rsidR="00223695" w:rsidRPr="00E4401D" w:rsidRDefault="00E4401D" w:rsidP="00203618">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PARAGRAFO TERCERO. Como parte integral del Plan Plurianual de Inversiones se incluye una proyección indicativa para las comunidades negras, afrocolombianas, raizales y palenqueras por un monto de treinta (30) billones de pesos, que incluye todos los recurs</w:t>
      </w:r>
      <w:r w:rsidRPr="00E4401D">
        <w:rPr>
          <w:rFonts w:ascii="Times New Roman" w:hAnsi="Times New Roman" w:cs="Times New Roman"/>
          <w:i/>
          <w:iCs/>
          <w:sz w:val="28"/>
          <w:szCs w:val="28"/>
        </w:rPr>
        <w:t xml:space="preserve">os del Presupuesto General de la Nación, el Sistema General de Participaciones y el Sistema General de </w:t>
      </w:r>
      <w:r w:rsidRPr="00E4401D">
        <w:rPr>
          <w:rFonts w:ascii="Times New Roman" w:hAnsi="Times New Roman" w:cs="Times New Roman"/>
          <w:i/>
          <w:iCs/>
          <w:sz w:val="28"/>
          <w:szCs w:val="28"/>
        </w:rPr>
        <w:t>Regalías</w:t>
      </w:r>
      <w:r w:rsidRPr="00E4401D">
        <w:rPr>
          <w:rFonts w:ascii="Times New Roman" w:hAnsi="Times New Roman" w:cs="Times New Roman"/>
          <w:i/>
          <w:iCs/>
          <w:sz w:val="28"/>
          <w:szCs w:val="28"/>
        </w:rPr>
        <w:t xml:space="preserve">, de los cuales cinco coma nueve (5.9) billones de pesos corresponden a la </w:t>
      </w:r>
      <w:r w:rsidRPr="00E4401D">
        <w:rPr>
          <w:rFonts w:ascii="Times New Roman" w:hAnsi="Times New Roman" w:cs="Times New Roman"/>
          <w:i/>
          <w:iCs/>
          <w:sz w:val="28"/>
          <w:szCs w:val="28"/>
        </w:rPr>
        <w:t>proyección</w:t>
      </w:r>
      <w:r w:rsidRPr="00E4401D">
        <w:rPr>
          <w:rFonts w:ascii="Times New Roman" w:hAnsi="Times New Roman" w:cs="Times New Roman"/>
          <w:i/>
          <w:iCs/>
          <w:sz w:val="28"/>
          <w:szCs w:val="28"/>
        </w:rPr>
        <w:t xml:space="preserve"> indicativa de los recursos del Presupuesto General de la Nación para el cumplimiento de los acuerdos de la consulta previa con estas colectividades étnicas. Estos recursos se proyectan respetando el marco de gasto de mediano plazo y el Marco Fiscal de Med</w:t>
      </w:r>
      <w:r w:rsidRPr="00E4401D">
        <w:rPr>
          <w:rFonts w:ascii="Times New Roman" w:hAnsi="Times New Roman" w:cs="Times New Roman"/>
          <w:i/>
          <w:iCs/>
          <w:sz w:val="28"/>
          <w:szCs w:val="28"/>
        </w:rPr>
        <w:t>iano Plazo.</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43"/>
      </w:r>
    </w:p>
    <w:p w:rsidR="00AE44C5" w:rsidRPr="00E4401D" w:rsidRDefault="00E4401D" w:rsidP="00203618">
      <w:pPr>
        <w:pStyle w:val="Prrafodelista"/>
        <w:tabs>
          <w:tab w:val="left" w:pos="540"/>
        </w:tabs>
        <w:ind w:left="0"/>
        <w:mirrorIndents/>
        <w:jc w:val="both"/>
        <w:rPr>
          <w:rFonts w:ascii="Times New Roman" w:hAnsi="Times New Roman" w:cs="Times New Roman"/>
          <w:sz w:val="28"/>
          <w:szCs w:val="28"/>
        </w:rPr>
      </w:pPr>
    </w:p>
    <w:p w:rsidR="00900C9E" w:rsidRPr="00E4401D" w:rsidRDefault="00E4401D" w:rsidP="00203618">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(ii) De los Representantes </w:t>
      </w:r>
      <w:r w:rsidRPr="00E4401D">
        <w:rPr>
          <w:rFonts w:ascii="Times New Roman" w:hAnsi="Times New Roman" w:cs="Times New Roman"/>
          <w:sz w:val="28"/>
          <w:szCs w:val="28"/>
        </w:rPr>
        <w:t xml:space="preserve">David Ricardo Mayorca, Heráclito </w:t>
      </w:r>
      <w:r w:rsidRPr="00E4401D">
        <w:rPr>
          <w:rFonts w:ascii="Times New Roman" w:hAnsi="Times New Roman" w:cs="Times New Roman"/>
          <w:sz w:val="28"/>
          <w:szCs w:val="28"/>
        </w:rPr>
        <w:t>Landinez Su</w:t>
      </w:r>
      <w:r w:rsidRPr="00E4401D">
        <w:rPr>
          <w:rFonts w:ascii="Times New Roman" w:hAnsi="Times New Roman" w:cs="Times New Roman"/>
          <w:sz w:val="28"/>
          <w:szCs w:val="28"/>
        </w:rPr>
        <w:t>á</w:t>
      </w:r>
      <w:r w:rsidRPr="00E4401D">
        <w:rPr>
          <w:rFonts w:ascii="Times New Roman" w:hAnsi="Times New Roman" w:cs="Times New Roman"/>
          <w:sz w:val="28"/>
          <w:szCs w:val="28"/>
        </w:rPr>
        <w:t>rez</w:t>
      </w:r>
      <w:r w:rsidRPr="00E4401D">
        <w:rPr>
          <w:rFonts w:ascii="Times New Roman" w:hAnsi="Times New Roman" w:cs="Times New Roman"/>
          <w:sz w:val="28"/>
          <w:szCs w:val="28"/>
        </w:rPr>
        <w:t xml:space="preserve"> y de los Senadores Aida Marina Quilcue Vivas, Martha Isabel Peralta Epieyu, </w:t>
      </w:r>
      <w:r w:rsidRPr="00E4401D">
        <w:rPr>
          <w:rFonts w:ascii="Times New Roman" w:hAnsi="Times New Roman" w:cs="Times New Roman"/>
          <w:sz w:val="28"/>
          <w:szCs w:val="28"/>
        </w:rPr>
        <w:t>Pedro Baracutao García Ospina</w:t>
      </w:r>
      <w:r w:rsidRPr="00E4401D">
        <w:rPr>
          <w:rFonts w:ascii="Times New Roman" w:hAnsi="Times New Roman" w:cs="Times New Roman"/>
          <w:sz w:val="28"/>
          <w:szCs w:val="28"/>
        </w:rPr>
        <w:t>:</w:t>
      </w:r>
    </w:p>
    <w:p w:rsidR="00AE44C5" w:rsidRPr="00E4401D" w:rsidRDefault="00E4401D" w:rsidP="00203618">
      <w:pPr>
        <w:pStyle w:val="Prrafodelista"/>
        <w:tabs>
          <w:tab w:val="left" w:pos="540"/>
        </w:tabs>
        <w:ind w:left="0"/>
        <w:mirrorIndents/>
        <w:jc w:val="both"/>
        <w:rPr>
          <w:rFonts w:ascii="Times New Roman" w:hAnsi="Times New Roman" w:cs="Times New Roman"/>
          <w:sz w:val="28"/>
          <w:szCs w:val="28"/>
        </w:rPr>
      </w:pPr>
    </w:p>
    <w:p w:rsidR="001E2E52" w:rsidRPr="00E4401D" w:rsidRDefault="00E4401D" w:rsidP="00203618">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PARAGRAFO TERCERO. Co</w:t>
      </w:r>
      <w:r w:rsidRPr="00E4401D">
        <w:rPr>
          <w:rFonts w:ascii="Times New Roman" w:hAnsi="Times New Roman" w:cs="Times New Roman"/>
          <w:i/>
          <w:iCs/>
          <w:sz w:val="28"/>
          <w:szCs w:val="28"/>
        </w:rPr>
        <w:t>m</w:t>
      </w:r>
      <w:r w:rsidRPr="00E4401D">
        <w:rPr>
          <w:rFonts w:ascii="Times New Roman" w:hAnsi="Times New Roman" w:cs="Times New Roman"/>
          <w:i/>
          <w:iCs/>
          <w:sz w:val="28"/>
          <w:szCs w:val="28"/>
        </w:rPr>
        <w:t>o parte integral del Plan Plurianu</w:t>
      </w:r>
      <w:r w:rsidRPr="00E4401D">
        <w:rPr>
          <w:rFonts w:ascii="Times New Roman" w:hAnsi="Times New Roman" w:cs="Times New Roman"/>
          <w:i/>
          <w:iCs/>
          <w:sz w:val="28"/>
          <w:szCs w:val="28"/>
        </w:rPr>
        <w:t xml:space="preserve">al de Inversiones se incluye una proyección indicativa para las comunidades negras, afrocolombianas, raizales y palenqueras por un monto </w:t>
      </w:r>
      <w:r w:rsidRPr="00E4401D">
        <w:rPr>
          <w:rFonts w:ascii="Times New Roman" w:hAnsi="Times New Roman" w:cs="Times New Roman"/>
          <w:i/>
          <w:iCs/>
          <w:sz w:val="28"/>
          <w:szCs w:val="28"/>
        </w:rPr>
        <w:t xml:space="preserve">de </w:t>
      </w:r>
      <w:r w:rsidRPr="00E4401D">
        <w:rPr>
          <w:rFonts w:ascii="Times New Roman" w:hAnsi="Times New Roman" w:cs="Times New Roman"/>
          <w:i/>
          <w:iCs/>
          <w:sz w:val="28"/>
          <w:szCs w:val="28"/>
        </w:rPr>
        <w:t>treinta (30) billones …</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44"/>
      </w:r>
    </w:p>
    <w:p w:rsidR="005A4CB8" w:rsidRPr="00E4401D" w:rsidRDefault="00E4401D" w:rsidP="00203618">
      <w:pPr>
        <w:pStyle w:val="Prrafodelista"/>
        <w:tabs>
          <w:tab w:val="left" w:pos="540"/>
        </w:tabs>
        <w:ind w:left="0"/>
        <w:mirrorIndents/>
        <w:jc w:val="both"/>
        <w:rPr>
          <w:rFonts w:ascii="Times New Roman" w:hAnsi="Times New Roman" w:cs="Times New Roman"/>
          <w:sz w:val="28"/>
          <w:szCs w:val="28"/>
        </w:rPr>
      </w:pPr>
    </w:p>
    <w:p w:rsidR="005A4CB8" w:rsidRPr="00E4401D" w:rsidRDefault="00E4401D" w:rsidP="00203618">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(iii) </w:t>
      </w:r>
      <w:r w:rsidRPr="00E4401D">
        <w:rPr>
          <w:rFonts w:ascii="Times New Roman" w:hAnsi="Times New Roman" w:cs="Times New Roman"/>
          <w:sz w:val="28"/>
          <w:szCs w:val="28"/>
        </w:rPr>
        <w:t>De la Representante Astrid Sánchez Montes Oca</w:t>
      </w:r>
      <w:r w:rsidRPr="00E4401D">
        <w:rPr>
          <w:rFonts w:ascii="Times New Roman" w:hAnsi="Times New Roman" w:cs="Times New Roman"/>
          <w:sz w:val="28"/>
          <w:szCs w:val="28"/>
        </w:rPr>
        <w:t>:</w:t>
      </w:r>
    </w:p>
    <w:p w:rsidR="00B75EB5" w:rsidRPr="00E4401D" w:rsidRDefault="00E4401D" w:rsidP="00203618">
      <w:pPr>
        <w:pStyle w:val="Prrafodelista"/>
        <w:tabs>
          <w:tab w:val="left" w:pos="540"/>
        </w:tabs>
        <w:ind w:left="0"/>
        <w:mirrorIndents/>
        <w:jc w:val="both"/>
        <w:rPr>
          <w:rFonts w:ascii="Times New Roman" w:hAnsi="Times New Roman" w:cs="Times New Roman"/>
          <w:sz w:val="28"/>
          <w:szCs w:val="28"/>
        </w:rPr>
      </w:pPr>
    </w:p>
    <w:p w:rsidR="00512DBD" w:rsidRPr="00E4401D" w:rsidRDefault="00E4401D" w:rsidP="00512DBD">
      <w:pPr>
        <w:pStyle w:val="Prrafodelista"/>
        <w:tabs>
          <w:tab w:val="left" w:pos="540"/>
        </w:tabs>
        <w:ind w:left="0"/>
        <w:mirrorIndents/>
        <w:jc w:val="both"/>
        <w:rPr>
          <w:rFonts w:ascii="Times New Roman" w:hAnsi="Times New Roman" w:cs="Times New Roman"/>
          <w:i/>
          <w:iCs/>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 xml:space="preserve">PARAGRAFO TERCERO. Como parte integral del Plan Plurianual de Inversiones se incluye una proyección indicativa para las comunidades Negras Afrocolombianas, Raizales y Palanqueras por un monto especifico, que incluya los recursos del Presupuesto General de </w:t>
      </w:r>
      <w:r w:rsidRPr="00E4401D">
        <w:rPr>
          <w:rFonts w:ascii="Times New Roman" w:hAnsi="Times New Roman" w:cs="Times New Roman"/>
          <w:i/>
          <w:iCs/>
          <w:sz w:val="28"/>
          <w:szCs w:val="28"/>
        </w:rPr>
        <w:t xml:space="preserve">la Nación, el Sistema General de Participaciones y el Sistema General de </w:t>
      </w:r>
      <w:r w:rsidRPr="00E4401D">
        <w:rPr>
          <w:rFonts w:ascii="Times New Roman" w:hAnsi="Times New Roman" w:cs="Times New Roman"/>
          <w:i/>
          <w:iCs/>
          <w:sz w:val="28"/>
          <w:szCs w:val="28"/>
        </w:rPr>
        <w:t>Regalías</w:t>
      </w:r>
      <w:r w:rsidRPr="00E4401D">
        <w:rPr>
          <w:rFonts w:ascii="Times New Roman" w:hAnsi="Times New Roman" w:cs="Times New Roman"/>
          <w:i/>
          <w:iCs/>
          <w:sz w:val="28"/>
          <w:szCs w:val="28"/>
        </w:rPr>
        <w:t>, de los cuales cinco coma nueve (5.9) billones corresponden a la proyección indicativa de los recursos del Presupuesto General de la Nación para el cumplimiento de los acuerd</w:t>
      </w:r>
      <w:r w:rsidRPr="00E4401D">
        <w:rPr>
          <w:rFonts w:ascii="Times New Roman" w:hAnsi="Times New Roman" w:cs="Times New Roman"/>
          <w:i/>
          <w:iCs/>
          <w:sz w:val="28"/>
          <w:szCs w:val="28"/>
        </w:rPr>
        <w:t>os de la consulta previa con estas comunidades étnicas. Estos recursos se proyectan respetando el Marco de Gasto de Mediano Plazo y el Marco Fiscal de Mediano Plazo.</w:t>
      </w:r>
    </w:p>
    <w:p w:rsidR="00512DBD" w:rsidRPr="00E4401D" w:rsidRDefault="00E4401D" w:rsidP="00512DBD">
      <w:pPr>
        <w:pStyle w:val="Prrafodelista"/>
        <w:tabs>
          <w:tab w:val="left" w:pos="540"/>
        </w:tabs>
        <w:ind w:left="0"/>
        <w:mirrorIndents/>
        <w:jc w:val="both"/>
        <w:rPr>
          <w:rFonts w:ascii="Times New Roman" w:hAnsi="Times New Roman" w:cs="Times New Roman"/>
          <w:i/>
          <w:iCs/>
          <w:sz w:val="28"/>
          <w:szCs w:val="28"/>
        </w:rPr>
      </w:pPr>
    </w:p>
    <w:p w:rsidR="00B75EB5" w:rsidRPr="00E4401D" w:rsidRDefault="00E4401D" w:rsidP="00512DBD">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i/>
          <w:iCs/>
          <w:sz w:val="28"/>
          <w:szCs w:val="28"/>
        </w:rPr>
        <w:t xml:space="preserve">El Gobierno nacional a través del Departamento Nacional de Planeación y el Ministerio de </w:t>
      </w:r>
      <w:r w:rsidRPr="00E4401D">
        <w:rPr>
          <w:rFonts w:ascii="Times New Roman" w:hAnsi="Times New Roman" w:cs="Times New Roman"/>
          <w:i/>
          <w:iCs/>
          <w:sz w:val="28"/>
          <w:szCs w:val="28"/>
        </w:rPr>
        <w:t>Hacienda identificará en el Plan Plurianual de Inversiones el monto especifico, destinado en el Plan Nacional de Desarrollo a las comunidades Negras, Afrocolombianas, Raizales y Palanqueras, provenientes de todas las fuentes de financiamiento</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45"/>
      </w:r>
    </w:p>
    <w:p w:rsidR="002E5C4E" w:rsidRPr="00E4401D" w:rsidRDefault="00E4401D" w:rsidP="00512DBD">
      <w:pPr>
        <w:pStyle w:val="Prrafodelista"/>
        <w:tabs>
          <w:tab w:val="left" w:pos="540"/>
        </w:tabs>
        <w:ind w:left="0"/>
        <w:mirrorIndents/>
        <w:jc w:val="both"/>
        <w:rPr>
          <w:rFonts w:ascii="Times New Roman" w:hAnsi="Times New Roman" w:cs="Times New Roman"/>
          <w:sz w:val="28"/>
          <w:szCs w:val="28"/>
        </w:rPr>
      </w:pPr>
    </w:p>
    <w:p w:rsidR="002E5C4E" w:rsidRPr="00E4401D" w:rsidRDefault="00E4401D" w:rsidP="00512DBD">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(iv) </w:t>
      </w:r>
      <w:r w:rsidRPr="00E4401D">
        <w:rPr>
          <w:rFonts w:ascii="Times New Roman" w:hAnsi="Times New Roman" w:cs="Times New Roman"/>
          <w:sz w:val="28"/>
          <w:szCs w:val="28"/>
        </w:rPr>
        <w:t xml:space="preserve">Del </w:t>
      </w:r>
      <w:r w:rsidRPr="00E4401D">
        <w:rPr>
          <w:rFonts w:ascii="Times New Roman" w:hAnsi="Times New Roman" w:cs="Times New Roman"/>
          <w:sz w:val="28"/>
          <w:szCs w:val="28"/>
        </w:rPr>
        <w:t>Senador Paulino Riascos:</w:t>
      </w:r>
    </w:p>
    <w:p w:rsidR="00B92B13" w:rsidRPr="00E4401D" w:rsidRDefault="00E4401D" w:rsidP="00512DBD">
      <w:pPr>
        <w:pStyle w:val="Prrafodelista"/>
        <w:tabs>
          <w:tab w:val="left" w:pos="540"/>
        </w:tabs>
        <w:ind w:left="0"/>
        <w:mirrorIndents/>
        <w:jc w:val="both"/>
        <w:rPr>
          <w:rFonts w:ascii="Times New Roman" w:hAnsi="Times New Roman" w:cs="Times New Roman"/>
          <w:sz w:val="28"/>
          <w:szCs w:val="28"/>
        </w:rPr>
      </w:pPr>
    </w:p>
    <w:p w:rsidR="00492BE7" w:rsidRPr="00E4401D" w:rsidRDefault="00E4401D" w:rsidP="00492BE7">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PARAGRAFO TERCERO. De conformidad con la oferta institucional y los recursos indicativos como parte integral del Plan Plurianual de Inversiones se incluye una proyección indicativa para las comunidades negras, afrocolombianas, ra</w:t>
      </w:r>
      <w:r w:rsidRPr="00E4401D">
        <w:rPr>
          <w:rFonts w:ascii="Times New Roman" w:hAnsi="Times New Roman" w:cs="Times New Roman"/>
          <w:i/>
          <w:iCs/>
          <w:sz w:val="28"/>
          <w:szCs w:val="28"/>
        </w:rPr>
        <w:t xml:space="preserve">izales y palenqueras por un monto de veintinueve (29) billones de pesos, que incluye todos los recursos del Presupuesto General de la Nación, el Sistema General de Participaciones y el Sistema General de </w:t>
      </w:r>
      <w:r w:rsidRPr="00E4401D">
        <w:rPr>
          <w:rFonts w:ascii="Times New Roman" w:hAnsi="Times New Roman" w:cs="Times New Roman"/>
          <w:i/>
          <w:iCs/>
          <w:sz w:val="28"/>
          <w:szCs w:val="28"/>
        </w:rPr>
        <w:t>Regalías</w:t>
      </w:r>
      <w:r w:rsidRPr="00E4401D">
        <w:rPr>
          <w:rFonts w:ascii="Times New Roman" w:hAnsi="Times New Roman" w:cs="Times New Roman"/>
          <w:i/>
          <w:iCs/>
          <w:sz w:val="28"/>
          <w:szCs w:val="28"/>
        </w:rPr>
        <w:t xml:space="preserve"> y por un monto de cinco coma nueve (5.9) bi</w:t>
      </w:r>
      <w:r w:rsidRPr="00E4401D">
        <w:rPr>
          <w:rFonts w:ascii="Times New Roman" w:hAnsi="Times New Roman" w:cs="Times New Roman"/>
          <w:i/>
          <w:iCs/>
          <w:sz w:val="28"/>
          <w:szCs w:val="28"/>
        </w:rPr>
        <w:t>llones que corresponden a la proyección indicativa de los recursos del Presupuesto General de la Nación para el cumplimiento de los acuerdos de la consulta previa con estas comunidades étnicas. Estos recursos se proyectan respetando el Marco de Gasto de Me</w:t>
      </w:r>
      <w:r w:rsidRPr="00E4401D">
        <w:rPr>
          <w:rFonts w:ascii="Times New Roman" w:hAnsi="Times New Roman" w:cs="Times New Roman"/>
          <w:i/>
          <w:iCs/>
          <w:sz w:val="28"/>
          <w:szCs w:val="28"/>
        </w:rPr>
        <w:t>diano Plazo y el Marco Fiscal de Mediano Plazo.</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46"/>
      </w:r>
    </w:p>
    <w:p w:rsidR="00492BE7" w:rsidRPr="00E4401D" w:rsidRDefault="00E4401D" w:rsidP="00492BE7">
      <w:pPr>
        <w:pStyle w:val="Prrafodelista"/>
        <w:tabs>
          <w:tab w:val="left" w:pos="540"/>
        </w:tabs>
        <w:ind w:left="0"/>
        <w:mirrorIndents/>
        <w:jc w:val="both"/>
        <w:rPr>
          <w:rFonts w:ascii="Times New Roman" w:hAnsi="Times New Roman" w:cs="Times New Roman"/>
          <w:sz w:val="28"/>
          <w:szCs w:val="28"/>
        </w:rPr>
      </w:pPr>
    </w:p>
    <w:p w:rsidR="00492BE7" w:rsidRPr="00E4401D" w:rsidRDefault="00E4401D" w:rsidP="00492BE7">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(v) </w:t>
      </w:r>
      <w:r w:rsidRPr="00E4401D">
        <w:rPr>
          <w:rFonts w:ascii="Times New Roman" w:hAnsi="Times New Roman" w:cs="Times New Roman"/>
          <w:sz w:val="28"/>
          <w:szCs w:val="28"/>
        </w:rPr>
        <w:t>De los representantes Astrid Sánchez Montes de Oca</w:t>
      </w:r>
      <w:r w:rsidRPr="00E4401D">
        <w:rPr>
          <w:rFonts w:ascii="Times New Roman" w:hAnsi="Times New Roman" w:cs="Times New Roman"/>
          <w:sz w:val="28"/>
          <w:szCs w:val="28"/>
        </w:rPr>
        <w:t xml:space="preserve">, Cristóbal Caicedo Angulo, Gersón Lisímaco Montaño Arizala, Jorge Méndez Hernández, Leonor María Palencia Vega: </w:t>
      </w:r>
    </w:p>
    <w:p w:rsidR="00EA14FA" w:rsidRPr="00E4401D" w:rsidRDefault="00E4401D" w:rsidP="00492BE7">
      <w:pPr>
        <w:pStyle w:val="Prrafodelista"/>
        <w:tabs>
          <w:tab w:val="left" w:pos="540"/>
        </w:tabs>
        <w:ind w:left="0"/>
        <w:mirrorIndents/>
        <w:jc w:val="both"/>
        <w:rPr>
          <w:rFonts w:ascii="Times New Roman" w:hAnsi="Times New Roman" w:cs="Times New Roman"/>
          <w:sz w:val="28"/>
          <w:szCs w:val="28"/>
        </w:rPr>
      </w:pPr>
    </w:p>
    <w:p w:rsidR="00DD2F32" w:rsidRPr="00E4401D" w:rsidRDefault="00E4401D" w:rsidP="00DD2F32">
      <w:pPr>
        <w:pStyle w:val="Prrafodelista"/>
        <w:tabs>
          <w:tab w:val="left" w:pos="540"/>
        </w:tabs>
        <w:ind w:left="0"/>
        <w:mirrorIndents/>
        <w:jc w:val="both"/>
        <w:rPr>
          <w:rFonts w:ascii="Times New Roman" w:hAnsi="Times New Roman" w:cs="Times New Roman"/>
          <w:i/>
          <w:iCs/>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 xml:space="preserve">PARAGRAFO TERCERO. Como parte </w:t>
      </w:r>
      <w:r w:rsidRPr="00E4401D">
        <w:rPr>
          <w:rFonts w:ascii="Times New Roman" w:hAnsi="Times New Roman" w:cs="Times New Roman"/>
          <w:i/>
          <w:iCs/>
          <w:sz w:val="28"/>
          <w:szCs w:val="28"/>
        </w:rPr>
        <w:t>integral del Plan Plurianual de Inversiones se incluye una proyección indicativa para las comunidades Negras Afrocolombianas, Raizales y Palanqueras por un monto especifico de treinta (30) billones de pesos, que incluya los recursos del Presupuesto General</w:t>
      </w:r>
      <w:r w:rsidRPr="00E4401D">
        <w:rPr>
          <w:rFonts w:ascii="Times New Roman" w:hAnsi="Times New Roman" w:cs="Times New Roman"/>
          <w:i/>
          <w:iCs/>
          <w:sz w:val="28"/>
          <w:szCs w:val="28"/>
        </w:rPr>
        <w:t xml:space="preserve"> de la Nación, el Sistema General de Participa</w:t>
      </w:r>
      <w:r w:rsidRPr="00E4401D">
        <w:rPr>
          <w:rFonts w:ascii="Times New Roman" w:hAnsi="Times New Roman" w:cs="Times New Roman"/>
          <w:i/>
          <w:iCs/>
          <w:sz w:val="28"/>
          <w:szCs w:val="28"/>
        </w:rPr>
        <w:t>c</w:t>
      </w:r>
      <w:r w:rsidRPr="00E4401D">
        <w:rPr>
          <w:rFonts w:ascii="Times New Roman" w:hAnsi="Times New Roman" w:cs="Times New Roman"/>
          <w:i/>
          <w:iCs/>
          <w:sz w:val="28"/>
          <w:szCs w:val="28"/>
        </w:rPr>
        <w:t>iones y el Sistema General de Regalías, de los cuales cinco coma nueve (5,9) billones corresponden a la proyección indicativa de los recursos del Presupuesto General de la Nación para el cumplimiento de acuerd</w:t>
      </w:r>
      <w:r w:rsidRPr="00E4401D">
        <w:rPr>
          <w:rFonts w:ascii="Times New Roman" w:hAnsi="Times New Roman" w:cs="Times New Roman"/>
          <w:i/>
          <w:iCs/>
          <w:sz w:val="28"/>
          <w:szCs w:val="28"/>
        </w:rPr>
        <w:t xml:space="preserve">os de la consulta previa con estas comunidades étnicas. Estos recursos se proyectan respetando el Marco de Gasto de Mediano Plazo y el Marco Fiscal de Mediano Plazo. </w:t>
      </w:r>
    </w:p>
    <w:p w:rsidR="00DD2F32" w:rsidRPr="00E4401D" w:rsidRDefault="00E4401D" w:rsidP="00DD2F32">
      <w:pPr>
        <w:pStyle w:val="Prrafodelista"/>
        <w:tabs>
          <w:tab w:val="left" w:pos="540"/>
        </w:tabs>
        <w:ind w:left="0"/>
        <w:mirrorIndents/>
        <w:jc w:val="both"/>
        <w:rPr>
          <w:rFonts w:ascii="Times New Roman" w:hAnsi="Times New Roman" w:cs="Times New Roman"/>
          <w:i/>
          <w:iCs/>
          <w:sz w:val="28"/>
          <w:szCs w:val="28"/>
        </w:rPr>
      </w:pPr>
    </w:p>
    <w:p w:rsidR="00EA14FA" w:rsidRPr="00E4401D" w:rsidRDefault="00E4401D" w:rsidP="00DD2F32">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i/>
          <w:iCs/>
          <w:sz w:val="28"/>
          <w:szCs w:val="28"/>
        </w:rPr>
        <w:t>El Gobierno nacional a través del Departamento Nacional de Planeación y el Ministerio de</w:t>
      </w:r>
      <w:r w:rsidRPr="00E4401D">
        <w:rPr>
          <w:rFonts w:ascii="Times New Roman" w:hAnsi="Times New Roman" w:cs="Times New Roman"/>
          <w:i/>
          <w:iCs/>
          <w:sz w:val="28"/>
          <w:szCs w:val="28"/>
        </w:rPr>
        <w:t xml:space="preserve"> Hacienda identificará en el Plan Plurianual de</w:t>
      </w:r>
      <w:r w:rsidRPr="00E4401D">
        <w:rPr>
          <w:rFonts w:ascii="Times New Roman" w:hAnsi="Times New Roman" w:cs="Times New Roman"/>
          <w:i/>
          <w:iCs/>
          <w:sz w:val="28"/>
          <w:szCs w:val="28"/>
        </w:rPr>
        <w:t xml:space="preserve"> </w:t>
      </w:r>
      <w:r w:rsidRPr="00E4401D">
        <w:rPr>
          <w:rFonts w:ascii="Times New Roman" w:hAnsi="Times New Roman" w:cs="Times New Roman"/>
          <w:i/>
          <w:iCs/>
          <w:sz w:val="28"/>
          <w:szCs w:val="28"/>
        </w:rPr>
        <w:t>Inversiones el monto especifico, destinado en el Plan Nacional de Desarrollo a las comunidades Negras, Afrocolombianas, Raizales y Palanqueras,</w:t>
      </w:r>
      <w:r w:rsidRPr="00E4401D">
        <w:rPr>
          <w:rFonts w:ascii="Times New Roman" w:hAnsi="Times New Roman" w:cs="Times New Roman"/>
          <w:i/>
          <w:iCs/>
          <w:sz w:val="28"/>
          <w:szCs w:val="28"/>
        </w:rPr>
        <w:t xml:space="preserve"> </w:t>
      </w:r>
      <w:r w:rsidRPr="00E4401D">
        <w:rPr>
          <w:rFonts w:ascii="Times New Roman" w:hAnsi="Times New Roman" w:cs="Times New Roman"/>
          <w:i/>
          <w:iCs/>
          <w:sz w:val="28"/>
          <w:szCs w:val="28"/>
        </w:rPr>
        <w:t>provenientes de todas las fuentes de financiamiento.</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47"/>
      </w:r>
    </w:p>
    <w:p w:rsidR="00492BE7" w:rsidRPr="00E4401D" w:rsidRDefault="00E4401D" w:rsidP="007D0F8D">
      <w:pPr>
        <w:pStyle w:val="Prrafodelista"/>
        <w:tabs>
          <w:tab w:val="left" w:pos="540"/>
        </w:tabs>
        <w:ind w:left="0"/>
        <w:mirrorIndents/>
        <w:jc w:val="both"/>
        <w:rPr>
          <w:rFonts w:ascii="Times New Roman" w:hAnsi="Times New Roman" w:cs="Times New Roman"/>
          <w:sz w:val="28"/>
          <w:szCs w:val="28"/>
        </w:rPr>
      </w:pPr>
    </w:p>
    <w:p w:rsidR="00562F26" w:rsidRPr="00E4401D" w:rsidRDefault="00E4401D" w:rsidP="008A3C27">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Según la</w:t>
      </w:r>
      <w:r w:rsidRPr="00E4401D">
        <w:rPr>
          <w:rFonts w:ascii="Times New Roman" w:hAnsi="Times New Roman" w:cs="Times New Roman"/>
          <w:sz w:val="28"/>
          <w:szCs w:val="28"/>
        </w:rPr>
        <w:t xml:space="preserve"> información disponible en el micrositio web del Senado de la República</w:t>
      </w:r>
      <w:r w:rsidRPr="00E4401D">
        <w:rPr>
          <w:rFonts w:ascii="Times New Roman" w:hAnsi="Times New Roman" w:cs="Times New Roman"/>
          <w:sz w:val="28"/>
          <w:szCs w:val="28"/>
        </w:rPr>
        <w:t xml:space="preserve"> y conforme a lo informado por el </w:t>
      </w:r>
      <w:r w:rsidRPr="00E4401D">
        <w:rPr>
          <w:rFonts w:ascii="Times New Roman" w:hAnsi="Times New Roman" w:cs="Times New Roman"/>
          <w:sz w:val="28"/>
          <w:szCs w:val="28"/>
        </w:rPr>
        <w:t>secretario del Senado de la República</w:t>
      </w:r>
      <w:r w:rsidRPr="00E4401D">
        <w:rPr>
          <w:rStyle w:val="Refdenotaalpie"/>
          <w:rFonts w:ascii="Times New Roman" w:hAnsi="Times New Roman" w:cs="Times New Roman"/>
          <w:sz w:val="28"/>
          <w:szCs w:val="28"/>
        </w:rPr>
        <w:footnoteReference w:id="48"/>
      </w:r>
      <w:r w:rsidRPr="00E4401D">
        <w:rPr>
          <w:rFonts w:ascii="Times New Roman" w:hAnsi="Times New Roman" w:cs="Times New Roman"/>
          <w:sz w:val="28"/>
          <w:szCs w:val="28"/>
        </w:rPr>
        <w:t xml:space="preserve">, el 2 de mayo de 2023 se publicó en </w:t>
      </w:r>
      <w:r w:rsidRPr="00E4401D">
        <w:rPr>
          <w:rFonts w:ascii="Times New Roman" w:hAnsi="Times New Roman" w:cs="Times New Roman"/>
          <w:sz w:val="28"/>
          <w:szCs w:val="28"/>
        </w:rPr>
        <w:t>la</w:t>
      </w:r>
      <w:r w:rsidRPr="00E4401D">
        <w:rPr>
          <w:rFonts w:ascii="Times New Roman" w:hAnsi="Times New Roman" w:cs="Times New Roman"/>
          <w:sz w:val="28"/>
          <w:szCs w:val="28"/>
        </w:rPr>
        <w:t xml:space="preserve"> página </w:t>
      </w:r>
      <w:r w:rsidRPr="00E4401D">
        <w:rPr>
          <w:rFonts w:ascii="Times New Roman" w:hAnsi="Times New Roman" w:cs="Times New Roman"/>
          <w:sz w:val="28"/>
          <w:szCs w:val="28"/>
        </w:rPr>
        <w:t xml:space="preserve">web del Senado </w:t>
      </w:r>
      <w:r w:rsidRPr="00E4401D">
        <w:rPr>
          <w:rFonts w:ascii="Times New Roman" w:hAnsi="Times New Roman" w:cs="Times New Roman"/>
          <w:sz w:val="28"/>
          <w:szCs w:val="28"/>
        </w:rPr>
        <w:t>una proposición modificatoria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por parte de</w:t>
      </w:r>
      <w:r w:rsidRPr="00E4401D">
        <w:rPr>
          <w:rFonts w:ascii="Times New Roman" w:hAnsi="Times New Roman" w:cs="Times New Roman"/>
          <w:sz w:val="28"/>
          <w:szCs w:val="28"/>
        </w:rPr>
        <w:t xml:space="preserve"> la Comisión Legal Afrocolombiana</w:t>
      </w:r>
      <w:r w:rsidRPr="00E4401D">
        <w:rPr>
          <w:rFonts w:ascii="Times New Roman" w:hAnsi="Times New Roman" w:cs="Times New Roman"/>
          <w:sz w:val="28"/>
          <w:szCs w:val="28"/>
        </w:rPr>
        <w:t xml:space="preserve"> al artículo 5 del proyecto de ley. </w:t>
      </w:r>
      <w:r w:rsidRPr="00E4401D">
        <w:rPr>
          <w:rFonts w:ascii="Times New Roman" w:hAnsi="Times New Roman" w:cs="Times New Roman"/>
          <w:sz w:val="28"/>
          <w:szCs w:val="28"/>
        </w:rPr>
        <w:t>La</w:t>
      </w:r>
      <w:r w:rsidRPr="00E4401D">
        <w:rPr>
          <w:rFonts w:ascii="Times New Roman" w:hAnsi="Times New Roman" w:cs="Times New Roman"/>
          <w:sz w:val="28"/>
          <w:szCs w:val="28"/>
        </w:rPr>
        <w:t xml:space="preserve"> proposición está </w:t>
      </w:r>
      <w:r w:rsidRPr="00E4401D">
        <w:rPr>
          <w:rFonts w:ascii="Times New Roman" w:hAnsi="Times New Roman" w:cs="Times New Roman"/>
          <w:sz w:val="28"/>
          <w:szCs w:val="28"/>
        </w:rPr>
        <w:t>firmada por varios congresistas</w:t>
      </w:r>
      <w:r w:rsidRPr="00E4401D">
        <w:rPr>
          <w:rFonts w:ascii="Times New Roman" w:hAnsi="Times New Roman" w:cs="Times New Roman"/>
          <w:sz w:val="28"/>
          <w:szCs w:val="28"/>
        </w:rPr>
        <w:t xml:space="preserve">. Entre las firmas se pueden distinguir la </w:t>
      </w:r>
      <w:r w:rsidRPr="00E4401D">
        <w:rPr>
          <w:rFonts w:ascii="Times New Roman" w:hAnsi="Times New Roman" w:cs="Times New Roman"/>
          <w:sz w:val="28"/>
          <w:szCs w:val="28"/>
        </w:rPr>
        <w:t xml:space="preserve">de los representantes </w:t>
      </w:r>
      <w:r w:rsidRPr="00E4401D">
        <w:rPr>
          <w:rFonts w:ascii="Times New Roman" w:hAnsi="Times New Roman" w:cs="Times New Roman"/>
          <w:sz w:val="28"/>
          <w:szCs w:val="28"/>
        </w:rPr>
        <w:t>Ana Rogelia Monsalve</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Víctor Andrés Tovar</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Gersel</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Luis Pérez Altamirand</w:t>
      </w:r>
      <w:r w:rsidRPr="00E4401D">
        <w:rPr>
          <w:rFonts w:ascii="Times New Roman" w:hAnsi="Times New Roman" w:cs="Times New Roman"/>
          <w:sz w:val="28"/>
          <w:szCs w:val="28"/>
        </w:rPr>
        <w:t xml:space="preserve">a, </w:t>
      </w:r>
      <w:r w:rsidRPr="00E4401D">
        <w:rPr>
          <w:rFonts w:ascii="Times New Roman" w:hAnsi="Times New Roman" w:cs="Times New Roman"/>
          <w:sz w:val="28"/>
          <w:szCs w:val="28"/>
        </w:rPr>
        <w:t xml:space="preserve">John Jairo González Agudelo, </w:t>
      </w:r>
      <w:r w:rsidRPr="00E4401D">
        <w:rPr>
          <w:rFonts w:ascii="Times New Roman" w:hAnsi="Times New Roman" w:cs="Times New Roman"/>
          <w:sz w:val="28"/>
          <w:szCs w:val="28"/>
        </w:rPr>
        <w:t>Juan Pablo Salazar Rivera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Orlando Castillo Advíncula</w:t>
      </w:r>
      <w:r w:rsidRPr="00E4401D">
        <w:rPr>
          <w:rFonts w:ascii="Times New Roman" w:hAnsi="Times New Roman" w:cs="Times New Roman"/>
          <w:sz w:val="28"/>
          <w:szCs w:val="28"/>
        </w:rPr>
        <w:t>, Diógenes Quintero Amaya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Juan Carlos Vargas Soler</w:t>
      </w:r>
      <w:r w:rsidRPr="00E4401D">
        <w:rPr>
          <w:rFonts w:ascii="Times New Roman" w:hAnsi="Times New Roman" w:cs="Times New Roman"/>
          <w:sz w:val="28"/>
          <w:szCs w:val="28"/>
        </w:rPr>
        <w:t xml:space="preserve"> y</w:t>
      </w:r>
      <w:r w:rsidRPr="00E4401D">
        <w:rPr>
          <w:rFonts w:ascii="Times New Roman" w:hAnsi="Times New Roman" w:cs="Times New Roman"/>
          <w:sz w:val="28"/>
          <w:szCs w:val="28"/>
        </w:rPr>
        <w:t xml:space="preserve"> Cristóbal Caicedo Angulo</w:t>
      </w:r>
      <w:r w:rsidRPr="00E4401D">
        <w:rPr>
          <w:rFonts w:ascii="Times New Roman" w:hAnsi="Times New Roman" w:cs="Times New Roman"/>
          <w:sz w:val="28"/>
          <w:szCs w:val="28"/>
        </w:rPr>
        <w:t xml:space="preserve"> y de </w:t>
      </w:r>
      <w:r w:rsidRPr="00E4401D">
        <w:rPr>
          <w:rFonts w:ascii="Times New Roman" w:hAnsi="Times New Roman" w:cs="Times New Roman"/>
          <w:sz w:val="28"/>
          <w:szCs w:val="28"/>
        </w:rPr>
        <w:t>los</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s</w:t>
      </w:r>
      <w:r w:rsidRPr="00E4401D">
        <w:rPr>
          <w:rFonts w:ascii="Times New Roman" w:hAnsi="Times New Roman" w:cs="Times New Roman"/>
          <w:sz w:val="28"/>
          <w:szCs w:val="28"/>
        </w:rPr>
        <w:t>enador</w:t>
      </w:r>
      <w:r w:rsidRPr="00E4401D">
        <w:rPr>
          <w:rFonts w:ascii="Times New Roman" w:hAnsi="Times New Roman" w:cs="Times New Roman"/>
          <w:sz w:val="28"/>
          <w:szCs w:val="28"/>
        </w:rPr>
        <w:t>es</w:t>
      </w:r>
      <w:r w:rsidRPr="00E4401D">
        <w:rPr>
          <w:rFonts w:ascii="Times New Roman" w:hAnsi="Times New Roman" w:cs="Times New Roman"/>
          <w:sz w:val="28"/>
          <w:szCs w:val="28"/>
        </w:rPr>
        <w:t xml:space="preserve"> Piedad Córdoba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y Paulino Riascos Riascos</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Esta proposición </w:t>
      </w:r>
      <w:r w:rsidRPr="00E4401D">
        <w:rPr>
          <w:rFonts w:ascii="Times New Roman" w:hAnsi="Times New Roman" w:cs="Times New Roman"/>
          <w:sz w:val="28"/>
          <w:szCs w:val="28"/>
        </w:rPr>
        <w:t xml:space="preserve">planteaba la </w:t>
      </w:r>
      <w:r w:rsidRPr="00E4401D">
        <w:rPr>
          <w:rFonts w:ascii="Times New Roman" w:hAnsi="Times New Roman" w:cs="Times New Roman"/>
          <w:sz w:val="28"/>
          <w:szCs w:val="28"/>
        </w:rPr>
        <w:t>modificación d</w:t>
      </w:r>
      <w:r w:rsidRPr="00E4401D">
        <w:rPr>
          <w:rFonts w:ascii="Times New Roman" w:hAnsi="Times New Roman" w:cs="Times New Roman"/>
          <w:sz w:val="28"/>
          <w:szCs w:val="28"/>
        </w:rPr>
        <w:t>el parágrafo 3° y contaba con el aval del gobierno, como se menciona en el documento. La proposición se presentó y recibió aval el 2 de mayo de 2023. El contenido de la proposición es el siguiente:</w:t>
      </w:r>
    </w:p>
    <w:p w:rsidR="0095236D" w:rsidRPr="00E4401D" w:rsidRDefault="00E4401D" w:rsidP="0095236D">
      <w:pPr>
        <w:pStyle w:val="Prrafodelista"/>
        <w:tabs>
          <w:tab w:val="left" w:pos="540"/>
        </w:tabs>
        <w:ind w:left="0"/>
        <w:mirrorIndents/>
        <w:jc w:val="both"/>
        <w:rPr>
          <w:rFonts w:ascii="Times New Roman" w:hAnsi="Times New Roman" w:cs="Times New Roman"/>
          <w:sz w:val="28"/>
          <w:szCs w:val="28"/>
        </w:rPr>
      </w:pPr>
    </w:p>
    <w:p w:rsidR="00A86F50" w:rsidRPr="00E4401D" w:rsidRDefault="00E4401D" w:rsidP="00222A0F">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MODIFÍQUESE EL PARÁGRAFO 3° Y ADICIÓNESE E</w:t>
      </w:r>
      <w:r w:rsidRPr="00E4401D">
        <w:rPr>
          <w:rFonts w:ascii="Times New Roman" w:hAnsi="Times New Roman" w:cs="Times New Roman"/>
          <w:i/>
          <w:iCs/>
          <w:sz w:val="28"/>
          <w:szCs w:val="28"/>
        </w:rPr>
        <w:t>L PARÁGRAFO 5° AL ARTÍCULO 5 DEL PROYECTO DE LEY 338/2023C – 274/2023S: “POR EL CUAL SE EXPIDE EL PLAN NACIONAL DE DESARROLLO 2022-2026 “COLOMBIA POTENCIA MUNDIAL DE LA VIDA” el cual quedará así”</w:t>
      </w:r>
    </w:p>
    <w:p w:rsidR="00A86F50" w:rsidRPr="00E4401D" w:rsidRDefault="00E4401D" w:rsidP="00222A0F">
      <w:pPr>
        <w:tabs>
          <w:tab w:val="left" w:pos="540"/>
        </w:tabs>
        <w:mirrorIndents/>
        <w:jc w:val="both"/>
        <w:rPr>
          <w:rFonts w:ascii="Times New Roman" w:hAnsi="Times New Roman" w:cs="Times New Roman"/>
          <w:i/>
          <w:iCs/>
          <w:sz w:val="28"/>
          <w:szCs w:val="28"/>
        </w:rPr>
      </w:pPr>
    </w:p>
    <w:p w:rsidR="00222A0F" w:rsidRPr="00E4401D" w:rsidRDefault="00E4401D" w:rsidP="00222A0F">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ARTÍCULO 5.</w:t>
      </w:r>
    </w:p>
    <w:p w:rsidR="00222A0F" w:rsidRPr="00E4401D" w:rsidRDefault="00E4401D" w:rsidP="00222A0F">
      <w:pPr>
        <w:tabs>
          <w:tab w:val="left" w:pos="540"/>
        </w:tabs>
        <w:mirrorIndents/>
        <w:jc w:val="both"/>
        <w:rPr>
          <w:rFonts w:ascii="Times New Roman" w:hAnsi="Times New Roman" w:cs="Times New Roman"/>
          <w:i/>
          <w:iCs/>
          <w:sz w:val="28"/>
          <w:szCs w:val="28"/>
        </w:rPr>
      </w:pPr>
    </w:p>
    <w:p w:rsidR="00562F26" w:rsidRPr="00E4401D" w:rsidRDefault="00E4401D" w:rsidP="00222A0F">
      <w:pPr>
        <w:tabs>
          <w:tab w:val="left" w:pos="540"/>
        </w:tabs>
        <w:mirrorIndents/>
        <w:jc w:val="both"/>
        <w:rPr>
          <w:rFonts w:ascii="Times New Roman" w:hAnsi="Times New Roman" w:cs="Times New Roman"/>
          <w:sz w:val="28"/>
          <w:szCs w:val="28"/>
        </w:rPr>
      </w:pPr>
      <w:r w:rsidRPr="00E4401D">
        <w:rPr>
          <w:rFonts w:ascii="Times New Roman" w:hAnsi="Times New Roman" w:cs="Times New Roman"/>
          <w:i/>
          <w:iCs/>
          <w:sz w:val="28"/>
          <w:szCs w:val="28"/>
          <w:u w:val="single"/>
        </w:rPr>
        <w:t xml:space="preserve">PARAGRAFO TERCERO. Como parte integral del Plan Plurianual de Inversiones se </w:t>
      </w:r>
      <w:r w:rsidRPr="00E4401D">
        <w:rPr>
          <w:rFonts w:ascii="Times New Roman" w:hAnsi="Times New Roman" w:cs="Times New Roman"/>
          <w:i/>
          <w:iCs/>
          <w:sz w:val="28"/>
          <w:szCs w:val="28"/>
          <w:u w:val="single"/>
        </w:rPr>
        <w:t>incluye</w:t>
      </w:r>
      <w:r w:rsidRPr="00E4401D">
        <w:rPr>
          <w:rFonts w:ascii="Times New Roman" w:hAnsi="Times New Roman" w:cs="Times New Roman"/>
          <w:i/>
          <w:iCs/>
          <w:sz w:val="28"/>
          <w:szCs w:val="28"/>
          <w:u w:val="single"/>
        </w:rPr>
        <w:t xml:space="preserve"> una proyección indicativa </w:t>
      </w:r>
      <w:bookmarkStart w:id="10" w:name="_Hlk176015559"/>
      <w:r w:rsidRPr="00E4401D">
        <w:rPr>
          <w:rFonts w:ascii="Times New Roman" w:hAnsi="Times New Roman" w:cs="Times New Roman"/>
          <w:i/>
          <w:iCs/>
          <w:sz w:val="28"/>
          <w:szCs w:val="28"/>
          <w:u w:val="single"/>
        </w:rPr>
        <w:t>para las comunidades Negras, Afrocolombianas, Raizales y Palanqueras</w:t>
      </w:r>
      <w:bookmarkEnd w:id="10"/>
      <w:r w:rsidRPr="00E4401D">
        <w:rPr>
          <w:rFonts w:ascii="Times New Roman" w:hAnsi="Times New Roman" w:cs="Times New Roman"/>
          <w:i/>
          <w:iCs/>
          <w:sz w:val="28"/>
          <w:szCs w:val="28"/>
          <w:u w:val="single"/>
        </w:rPr>
        <w:t xml:space="preserve"> por un monto de veintinueve (29,265) billones de pesos</w:t>
      </w:r>
      <w:bookmarkStart w:id="11" w:name="_Hlk176015624"/>
      <w:r w:rsidRPr="00E4401D">
        <w:rPr>
          <w:rFonts w:ascii="Times New Roman" w:hAnsi="Times New Roman" w:cs="Times New Roman"/>
          <w:i/>
          <w:iCs/>
          <w:sz w:val="28"/>
          <w:szCs w:val="28"/>
          <w:u w:val="single"/>
        </w:rPr>
        <w:t xml:space="preserve">, que </w:t>
      </w:r>
      <w:r w:rsidRPr="00E4401D">
        <w:rPr>
          <w:rFonts w:ascii="Times New Roman" w:hAnsi="Times New Roman" w:cs="Times New Roman"/>
          <w:i/>
          <w:iCs/>
          <w:sz w:val="28"/>
          <w:szCs w:val="28"/>
          <w:u w:val="single"/>
        </w:rPr>
        <w:t>incluye</w:t>
      </w:r>
      <w:r w:rsidRPr="00E4401D">
        <w:rPr>
          <w:rFonts w:ascii="Times New Roman" w:hAnsi="Times New Roman" w:cs="Times New Roman"/>
          <w:i/>
          <w:iCs/>
          <w:sz w:val="28"/>
          <w:szCs w:val="28"/>
          <w:u w:val="single"/>
        </w:rPr>
        <w:t xml:space="preserve"> todos los recursos del Presupuesto General de la Nación, el Sistema General de Participaciones y el Sistema General de Regalías</w:t>
      </w:r>
      <w:bookmarkEnd w:id="11"/>
      <w:r w:rsidRPr="00E4401D">
        <w:rPr>
          <w:rFonts w:ascii="Times New Roman" w:hAnsi="Times New Roman" w:cs="Times New Roman"/>
          <w:i/>
          <w:iCs/>
          <w:sz w:val="28"/>
          <w:szCs w:val="28"/>
          <w:u w:val="single"/>
        </w:rPr>
        <w:t>, de los cuales cinco, nueve (5.9) billones corresponden a la proyección indicativa de los recursos del Presupuesto General de l</w:t>
      </w:r>
      <w:r w:rsidRPr="00E4401D">
        <w:rPr>
          <w:rFonts w:ascii="Times New Roman" w:hAnsi="Times New Roman" w:cs="Times New Roman"/>
          <w:i/>
          <w:iCs/>
          <w:sz w:val="28"/>
          <w:szCs w:val="28"/>
          <w:u w:val="single"/>
        </w:rPr>
        <w:t>a Nación para el cumplimiento de los acuerdos de la consulta previa con estas comunidades étnicas, Estos recursos se proyectan respetando el Marco de Gasto de Mediano Plazo y el Marco Fiscal de Mediano Plazo.</w:t>
      </w:r>
      <w:r w:rsidRPr="00E4401D">
        <w:rPr>
          <w:rFonts w:ascii="Times New Roman" w:hAnsi="Times New Roman" w:cs="Times New Roman"/>
          <w:sz w:val="28"/>
          <w:szCs w:val="28"/>
          <w:u w:val="single"/>
        </w:rPr>
        <w:t>”</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49"/>
      </w:r>
    </w:p>
    <w:p w:rsidR="0095236D" w:rsidRPr="00E4401D" w:rsidRDefault="00E4401D" w:rsidP="00562F26">
      <w:pPr>
        <w:tabs>
          <w:tab w:val="left" w:pos="540"/>
        </w:tabs>
        <w:mirrorIndents/>
        <w:jc w:val="both"/>
        <w:rPr>
          <w:rFonts w:ascii="Times New Roman" w:hAnsi="Times New Roman" w:cs="Times New Roman"/>
          <w:sz w:val="28"/>
          <w:szCs w:val="28"/>
        </w:rPr>
      </w:pPr>
    </w:p>
    <w:p w:rsidR="007907B3"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Durante la sesión plenaria del Senado de la</w:t>
      </w:r>
      <w:r w:rsidRPr="00E4401D">
        <w:rPr>
          <w:rFonts w:ascii="Times New Roman" w:hAnsi="Times New Roman" w:cs="Times New Roman"/>
          <w:sz w:val="28"/>
          <w:szCs w:val="28"/>
        </w:rPr>
        <w:t xml:space="preserve"> República, celebrada el 2 de mayo de 2023, el presidente del Senado solicitó al equipo de Gobierno que presentara las proposiciones al proyecto de ley que contaran con su aval, con el fin de leerlas y posteriormente votarlas en bloque. Entre estas proposi</w:t>
      </w:r>
      <w:r w:rsidRPr="00E4401D">
        <w:rPr>
          <w:rFonts w:ascii="Times New Roman" w:hAnsi="Times New Roman" w:cs="Times New Roman"/>
          <w:sz w:val="28"/>
          <w:szCs w:val="28"/>
        </w:rPr>
        <w:t>ciones se encontraba la modificatoria al parágrafo 3° del artículo del proyecto.</w:t>
      </w:r>
      <w:r w:rsidRPr="00E4401D">
        <w:rPr>
          <w:rStyle w:val="Refdenotaalpie"/>
          <w:rFonts w:ascii="Times New Roman" w:hAnsi="Times New Roman" w:cs="Times New Roman"/>
          <w:sz w:val="28"/>
          <w:szCs w:val="28"/>
        </w:rPr>
        <w:footnoteReference w:id="50"/>
      </w:r>
    </w:p>
    <w:p w:rsidR="007907B3" w:rsidRPr="00E4401D" w:rsidRDefault="00E4401D" w:rsidP="00B71015">
      <w:pPr>
        <w:pStyle w:val="Prrafodelista"/>
        <w:ind w:left="0"/>
        <w:jc w:val="both"/>
        <w:rPr>
          <w:rFonts w:ascii="Times New Roman" w:hAnsi="Times New Roman" w:cs="Times New Roman"/>
          <w:sz w:val="28"/>
          <w:szCs w:val="28"/>
        </w:rPr>
      </w:pPr>
    </w:p>
    <w:p w:rsidR="001E693F" w:rsidRPr="00E4401D" w:rsidRDefault="00E4401D" w:rsidP="00E91CC0">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Dado que la proposición no había sido publicada en medios oficiales o alternativos, su</w:t>
      </w:r>
      <w:r w:rsidRPr="00E4401D">
        <w:rPr>
          <w:rFonts w:ascii="Times New Roman" w:hAnsi="Times New Roman" w:cs="Times New Roman"/>
          <w:sz w:val="28"/>
          <w:szCs w:val="28"/>
        </w:rPr>
        <w:t xml:space="preserve"> alcance </w:t>
      </w:r>
      <w:r w:rsidRPr="00E4401D">
        <w:rPr>
          <w:rFonts w:ascii="Times New Roman" w:hAnsi="Times New Roman" w:cs="Times New Roman"/>
          <w:sz w:val="28"/>
          <w:szCs w:val="28"/>
        </w:rPr>
        <w:t xml:space="preserve">fue </w:t>
      </w:r>
      <w:r w:rsidRPr="00E4401D">
        <w:rPr>
          <w:rFonts w:ascii="Times New Roman" w:hAnsi="Times New Roman" w:cs="Times New Roman"/>
          <w:sz w:val="28"/>
          <w:szCs w:val="28"/>
        </w:rPr>
        <w:t>explicado</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por el </w:t>
      </w:r>
      <w:r w:rsidRPr="00E4401D">
        <w:rPr>
          <w:rFonts w:ascii="Times New Roman" w:hAnsi="Times New Roman" w:cs="Times New Roman"/>
          <w:sz w:val="28"/>
          <w:szCs w:val="28"/>
        </w:rPr>
        <w:t>entonces p</w:t>
      </w:r>
      <w:r w:rsidRPr="00E4401D">
        <w:rPr>
          <w:rFonts w:ascii="Times New Roman" w:hAnsi="Times New Roman" w:cs="Times New Roman"/>
          <w:sz w:val="28"/>
          <w:szCs w:val="28"/>
        </w:rPr>
        <w:t>residente del Senado</w:t>
      </w:r>
      <w:r w:rsidRPr="00E4401D">
        <w:rPr>
          <w:rFonts w:ascii="Times New Roman" w:hAnsi="Times New Roman" w:cs="Times New Roman"/>
          <w:sz w:val="28"/>
          <w:szCs w:val="28"/>
        </w:rPr>
        <w:t xml:space="preserve"> en los siguientes términos</w:t>
      </w:r>
      <w:r w:rsidRPr="00E4401D">
        <w:rPr>
          <w:rFonts w:ascii="Times New Roman" w:hAnsi="Times New Roman" w:cs="Times New Roman"/>
          <w:sz w:val="28"/>
          <w:szCs w:val="28"/>
        </w:rPr>
        <w:t xml:space="preserve">: </w:t>
      </w:r>
    </w:p>
    <w:p w:rsidR="001E693F" w:rsidRPr="00E4401D" w:rsidRDefault="00E4401D" w:rsidP="00B71015">
      <w:pPr>
        <w:pStyle w:val="Prrafodelista"/>
        <w:ind w:left="0"/>
        <w:jc w:val="both"/>
        <w:rPr>
          <w:rFonts w:ascii="Times New Roman" w:hAnsi="Times New Roman" w:cs="Times New Roman"/>
          <w:sz w:val="28"/>
          <w:szCs w:val="28"/>
        </w:rPr>
      </w:pPr>
    </w:p>
    <w:p w:rsidR="001E693F" w:rsidRPr="00E4401D" w:rsidRDefault="00E4401D" w:rsidP="00B71015">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 xml:space="preserve">“(…) </w:t>
      </w:r>
      <w:r w:rsidRPr="00E4401D">
        <w:rPr>
          <w:rFonts w:ascii="Times New Roman" w:hAnsi="Times New Roman" w:cs="Times New Roman"/>
          <w:i/>
          <w:iCs/>
          <w:sz w:val="28"/>
          <w:szCs w:val="28"/>
        </w:rPr>
        <w:t xml:space="preserve">proposición presentada por innumerables firmas, entre otras, la de la Senadora Piedad Córdoba y, los Representantes de la Bancada Afro, que dice: Parágrafo tercero. Como parte integral del Plan Plurianual de Inversiones, se incluye una proyección </w:t>
      </w:r>
      <w:r w:rsidRPr="00E4401D">
        <w:rPr>
          <w:rFonts w:ascii="Times New Roman" w:hAnsi="Times New Roman" w:cs="Times New Roman"/>
          <w:i/>
          <w:iCs/>
          <w:sz w:val="28"/>
          <w:szCs w:val="28"/>
        </w:rPr>
        <w:t>indicativa para las comunidades negras, afro colombianas, raizales y, palenqueras</w:t>
      </w:r>
      <w:r w:rsidRPr="00E4401D">
        <w:rPr>
          <w:rFonts w:ascii="Times New Roman" w:hAnsi="Times New Roman" w:cs="Times New Roman"/>
          <w:sz w:val="28"/>
          <w:szCs w:val="28"/>
        </w:rPr>
        <w:t>”</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51"/>
      </w:r>
    </w:p>
    <w:p w:rsidR="001E693F" w:rsidRPr="00E4401D" w:rsidRDefault="00E4401D" w:rsidP="00B71015">
      <w:pPr>
        <w:pStyle w:val="Prrafodelista"/>
        <w:ind w:left="0"/>
        <w:jc w:val="both"/>
        <w:rPr>
          <w:rFonts w:ascii="Times New Roman" w:hAnsi="Times New Roman" w:cs="Times New Roman"/>
          <w:sz w:val="28"/>
          <w:szCs w:val="28"/>
        </w:rPr>
      </w:pPr>
    </w:p>
    <w:p w:rsidR="00506B40" w:rsidRPr="00E4401D" w:rsidRDefault="00E4401D" w:rsidP="00E91CC0">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Posteriormente, en la misma sesión, la disposición fue votada en bloque</w:t>
      </w:r>
      <w:r w:rsidRPr="00E4401D">
        <w:rPr>
          <w:rFonts w:ascii="Times New Roman" w:hAnsi="Times New Roman" w:cs="Times New Roman"/>
          <w:sz w:val="28"/>
          <w:szCs w:val="28"/>
        </w:rPr>
        <w:t xml:space="preserve"> junto </w:t>
      </w:r>
      <w:r w:rsidRPr="00E4401D">
        <w:rPr>
          <w:rFonts w:ascii="Times New Roman" w:hAnsi="Times New Roman" w:cs="Times New Roman"/>
          <w:sz w:val="28"/>
          <w:szCs w:val="28"/>
        </w:rPr>
        <w:t xml:space="preserve">con las demás </w:t>
      </w:r>
      <w:r w:rsidRPr="00E4401D">
        <w:rPr>
          <w:rFonts w:ascii="Times New Roman" w:hAnsi="Times New Roman" w:cs="Times New Roman"/>
          <w:sz w:val="28"/>
          <w:szCs w:val="28"/>
        </w:rPr>
        <w:t>proposiciones</w:t>
      </w:r>
      <w:r w:rsidRPr="00E4401D">
        <w:rPr>
          <w:rFonts w:ascii="Times New Roman" w:hAnsi="Times New Roman" w:cs="Times New Roman"/>
          <w:sz w:val="28"/>
          <w:szCs w:val="28"/>
        </w:rPr>
        <w:t xml:space="preserve"> modificativas o aditivas que tenían aval del Ministerio de Hacienda</w:t>
      </w:r>
      <w:r w:rsidRPr="00E4401D">
        <w:rPr>
          <w:rFonts w:ascii="Times New Roman" w:hAnsi="Times New Roman" w:cs="Times New Roman"/>
          <w:sz w:val="28"/>
          <w:szCs w:val="28"/>
        </w:rPr>
        <w:t xml:space="preserve"> y Crédito Público. </w:t>
      </w:r>
      <w:r w:rsidRPr="00E4401D">
        <w:rPr>
          <w:rFonts w:ascii="Times New Roman" w:hAnsi="Times New Roman" w:cs="Times New Roman"/>
          <w:sz w:val="28"/>
          <w:szCs w:val="28"/>
        </w:rPr>
        <w:t>Se recibieron</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60</w:t>
      </w:r>
      <w:r w:rsidRPr="00E4401D">
        <w:rPr>
          <w:rFonts w:ascii="Times New Roman" w:hAnsi="Times New Roman" w:cs="Times New Roman"/>
          <w:sz w:val="28"/>
          <w:szCs w:val="28"/>
        </w:rPr>
        <w:t xml:space="preserve"> votos</w:t>
      </w:r>
      <w:r w:rsidRPr="00E4401D">
        <w:rPr>
          <w:rFonts w:ascii="Times New Roman" w:hAnsi="Times New Roman" w:cs="Times New Roman"/>
          <w:sz w:val="28"/>
          <w:szCs w:val="28"/>
        </w:rPr>
        <w:t xml:space="preserve"> por el sí y 14 por el no. De este modo quedó aprobada la proposición.</w:t>
      </w:r>
      <w:r w:rsidRPr="00E4401D">
        <w:rPr>
          <w:rStyle w:val="Refdenotaalpie"/>
          <w:rFonts w:ascii="Times New Roman" w:hAnsi="Times New Roman" w:cs="Times New Roman"/>
          <w:sz w:val="28"/>
          <w:szCs w:val="28"/>
        </w:rPr>
        <w:footnoteReference w:id="52"/>
      </w:r>
    </w:p>
    <w:p w:rsidR="00871028" w:rsidRPr="00E4401D" w:rsidRDefault="00E4401D" w:rsidP="00871028">
      <w:pPr>
        <w:pStyle w:val="Prrafodelista"/>
        <w:ind w:left="0"/>
        <w:jc w:val="both"/>
        <w:rPr>
          <w:rFonts w:ascii="Times New Roman" w:hAnsi="Times New Roman" w:cs="Times New Roman"/>
          <w:sz w:val="28"/>
          <w:szCs w:val="28"/>
        </w:rPr>
      </w:pPr>
    </w:p>
    <w:p w:rsidR="00AE2A19" w:rsidRPr="00E4401D" w:rsidRDefault="00E4401D" w:rsidP="00FF2A7B">
      <w:pPr>
        <w:jc w:val="both"/>
        <w:rPr>
          <w:rFonts w:ascii="Times New Roman" w:hAnsi="Times New Roman" w:cs="Times New Roman"/>
          <w:i/>
          <w:iCs/>
          <w:sz w:val="28"/>
          <w:szCs w:val="28"/>
          <w:lang w:eastAsia="es-ES"/>
        </w:rPr>
      </w:pPr>
      <w:r w:rsidRPr="00E4401D">
        <w:rPr>
          <w:rFonts w:ascii="Times New Roman" w:hAnsi="Times New Roman" w:cs="Times New Roman"/>
          <w:sz w:val="28"/>
          <w:szCs w:val="28"/>
        </w:rPr>
        <w:t>Visto lo anterior, l</w:t>
      </w:r>
      <w:r w:rsidRPr="00E4401D">
        <w:rPr>
          <w:rFonts w:ascii="Times New Roman" w:hAnsi="Times New Roman" w:cs="Times New Roman"/>
          <w:sz w:val="28"/>
          <w:szCs w:val="28"/>
        </w:rPr>
        <w:t>a Sala Plena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concluye que el trámite legislativo que </w:t>
      </w:r>
      <w:r w:rsidRPr="00E4401D">
        <w:rPr>
          <w:rFonts w:ascii="Times New Roman" w:hAnsi="Times New Roman" w:cs="Times New Roman"/>
          <w:sz w:val="28"/>
          <w:szCs w:val="28"/>
        </w:rPr>
        <w:t xml:space="preserve">condujo a la aprobación </w:t>
      </w:r>
      <w:r w:rsidRPr="00E4401D">
        <w:rPr>
          <w:rFonts w:ascii="Times New Roman" w:hAnsi="Times New Roman" w:cs="Times New Roman"/>
          <w:sz w:val="28"/>
          <w:szCs w:val="28"/>
        </w:rPr>
        <w:t>de</w:t>
      </w:r>
      <w:r w:rsidRPr="00E4401D">
        <w:rPr>
          <w:rFonts w:ascii="Times New Roman" w:hAnsi="Times New Roman" w:cs="Times New Roman"/>
          <w:sz w:val="28"/>
          <w:szCs w:val="28"/>
        </w:rPr>
        <w:t xml:space="preserve"> la expresión</w:t>
      </w:r>
      <w:r w:rsidRPr="00E4401D">
        <w:rPr>
          <w:rFonts w:ascii="Times New Roman" w:hAnsi="Times New Roman" w:cs="Times New Roman"/>
          <w:i/>
          <w:sz w:val="28"/>
          <w:szCs w:val="28"/>
          <w:lang w:eastAsia="es-ES"/>
        </w:rPr>
        <w:t xml:space="preserve"> “veintinueve</w:t>
      </w:r>
      <w:r w:rsidRPr="00E4401D">
        <w:rPr>
          <w:rFonts w:ascii="Times New Roman" w:hAnsi="Times New Roman" w:cs="Times New Roman"/>
          <w:i/>
          <w:sz w:val="28"/>
          <w:szCs w:val="28"/>
          <w:lang w:eastAsia="es-ES"/>
        </w:rPr>
        <w:t xml:space="preserve"> (29,265) billones de pesos, que incluye todos los recursos del Presupuesto General de la Nación, el Sistema General de Participaciones y el Sistema General de</w:t>
      </w:r>
      <w:r w:rsidRPr="00E4401D">
        <w:rPr>
          <w:rFonts w:ascii="Times New Roman" w:eastAsia="Open Sans" w:hAnsi="Times New Roman" w:cs="Times New Roman"/>
          <w:color w:val="4B4949"/>
          <w:sz w:val="28"/>
          <w:szCs w:val="28"/>
        </w:rPr>
        <w:t xml:space="preserve"> </w:t>
      </w:r>
      <w:r w:rsidRPr="00E4401D">
        <w:rPr>
          <w:rFonts w:ascii="Times New Roman" w:hAnsi="Times New Roman" w:cs="Times New Roman"/>
          <w:i/>
          <w:sz w:val="28"/>
          <w:szCs w:val="28"/>
          <w:lang w:eastAsia="es-ES"/>
        </w:rPr>
        <w:t xml:space="preserve">Regalías, de los cuales </w:t>
      </w:r>
      <w:r w:rsidRPr="00E4401D">
        <w:rPr>
          <w:rFonts w:ascii="Times New Roman" w:hAnsi="Times New Roman" w:cs="Times New Roman"/>
          <w:i/>
          <w:iCs/>
          <w:sz w:val="28"/>
          <w:szCs w:val="28"/>
          <w:lang w:eastAsia="es-ES"/>
        </w:rPr>
        <w:t xml:space="preserve">cinco, nueve” </w:t>
      </w:r>
      <w:r w:rsidRPr="00E4401D">
        <w:rPr>
          <w:rFonts w:ascii="Times New Roman" w:hAnsi="Times New Roman" w:cs="Times New Roman"/>
          <w:sz w:val="28"/>
          <w:szCs w:val="28"/>
          <w:lang w:eastAsia="es-ES"/>
        </w:rPr>
        <w:t xml:space="preserve">del parágrafo </w:t>
      </w:r>
      <w:r w:rsidRPr="00E4401D">
        <w:rPr>
          <w:rFonts w:ascii="Times New Roman" w:hAnsi="Times New Roman" w:cs="Times New Roman"/>
          <w:sz w:val="28"/>
          <w:szCs w:val="28"/>
          <w:lang w:eastAsia="es-ES"/>
        </w:rPr>
        <w:t>tercero</w:t>
      </w:r>
      <w:r w:rsidRPr="00E4401D">
        <w:rPr>
          <w:rFonts w:ascii="Times New Roman" w:hAnsi="Times New Roman" w:cs="Times New Roman"/>
          <w:sz w:val="28"/>
          <w:szCs w:val="28"/>
          <w:lang w:eastAsia="es-ES"/>
        </w:rPr>
        <w:t xml:space="preserve"> del </w:t>
      </w:r>
      <w:r w:rsidRPr="00E4401D">
        <w:rPr>
          <w:rFonts w:ascii="Times New Roman" w:hAnsi="Times New Roman" w:cs="Times New Roman"/>
          <w:sz w:val="28"/>
          <w:szCs w:val="28"/>
        </w:rPr>
        <w:t xml:space="preserve">artículo 5 de la Ley 2294 de 2023 </w:t>
      </w:r>
      <w:r w:rsidRPr="00E4401D">
        <w:rPr>
          <w:rFonts w:ascii="Times New Roman" w:hAnsi="Times New Roman" w:cs="Times New Roman"/>
          <w:sz w:val="28"/>
          <w:szCs w:val="28"/>
        </w:rPr>
        <w:t xml:space="preserve">desconoció </w:t>
      </w:r>
      <w:r w:rsidRPr="00E4401D">
        <w:rPr>
          <w:rFonts w:ascii="Times New Roman" w:hAnsi="Times New Roman" w:cs="Times New Roman"/>
          <w:sz w:val="28"/>
          <w:szCs w:val="28"/>
        </w:rPr>
        <w:t>el principio de publicidad</w:t>
      </w:r>
      <w:r w:rsidRPr="00E4401D">
        <w:rPr>
          <w:rFonts w:ascii="Times New Roman" w:hAnsi="Times New Roman" w:cs="Times New Roman"/>
          <w:sz w:val="28"/>
          <w:szCs w:val="28"/>
        </w:rPr>
        <w:t xml:space="preserve"> por las razones que se exponen a continuación:</w:t>
      </w:r>
    </w:p>
    <w:p w:rsidR="00AE2A19" w:rsidRPr="00E4401D" w:rsidRDefault="00E4401D" w:rsidP="00AE2A19">
      <w:pPr>
        <w:pStyle w:val="Prrafodelista"/>
        <w:rPr>
          <w:rFonts w:ascii="Times New Roman" w:hAnsi="Times New Roman" w:cs="Times New Roman"/>
          <w:sz w:val="28"/>
          <w:szCs w:val="28"/>
        </w:rPr>
      </w:pPr>
    </w:p>
    <w:p w:rsidR="00327100" w:rsidRPr="00E4401D" w:rsidRDefault="00E4401D" w:rsidP="00AE2A19">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L</w:t>
      </w:r>
      <w:r w:rsidRPr="00E4401D">
        <w:rPr>
          <w:rFonts w:ascii="Times New Roman" w:hAnsi="Times New Roman" w:cs="Times New Roman"/>
          <w:sz w:val="28"/>
          <w:szCs w:val="28"/>
        </w:rPr>
        <w:t>a publicación de la proposición en la página web del Senado de la República no cumplió con el requisito de pu</w:t>
      </w:r>
      <w:r w:rsidRPr="00E4401D">
        <w:rPr>
          <w:rFonts w:ascii="Times New Roman" w:hAnsi="Times New Roman" w:cs="Times New Roman"/>
          <w:sz w:val="28"/>
          <w:szCs w:val="28"/>
        </w:rPr>
        <w:t>blicidad previa establecido por la jurisprudencia constitucional, dado que se realizó el mismo día en que fue debatida y votada en la sesión plenaria</w:t>
      </w:r>
      <w:r w:rsidRPr="00E4401D">
        <w:rPr>
          <w:rFonts w:ascii="Times New Roman" w:hAnsi="Times New Roman" w:cs="Times New Roman"/>
          <w:sz w:val="28"/>
          <w:szCs w:val="28"/>
        </w:rPr>
        <w:t>. Además</w:t>
      </w:r>
      <w:r w:rsidRPr="00E4401D">
        <w:rPr>
          <w:rFonts w:ascii="Times New Roman" w:hAnsi="Times New Roman" w:cs="Times New Roman"/>
          <w:sz w:val="28"/>
          <w:szCs w:val="28"/>
        </w:rPr>
        <w:t xml:space="preserve">, la Sala </w:t>
      </w:r>
      <w:r w:rsidRPr="00E4401D">
        <w:rPr>
          <w:rFonts w:ascii="Times New Roman" w:hAnsi="Times New Roman" w:cs="Times New Roman"/>
          <w:sz w:val="28"/>
          <w:szCs w:val="28"/>
        </w:rPr>
        <w:t xml:space="preserve">constata </w:t>
      </w:r>
      <w:r w:rsidRPr="00E4401D">
        <w:rPr>
          <w:rFonts w:ascii="Times New Roman" w:hAnsi="Times New Roman" w:cs="Times New Roman"/>
          <w:sz w:val="28"/>
          <w:szCs w:val="28"/>
        </w:rPr>
        <w:t xml:space="preserve">que </w:t>
      </w:r>
      <w:r w:rsidRPr="00E4401D">
        <w:rPr>
          <w:rFonts w:ascii="Times New Roman" w:hAnsi="Times New Roman" w:cs="Times New Roman"/>
          <w:sz w:val="28"/>
          <w:szCs w:val="28"/>
        </w:rPr>
        <w:t xml:space="preserve">las </w:t>
      </w:r>
      <w:r w:rsidRPr="00E4401D">
        <w:rPr>
          <w:rFonts w:ascii="Times New Roman" w:hAnsi="Times New Roman" w:cs="Times New Roman"/>
          <w:sz w:val="28"/>
          <w:szCs w:val="28"/>
        </w:rPr>
        <w:t>medidas adicionales para asegurar la difusión de</w:t>
      </w:r>
      <w:r w:rsidRPr="00E4401D">
        <w:rPr>
          <w:rFonts w:ascii="Times New Roman" w:hAnsi="Times New Roman" w:cs="Times New Roman"/>
          <w:sz w:val="28"/>
          <w:szCs w:val="28"/>
        </w:rPr>
        <w:t>l contenido de la modifi</w:t>
      </w:r>
      <w:r w:rsidRPr="00E4401D">
        <w:rPr>
          <w:rFonts w:ascii="Times New Roman" w:hAnsi="Times New Roman" w:cs="Times New Roman"/>
          <w:sz w:val="28"/>
          <w:szCs w:val="28"/>
        </w:rPr>
        <w:t>cación</w:t>
      </w:r>
      <w:r w:rsidRPr="00E4401D">
        <w:rPr>
          <w:rFonts w:ascii="Times New Roman" w:hAnsi="Times New Roman" w:cs="Times New Roman"/>
          <w:sz w:val="28"/>
          <w:szCs w:val="28"/>
        </w:rPr>
        <w:t xml:space="preserve"> no cumplen las condiciones mínimas para la garantía del principio de publicidad.</w:t>
      </w:r>
    </w:p>
    <w:p w:rsidR="00327100" w:rsidRPr="00E4401D" w:rsidRDefault="00E4401D" w:rsidP="00327100">
      <w:pPr>
        <w:pStyle w:val="Prrafodelista"/>
        <w:rPr>
          <w:rFonts w:ascii="Times New Roman" w:hAnsi="Times New Roman" w:cs="Times New Roman"/>
          <w:sz w:val="28"/>
          <w:szCs w:val="28"/>
        </w:rPr>
      </w:pPr>
    </w:p>
    <w:p w:rsidR="00842ECB" w:rsidRPr="00E4401D" w:rsidRDefault="00E4401D" w:rsidP="000F60B4">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La explicación</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d</w:t>
      </w:r>
      <w:r w:rsidRPr="00E4401D">
        <w:rPr>
          <w:rFonts w:ascii="Times New Roman" w:hAnsi="Times New Roman" w:cs="Times New Roman"/>
          <w:sz w:val="28"/>
          <w:szCs w:val="28"/>
        </w:rPr>
        <w:t xml:space="preserve">el presidente del Senado </w:t>
      </w:r>
      <w:r w:rsidRPr="00E4401D">
        <w:rPr>
          <w:rFonts w:ascii="Times New Roman" w:hAnsi="Times New Roman" w:cs="Times New Roman"/>
          <w:sz w:val="28"/>
          <w:szCs w:val="28"/>
        </w:rPr>
        <w:t>durante la sesión plenaria</w:t>
      </w:r>
      <w:r w:rsidRPr="00E4401D">
        <w:rPr>
          <w:rFonts w:ascii="Times New Roman" w:hAnsi="Times New Roman" w:cs="Times New Roman"/>
          <w:sz w:val="28"/>
          <w:szCs w:val="28"/>
        </w:rPr>
        <w:t xml:space="preserve"> se restringió a reiterar </w:t>
      </w:r>
      <w:r w:rsidRPr="00E4401D">
        <w:rPr>
          <w:rFonts w:ascii="Times New Roman" w:hAnsi="Times New Roman" w:cs="Times New Roman"/>
          <w:sz w:val="28"/>
          <w:szCs w:val="28"/>
        </w:rPr>
        <w:t xml:space="preserve">que la proposición </w:t>
      </w:r>
      <w:r w:rsidRPr="00E4401D">
        <w:rPr>
          <w:rFonts w:ascii="Times New Roman" w:hAnsi="Times New Roman" w:cs="Times New Roman"/>
          <w:sz w:val="28"/>
          <w:szCs w:val="28"/>
        </w:rPr>
        <w:t xml:space="preserve">consistía en la </w:t>
      </w:r>
      <w:r w:rsidRPr="00E4401D">
        <w:rPr>
          <w:rFonts w:ascii="Times New Roman" w:hAnsi="Times New Roman" w:cs="Times New Roman"/>
          <w:sz w:val="28"/>
          <w:szCs w:val="28"/>
        </w:rPr>
        <w:t>inclu</w:t>
      </w:r>
      <w:r w:rsidRPr="00E4401D">
        <w:rPr>
          <w:rFonts w:ascii="Times New Roman" w:hAnsi="Times New Roman" w:cs="Times New Roman"/>
          <w:sz w:val="28"/>
          <w:szCs w:val="28"/>
        </w:rPr>
        <w:t>sión de</w:t>
      </w:r>
      <w:r w:rsidRPr="00E4401D">
        <w:rPr>
          <w:rFonts w:ascii="Times New Roman" w:hAnsi="Times New Roman" w:cs="Times New Roman"/>
          <w:sz w:val="28"/>
          <w:szCs w:val="28"/>
        </w:rPr>
        <w:t xml:space="preserve"> una proyección indicativa para las comunidades Negras, Afrocolombianas, Raizales y Pal</w:t>
      </w:r>
      <w:r w:rsidRPr="00E4401D">
        <w:rPr>
          <w:rFonts w:ascii="Times New Roman" w:hAnsi="Times New Roman" w:cs="Times New Roman"/>
          <w:sz w:val="28"/>
          <w:szCs w:val="28"/>
        </w:rPr>
        <w:t>e</w:t>
      </w:r>
      <w:r w:rsidRPr="00E4401D">
        <w:rPr>
          <w:rFonts w:ascii="Times New Roman" w:hAnsi="Times New Roman" w:cs="Times New Roman"/>
          <w:sz w:val="28"/>
          <w:szCs w:val="28"/>
        </w:rPr>
        <w:t xml:space="preserve">nqueras. </w:t>
      </w:r>
      <w:r w:rsidRPr="00E4401D">
        <w:rPr>
          <w:rFonts w:ascii="Times New Roman" w:hAnsi="Times New Roman" w:cs="Times New Roman"/>
          <w:sz w:val="28"/>
          <w:szCs w:val="28"/>
        </w:rPr>
        <w:t>Sin embargo, en el texto original incluido en el informe de ponencia este parágrafo ya incluía la alusión a un presupuesto indicativo para estas comunidades. L</w:t>
      </w:r>
      <w:r w:rsidRPr="00E4401D">
        <w:rPr>
          <w:rFonts w:ascii="Times New Roman" w:hAnsi="Times New Roman" w:cs="Times New Roman"/>
          <w:sz w:val="28"/>
          <w:szCs w:val="28"/>
        </w:rPr>
        <w:t xml:space="preserve">a diferencia entre el texto conocido por los legisladores y el votado finalmente consistía en la cifra </w:t>
      </w:r>
      <w:r w:rsidRPr="00E4401D">
        <w:rPr>
          <w:rFonts w:ascii="Times New Roman" w:hAnsi="Times New Roman" w:cs="Times New Roman"/>
          <w:sz w:val="28"/>
          <w:szCs w:val="28"/>
        </w:rPr>
        <w:t>de la proyección indicativa y las fuentes de los recursos indicados. Así</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en el texto incorporado en el informe de ponencia la proyección indicativa corr</w:t>
      </w:r>
      <w:r w:rsidRPr="00E4401D">
        <w:rPr>
          <w:rFonts w:ascii="Times New Roman" w:hAnsi="Times New Roman" w:cs="Times New Roman"/>
          <w:sz w:val="28"/>
          <w:szCs w:val="28"/>
        </w:rPr>
        <w:t>espondía a $5.9 billones con el presupuesto general de la Nación como única fuente, en las demás proposiciones que no fueron sometidas a votación la cifra oscilaba entre un total de $34 (29 con fuentes diversas y 5 con fuente PGN) y $30 billones.</w:t>
      </w:r>
    </w:p>
    <w:p w:rsidR="00842ECB" w:rsidRPr="00E4401D" w:rsidRDefault="00E4401D" w:rsidP="00842ECB">
      <w:pPr>
        <w:pStyle w:val="Prrafodelista"/>
        <w:rPr>
          <w:rFonts w:ascii="Times New Roman" w:hAnsi="Times New Roman" w:cs="Times New Roman"/>
          <w:sz w:val="28"/>
          <w:szCs w:val="28"/>
        </w:rPr>
      </w:pPr>
    </w:p>
    <w:p w:rsidR="00253404" w:rsidRPr="00E4401D" w:rsidRDefault="00E4401D" w:rsidP="008A3C27">
      <w:pPr>
        <w:pStyle w:val="Prrafodelista"/>
        <w:numPr>
          <w:ilvl w:val="0"/>
          <w:numId w:val="3"/>
        </w:numPr>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De modo </w:t>
      </w:r>
      <w:r w:rsidRPr="00E4401D">
        <w:rPr>
          <w:rFonts w:ascii="Times New Roman" w:hAnsi="Times New Roman" w:cs="Times New Roman"/>
          <w:sz w:val="28"/>
          <w:szCs w:val="28"/>
        </w:rPr>
        <w:t xml:space="preserve">que la </w:t>
      </w:r>
      <w:r w:rsidRPr="00E4401D">
        <w:rPr>
          <w:rFonts w:ascii="Times New Roman" w:hAnsi="Times New Roman" w:cs="Times New Roman"/>
          <w:sz w:val="28"/>
          <w:szCs w:val="28"/>
        </w:rPr>
        <w:t>proposición no fue publicada por medios oficiales o alternativos, ni</w:t>
      </w:r>
      <w:r w:rsidRPr="00E4401D">
        <w:rPr>
          <w:rFonts w:ascii="Times New Roman" w:hAnsi="Times New Roman" w:cs="Times New Roman"/>
          <w:sz w:val="28"/>
          <w:szCs w:val="28"/>
        </w:rPr>
        <w:t xml:space="preserve"> su contenido</w:t>
      </w:r>
      <w:r w:rsidRPr="00E4401D">
        <w:rPr>
          <w:rFonts w:ascii="Times New Roman" w:hAnsi="Times New Roman" w:cs="Times New Roman"/>
          <w:sz w:val="28"/>
          <w:szCs w:val="28"/>
        </w:rPr>
        <w:t xml:space="preserve"> expuest</w:t>
      </w:r>
      <w:r w:rsidRPr="00E4401D">
        <w:rPr>
          <w:rFonts w:ascii="Times New Roman" w:hAnsi="Times New Roman" w:cs="Times New Roman"/>
          <w:sz w:val="28"/>
          <w:szCs w:val="28"/>
        </w:rPr>
        <w:t>o</w:t>
      </w:r>
      <w:r w:rsidRPr="00E4401D">
        <w:rPr>
          <w:rFonts w:ascii="Times New Roman" w:hAnsi="Times New Roman" w:cs="Times New Roman"/>
          <w:sz w:val="28"/>
          <w:szCs w:val="28"/>
        </w:rPr>
        <w:t xml:space="preserve"> oralmente</w:t>
      </w:r>
      <w:r w:rsidRPr="00E4401D">
        <w:rPr>
          <w:rFonts w:ascii="Times New Roman" w:hAnsi="Times New Roman" w:cs="Times New Roman"/>
          <w:sz w:val="28"/>
          <w:szCs w:val="28"/>
        </w:rPr>
        <w:t xml:space="preserve"> con suficiencia</w:t>
      </w:r>
      <w:r w:rsidRPr="00E4401D">
        <w:rPr>
          <w:rFonts w:ascii="Times New Roman" w:hAnsi="Times New Roman" w:cs="Times New Roman"/>
          <w:sz w:val="28"/>
          <w:szCs w:val="28"/>
        </w:rPr>
        <w:t xml:space="preserve">, ni conocida </w:t>
      </w:r>
      <w:r w:rsidRPr="00E4401D">
        <w:rPr>
          <w:rFonts w:ascii="Times New Roman" w:hAnsi="Times New Roman" w:cs="Times New Roman"/>
          <w:sz w:val="28"/>
          <w:szCs w:val="28"/>
        </w:rPr>
        <w:t>antes de</w:t>
      </w:r>
      <w:r w:rsidRPr="00E4401D">
        <w:rPr>
          <w:rFonts w:ascii="Times New Roman" w:hAnsi="Times New Roman" w:cs="Times New Roman"/>
          <w:sz w:val="28"/>
          <w:szCs w:val="28"/>
        </w:rPr>
        <w:t xml:space="preserve"> la votación. </w:t>
      </w:r>
      <w:r w:rsidRPr="00E4401D">
        <w:rPr>
          <w:rFonts w:ascii="Times New Roman" w:hAnsi="Times New Roman" w:cs="Times New Roman"/>
          <w:sz w:val="28"/>
          <w:szCs w:val="28"/>
        </w:rPr>
        <w:t xml:space="preserve">Por lo tanto, la </w:t>
      </w:r>
      <w:r w:rsidRPr="00E4401D">
        <w:rPr>
          <w:rFonts w:ascii="Times New Roman" w:hAnsi="Times New Roman" w:cs="Times New Roman"/>
          <w:sz w:val="28"/>
          <w:szCs w:val="28"/>
        </w:rPr>
        <w:t xml:space="preserve">Sala </w:t>
      </w:r>
      <w:r w:rsidRPr="00E4401D">
        <w:rPr>
          <w:rFonts w:ascii="Times New Roman" w:hAnsi="Times New Roman" w:cs="Times New Roman"/>
          <w:sz w:val="28"/>
          <w:szCs w:val="28"/>
        </w:rPr>
        <w:t>considera que</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el trámite legislativo </w:t>
      </w:r>
      <w:r w:rsidRPr="00E4401D">
        <w:rPr>
          <w:rFonts w:ascii="Times New Roman" w:hAnsi="Times New Roman" w:cs="Times New Roman"/>
          <w:sz w:val="28"/>
          <w:szCs w:val="28"/>
        </w:rPr>
        <w:t xml:space="preserve">de la proposición </w:t>
      </w:r>
      <w:r w:rsidRPr="00E4401D">
        <w:rPr>
          <w:rFonts w:ascii="Times New Roman" w:hAnsi="Times New Roman" w:cs="Times New Roman"/>
          <w:sz w:val="28"/>
          <w:szCs w:val="28"/>
        </w:rPr>
        <w:t xml:space="preserve">no </w:t>
      </w:r>
      <w:r w:rsidRPr="00E4401D">
        <w:rPr>
          <w:rFonts w:ascii="Times New Roman" w:hAnsi="Times New Roman" w:cs="Times New Roman"/>
          <w:sz w:val="28"/>
          <w:szCs w:val="28"/>
        </w:rPr>
        <w:t>respetó el princi</w:t>
      </w:r>
      <w:r w:rsidRPr="00E4401D">
        <w:rPr>
          <w:rFonts w:ascii="Times New Roman" w:hAnsi="Times New Roman" w:cs="Times New Roman"/>
          <w:sz w:val="28"/>
          <w:szCs w:val="28"/>
        </w:rPr>
        <w:t xml:space="preserve">pio de publicidad </w:t>
      </w:r>
      <w:r w:rsidRPr="00E4401D">
        <w:rPr>
          <w:rFonts w:ascii="Times New Roman" w:hAnsi="Times New Roman" w:cs="Times New Roman"/>
          <w:sz w:val="28"/>
          <w:szCs w:val="28"/>
        </w:rPr>
        <w:t>en tanto los Senadores no</w:t>
      </w:r>
      <w:r w:rsidRPr="00E4401D">
        <w:rPr>
          <w:rFonts w:ascii="Times New Roman" w:hAnsi="Times New Roman" w:cs="Times New Roman"/>
          <w:sz w:val="28"/>
          <w:szCs w:val="28"/>
        </w:rPr>
        <w:t xml:space="preserve"> tuvieron</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conocimiento previo del contenido </w:t>
      </w:r>
      <w:r w:rsidRPr="00E4401D">
        <w:rPr>
          <w:rFonts w:ascii="Times New Roman" w:hAnsi="Times New Roman" w:cs="Times New Roman"/>
          <w:sz w:val="28"/>
          <w:szCs w:val="28"/>
        </w:rPr>
        <w:t>material de la proposición</w:t>
      </w:r>
      <w:r w:rsidRPr="00E4401D">
        <w:rPr>
          <w:rFonts w:ascii="Times New Roman" w:hAnsi="Times New Roman" w:cs="Times New Roman"/>
          <w:sz w:val="28"/>
          <w:szCs w:val="28"/>
        </w:rPr>
        <w:t xml:space="preserve"> previo a su votación</w:t>
      </w:r>
      <w:r w:rsidRPr="00E4401D">
        <w:rPr>
          <w:rFonts w:ascii="Times New Roman" w:hAnsi="Times New Roman" w:cs="Times New Roman"/>
          <w:sz w:val="28"/>
          <w:szCs w:val="28"/>
        </w:rPr>
        <w:t>.</w:t>
      </w:r>
    </w:p>
    <w:p w:rsidR="00A86F50" w:rsidRPr="00E4401D" w:rsidRDefault="00E4401D" w:rsidP="00A86F50">
      <w:pPr>
        <w:pStyle w:val="Prrafodelista"/>
        <w:rPr>
          <w:rFonts w:ascii="Times New Roman" w:hAnsi="Times New Roman" w:cs="Times New Roman"/>
          <w:sz w:val="28"/>
          <w:szCs w:val="28"/>
        </w:rPr>
      </w:pPr>
    </w:p>
    <w:p w:rsidR="00A86F50" w:rsidRPr="00E4401D" w:rsidRDefault="00E4401D" w:rsidP="008A3C27">
      <w:pPr>
        <w:pStyle w:val="Prrafodelista"/>
        <w:numPr>
          <w:ilvl w:val="0"/>
          <w:numId w:val="3"/>
        </w:numPr>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Por las razones expuestas, la Corte declarará la inexequibilidad </w:t>
      </w:r>
      <w:r w:rsidRPr="00E4401D">
        <w:rPr>
          <w:rFonts w:ascii="Times New Roman" w:hAnsi="Times New Roman" w:cs="Times New Roman"/>
          <w:sz w:val="28"/>
          <w:szCs w:val="28"/>
        </w:rPr>
        <w:t>de la expresión</w:t>
      </w:r>
      <w:r w:rsidRPr="00E4401D">
        <w:rPr>
          <w:rFonts w:ascii="Times New Roman" w:hAnsi="Times New Roman" w:cs="Times New Roman"/>
          <w:i/>
          <w:sz w:val="28"/>
          <w:szCs w:val="28"/>
          <w:lang w:eastAsia="es-ES"/>
        </w:rPr>
        <w:t xml:space="preserve"> “veintinueve (29,265) billones de pesos, que incluye todos los recursos del Presupuesto General de la Nación, el Sistema General de Participaciones y el Sistema General de</w:t>
      </w:r>
      <w:r w:rsidRPr="00E4401D">
        <w:rPr>
          <w:rFonts w:ascii="Times New Roman" w:eastAsia="Open Sans" w:hAnsi="Times New Roman" w:cs="Times New Roman"/>
          <w:color w:val="4B4949"/>
          <w:sz w:val="28"/>
          <w:szCs w:val="28"/>
        </w:rPr>
        <w:t xml:space="preserve"> </w:t>
      </w:r>
      <w:r w:rsidRPr="00E4401D">
        <w:rPr>
          <w:rFonts w:ascii="Times New Roman" w:hAnsi="Times New Roman" w:cs="Times New Roman"/>
          <w:i/>
          <w:sz w:val="28"/>
          <w:szCs w:val="28"/>
          <w:lang w:eastAsia="es-ES"/>
        </w:rPr>
        <w:t xml:space="preserve">Regalías, de los cuales </w:t>
      </w:r>
      <w:r w:rsidRPr="00E4401D">
        <w:rPr>
          <w:rFonts w:ascii="Times New Roman" w:hAnsi="Times New Roman" w:cs="Times New Roman"/>
          <w:i/>
          <w:iCs/>
          <w:sz w:val="28"/>
          <w:szCs w:val="28"/>
          <w:lang w:eastAsia="es-ES"/>
        </w:rPr>
        <w:t xml:space="preserve">cinco, nueve” </w:t>
      </w:r>
      <w:r w:rsidRPr="00E4401D">
        <w:rPr>
          <w:rFonts w:ascii="Times New Roman" w:hAnsi="Times New Roman" w:cs="Times New Roman"/>
          <w:sz w:val="28"/>
          <w:szCs w:val="28"/>
        </w:rPr>
        <w:t>parágrafo tercero del artículo 5 de la Ley 22</w:t>
      </w:r>
      <w:r w:rsidRPr="00E4401D">
        <w:rPr>
          <w:rFonts w:ascii="Times New Roman" w:hAnsi="Times New Roman" w:cs="Times New Roman"/>
          <w:sz w:val="28"/>
          <w:szCs w:val="28"/>
        </w:rPr>
        <w:t>94 de 2023 por la violación del principio de publicidad.</w:t>
      </w:r>
    </w:p>
    <w:p w:rsidR="00DF5791" w:rsidRPr="00E4401D" w:rsidRDefault="00E4401D" w:rsidP="00DF5791">
      <w:pPr>
        <w:pStyle w:val="Prrafodelista"/>
        <w:rPr>
          <w:rFonts w:ascii="Times New Roman" w:hAnsi="Times New Roman" w:cs="Times New Roman"/>
          <w:sz w:val="28"/>
          <w:szCs w:val="28"/>
        </w:rPr>
      </w:pPr>
    </w:p>
    <w:p w:rsidR="00DF5791" w:rsidRPr="00E4401D" w:rsidRDefault="00E4401D" w:rsidP="008A3C27">
      <w:pPr>
        <w:pStyle w:val="Prrafodelista"/>
        <w:numPr>
          <w:ilvl w:val="0"/>
          <w:numId w:val="3"/>
        </w:numPr>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Asimismo, la Sala advierte la necesidad de proferir una sentencia con efectos sustitutivos en relación con el parágrafo tercero con el fin de preservar la coherencia del parágrafo y garantizar un ma</w:t>
      </w:r>
      <w:r w:rsidRPr="00E4401D">
        <w:rPr>
          <w:rFonts w:ascii="Times New Roman" w:hAnsi="Times New Roman" w:cs="Times New Roman"/>
          <w:sz w:val="28"/>
          <w:szCs w:val="28"/>
        </w:rPr>
        <w:t>rco normativo claro y funcional.</w:t>
      </w:r>
    </w:p>
    <w:p w:rsidR="00DF5791" w:rsidRPr="00E4401D" w:rsidRDefault="00E4401D" w:rsidP="00EF41CB">
      <w:pPr>
        <w:pStyle w:val="Prrafodelista"/>
        <w:ind w:left="0"/>
        <w:jc w:val="both"/>
        <w:rPr>
          <w:rFonts w:ascii="Times New Roman" w:hAnsi="Times New Roman" w:cs="Times New Roman"/>
          <w:sz w:val="28"/>
          <w:szCs w:val="28"/>
        </w:rPr>
      </w:pPr>
    </w:p>
    <w:p w:rsidR="00DF5791" w:rsidRPr="00E4401D" w:rsidRDefault="00E4401D" w:rsidP="00EF41CB">
      <w:pPr>
        <w:pStyle w:val="Prrafodelista"/>
        <w:numPr>
          <w:ilvl w:val="0"/>
          <w:numId w:val="3"/>
        </w:numPr>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La Corte ha reconocido que, en ciertos casos, procede adoptar sentencias</w:t>
      </w:r>
      <w:r w:rsidRPr="00E4401D">
        <w:rPr>
          <w:rFonts w:ascii="Times New Roman" w:hAnsi="Times New Roman" w:cs="Times New Roman"/>
          <w:sz w:val="28"/>
          <w:szCs w:val="28"/>
        </w:rPr>
        <w:t xml:space="preserve"> integradoras</w:t>
      </w:r>
      <w:r w:rsidRPr="00E4401D">
        <w:rPr>
          <w:rFonts w:ascii="Times New Roman" w:hAnsi="Times New Roman" w:cs="Times New Roman"/>
          <w:sz w:val="28"/>
          <w:szCs w:val="28"/>
        </w:rPr>
        <w:t>, en virtud de las facultades que le otorga el artículo 241 de la Constitución, en armonía con el principio de conservación del derecho y</w:t>
      </w:r>
      <w:r w:rsidRPr="00E4401D">
        <w:rPr>
          <w:rFonts w:ascii="Times New Roman" w:hAnsi="Times New Roman" w:cs="Times New Roman"/>
          <w:sz w:val="28"/>
          <w:szCs w:val="28"/>
        </w:rPr>
        <w:t xml:space="preserve"> la prevalencia del derecho sustancial.</w:t>
      </w:r>
    </w:p>
    <w:p w:rsidR="002C136B" w:rsidRPr="00E4401D" w:rsidRDefault="00E4401D" w:rsidP="00EF41CB">
      <w:pPr>
        <w:pStyle w:val="Prrafodelista"/>
        <w:ind w:left="0"/>
        <w:jc w:val="both"/>
        <w:rPr>
          <w:rFonts w:ascii="Times New Roman" w:hAnsi="Times New Roman" w:cs="Times New Roman"/>
          <w:sz w:val="28"/>
          <w:szCs w:val="28"/>
        </w:rPr>
      </w:pPr>
    </w:p>
    <w:p w:rsidR="002C136B" w:rsidRPr="00E4401D" w:rsidRDefault="00E4401D" w:rsidP="00EF41CB">
      <w:pPr>
        <w:pStyle w:val="Prrafodelista"/>
        <w:numPr>
          <w:ilvl w:val="0"/>
          <w:numId w:val="3"/>
        </w:numPr>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La jurisprudencia constitucional ha explicado que las sentencias integradoras, incluidas las de alcance sustitutivo, no responden a una única técnica decisoria. En la Sentencia C-109 de 1995, la Corte indicó que est</w:t>
      </w:r>
      <w:r w:rsidRPr="00E4401D">
        <w:rPr>
          <w:rFonts w:ascii="Times New Roman" w:hAnsi="Times New Roman" w:cs="Times New Roman"/>
          <w:sz w:val="28"/>
          <w:szCs w:val="28"/>
        </w:rPr>
        <w:t>a clase de providencias constituye una modalidad de decisión por medio de la cual el juez constitucional proyecta los mandatos de la Constitución Política en la legislación ordinaria para integrar aparentes vacíos normativos o enfrentar las indeterminacion</w:t>
      </w:r>
      <w:r w:rsidRPr="00E4401D">
        <w:rPr>
          <w:rFonts w:ascii="Times New Roman" w:hAnsi="Times New Roman" w:cs="Times New Roman"/>
          <w:sz w:val="28"/>
          <w:szCs w:val="28"/>
        </w:rPr>
        <w:t>es del orden legal. En ese mismo pronunciamiento, la Corte precisó que, cuando el enunciado legal resulta insuficiente o contrario a la Constitución Política, el juez debe proyectar tales mandatos directamente al caso. La Sentencia C-489 de 2023 reiteró es</w:t>
      </w:r>
      <w:r w:rsidRPr="00E4401D">
        <w:rPr>
          <w:rFonts w:ascii="Times New Roman" w:hAnsi="Times New Roman" w:cs="Times New Roman"/>
          <w:sz w:val="28"/>
          <w:szCs w:val="28"/>
        </w:rPr>
        <w:t>a comprensión general de las sentencias integradoras y recordó que estas decisiones buscan evitar que la expulsión simple de una disposición produzca resultados contrarios a otros mandatos constitucionales.</w:t>
      </w:r>
    </w:p>
    <w:p w:rsidR="00787A92" w:rsidRPr="00E4401D" w:rsidRDefault="00E4401D" w:rsidP="00EF41CB">
      <w:pPr>
        <w:pStyle w:val="Prrafodelista"/>
        <w:ind w:left="0"/>
        <w:jc w:val="both"/>
        <w:rPr>
          <w:rFonts w:ascii="Times New Roman" w:hAnsi="Times New Roman" w:cs="Times New Roman"/>
          <w:sz w:val="28"/>
          <w:szCs w:val="28"/>
        </w:rPr>
      </w:pPr>
    </w:p>
    <w:p w:rsidR="00DA4676" w:rsidRPr="00E4401D" w:rsidRDefault="00E4401D" w:rsidP="00EF41CB">
      <w:pPr>
        <w:pStyle w:val="Prrafodelista"/>
        <w:numPr>
          <w:ilvl w:val="0"/>
          <w:numId w:val="3"/>
        </w:numPr>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Sin embargo, la jurisprudencia también ha identificado una </w:t>
      </w:r>
      <w:r w:rsidRPr="00E4401D">
        <w:rPr>
          <w:rFonts w:ascii="Times New Roman" w:hAnsi="Times New Roman" w:cs="Times New Roman"/>
          <w:sz w:val="28"/>
          <w:szCs w:val="28"/>
        </w:rPr>
        <w:t xml:space="preserve">modalidad especifica de integración </w:t>
      </w:r>
      <w:r w:rsidRPr="00E4401D">
        <w:rPr>
          <w:rFonts w:ascii="Times New Roman" w:hAnsi="Times New Roman" w:cs="Times New Roman"/>
          <w:sz w:val="28"/>
          <w:szCs w:val="28"/>
        </w:rPr>
        <w:t>cuando la respuesta constitucional no consiste solo en proyectar directamente los mandatos de la Constitución Política sobre la disposición acusada, sino en sust</w:t>
      </w:r>
      <w:r w:rsidRPr="00E4401D">
        <w:rPr>
          <w:rFonts w:ascii="Times New Roman" w:hAnsi="Times New Roman" w:cs="Times New Roman"/>
          <w:sz w:val="28"/>
          <w:szCs w:val="28"/>
        </w:rPr>
        <w:t>ituir el contenido normativo incompatible por otro que permita conservar un significado normativo coherente. En la Sentencia C-325 de 2009, la Corte señaló que, en la modalidad sustitutiva, corresponde retirar del ordenamiento jurídico los contenidos norma</w:t>
      </w:r>
      <w:r w:rsidRPr="00E4401D">
        <w:rPr>
          <w:rFonts w:ascii="Times New Roman" w:hAnsi="Times New Roman" w:cs="Times New Roman"/>
          <w:sz w:val="28"/>
          <w:szCs w:val="28"/>
        </w:rPr>
        <w:t>tivos juzgados inconstitucionales y, a la vez, ajustar la disposición para que exprese un significado coherente, de acuerdo con los designios de la Constitución.</w:t>
      </w:r>
    </w:p>
    <w:p w:rsidR="00DA4676" w:rsidRPr="00E4401D" w:rsidRDefault="00E4401D" w:rsidP="00EF41CB">
      <w:pPr>
        <w:pStyle w:val="Prrafodelista"/>
        <w:ind w:left="0"/>
        <w:jc w:val="both"/>
        <w:rPr>
          <w:rFonts w:ascii="Times New Roman" w:hAnsi="Times New Roman" w:cs="Times New Roman"/>
          <w:sz w:val="28"/>
          <w:szCs w:val="28"/>
        </w:rPr>
      </w:pPr>
    </w:p>
    <w:p w:rsidR="00787A92" w:rsidRPr="00E4401D" w:rsidRDefault="00E4401D" w:rsidP="00DA4676">
      <w:pPr>
        <w:pStyle w:val="Prrafodelista"/>
        <w:numPr>
          <w:ilvl w:val="0"/>
          <w:numId w:val="3"/>
        </w:numPr>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 La primera aproximación parte de la fuerza normativa de la Constitución Política y de su efi</w:t>
      </w:r>
      <w:r w:rsidRPr="00E4401D">
        <w:rPr>
          <w:rFonts w:ascii="Times New Roman" w:hAnsi="Times New Roman" w:cs="Times New Roman"/>
          <w:sz w:val="28"/>
          <w:szCs w:val="28"/>
        </w:rPr>
        <w:t>cacia directa en la resolución del problema jurídico. La segunda aproximación exige, además, una operación de recomposición del texto legal, con el propósito de colmar el vacío que surge tras la exclusión del segmento incompatible y preservar la inteligibi</w:t>
      </w:r>
      <w:r w:rsidRPr="00E4401D">
        <w:rPr>
          <w:rFonts w:ascii="Times New Roman" w:hAnsi="Times New Roman" w:cs="Times New Roman"/>
          <w:sz w:val="28"/>
          <w:szCs w:val="28"/>
        </w:rPr>
        <w:t>lidad de la regulación.</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En este caso, l</w:t>
      </w:r>
      <w:r w:rsidRPr="00E4401D">
        <w:rPr>
          <w:rFonts w:ascii="Times New Roman" w:hAnsi="Times New Roman" w:cs="Times New Roman"/>
          <w:sz w:val="28"/>
          <w:szCs w:val="28"/>
        </w:rPr>
        <w:t>a Sala adoptar</w:t>
      </w:r>
      <w:r w:rsidRPr="00E4401D">
        <w:rPr>
          <w:rFonts w:ascii="Times New Roman" w:hAnsi="Times New Roman" w:cs="Times New Roman"/>
          <w:sz w:val="28"/>
          <w:szCs w:val="28"/>
        </w:rPr>
        <w:t xml:space="preserve">á una sentencia integradora en su </w:t>
      </w:r>
      <w:r w:rsidRPr="00E4401D">
        <w:rPr>
          <w:rFonts w:ascii="Times New Roman" w:hAnsi="Times New Roman" w:cs="Times New Roman"/>
          <w:sz w:val="28"/>
          <w:szCs w:val="28"/>
        </w:rPr>
        <w:t>modalidad sustitutiva, porque la inexequibilidad parcial del parágrafo tercero dejaría un texto incompleto y sin un significado normativo coherente.</w:t>
      </w:r>
    </w:p>
    <w:p w:rsidR="00DF5791" w:rsidRPr="00E4401D" w:rsidRDefault="00E4401D" w:rsidP="00E652C1">
      <w:pPr>
        <w:rPr>
          <w:rFonts w:ascii="Times New Roman" w:hAnsi="Times New Roman" w:cs="Times New Roman"/>
          <w:sz w:val="28"/>
          <w:szCs w:val="28"/>
        </w:rPr>
      </w:pPr>
    </w:p>
    <w:p w:rsidR="00DF5791" w:rsidRPr="00E4401D" w:rsidRDefault="00E4401D" w:rsidP="008A3C27">
      <w:pPr>
        <w:pStyle w:val="Prrafodelista"/>
        <w:numPr>
          <w:ilvl w:val="0"/>
          <w:numId w:val="3"/>
        </w:numPr>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 En el caso concreto, </w:t>
      </w:r>
      <w:r w:rsidRPr="00E4401D">
        <w:rPr>
          <w:rFonts w:ascii="Times New Roman" w:hAnsi="Times New Roman" w:cs="Times New Roman"/>
          <w:sz w:val="28"/>
          <w:szCs w:val="28"/>
        </w:rPr>
        <w:t>la Sala</w:t>
      </w:r>
      <w:r w:rsidRPr="00E4401D">
        <w:rPr>
          <w:rFonts w:ascii="Times New Roman" w:hAnsi="Times New Roman" w:cs="Times New Roman"/>
          <w:sz w:val="28"/>
          <w:szCs w:val="28"/>
        </w:rPr>
        <w:t xml:space="preserve"> sustituirá la expresión inexequible “</w:t>
      </w:r>
      <w:r w:rsidRPr="00E4401D">
        <w:rPr>
          <w:rFonts w:ascii="Times New Roman" w:hAnsi="Times New Roman" w:cs="Times New Roman"/>
          <w:i/>
          <w:iCs/>
          <w:sz w:val="28"/>
          <w:szCs w:val="28"/>
        </w:rPr>
        <w:t>veintinueve (29,265) billones de pesos, que incluye todos los recursos del Presupuesto General de la Nación, el Sistema General de Participaciones y el Sistema General de Regalías, de los c</w:t>
      </w:r>
      <w:r w:rsidRPr="00E4401D">
        <w:rPr>
          <w:rFonts w:ascii="Times New Roman" w:hAnsi="Times New Roman" w:cs="Times New Roman"/>
          <w:i/>
          <w:iCs/>
          <w:sz w:val="28"/>
          <w:szCs w:val="28"/>
        </w:rPr>
        <w:t>uales cinco, nueve</w:t>
      </w:r>
      <w:r w:rsidRPr="00E4401D">
        <w:rPr>
          <w:rFonts w:ascii="Times New Roman" w:hAnsi="Times New Roman" w:cs="Times New Roman"/>
          <w:sz w:val="28"/>
          <w:szCs w:val="28"/>
        </w:rPr>
        <w:t>” por la expresión “</w:t>
      </w:r>
      <w:r w:rsidRPr="00E4401D">
        <w:rPr>
          <w:rFonts w:ascii="Times New Roman" w:hAnsi="Times New Roman" w:cs="Times New Roman"/>
          <w:i/>
          <w:iCs/>
          <w:sz w:val="28"/>
          <w:szCs w:val="28"/>
        </w:rPr>
        <w:t>por un monto de cinco coma nueve billones de pesos (5,9 billones) que corresponden</w:t>
      </w:r>
      <w:r w:rsidRPr="00E4401D">
        <w:rPr>
          <w:rFonts w:ascii="Times New Roman" w:hAnsi="Times New Roman" w:cs="Times New Roman"/>
          <w:sz w:val="28"/>
          <w:szCs w:val="28"/>
        </w:rPr>
        <w:t>”.</w:t>
      </w:r>
    </w:p>
    <w:p w:rsidR="007E6F28" w:rsidRPr="00E4401D" w:rsidRDefault="00E4401D" w:rsidP="007E6F28">
      <w:pPr>
        <w:pStyle w:val="Prrafodelista"/>
        <w:ind w:left="0"/>
        <w:mirrorIndents/>
        <w:jc w:val="both"/>
        <w:rPr>
          <w:rFonts w:ascii="Times New Roman" w:hAnsi="Times New Roman" w:cs="Times New Roman"/>
          <w:sz w:val="28"/>
          <w:szCs w:val="28"/>
        </w:rPr>
      </w:pPr>
    </w:p>
    <w:p w:rsidR="00253404" w:rsidRPr="00E4401D" w:rsidRDefault="00E4401D" w:rsidP="00253404">
      <w:pPr>
        <w:pStyle w:val="Ttulo4"/>
        <w:jc w:val="both"/>
        <w:rPr>
          <w:rFonts w:ascii="Times New Roman" w:hAnsi="Times New Roman" w:cs="Times New Roman"/>
          <w:b/>
          <w:bCs/>
          <w:i w:val="0"/>
          <w:iCs w:val="0"/>
          <w:color w:val="auto"/>
          <w:sz w:val="28"/>
          <w:szCs w:val="28"/>
        </w:rPr>
      </w:pPr>
      <w:r w:rsidRPr="00E4401D">
        <w:rPr>
          <w:rFonts w:ascii="Times New Roman" w:hAnsi="Times New Roman" w:cs="Times New Roman"/>
          <w:b/>
          <w:bCs/>
          <w:color w:val="auto"/>
          <w:sz w:val="28"/>
          <w:szCs w:val="28"/>
        </w:rPr>
        <w:t>Trámite legislativo que condujo a la aprobación del artículo 61 de la Ley 2294 de 2023 en la sesión plenaria del Senado de la Repúbl</w:t>
      </w:r>
      <w:r w:rsidRPr="00E4401D">
        <w:rPr>
          <w:rFonts w:ascii="Times New Roman" w:hAnsi="Times New Roman" w:cs="Times New Roman"/>
          <w:b/>
          <w:bCs/>
          <w:color w:val="auto"/>
          <w:sz w:val="28"/>
          <w:szCs w:val="28"/>
        </w:rPr>
        <w:t>ica</w:t>
      </w:r>
    </w:p>
    <w:p w:rsidR="00466DA9" w:rsidRPr="00E4401D" w:rsidRDefault="00E4401D" w:rsidP="00CC5FAB">
      <w:pPr>
        <w:rPr>
          <w:rFonts w:ascii="Times New Roman" w:hAnsi="Times New Roman" w:cs="Times New Roman"/>
          <w:sz w:val="28"/>
          <w:szCs w:val="28"/>
        </w:rPr>
      </w:pPr>
    </w:p>
    <w:p w:rsidR="002B25EF"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En el proyecto de ley radicado por el Gobierno nacional el 06 de febrero de 2023, esta disposición fue presentada como artículo </w:t>
      </w:r>
      <w:r w:rsidRPr="00E4401D">
        <w:rPr>
          <w:rFonts w:ascii="Times New Roman" w:hAnsi="Times New Roman" w:cs="Times New Roman"/>
          <w:sz w:val="28"/>
          <w:szCs w:val="28"/>
        </w:rPr>
        <w:t>48</w:t>
      </w:r>
      <w:r w:rsidRPr="00E4401D">
        <w:rPr>
          <w:rStyle w:val="Refdenotaalpie"/>
          <w:rFonts w:ascii="Times New Roman" w:hAnsi="Times New Roman" w:cs="Times New Roman"/>
          <w:sz w:val="28"/>
          <w:szCs w:val="28"/>
        </w:rPr>
        <w:footnoteReference w:id="53"/>
      </w:r>
      <w:r w:rsidRPr="00E4401D">
        <w:rPr>
          <w:rFonts w:ascii="Times New Roman" w:hAnsi="Times New Roman" w:cs="Times New Roman"/>
          <w:sz w:val="28"/>
          <w:szCs w:val="28"/>
        </w:rPr>
        <w:t xml:space="preserve">. El </w:t>
      </w:r>
      <w:r w:rsidRPr="00E4401D">
        <w:rPr>
          <w:rFonts w:ascii="Times New Roman" w:hAnsi="Times New Roman" w:cs="Times New Roman"/>
          <w:sz w:val="28"/>
          <w:szCs w:val="28"/>
        </w:rPr>
        <w:t xml:space="preserve">texto </w:t>
      </w:r>
      <w:r w:rsidRPr="00E4401D">
        <w:rPr>
          <w:rFonts w:ascii="Times New Roman" w:hAnsi="Times New Roman" w:cs="Times New Roman"/>
          <w:sz w:val="28"/>
          <w:szCs w:val="28"/>
        </w:rPr>
        <w:t>de este artículo era el siguiente:</w:t>
      </w:r>
    </w:p>
    <w:p w:rsidR="00405E2C" w:rsidRPr="00E4401D" w:rsidRDefault="00E4401D" w:rsidP="00B67E8E">
      <w:pPr>
        <w:pStyle w:val="Prrafodelista"/>
        <w:ind w:left="0"/>
        <w:jc w:val="both"/>
        <w:rPr>
          <w:rFonts w:ascii="Times New Roman" w:hAnsi="Times New Roman" w:cs="Times New Roman"/>
          <w:sz w:val="28"/>
          <w:szCs w:val="28"/>
        </w:rPr>
      </w:pPr>
    </w:p>
    <w:p w:rsidR="00F44376"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 xml:space="preserve">ARTÍCULO 48. MECANISMOS PARA FACILITAR Y DINAMIZAR LOS PROCESOS DE </w:t>
      </w:r>
      <w:r w:rsidRPr="00E4401D">
        <w:rPr>
          <w:rFonts w:ascii="Times New Roman" w:hAnsi="Times New Roman" w:cs="Times New Roman"/>
          <w:i/>
          <w:iCs/>
          <w:sz w:val="28"/>
          <w:szCs w:val="28"/>
        </w:rPr>
        <w:t>COMPRA DE TIERRAS POR OFERTA VOLUNTARIA. En el marco del procedimiento de compra por oferta voluntaria a cargo de la Agencia Nacional de Tierras (ANT), podrán adelantarse las siguientes medidas:</w:t>
      </w:r>
    </w:p>
    <w:p w:rsidR="00F44376" w:rsidRPr="00E4401D" w:rsidRDefault="00E4401D" w:rsidP="00B67E8E">
      <w:pPr>
        <w:pStyle w:val="Prrafodelista"/>
        <w:ind w:left="0"/>
        <w:jc w:val="both"/>
        <w:rPr>
          <w:rFonts w:ascii="Times New Roman" w:hAnsi="Times New Roman" w:cs="Times New Roman"/>
          <w:i/>
          <w:iCs/>
          <w:sz w:val="28"/>
          <w:szCs w:val="28"/>
        </w:rPr>
      </w:pPr>
    </w:p>
    <w:p w:rsidR="00AE443E"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1. Saneamiento para la compra de tierras. En los eventos en </w:t>
      </w:r>
      <w:r w:rsidRPr="00E4401D">
        <w:rPr>
          <w:rFonts w:ascii="Times New Roman" w:hAnsi="Times New Roman" w:cs="Times New Roman"/>
          <w:i/>
          <w:iCs/>
          <w:sz w:val="28"/>
          <w:szCs w:val="28"/>
        </w:rPr>
        <w:t>que la ANT, en el marco de sus funciones, adquiera inmuebles por negociación directa, operará a su favor el saneamiento sobre la existencia de limitaciones, gravámenes, afectaciones o medidas cautelares que impidan el uso, goce y disposición plena del pred</w:t>
      </w:r>
      <w:r w:rsidRPr="00E4401D">
        <w:rPr>
          <w:rFonts w:ascii="Times New Roman" w:hAnsi="Times New Roman" w:cs="Times New Roman"/>
          <w:i/>
          <w:iCs/>
          <w:sz w:val="28"/>
          <w:szCs w:val="28"/>
        </w:rPr>
        <w:t>io, incluso las que surjan con posterioridad al proceso de adquisición. Lo anterior, sin perjuicio de las acciones indemnizatorias que procedan según la ley. En caso de ser necesario, con cargo al precio de compra del inmueble, se asumirán las obligaciones</w:t>
      </w:r>
      <w:r w:rsidRPr="00E4401D">
        <w:rPr>
          <w:rFonts w:ascii="Times New Roman" w:hAnsi="Times New Roman" w:cs="Times New Roman"/>
          <w:i/>
          <w:iCs/>
          <w:sz w:val="28"/>
          <w:szCs w:val="28"/>
        </w:rPr>
        <w:t xml:space="preserve"> causadas, tales como servicios públicos, obligaciones tributarias del orden nacional y territorial, valorización y otras que recaigan sobre los inmuebles objeto de compra.</w:t>
      </w:r>
    </w:p>
    <w:p w:rsidR="00AE443E" w:rsidRPr="00E4401D" w:rsidRDefault="00E4401D" w:rsidP="00B67E8E">
      <w:pPr>
        <w:pStyle w:val="Prrafodelista"/>
        <w:ind w:left="0"/>
        <w:jc w:val="both"/>
        <w:rPr>
          <w:rFonts w:ascii="Times New Roman" w:hAnsi="Times New Roman" w:cs="Times New Roman"/>
          <w:i/>
          <w:iCs/>
          <w:sz w:val="28"/>
          <w:szCs w:val="28"/>
        </w:rPr>
      </w:pPr>
    </w:p>
    <w:p w:rsidR="00AE443E"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i/>
          <w:iCs/>
          <w:sz w:val="28"/>
          <w:szCs w:val="28"/>
        </w:rPr>
        <w:t>El saneamiento previsto en el inciso anterior no operará en perjuicio de la presun</w:t>
      </w:r>
      <w:r w:rsidRPr="00E4401D">
        <w:rPr>
          <w:rFonts w:ascii="Times New Roman" w:hAnsi="Times New Roman" w:cs="Times New Roman"/>
          <w:i/>
          <w:iCs/>
          <w:sz w:val="28"/>
          <w:szCs w:val="28"/>
        </w:rPr>
        <w:t>ción de bien baldío prevista en la Ley 160 de 1994. Así mismo, no operará cuando i) se presente despojo por el conflicto armado, en términos de la Ley 1448 de 2011 y los Decretos ley 4633, 4634 y 4635 de 2011; ii) existan medidas o limitaciones asociadas a</w:t>
      </w:r>
      <w:r w:rsidRPr="00E4401D">
        <w:rPr>
          <w:rFonts w:ascii="Times New Roman" w:hAnsi="Times New Roman" w:cs="Times New Roman"/>
          <w:i/>
          <w:iCs/>
          <w:sz w:val="28"/>
          <w:szCs w:val="28"/>
        </w:rPr>
        <w:t xml:space="preserve"> procesos de restitución de tierras, conforme lo prescrito por la Ley 1448 de 2011; iii) existan medidas de protección de conformidad con lo previsto en la Ley 387 de 1997; y iii) se estén adelantando procesos de clarificación de la propiedad, extinción de</w:t>
      </w:r>
      <w:r w:rsidRPr="00E4401D">
        <w:rPr>
          <w:rFonts w:ascii="Times New Roman" w:hAnsi="Times New Roman" w:cs="Times New Roman"/>
          <w:i/>
          <w:iCs/>
          <w:sz w:val="28"/>
          <w:szCs w:val="28"/>
        </w:rPr>
        <w:t xml:space="preserve">l dominio por incumplimiento de la función social y ecológica de la propiedad, deslinde y recuperación de baldíos de que trata la Ley 160 de 1994. </w:t>
      </w:r>
    </w:p>
    <w:p w:rsidR="00AE443E" w:rsidRPr="00E4401D" w:rsidRDefault="00E4401D" w:rsidP="00B67E8E">
      <w:pPr>
        <w:pStyle w:val="Prrafodelista"/>
        <w:ind w:left="0"/>
        <w:jc w:val="both"/>
        <w:rPr>
          <w:rFonts w:ascii="Times New Roman" w:hAnsi="Times New Roman" w:cs="Times New Roman"/>
          <w:i/>
          <w:iCs/>
          <w:sz w:val="28"/>
          <w:szCs w:val="28"/>
        </w:rPr>
      </w:pPr>
    </w:p>
    <w:p w:rsidR="00AE443E"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i/>
          <w:iCs/>
          <w:sz w:val="28"/>
          <w:szCs w:val="28"/>
        </w:rPr>
        <w:t>Sobre las tierras que pretenda adquirir la ANT se debe acreditar propiedad privada de conformidad con lo pr</w:t>
      </w:r>
      <w:r w:rsidRPr="00E4401D">
        <w:rPr>
          <w:rFonts w:ascii="Times New Roman" w:hAnsi="Times New Roman" w:cs="Times New Roman"/>
          <w:i/>
          <w:iCs/>
          <w:sz w:val="28"/>
          <w:szCs w:val="28"/>
        </w:rPr>
        <w:t>evisto en el artículo 48 de la Ley 160 de 1994, se debe cumplir con las normas ambientales y agrarias, y deben estar en posesión de sus propietarios o del administrador de Frisco.</w:t>
      </w:r>
    </w:p>
    <w:p w:rsidR="00AE443E" w:rsidRPr="00E4401D" w:rsidRDefault="00E4401D" w:rsidP="00B67E8E">
      <w:pPr>
        <w:pStyle w:val="Prrafodelista"/>
        <w:ind w:left="0"/>
        <w:jc w:val="both"/>
        <w:rPr>
          <w:rFonts w:ascii="Times New Roman" w:hAnsi="Times New Roman" w:cs="Times New Roman"/>
          <w:i/>
          <w:iCs/>
          <w:sz w:val="28"/>
          <w:szCs w:val="28"/>
        </w:rPr>
      </w:pPr>
    </w:p>
    <w:p w:rsidR="00B67E8E"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i/>
          <w:iCs/>
          <w:sz w:val="28"/>
          <w:szCs w:val="28"/>
        </w:rPr>
        <w:t>2. Compra directa de tierras al FRISCO. La ANT podrá adquirir de manera dir</w:t>
      </w:r>
      <w:r w:rsidRPr="00E4401D">
        <w:rPr>
          <w:rFonts w:ascii="Times New Roman" w:hAnsi="Times New Roman" w:cs="Times New Roman"/>
          <w:i/>
          <w:iCs/>
          <w:sz w:val="28"/>
          <w:szCs w:val="28"/>
        </w:rPr>
        <w:t>ecta:</w:t>
      </w:r>
    </w:p>
    <w:p w:rsidR="00B67E8E" w:rsidRPr="00E4401D" w:rsidRDefault="00E4401D" w:rsidP="00B67E8E">
      <w:pPr>
        <w:pStyle w:val="Prrafodelista"/>
        <w:ind w:left="0"/>
        <w:jc w:val="both"/>
        <w:rPr>
          <w:rFonts w:ascii="Times New Roman" w:hAnsi="Times New Roman" w:cs="Times New Roman"/>
          <w:i/>
          <w:iCs/>
          <w:sz w:val="28"/>
          <w:szCs w:val="28"/>
        </w:rPr>
      </w:pPr>
    </w:p>
    <w:p w:rsidR="00BD4123"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a. Inmuebles rurales no sociales con medidas cautelares dentro del proceso de extinción de dominio, bajo el mecanismo de enajenación temprana, de conformidad con lo establecido en el artículo 93 de la Ley 1708 de 2014. </w:t>
      </w:r>
    </w:p>
    <w:p w:rsidR="00BD4123" w:rsidRPr="00E4401D" w:rsidRDefault="00E4401D" w:rsidP="00B67E8E">
      <w:pPr>
        <w:pStyle w:val="Prrafodelista"/>
        <w:ind w:left="0"/>
        <w:jc w:val="both"/>
        <w:rPr>
          <w:rFonts w:ascii="Times New Roman" w:hAnsi="Times New Roman" w:cs="Times New Roman"/>
          <w:i/>
          <w:iCs/>
          <w:sz w:val="28"/>
          <w:szCs w:val="28"/>
        </w:rPr>
      </w:pPr>
    </w:p>
    <w:p w:rsidR="00BD4123"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i/>
          <w:iCs/>
          <w:sz w:val="28"/>
          <w:szCs w:val="28"/>
        </w:rPr>
        <w:t>Los predios deberán ser adquiridos por el precio base de venta definido en el avalúo comercial vigente al momento de la venta. Con los dineros producto de la enajenación temprana, el administrador del FRISCO constituirá una reserva técnica del cien por cie</w:t>
      </w:r>
      <w:r w:rsidRPr="00E4401D">
        <w:rPr>
          <w:rFonts w:ascii="Times New Roman" w:hAnsi="Times New Roman" w:cs="Times New Roman"/>
          <w:i/>
          <w:iCs/>
          <w:sz w:val="28"/>
          <w:szCs w:val="28"/>
        </w:rPr>
        <w:t>nto (100%), destinada a cumplir las órdenes judiciales de devolución que recaigan sobre los bienes objeto de venta. En los eventos en los que sea declarada la extinción de dominio, la reserva técnica referida será reintegrada en su totalidad al Fondo de Ti</w:t>
      </w:r>
      <w:r w:rsidRPr="00E4401D">
        <w:rPr>
          <w:rFonts w:ascii="Times New Roman" w:hAnsi="Times New Roman" w:cs="Times New Roman"/>
          <w:i/>
          <w:iCs/>
          <w:sz w:val="28"/>
          <w:szCs w:val="28"/>
        </w:rPr>
        <w:t xml:space="preserve">erras. </w:t>
      </w:r>
    </w:p>
    <w:p w:rsidR="00BD4123" w:rsidRPr="00E4401D" w:rsidRDefault="00E4401D" w:rsidP="00B67E8E">
      <w:pPr>
        <w:pStyle w:val="Prrafodelista"/>
        <w:ind w:left="0"/>
        <w:jc w:val="both"/>
        <w:rPr>
          <w:rFonts w:ascii="Times New Roman" w:hAnsi="Times New Roman" w:cs="Times New Roman"/>
          <w:i/>
          <w:iCs/>
          <w:sz w:val="28"/>
          <w:szCs w:val="28"/>
        </w:rPr>
      </w:pPr>
    </w:p>
    <w:p w:rsidR="00BD4123"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b. Inmuebles rurales propiedad de personas jurídicas incursas en procesos de liquidación y con medidas cautelares dentro del proceso de extinción de dominio, bajo el mecanismo de enajenación temprana, de conformidad con lo establecido en el artículo 93 de </w:t>
      </w:r>
      <w:r w:rsidRPr="00E4401D">
        <w:rPr>
          <w:rFonts w:ascii="Times New Roman" w:hAnsi="Times New Roman" w:cs="Times New Roman"/>
          <w:i/>
          <w:iCs/>
          <w:sz w:val="28"/>
          <w:szCs w:val="28"/>
        </w:rPr>
        <w:t xml:space="preserve">la Ley 1708 de 2014. </w:t>
      </w:r>
    </w:p>
    <w:p w:rsidR="00BD4123" w:rsidRPr="00E4401D" w:rsidRDefault="00E4401D" w:rsidP="00B67E8E">
      <w:pPr>
        <w:pStyle w:val="Prrafodelista"/>
        <w:ind w:left="0"/>
        <w:jc w:val="both"/>
        <w:rPr>
          <w:rFonts w:ascii="Times New Roman" w:hAnsi="Times New Roman" w:cs="Times New Roman"/>
          <w:i/>
          <w:iCs/>
          <w:sz w:val="28"/>
          <w:szCs w:val="28"/>
        </w:rPr>
      </w:pPr>
    </w:p>
    <w:p w:rsidR="00BD4123"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i/>
          <w:iCs/>
          <w:sz w:val="28"/>
          <w:szCs w:val="28"/>
        </w:rPr>
        <w:t>Los predios deberán ser adquiridos por el precio base de venta definido en el avalúo comercial vigente al momento de la venta. El producto de la venta de estos bienes estará destinado a cancelar las deudas a cargo de la sociedad, res</w:t>
      </w:r>
      <w:r w:rsidRPr="00E4401D">
        <w:rPr>
          <w:rFonts w:ascii="Times New Roman" w:hAnsi="Times New Roman" w:cs="Times New Roman"/>
          <w:i/>
          <w:iCs/>
          <w:sz w:val="28"/>
          <w:szCs w:val="28"/>
        </w:rPr>
        <w:t xml:space="preserve">petando el proceso de liquidación, sus etapas y las prelaciones legales. </w:t>
      </w:r>
    </w:p>
    <w:p w:rsidR="00BD4123" w:rsidRPr="00E4401D" w:rsidRDefault="00E4401D" w:rsidP="00B67E8E">
      <w:pPr>
        <w:pStyle w:val="Prrafodelista"/>
        <w:ind w:left="0"/>
        <w:jc w:val="both"/>
        <w:rPr>
          <w:rFonts w:ascii="Times New Roman" w:hAnsi="Times New Roman" w:cs="Times New Roman"/>
          <w:i/>
          <w:iCs/>
          <w:sz w:val="28"/>
          <w:szCs w:val="28"/>
        </w:rPr>
      </w:pPr>
    </w:p>
    <w:p w:rsidR="00EA2B41"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i/>
          <w:iCs/>
          <w:sz w:val="28"/>
          <w:szCs w:val="28"/>
        </w:rPr>
        <w:t>c. Inmuebles rurales propiedad de personas jurídicas incursas en procesos de liquidación y sobre las que se declare la extinción de dominio, conforme lo establecido en el inciso seg</w:t>
      </w:r>
      <w:r w:rsidRPr="00E4401D">
        <w:rPr>
          <w:rFonts w:ascii="Times New Roman" w:hAnsi="Times New Roman" w:cs="Times New Roman"/>
          <w:i/>
          <w:iCs/>
          <w:sz w:val="28"/>
          <w:szCs w:val="28"/>
        </w:rPr>
        <w:t xml:space="preserve">undo del artículo 105 de la Ley 1708 de 2014. </w:t>
      </w:r>
    </w:p>
    <w:p w:rsidR="00EA2B41" w:rsidRPr="00E4401D" w:rsidRDefault="00E4401D" w:rsidP="00B67E8E">
      <w:pPr>
        <w:pStyle w:val="Prrafodelista"/>
        <w:ind w:left="0"/>
        <w:jc w:val="both"/>
        <w:rPr>
          <w:rFonts w:ascii="Times New Roman" w:hAnsi="Times New Roman" w:cs="Times New Roman"/>
          <w:i/>
          <w:iCs/>
          <w:sz w:val="28"/>
          <w:szCs w:val="28"/>
        </w:rPr>
      </w:pPr>
    </w:p>
    <w:p w:rsidR="00EA2B41"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Los predios deberán ser adquiridos por el precio base de venta definido en el avalúo comercial vigente al momento de la venta. El producto de la venta de estos bienes estará destinado a cancelar las deudas a </w:t>
      </w:r>
      <w:r w:rsidRPr="00E4401D">
        <w:rPr>
          <w:rFonts w:ascii="Times New Roman" w:hAnsi="Times New Roman" w:cs="Times New Roman"/>
          <w:i/>
          <w:iCs/>
          <w:sz w:val="28"/>
          <w:szCs w:val="28"/>
        </w:rPr>
        <w:t xml:space="preserve">cargo de la sociedad, respetando el proceso de liquidación, sus etapas y las prelaciones legales. </w:t>
      </w:r>
    </w:p>
    <w:p w:rsidR="00EA2B41" w:rsidRPr="00E4401D" w:rsidRDefault="00E4401D" w:rsidP="00B67E8E">
      <w:pPr>
        <w:pStyle w:val="Prrafodelista"/>
        <w:ind w:left="0"/>
        <w:jc w:val="both"/>
        <w:rPr>
          <w:rFonts w:ascii="Times New Roman" w:hAnsi="Times New Roman" w:cs="Times New Roman"/>
          <w:i/>
          <w:iCs/>
          <w:sz w:val="28"/>
          <w:szCs w:val="28"/>
        </w:rPr>
      </w:pPr>
    </w:p>
    <w:p w:rsidR="002216D0"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3. Compra directa de tierras al Fondo de Reparación de Víctimas. La ANT podrá adquirir de manera directa los inmuebles rurales del Fondo para la Reparación </w:t>
      </w:r>
      <w:r w:rsidRPr="00E4401D">
        <w:rPr>
          <w:rFonts w:ascii="Times New Roman" w:hAnsi="Times New Roman" w:cs="Times New Roman"/>
          <w:i/>
          <w:iCs/>
          <w:sz w:val="28"/>
          <w:szCs w:val="28"/>
        </w:rPr>
        <w:t xml:space="preserve">de las Víctimas, que sean susceptibles de comercialización, los cuales serán adquiridos por el monto fijado mediante avalúo comercial vigente. </w:t>
      </w:r>
    </w:p>
    <w:p w:rsidR="002216D0" w:rsidRPr="00E4401D" w:rsidRDefault="00E4401D" w:rsidP="00B67E8E">
      <w:pPr>
        <w:pStyle w:val="Prrafodelista"/>
        <w:ind w:left="0"/>
        <w:jc w:val="both"/>
        <w:rPr>
          <w:rFonts w:ascii="Times New Roman" w:hAnsi="Times New Roman" w:cs="Times New Roman"/>
          <w:i/>
          <w:iCs/>
          <w:sz w:val="28"/>
          <w:szCs w:val="28"/>
        </w:rPr>
      </w:pPr>
    </w:p>
    <w:p w:rsidR="00284EA0"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4. Transferencia directa por parte de otras entidades públicas. La ANT podrá adquirir de manera directa bienes </w:t>
      </w:r>
      <w:r w:rsidRPr="00E4401D">
        <w:rPr>
          <w:rFonts w:ascii="Times New Roman" w:hAnsi="Times New Roman" w:cs="Times New Roman"/>
          <w:i/>
          <w:iCs/>
          <w:sz w:val="28"/>
          <w:szCs w:val="28"/>
        </w:rPr>
        <w:t xml:space="preserve">inmuebles rurales de propiedad de las entidades públicas que cumplan con las condiciones para la implementación de programas de dotación de tierras. </w:t>
      </w:r>
    </w:p>
    <w:p w:rsidR="00284EA0" w:rsidRPr="00E4401D" w:rsidRDefault="00E4401D" w:rsidP="00B67E8E">
      <w:pPr>
        <w:pStyle w:val="Prrafodelista"/>
        <w:ind w:left="0"/>
        <w:jc w:val="both"/>
        <w:rPr>
          <w:rFonts w:ascii="Times New Roman" w:hAnsi="Times New Roman" w:cs="Times New Roman"/>
          <w:i/>
          <w:iCs/>
          <w:sz w:val="28"/>
          <w:szCs w:val="28"/>
        </w:rPr>
      </w:pPr>
    </w:p>
    <w:p w:rsidR="00644CF2"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i/>
          <w:iCs/>
          <w:sz w:val="28"/>
          <w:szCs w:val="28"/>
        </w:rPr>
        <w:t>Las entidades de derecho público podrán realizar la transferencia a título gratuito. En estos casos, la t</w:t>
      </w:r>
      <w:r w:rsidRPr="00E4401D">
        <w:rPr>
          <w:rFonts w:ascii="Times New Roman" w:hAnsi="Times New Roman" w:cs="Times New Roman"/>
          <w:i/>
          <w:iCs/>
          <w:sz w:val="28"/>
          <w:szCs w:val="28"/>
        </w:rPr>
        <w:t>ransferencia puede condicionar que la ANT comprometa la inversión de recursos. Estos recursos se destinarán a la compra de inmuebles para nuevas adjudicaciones, la adecuación de los bienes transferidos o su saneamiento.</w:t>
      </w:r>
    </w:p>
    <w:p w:rsidR="00B246E2" w:rsidRPr="00E4401D" w:rsidRDefault="00E4401D" w:rsidP="00B67E8E">
      <w:pPr>
        <w:pStyle w:val="Prrafodelista"/>
        <w:ind w:left="0"/>
        <w:jc w:val="both"/>
        <w:rPr>
          <w:rFonts w:ascii="Times New Roman" w:hAnsi="Times New Roman" w:cs="Times New Roman"/>
          <w:i/>
          <w:iCs/>
          <w:sz w:val="28"/>
          <w:szCs w:val="28"/>
        </w:rPr>
      </w:pPr>
    </w:p>
    <w:p w:rsidR="00B246E2" w:rsidRPr="00E4401D" w:rsidRDefault="00E4401D" w:rsidP="00B67E8E">
      <w:pPr>
        <w:pStyle w:val="Prrafodelista"/>
        <w:ind w:left="0"/>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PARÁGRAFO PRIMERO. Los literales a </w:t>
      </w:r>
      <w:r w:rsidRPr="00E4401D">
        <w:rPr>
          <w:rFonts w:ascii="Times New Roman" w:hAnsi="Times New Roman" w:cs="Times New Roman"/>
          <w:i/>
          <w:iCs/>
          <w:sz w:val="28"/>
          <w:szCs w:val="28"/>
        </w:rPr>
        <w:t xml:space="preserve">y b del numeral 2 del presente artículo constituyen supuestos adicionales a las reglas aplicables para la enajenación temprana, previstos en la legislación vigente. </w:t>
      </w:r>
    </w:p>
    <w:p w:rsidR="00B246E2" w:rsidRPr="00E4401D" w:rsidRDefault="00E4401D" w:rsidP="00B67E8E">
      <w:pPr>
        <w:pStyle w:val="Prrafodelista"/>
        <w:ind w:left="0"/>
        <w:jc w:val="both"/>
        <w:rPr>
          <w:rFonts w:ascii="Times New Roman" w:hAnsi="Times New Roman" w:cs="Times New Roman"/>
          <w:i/>
          <w:iCs/>
          <w:sz w:val="28"/>
          <w:szCs w:val="28"/>
        </w:rPr>
      </w:pPr>
    </w:p>
    <w:p w:rsidR="00B246E2" w:rsidRPr="00E4401D" w:rsidRDefault="00E4401D" w:rsidP="00B67E8E">
      <w:pPr>
        <w:pStyle w:val="Prrafodelista"/>
        <w:ind w:left="0"/>
        <w:jc w:val="both"/>
        <w:rPr>
          <w:rFonts w:ascii="Times New Roman" w:hAnsi="Times New Roman" w:cs="Times New Roman"/>
          <w:sz w:val="28"/>
          <w:szCs w:val="28"/>
        </w:rPr>
      </w:pPr>
      <w:r w:rsidRPr="00E4401D">
        <w:rPr>
          <w:rFonts w:ascii="Times New Roman" w:hAnsi="Times New Roman" w:cs="Times New Roman"/>
          <w:i/>
          <w:iCs/>
          <w:sz w:val="28"/>
          <w:szCs w:val="28"/>
        </w:rPr>
        <w:t>PARÁGRAFO SEGUNDO. El cumplimiento de lo dispuesto en este artículo estará sujeto al Marc</w:t>
      </w:r>
      <w:r w:rsidRPr="00E4401D">
        <w:rPr>
          <w:rFonts w:ascii="Times New Roman" w:hAnsi="Times New Roman" w:cs="Times New Roman"/>
          <w:i/>
          <w:iCs/>
          <w:sz w:val="28"/>
          <w:szCs w:val="28"/>
        </w:rPr>
        <w:t>o Fiscal de Mediano Plazo, el Marco de Gasto de Mediano Plazo del correspondiente sector y a las disponibilidades presupuestales.</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54"/>
      </w:r>
    </w:p>
    <w:p w:rsidR="00644CF2" w:rsidRPr="00E4401D" w:rsidRDefault="00E4401D" w:rsidP="00B67E8E">
      <w:pPr>
        <w:pStyle w:val="Prrafodelista"/>
        <w:ind w:left="0"/>
        <w:jc w:val="both"/>
        <w:rPr>
          <w:rFonts w:ascii="Times New Roman" w:hAnsi="Times New Roman" w:cs="Times New Roman"/>
          <w:sz w:val="28"/>
          <w:szCs w:val="28"/>
        </w:rPr>
      </w:pPr>
    </w:p>
    <w:p w:rsidR="00D4063C" w:rsidRPr="00E4401D" w:rsidRDefault="00E4401D" w:rsidP="00E91CC0">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En el texto aprobado por las comisiones económicas constitucionales permanentes</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est</w:t>
      </w:r>
      <w:r w:rsidRPr="00E4401D">
        <w:rPr>
          <w:rFonts w:ascii="Times New Roman" w:hAnsi="Times New Roman" w:cs="Times New Roman"/>
          <w:sz w:val="28"/>
          <w:szCs w:val="28"/>
        </w:rPr>
        <w:t>a</w:t>
      </w:r>
      <w:r w:rsidRPr="00E4401D">
        <w:rPr>
          <w:rFonts w:ascii="Times New Roman" w:hAnsi="Times New Roman" w:cs="Times New Roman"/>
          <w:sz w:val="28"/>
          <w:szCs w:val="28"/>
        </w:rPr>
        <w:t xml:space="preserve"> disposición </w:t>
      </w:r>
      <w:r w:rsidRPr="00E4401D">
        <w:rPr>
          <w:rFonts w:ascii="Times New Roman" w:hAnsi="Times New Roman" w:cs="Times New Roman"/>
          <w:sz w:val="28"/>
          <w:szCs w:val="28"/>
        </w:rPr>
        <w:t>quedó como el</w:t>
      </w:r>
      <w:r w:rsidRPr="00E4401D">
        <w:rPr>
          <w:rFonts w:ascii="Times New Roman" w:hAnsi="Times New Roman" w:cs="Times New Roman"/>
          <w:sz w:val="28"/>
          <w:szCs w:val="28"/>
        </w:rPr>
        <w:t xml:space="preserve"> artículo 55</w:t>
      </w:r>
      <w:r w:rsidRPr="00E4401D">
        <w:rPr>
          <w:rFonts w:ascii="Times New Roman" w:hAnsi="Times New Roman" w:cs="Times New Roman"/>
          <w:sz w:val="28"/>
          <w:szCs w:val="28"/>
        </w:rPr>
        <w:t xml:space="preserve"> y no tuvo modificaciones sustanciales </w:t>
      </w:r>
      <w:r w:rsidRPr="00E4401D">
        <w:rPr>
          <w:rFonts w:ascii="Times New Roman" w:hAnsi="Times New Roman" w:cs="Times New Roman"/>
          <w:sz w:val="28"/>
          <w:szCs w:val="28"/>
        </w:rPr>
        <w:t>en su contenido o redacción.</w:t>
      </w:r>
      <w:r w:rsidRPr="00E4401D">
        <w:rPr>
          <w:rFonts w:ascii="Times New Roman" w:hAnsi="Times New Roman" w:cs="Times New Roman"/>
          <w:sz w:val="28"/>
          <w:szCs w:val="28"/>
        </w:rPr>
        <w:t xml:space="preserve"> La disposición tampoco tuvo modificaciones en el texto del proyecto presentado en la ponencia para el debate en la sesión plenaria del Senado de la Rep</w:t>
      </w:r>
      <w:r w:rsidRPr="00E4401D">
        <w:rPr>
          <w:rFonts w:ascii="Times New Roman" w:hAnsi="Times New Roman" w:cs="Times New Roman"/>
          <w:sz w:val="28"/>
          <w:szCs w:val="28"/>
        </w:rPr>
        <w:t>ú</w:t>
      </w:r>
      <w:r w:rsidRPr="00E4401D">
        <w:rPr>
          <w:rFonts w:ascii="Times New Roman" w:hAnsi="Times New Roman" w:cs="Times New Roman"/>
          <w:sz w:val="28"/>
          <w:szCs w:val="28"/>
        </w:rPr>
        <w:t>blica.</w:t>
      </w:r>
      <w:r w:rsidRPr="00E4401D">
        <w:rPr>
          <w:rStyle w:val="Refdenotaalpie"/>
          <w:rFonts w:ascii="Times New Roman" w:hAnsi="Times New Roman" w:cs="Times New Roman"/>
          <w:sz w:val="28"/>
          <w:szCs w:val="28"/>
        </w:rPr>
        <w:footnoteReference w:id="55"/>
      </w:r>
    </w:p>
    <w:p w:rsidR="00B95753" w:rsidRPr="00E4401D" w:rsidRDefault="00E4401D" w:rsidP="00B95753">
      <w:pPr>
        <w:rPr>
          <w:rFonts w:ascii="Times New Roman" w:hAnsi="Times New Roman" w:cs="Times New Roman"/>
          <w:sz w:val="28"/>
          <w:szCs w:val="28"/>
        </w:rPr>
      </w:pPr>
    </w:p>
    <w:p w:rsidR="00B95753"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Junto con la publicación de</w:t>
      </w:r>
      <w:r w:rsidRPr="00E4401D">
        <w:rPr>
          <w:rFonts w:ascii="Times New Roman" w:hAnsi="Times New Roman" w:cs="Times New Roman"/>
          <w:sz w:val="28"/>
          <w:szCs w:val="28"/>
        </w:rPr>
        <w:t xml:space="preserve"> la presentación del informe de ponencia para el debate en la sesión plenaria del Senado de la Rep</w:t>
      </w:r>
      <w:r w:rsidRPr="00E4401D">
        <w:rPr>
          <w:rFonts w:ascii="Times New Roman" w:hAnsi="Times New Roman" w:cs="Times New Roman"/>
          <w:sz w:val="28"/>
          <w:szCs w:val="28"/>
        </w:rPr>
        <w:t>ú</w:t>
      </w:r>
      <w:r w:rsidRPr="00E4401D">
        <w:rPr>
          <w:rFonts w:ascii="Times New Roman" w:hAnsi="Times New Roman" w:cs="Times New Roman"/>
          <w:sz w:val="28"/>
          <w:szCs w:val="28"/>
        </w:rPr>
        <w:t>blica también se publicaron las proposiciones relativas a esta disposición</w:t>
      </w:r>
      <w:r w:rsidRPr="00E4401D">
        <w:rPr>
          <w:rStyle w:val="Refdenotaalpie"/>
          <w:rFonts w:ascii="Times New Roman" w:hAnsi="Times New Roman" w:cs="Times New Roman"/>
          <w:sz w:val="28"/>
          <w:szCs w:val="28"/>
        </w:rPr>
        <w:footnoteReference w:id="56"/>
      </w:r>
      <w:r w:rsidRPr="00E4401D">
        <w:rPr>
          <w:rFonts w:ascii="Times New Roman" w:hAnsi="Times New Roman" w:cs="Times New Roman"/>
          <w:sz w:val="28"/>
          <w:szCs w:val="28"/>
        </w:rPr>
        <w:t xml:space="preserve"> que hasta ese momento se habían presentado. En ese sentido, se constatan las sigu</w:t>
      </w:r>
      <w:r w:rsidRPr="00E4401D">
        <w:rPr>
          <w:rFonts w:ascii="Times New Roman" w:hAnsi="Times New Roman" w:cs="Times New Roman"/>
          <w:sz w:val="28"/>
          <w:szCs w:val="28"/>
        </w:rPr>
        <w:t>ientes proposiciones:</w:t>
      </w:r>
    </w:p>
    <w:p w:rsidR="00B95753" w:rsidRPr="00E4401D" w:rsidRDefault="00E4401D" w:rsidP="00B95753">
      <w:pPr>
        <w:pStyle w:val="Prrafodelista"/>
        <w:rPr>
          <w:rFonts w:ascii="Times New Roman" w:hAnsi="Times New Roman" w:cs="Times New Roman"/>
          <w:sz w:val="28"/>
          <w:szCs w:val="28"/>
        </w:rPr>
      </w:pPr>
    </w:p>
    <w:p w:rsidR="00B95753" w:rsidRPr="00E4401D" w:rsidRDefault="00E4401D" w:rsidP="009B2FE5">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(i) </w:t>
      </w:r>
      <w:r w:rsidRPr="00E4401D">
        <w:rPr>
          <w:rFonts w:ascii="Times New Roman" w:hAnsi="Times New Roman" w:cs="Times New Roman"/>
          <w:sz w:val="28"/>
          <w:szCs w:val="28"/>
        </w:rPr>
        <w:t>De l</w:t>
      </w:r>
      <w:r w:rsidRPr="00E4401D">
        <w:rPr>
          <w:rFonts w:ascii="Times New Roman" w:hAnsi="Times New Roman" w:cs="Times New Roman"/>
          <w:sz w:val="28"/>
          <w:szCs w:val="28"/>
        </w:rPr>
        <w:t xml:space="preserve">os </w:t>
      </w:r>
      <w:r w:rsidRPr="00E4401D">
        <w:rPr>
          <w:rFonts w:ascii="Times New Roman" w:hAnsi="Times New Roman" w:cs="Times New Roman"/>
          <w:sz w:val="28"/>
          <w:szCs w:val="28"/>
        </w:rPr>
        <w:t>representantes David Ricardo Racero Mayorca</w:t>
      </w:r>
      <w:r w:rsidRPr="00E4401D">
        <w:rPr>
          <w:rFonts w:ascii="Times New Roman" w:hAnsi="Times New Roman" w:cs="Times New Roman"/>
          <w:sz w:val="28"/>
          <w:szCs w:val="28"/>
        </w:rPr>
        <w:t>, Heráclito Landinez Suarez, Carlos Carreño</w:t>
      </w:r>
      <w:r w:rsidRPr="00E4401D">
        <w:rPr>
          <w:rFonts w:ascii="Times New Roman" w:hAnsi="Times New Roman" w:cs="Times New Roman"/>
          <w:sz w:val="28"/>
          <w:szCs w:val="28"/>
        </w:rPr>
        <w:t>, Luis Alberto Albán, Jairo Cala</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Pe</w:t>
      </w:r>
      <w:r w:rsidRPr="00E4401D">
        <w:rPr>
          <w:rFonts w:ascii="Times New Roman" w:hAnsi="Times New Roman" w:cs="Times New Roman"/>
          <w:sz w:val="28"/>
          <w:szCs w:val="28"/>
        </w:rPr>
        <w:t>dro Baracutao García Ospina</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Luvi Katherine Miranda Peña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Diógenes Quintero Amaya, Karen Atrith Olarte y Jhon Fredy Núñez Ramos</w:t>
      </w:r>
      <w:r w:rsidRPr="00E4401D">
        <w:rPr>
          <w:rFonts w:ascii="Times New Roman" w:hAnsi="Times New Roman" w:cs="Times New Roman"/>
          <w:sz w:val="28"/>
          <w:szCs w:val="28"/>
        </w:rPr>
        <w:t xml:space="preserve"> y l</w:t>
      </w:r>
      <w:r w:rsidRPr="00E4401D">
        <w:rPr>
          <w:rFonts w:ascii="Times New Roman" w:hAnsi="Times New Roman" w:cs="Times New Roman"/>
          <w:sz w:val="28"/>
          <w:szCs w:val="28"/>
        </w:rPr>
        <w:t>a senadora Martha Isabel Peralta Epieyu</w:t>
      </w:r>
      <w:r w:rsidRPr="00E4401D">
        <w:rPr>
          <w:rFonts w:ascii="Times New Roman" w:hAnsi="Times New Roman" w:cs="Times New Roman"/>
          <w:sz w:val="28"/>
          <w:szCs w:val="28"/>
        </w:rPr>
        <w:t>:</w:t>
      </w:r>
    </w:p>
    <w:p w:rsidR="00276000" w:rsidRPr="00E4401D" w:rsidRDefault="00E4401D" w:rsidP="009B2FE5">
      <w:pPr>
        <w:pStyle w:val="Prrafodelista"/>
        <w:tabs>
          <w:tab w:val="left" w:pos="540"/>
        </w:tabs>
        <w:ind w:left="0"/>
        <w:mirrorIndents/>
        <w:jc w:val="both"/>
        <w:rPr>
          <w:rFonts w:ascii="Times New Roman" w:hAnsi="Times New Roman" w:cs="Times New Roman"/>
          <w:sz w:val="28"/>
          <w:szCs w:val="28"/>
        </w:rPr>
      </w:pPr>
    </w:p>
    <w:p w:rsidR="00276000" w:rsidRPr="00E4401D" w:rsidRDefault="00E4401D" w:rsidP="009B2FE5">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MECANISMOS PARA FACILITAR Y DINAMIZAR LOS PROCESOS DE COMPRA DE TIERRAS POR OFERTA VOLUNTARIA: En el marco del procedimiento de compra por o</w:t>
      </w:r>
      <w:r w:rsidRPr="00E4401D">
        <w:rPr>
          <w:rFonts w:ascii="Times New Roman" w:hAnsi="Times New Roman" w:cs="Times New Roman"/>
          <w:i/>
          <w:iCs/>
          <w:sz w:val="28"/>
          <w:szCs w:val="28"/>
        </w:rPr>
        <w:t xml:space="preserve">ferta voluntaria de tierras </w:t>
      </w:r>
      <w:r w:rsidRPr="00E4401D">
        <w:rPr>
          <w:rFonts w:ascii="Times New Roman" w:hAnsi="Times New Roman" w:cs="Times New Roman"/>
          <w:i/>
          <w:iCs/>
          <w:sz w:val="28"/>
          <w:szCs w:val="28"/>
          <w:u w:val="single"/>
        </w:rPr>
        <w:t>con destino al Fondo de Tierras a cargo de</w:t>
      </w:r>
      <w:r w:rsidRPr="00E4401D">
        <w:rPr>
          <w:rFonts w:ascii="Times New Roman" w:hAnsi="Times New Roman" w:cs="Times New Roman"/>
          <w:i/>
          <w:iCs/>
          <w:sz w:val="28"/>
          <w:szCs w:val="28"/>
        </w:rPr>
        <w:t xml:space="preserve"> la Agencia Nacional de Tierras</w:t>
      </w:r>
      <w:r w:rsidRPr="00E4401D">
        <w:rPr>
          <w:rFonts w:ascii="Times New Roman" w:hAnsi="Times New Roman" w:cs="Times New Roman"/>
          <w:i/>
          <w:iCs/>
          <w:sz w:val="28"/>
          <w:szCs w:val="28"/>
        </w:rPr>
        <w:t xml:space="preserve"> (ANT), podrán adelantarse las siguientes medidas: (…)</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57"/>
      </w:r>
    </w:p>
    <w:p w:rsidR="00ED6F89" w:rsidRPr="00E4401D" w:rsidRDefault="00E4401D" w:rsidP="009B2FE5">
      <w:pPr>
        <w:pStyle w:val="Prrafodelista"/>
        <w:tabs>
          <w:tab w:val="left" w:pos="540"/>
        </w:tabs>
        <w:ind w:left="0"/>
        <w:mirrorIndents/>
        <w:jc w:val="both"/>
        <w:rPr>
          <w:rFonts w:ascii="Times New Roman" w:hAnsi="Times New Roman" w:cs="Times New Roman"/>
          <w:sz w:val="28"/>
          <w:szCs w:val="28"/>
        </w:rPr>
      </w:pPr>
    </w:p>
    <w:p w:rsidR="00ED6F89" w:rsidRPr="00E4401D" w:rsidRDefault="00E4401D" w:rsidP="009B2FE5">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(ii) De las representantes Olga Lucía </w:t>
      </w:r>
      <w:r w:rsidRPr="00E4401D">
        <w:rPr>
          <w:rFonts w:ascii="Times New Roman" w:hAnsi="Times New Roman" w:cs="Times New Roman"/>
          <w:sz w:val="28"/>
          <w:szCs w:val="28"/>
        </w:rPr>
        <w:t>Velázquez</w:t>
      </w:r>
      <w:r w:rsidRPr="00E4401D">
        <w:rPr>
          <w:rFonts w:ascii="Times New Roman" w:hAnsi="Times New Roman" w:cs="Times New Roman"/>
          <w:sz w:val="28"/>
          <w:szCs w:val="28"/>
        </w:rPr>
        <w:t xml:space="preserve"> Nieto y Etna Tamara </w:t>
      </w:r>
      <w:r w:rsidRPr="00E4401D">
        <w:rPr>
          <w:rFonts w:ascii="Times New Roman" w:hAnsi="Times New Roman" w:cs="Times New Roman"/>
          <w:sz w:val="28"/>
          <w:szCs w:val="28"/>
        </w:rPr>
        <w:t xml:space="preserve">Argote </w:t>
      </w:r>
      <w:r w:rsidRPr="00E4401D">
        <w:rPr>
          <w:rFonts w:ascii="Times New Roman" w:hAnsi="Times New Roman" w:cs="Times New Roman"/>
          <w:sz w:val="28"/>
          <w:szCs w:val="28"/>
        </w:rPr>
        <w:t>Calderón</w:t>
      </w:r>
      <w:r w:rsidRPr="00E4401D">
        <w:rPr>
          <w:rFonts w:ascii="Times New Roman" w:hAnsi="Times New Roman" w:cs="Times New Roman"/>
          <w:sz w:val="28"/>
          <w:szCs w:val="28"/>
        </w:rPr>
        <w:t xml:space="preserve">: </w:t>
      </w:r>
    </w:p>
    <w:p w:rsidR="00DF7447" w:rsidRPr="00E4401D" w:rsidRDefault="00E4401D" w:rsidP="009B2FE5">
      <w:pPr>
        <w:pStyle w:val="Prrafodelista"/>
        <w:tabs>
          <w:tab w:val="left" w:pos="540"/>
        </w:tabs>
        <w:ind w:left="0"/>
        <w:mirrorIndents/>
        <w:jc w:val="both"/>
        <w:rPr>
          <w:rFonts w:ascii="Times New Roman" w:hAnsi="Times New Roman" w:cs="Times New Roman"/>
          <w:sz w:val="28"/>
          <w:szCs w:val="28"/>
        </w:rPr>
      </w:pPr>
    </w:p>
    <w:p w:rsidR="00DD25DF" w:rsidRPr="00E4401D" w:rsidRDefault="00E4401D" w:rsidP="00DD25DF">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 xml:space="preserve">En mi </w:t>
      </w:r>
      <w:r w:rsidRPr="00E4401D">
        <w:rPr>
          <w:rFonts w:ascii="Times New Roman" w:hAnsi="Times New Roman" w:cs="Times New Roman"/>
          <w:i/>
          <w:iCs/>
          <w:sz w:val="28"/>
          <w:szCs w:val="28"/>
        </w:rPr>
        <w:t>condición de Representante a la Cámara por el XXXXX y de acuerdo con lo establecido en los artículos 233 y 249 de la Ley 5 de 1992, propongo a la Honorable Plenaria de la Cámara de Representantes someter a consideración la siguiente proposición para modifi</w:t>
      </w:r>
      <w:r w:rsidRPr="00E4401D">
        <w:rPr>
          <w:rFonts w:ascii="Times New Roman" w:hAnsi="Times New Roman" w:cs="Times New Roman"/>
          <w:i/>
          <w:iCs/>
          <w:sz w:val="28"/>
          <w:szCs w:val="28"/>
        </w:rPr>
        <w:t>car el artículo 48 del PROYECTO DE LEY N 338 DE 2023 CÁMARA, N 274 DE 2023 SENADO: "Por el cual se expide el plan nacional de desarrollo 2022-2026 "Colombia potencia mundial de la vida", en el siguiente sentido:</w:t>
      </w:r>
    </w:p>
    <w:p w:rsidR="00DD25DF" w:rsidRPr="00E4401D" w:rsidRDefault="00E4401D" w:rsidP="00DD25DF">
      <w:pPr>
        <w:pStyle w:val="Prrafodelista"/>
        <w:tabs>
          <w:tab w:val="left" w:pos="540"/>
        </w:tabs>
        <w:ind w:left="0"/>
        <w:mirrorIndents/>
        <w:jc w:val="both"/>
        <w:rPr>
          <w:rFonts w:ascii="Times New Roman" w:hAnsi="Times New Roman" w:cs="Times New Roman"/>
          <w:sz w:val="28"/>
          <w:szCs w:val="28"/>
        </w:rPr>
      </w:pPr>
    </w:p>
    <w:p w:rsidR="00DD25DF" w:rsidRPr="00E4401D" w:rsidRDefault="00E4401D" w:rsidP="00E91CC0">
      <w:pPr>
        <w:pStyle w:val="Prrafodelista"/>
        <w:numPr>
          <w:ilvl w:val="0"/>
          <w:numId w:val="8"/>
        </w:numPr>
        <w:tabs>
          <w:tab w:val="left" w:pos="540"/>
        </w:tabs>
        <w:ind w:left="0" w:firstLine="0"/>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Resulta necesario establecer la posibilidad</w:t>
      </w:r>
      <w:r w:rsidRPr="00E4401D">
        <w:rPr>
          <w:rFonts w:ascii="Times New Roman" w:hAnsi="Times New Roman" w:cs="Times New Roman"/>
          <w:i/>
          <w:iCs/>
          <w:sz w:val="28"/>
          <w:szCs w:val="28"/>
        </w:rPr>
        <w:t xml:space="preserve"> de adquirir tempranamente los inmuebles rurales del Fondo para la Reparación de las Victimas vinculados a acciones de extinción del derecho de dominio en curso. Lo anterior, con el fin de garantizar una fuente adicional de predios rurales para la Reforma </w:t>
      </w:r>
      <w:r w:rsidRPr="00E4401D">
        <w:rPr>
          <w:rFonts w:ascii="Times New Roman" w:hAnsi="Times New Roman" w:cs="Times New Roman"/>
          <w:i/>
          <w:iCs/>
          <w:sz w:val="28"/>
          <w:szCs w:val="28"/>
        </w:rPr>
        <w:t>Agraria, siempre respetando el deber de información al juez competente del proceso de extinción de dominio y la constitución de</w:t>
      </w:r>
      <w:r w:rsidRPr="00E4401D">
        <w:rPr>
          <w:rFonts w:ascii="Times New Roman" w:hAnsi="Times New Roman" w:cs="Times New Roman"/>
          <w:i/>
          <w:iCs/>
          <w:sz w:val="28"/>
          <w:szCs w:val="28"/>
        </w:rPr>
        <w:t xml:space="preserve"> </w:t>
      </w:r>
      <w:r w:rsidRPr="00E4401D">
        <w:rPr>
          <w:rFonts w:ascii="Times New Roman" w:hAnsi="Times New Roman" w:cs="Times New Roman"/>
          <w:i/>
          <w:iCs/>
          <w:sz w:val="28"/>
          <w:szCs w:val="28"/>
        </w:rPr>
        <w:t>la respectiva reserva técnica que garantizará la capacidad económica para atender las ordenes de devolución que se generen.</w:t>
      </w:r>
    </w:p>
    <w:p w:rsidR="00DD25DF" w:rsidRPr="00E4401D" w:rsidRDefault="00E4401D" w:rsidP="00A34D12">
      <w:pPr>
        <w:pStyle w:val="Prrafodelista"/>
        <w:tabs>
          <w:tab w:val="left" w:pos="540"/>
        </w:tabs>
        <w:ind w:left="0"/>
        <w:mirrorIndents/>
        <w:jc w:val="both"/>
        <w:rPr>
          <w:rFonts w:ascii="Times New Roman" w:hAnsi="Times New Roman" w:cs="Times New Roman"/>
          <w:i/>
          <w:iCs/>
          <w:sz w:val="28"/>
          <w:szCs w:val="28"/>
        </w:rPr>
      </w:pPr>
    </w:p>
    <w:p w:rsidR="00DD25DF" w:rsidRPr="00E4401D" w:rsidRDefault="00E4401D" w:rsidP="00E91CC0">
      <w:pPr>
        <w:pStyle w:val="Prrafodelista"/>
        <w:numPr>
          <w:ilvl w:val="0"/>
          <w:numId w:val="8"/>
        </w:numPr>
        <w:tabs>
          <w:tab w:val="left" w:pos="540"/>
        </w:tabs>
        <w:ind w:left="0" w:firstLine="0"/>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Se </w:t>
      </w:r>
      <w:r w:rsidRPr="00E4401D">
        <w:rPr>
          <w:rFonts w:ascii="Times New Roman" w:hAnsi="Times New Roman" w:cs="Times New Roman"/>
          <w:i/>
          <w:iCs/>
          <w:sz w:val="28"/>
          <w:szCs w:val="28"/>
        </w:rPr>
        <w:t>establece un procedimiento para la identificación y priorización de predios que puedan ser adquiridos para la implementación de la reforma</w:t>
      </w:r>
      <w:r w:rsidRPr="00E4401D">
        <w:rPr>
          <w:rFonts w:ascii="Times New Roman" w:hAnsi="Times New Roman" w:cs="Times New Roman"/>
          <w:i/>
          <w:iCs/>
          <w:sz w:val="28"/>
          <w:szCs w:val="28"/>
        </w:rPr>
        <w:t xml:space="preserve"> </w:t>
      </w:r>
      <w:r w:rsidRPr="00E4401D">
        <w:rPr>
          <w:rFonts w:ascii="Times New Roman" w:hAnsi="Times New Roman" w:cs="Times New Roman"/>
          <w:i/>
          <w:iCs/>
          <w:sz w:val="28"/>
          <w:szCs w:val="28"/>
        </w:rPr>
        <w:t xml:space="preserve">rural integral a través de uso de </w:t>
      </w:r>
      <w:r w:rsidRPr="00E4401D">
        <w:rPr>
          <w:rFonts w:ascii="Times New Roman" w:hAnsi="Times New Roman" w:cs="Times New Roman"/>
          <w:i/>
          <w:iCs/>
          <w:sz w:val="28"/>
          <w:szCs w:val="28"/>
        </w:rPr>
        <w:t>metodologías</w:t>
      </w:r>
      <w:r w:rsidRPr="00E4401D">
        <w:rPr>
          <w:rFonts w:ascii="Times New Roman" w:hAnsi="Times New Roman" w:cs="Times New Roman"/>
          <w:i/>
          <w:iCs/>
          <w:sz w:val="28"/>
          <w:szCs w:val="28"/>
        </w:rPr>
        <w:t xml:space="preserve"> indirectas y en </w:t>
      </w:r>
      <w:r w:rsidRPr="00E4401D">
        <w:rPr>
          <w:rFonts w:ascii="Times New Roman" w:hAnsi="Times New Roman" w:cs="Times New Roman"/>
          <w:i/>
          <w:iCs/>
          <w:sz w:val="28"/>
          <w:szCs w:val="28"/>
        </w:rPr>
        <w:t>economías</w:t>
      </w:r>
      <w:r w:rsidRPr="00E4401D">
        <w:rPr>
          <w:rFonts w:ascii="Times New Roman" w:hAnsi="Times New Roman" w:cs="Times New Roman"/>
          <w:i/>
          <w:iCs/>
          <w:sz w:val="28"/>
          <w:szCs w:val="28"/>
        </w:rPr>
        <w:t xml:space="preserve"> de escalas. Con ello se busca aumentar la of</w:t>
      </w:r>
      <w:r w:rsidRPr="00E4401D">
        <w:rPr>
          <w:rFonts w:ascii="Times New Roman" w:hAnsi="Times New Roman" w:cs="Times New Roman"/>
          <w:i/>
          <w:iCs/>
          <w:sz w:val="28"/>
          <w:szCs w:val="28"/>
        </w:rPr>
        <w:t>erta de predios y articular</w:t>
      </w:r>
      <w:r w:rsidRPr="00E4401D">
        <w:rPr>
          <w:rFonts w:ascii="Times New Roman" w:hAnsi="Times New Roman" w:cs="Times New Roman"/>
          <w:i/>
          <w:iCs/>
          <w:sz w:val="28"/>
          <w:szCs w:val="28"/>
        </w:rPr>
        <w:t xml:space="preserve"> </w:t>
      </w:r>
      <w:r w:rsidRPr="00E4401D">
        <w:rPr>
          <w:rFonts w:ascii="Times New Roman" w:hAnsi="Times New Roman" w:cs="Times New Roman"/>
          <w:i/>
          <w:iCs/>
          <w:sz w:val="28"/>
          <w:szCs w:val="28"/>
        </w:rPr>
        <w:t>esta acción de compra con los procesos de ordenamiento social de la propiedad.</w:t>
      </w:r>
    </w:p>
    <w:p w:rsidR="00DD25DF" w:rsidRPr="00E4401D" w:rsidRDefault="00E4401D" w:rsidP="00A34D12">
      <w:pPr>
        <w:pStyle w:val="Prrafodelista"/>
        <w:tabs>
          <w:tab w:val="left" w:pos="540"/>
        </w:tabs>
        <w:ind w:left="0"/>
        <w:mirrorIndents/>
        <w:jc w:val="both"/>
        <w:rPr>
          <w:rFonts w:ascii="Times New Roman" w:hAnsi="Times New Roman" w:cs="Times New Roman"/>
          <w:i/>
          <w:iCs/>
          <w:sz w:val="28"/>
          <w:szCs w:val="28"/>
        </w:rPr>
      </w:pPr>
    </w:p>
    <w:p w:rsidR="00DF494A" w:rsidRPr="00E4401D" w:rsidRDefault="00E4401D" w:rsidP="00DF494A">
      <w:pPr>
        <w:pStyle w:val="Prrafodelista"/>
        <w:numPr>
          <w:ilvl w:val="0"/>
          <w:numId w:val="8"/>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i/>
          <w:iCs/>
          <w:sz w:val="28"/>
          <w:szCs w:val="28"/>
        </w:rPr>
        <w:t xml:space="preserve">Así mismo, se busca establecer que la ANT, como autoridad encargada del proceso de compra y adjudicación de predios en el marco de la Reforma </w:t>
      </w:r>
      <w:r w:rsidRPr="00E4401D">
        <w:rPr>
          <w:rFonts w:ascii="Times New Roman" w:hAnsi="Times New Roman" w:cs="Times New Roman"/>
          <w:i/>
          <w:iCs/>
          <w:sz w:val="28"/>
          <w:szCs w:val="28"/>
        </w:rPr>
        <w:t>Agraria, cuente con la primera opción de compra ante el Frisco, el Fondo para la Reparación de las Victimas y las demás entidades públicas.</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58"/>
      </w:r>
    </w:p>
    <w:p w:rsidR="00DF494A" w:rsidRPr="00E4401D" w:rsidRDefault="00E4401D" w:rsidP="00DF494A">
      <w:pPr>
        <w:pStyle w:val="Prrafodelista"/>
        <w:rPr>
          <w:rFonts w:ascii="Times New Roman" w:hAnsi="Times New Roman" w:cs="Times New Roman"/>
          <w:sz w:val="28"/>
          <w:szCs w:val="28"/>
        </w:rPr>
      </w:pPr>
    </w:p>
    <w:p w:rsidR="00DF494A" w:rsidRPr="00E4401D" w:rsidRDefault="00E4401D" w:rsidP="00DF494A">
      <w:pPr>
        <w:pStyle w:val="Prrafodelista"/>
        <w:numPr>
          <w:ilvl w:val="0"/>
          <w:numId w:val="3"/>
        </w:numPr>
        <w:tabs>
          <w:tab w:val="left" w:pos="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Según </w:t>
      </w:r>
      <w:r w:rsidRPr="00E4401D">
        <w:rPr>
          <w:rFonts w:ascii="Times New Roman" w:hAnsi="Times New Roman" w:cs="Times New Roman"/>
          <w:sz w:val="28"/>
          <w:szCs w:val="28"/>
        </w:rPr>
        <w:t>lo informado por el secretario del Senado de la República</w:t>
      </w:r>
      <w:r w:rsidRPr="00E4401D">
        <w:rPr>
          <w:rStyle w:val="Refdenotaalpie"/>
          <w:rFonts w:ascii="Times New Roman" w:hAnsi="Times New Roman" w:cs="Times New Roman"/>
          <w:sz w:val="28"/>
          <w:szCs w:val="28"/>
        </w:rPr>
        <w:footnoteReference w:id="59"/>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el </w:t>
      </w:r>
      <w:r w:rsidRPr="00E4401D">
        <w:rPr>
          <w:rFonts w:ascii="Times New Roman" w:hAnsi="Times New Roman" w:cs="Times New Roman"/>
          <w:sz w:val="28"/>
          <w:szCs w:val="28"/>
        </w:rPr>
        <w:t>2</w:t>
      </w:r>
      <w:r w:rsidRPr="00E4401D">
        <w:rPr>
          <w:rFonts w:ascii="Times New Roman" w:hAnsi="Times New Roman" w:cs="Times New Roman"/>
          <w:sz w:val="28"/>
          <w:szCs w:val="28"/>
        </w:rPr>
        <w:t>6</w:t>
      </w:r>
      <w:r w:rsidRPr="00E4401D">
        <w:rPr>
          <w:rFonts w:ascii="Times New Roman" w:hAnsi="Times New Roman" w:cs="Times New Roman"/>
          <w:sz w:val="28"/>
          <w:szCs w:val="28"/>
        </w:rPr>
        <w:t xml:space="preserve"> de abril de 2023</w:t>
      </w:r>
      <w:r w:rsidRPr="00E4401D">
        <w:rPr>
          <w:rFonts w:ascii="Times New Roman" w:hAnsi="Times New Roman" w:cs="Times New Roman"/>
          <w:sz w:val="28"/>
          <w:szCs w:val="28"/>
        </w:rPr>
        <w:t xml:space="preserve"> se </w:t>
      </w:r>
      <w:r w:rsidRPr="00E4401D">
        <w:rPr>
          <w:rFonts w:ascii="Times New Roman" w:hAnsi="Times New Roman" w:cs="Times New Roman"/>
          <w:sz w:val="28"/>
          <w:szCs w:val="28"/>
        </w:rPr>
        <w:t>presentó en la Secre</w:t>
      </w:r>
      <w:r w:rsidRPr="00E4401D">
        <w:rPr>
          <w:rFonts w:ascii="Times New Roman" w:hAnsi="Times New Roman" w:cs="Times New Roman"/>
          <w:sz w:val="28"/>
          <w:szCs w:val="28"/>
        </w:rPr>
        <w:t xml:space="preserve">taría General del Congreso de la </w:t>
      </w:r>
      <w:r w:rsidRPr="00E4401D">
        <w:rPr>
          <w:rFonts w:ascii="Times New Roman" w:hAnsi="Times New Roman" w:cs="Times New Roman"/>
          <w:sz w:val="28"/>
          <w:szCs w:val="28"/>
        </w:rPr>
        <w:t>República</w:t>
      </w:r>
      <w:r w:rsidRPr="00E4401D">
        <w:rPr>
          <w:rFonts w:ascii="Times New Roman" w:hAnsi="Times New Roman" w:cs="Times New Roman"/>
          <w:sz w:val="28"/>
          <w:szCs w:val="28"/>
        </w:rPr>
        <w:t xml:space="preserve"> una proposición modificatoria al artículo 5</w:t>
      </w:r>
      <w:r w:rsidRPr="00E4401D">
        <w:rPr>
          <w:rFonts w:ascii="Times New Roman" w:hAnsi="Times New Roman" w:cs="Times New Roman"/>
          <w:sz w:val="28"/>
          <w:szCs w:val="28"/>
        </w:rPr>
        <w:t>5</w:t>
      </w:r>
      <w:r w:rsidRPr="00E4401D">
        <w:rPr>
          <w:rFonts w:ascii="Times New Roman" w:hAnsi="Times New Roman" w:cs="Times New Roman"/>
          <w:sz w:val="28"/>
          <w:szCs w:val="28"/>
        </w:rPr>
        <w:t xml:space="preserve"> del proyecto de ley. La proposición está firmada por varios congresistas. Entre las firmas se pueden distinguir la de los representantes </w:t>
      </w:r>
      <w:r w:rsidRPr="00E4401D">
        <w:rPr>
          <w:rFonts w:ascii="Times New Roman" w:hAnsi="Times New Roman" w:cs="Times New Roman"/>
          <w:sz w:val="28"/>
          <w:szCs w:val="28"/>
        </w:rPr>
        <w:t>Wilmer Castellanos</w:t>
      </w:r>
      <w:r w:rsidRPr="00E4401D">
        <w:rPr>
          <w:rFonts w:ascii="Times New Roman" w:hAnsi="Times New Roman" w:cs="Times New Roman"/>
          <w:sz w:val="28"/>
          <w:szCs w:val="28"/>
        </w:rPr>
        <w:t xml:space="preserve">, David Racero, </w:t>
      </w:r>
      <w:r w:rsidRPr="00E4401D">
        <w:rPr>
          <w:rFonts w:ascii="Times New Roman" w:hAnsi="Times New Roman" w:cs="Times New Roman"/>
          <w:sz w:val="28"/>
          <w:szCs w:val="28"/>
        </w:rPr>
        <w:t xml:space="preserve">Leyla </w:t>
      </w:r>
      <w:r w:rsidRPr="00E4401D">
        <w:rPr>
          <w:rFonts w:ascii="Times New Roman" w:hAnsi="Times New Roman" w:cs="Times New Roman"/>
          <w:sz w:val="28"/>
          <w:szCs w:val="28"/>
        </w:rPr>
        <w:t>Marleny Rincón Trujillo</w:t>
      </w:r>
      <w:r w:rsidRPr="00E4401D">
        <w:rPr>
          <w:rFonts w:ascii="Times New Roman" w:hAnsi="Times New Roman" w:cs="Times New Roman"/>
          <w:sz w:val="28"/>
          <w:szCs w:val="28"/>
        </w:rPr>
        <w:t>, Luz Marina M</w:t>
      </w:r>
      <w:r w:rsidRPr="00E4401D">
        <w:rPr>
          <w:rFonts w:ascii="Times New Roman" w:hAnsi="Times New Roman" w:cs="Times New Roman"/>
          <w:sz w:val="28"/>
          <w:szCs w:val="28"/>
        </w:rPr>
        <w:t>únera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Gloria Liliana Rodríguez</w:t>
      </w:r>
      <w:r w:rsidRPr="00E4401D">
        <w:rPr>
          <w:rFonts w:ascii="Times New Roman" w:hAnsi="Times New Roman" w:cs="Times New Roman"/>
          <w:sz w:val="28"/>
          <w:szCs w:val="28"/>
        </w:rPr>
        <w:t>, Alirio Uribe</w:t>
      </w:r>
      <w:r w:rsidRPr="00E4401D">
        <w:rPr>
          <w:rFonts w:ascii="Times New Roman" w:hAnsi="Times New Roman" w:cs="Times New Roman"/>
          <w:sz w:val="28"/>
          <w:szCs w:val="28"/>
        </w:rPr>
        <w:t>, Gloria Arizabaleta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Gabriel Becerra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y Olga Lucía Velá</w:t>
      </w:r>
      <w:r w:rsidRPr="00E4401D">
        <w:rPr>
          <w:rFonts w:ascii="Times New Roman" w:hAnsi="Times New Roman" w:cs="Times New Roman"/>
          <w:sz w:val="28"/>
          <w:szCs w:val="28"/>
        </w:rPr>
        <w:t>s</w:t>
      </w:r>
      <w:r w:rsidRPr="00E4401D">
        <w:rPr>
          <w:rFonts w:ascii="Times New Roman" w:hAnsi="Times New Roman" w:cs="Times New Roman"/>
          <w:sz w:val="28"/>
          <w:szCs w:val="28"/>
        </w:rPr>
        <w:t>quez</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y de l</w:t>
      </w:r>
      <w:r w:rsidRPr="00E4401D">
        <w:rPr>
          <w:rFonts w:ascii="Times New Roman" w:hAnsi="Times New Roman" w:cs="Times New Roman"/>
          <w:sz w:val="28"/>
          <w:szCs w:val="28"/>
        </w:rPr>
        <w:t>a</w:t>
      </w:r>
      <w:r w:rsidRPr="00E4401D">
        <w:rPr>
          <w:rFonts w:ascii="Times New Roman" w:hAnsi="Times New Roman" w:cs="Times New Roman"/>
          <w:sz w:val="28"/>
          <w:szCs w:val="28"/>
        </w:rPr>
        <w:t>s senador</w:t>
      </w:r>
      <w:r w:rsidRPr="00E4401D">
        <w:rPr>
          <w:rFonts w:ascii="Times New Roman" w:hAnsi="Times New Roman" w:cs="Times New Roman"/>
          <w:sz w:val="28"/>
          <w:szCs w:val="28"/>
        </w:rPr>
        <w:t>a</w:t>
      </w:r>
      <w:r w:rsidRPr="00E4401D">
        <w:rPr>
          <w:rFonts w:ascii="Times New Roman" w:hAnsi="Times New Roman" w:cs="Times New Roman"/>
          <w:sz w:val="28"/>
          <w:szCs w:val="28"/>
        </w:rPr>
        <w:t>s</w:t>
      </w:r>
      <w:r w:rsidRPr="00E4401D">
        <w:rPr>
          <w:rFonts w:ascii="Times New Roman" w:hAnsi="Times New Roman" w:cs="Times New Roman"/>
          <w:sz w:val="28"/>
          <w:szCs w:val="28"/>
        </w:rPr>
        <w:t xml:space="preserve"> Clara López, Angelica </w:t>
      </w:r>
      <w:r w:rsidRPr="00E4401D">
        <w:rPr>
          <w:rFonts w:ascii="Times New Roman" w:hAnsi="Times New Roman" w:cs="Times New Roman"/>
          <w:sz w:val="28"/>
          <w:szCs w:val="28"/>
        </w:rPr>
        <w:t>Lozano y Aída Avella</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Esta proposición fue </w:t>
      </w:r>
      <w:r w:rsidRPr="00E4401D">
        <w:rPr>
          <w:rFonts w:ascii="Times New Roman" w:hAnsi="Times New Roman" w:cs="Times New Roman"/>
          <w:sz w:val="28"/>
          <w:szCs w:val="28"/>
        </w:rPr>
        <w:t>avalada por el gobierno en la misma sesión del 2 de mayo de 2023. El documento contentivo de la proposición fue publicado en e</w:t>
      </w:r>
      <w:r w:rsidRPr="00E4401D">
        <w:rPr>
          <w:rFonts w:ascii="Times New Roman" w:hAnsi="Times New Roman" w:cs="Times New Roman"/>
          <w:sz w:val="28"/>
          <w:szCs w:val="28"/>
        </w:rPr>
        <w:t xml:space="preserve">l micrositio web del Senado de la </w:t>
      </w:r>
      <w:r w:rsidRPr="00E4401D">
        <w:rPr>
          <w:rFonts w:ascii="Times New Roman" w:hAnsi="Times New Roman" w:cs="Times New Roman"/>
          <w:sz w:val="28"/>
          <w:szCs w:val="28"/>
        </w:rPr>
        <w:t>República</w:t>
      </w:r>
      <w:r w:rsidRPr="00E4401D">
        <w:rPr>
          <w:rFonts w:ascii="Times New Roman" w:hAnsi="Times New Roman" w:cs="Times New Roman"/>
          <w:sz w:val="28"/>
          <w:szCs w:val="28"/>
        </w:rPr>
        <w:t xml:space="preserve"> el 2 de mayo de </w:t>
      </w:r>
      <w:r w:rsidRPr="00E4401D">
        <w:rPr>
          <w:rFonts w:ascii="Times New Roman" w:hAnsi="Times New Roman" w:cs="Times New Roman"/>
          <w:sz w:val="28"/>
          <w:szCs w:val="28"/>
        </w:rPr>
        <w:t>2023</w:t>
      </w:r>
      <w:r w:rsidRPr="00E4401D">
        <w:rPr>
          <w:rFonts w:ascii="Times New Roman" w:hAnsi="Times New Roman" w:cs="Times New Roman"/>
          <w:sz w:val="28"/>
          <w:szCs w:val="28"/>
        </w:rPr>
        <w:t xml:space="preserve"> dentro del paquete identificado con el nombre </w:t>
      </w:r>
      <w:r w:rsidRPr="00E4401D">
        <w:rPr>
          <w:rFonts w:ascii="Times New Roman" w:hAnsi="Times New Roman" w:cs="Times New Roman"/>
          <w:i/>
          <w:iCs/>
          <w:sz w:val="28"/>
          <w:szCs w:val="28"/>
        </w:rPr>
        <w:t>“P 303 PAQUETE AVAL</w:t>
      </w:r>
      <w:r w:rsidRPr="00E4401D">
        <w:rPr>
          <w:rFonts w:ascii="Times New Roman" w:hAnsi="Times New Roman" w:cs="Times New Roman"/>
          <w:i/>
          <w:iCs/>
          <w:sz w:val="28"/>
          <w:szCs w:val="28"/>
        </w:rPr>
        <w:t>ADAS APROBADAS VARIOSARTS PL 232 DE 2023 SENADO PL 338 DE 2023 CAMARA VARIOS H.S.”</w:t>
      </w:r>
      <w:r w:rsidRPr="00E4401D">
        <w:rPr>
          <w:rStyle w:val="Refdenotaalpie"/>
          <w:rFonts w:ascii="Times New Roman" w:hAnsi="Times New Roman" w:cs="Times New Roman"/>
          <w:i/>
          <w:iCs/>
          <w:sz w:val="28"/>
          <w:szCs w:val="28"/>
        </w:rPr>
        <w:footnoteReference w:id="60"/>
      </w:r>
      <w:r w:rsidRPr="00E4401D">
        <w:rPr>
          <w:rFonts w:ascii="Times New Roman" w:hAnsi="Times New Roman" w:cs="Times New Roman"/>
          <w:sz w:val="28"/>
          <w:szCs w:val="28"/>
        </w:rPr>
        <w:t>.</w:t>
      </w:r>
    </w:p>
    <w:p w:rsidR="00DF494A" w:rsidRPr="00E4401D" w:rsidRDefault="00E4401D" w:rsidP="00DF494A">
      <w:pPr>
        <w:pStyle w:val="Prrafodelista"/>
        <w:tabs>
          <w:tab w:val="left" w:pos="0"/>
        </w:tabs>
        <w:ind w:left="0"/>
        <w:mirrorIndents/>
        <w:jc w:val="both"/>
        <w:rPr>
          <w:rFonts w:ascii="Times New Roman" w:hAnsi="Times New Roman" w:cs="Times New Roman"/>
          <w:sz w:val="28"/>
          <w:szCs w:val="28"/>
        </w:rPr>
      </w:pPr>
    </w:p>
    <w:p w:rsidR="00882DA9" w:rsidRPr="00E4401D" w:rsidRDefault="00E4401D" w:rsidP="00DF494A">
      <w:pPr>
        <w:pStyle w:val="Prrafodelista"/>
        <w:numPr>
          <w:ilvl w:val="0"/>
          <w:numId w:val="3"/>
        </w:numPr>
        <w:tabs>
          <w:tab w:val="left" w:pos="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El contenido de la proposición </w:t>
      </w:r>
      <w:r w:rsidRPr="00E4401D">
        <w:rPr>
          <w:rFonts w:ascii="Times New Roman" w:hAnsi="Times New Roman" w:cs="Times New Roman"/>
          <w:sz w:val="28"/>
          <w:szCs w:val="28"/>
        </w:rPr>
        <w:t>era</w:t>
      </w:r>
      <w:r w:rsidRPr="00E4401D">
        <w:rPr>
          <w:rFonts w:ascii="Times New Roman" w:hAnsi="Times New Roman" w:cs="Times New Roman"/>
          <w:sz w:val="28"/>
          <w:szCs w:val="28"/>
        </w:rPr>
        <w:t xml:space="preserve"> el siguiente:</w:t>
      </w:r>
    </w:p>
    <w:p w:rsidR="00882DA9" w:rsidRPr="00E4401D" w:rsidRDefault="00E4401D" w:rsidP="00882DA9">
      <w:pPr>
        <w:pStyle w:val="Prrafodelista"/>
        <w:tabs>
          <w:tab w:val="left" w:pos="540"/>
        </w:tabs>
        <w:ind w:left="0"/>
        <w:mirrorIndents/>
        <w:jc w:val="both"/>
        <w:rPr>
          <w:rFonts w:ascii="Times New Roman" w:hAnsi="Times New Roman" w:cs="Times New Roman"/>
          <w:sz w:val="28"/>
          <w:szCs w:val="28"/>
        </w:rPr>
      </w:pPr>
    </w:p>
    <w:p w:rsidR="0094006E" w:rsidRPr="00E4401D" w:rsidRDefault="00E4401D" w:rsidP="00902D71">
      <w:pPr>
        <w:tabs>
          <w:tab w:val="left" w:pos="540"/>
        </w:tabs>
        <w:mirrorIndents/>
        <w:jc w:val="both"/>
        <w:rPr>
          <w:rFonts w:ascii="Times New Roman" w:hAnsi="Times New Roman" w:cs="Times New Roman"/>
          <w:sz w:val="28"/>
          <w:szCs w:val="28"/>
        </w:rPr>
      </w:pPr>
      <w:r w:rsidRPr="00E4401D">
        <w:rPr>
          <w:rFonts w:ascii="Times New Roman" w:hAnsi="Times New Roman" w:cs="Times New Roman"/>
          <w:sz w:val="28"/>
          <w:szCs w:val="28"/>
        </w:rPr>
        <w:t>“</w:t>
      </w:r>
      <w:r w:rsidRPr="00E4401D">
        <w:rPr>
          <w:rFonts w:ascii="Times New Roman" w:hAnsi="Times New Roman" w:cs="Times New Roman"/>
          <w:sz w:val="28"/>
          <w:szCs w:val="28"/>
        </w:rPr>
        <w:t>PROPOSICIÓN MODIFICATORIA AL ARTÍCULO 55 DEL PROYECTO DE LEY N° 338 DE 2023 CÁMARA, N° 274 DE 2023 SENADO POR EL CUAL S</w:t>
      </w:r>
      <w:r w:rsidRPr="00E4401D">
        <w:rPr>
          <w:rFonts w:ascii="Times New Roman" w:hAnsi="Times New Roman" w:cs="Times New Roman"/>
          <w:sz w:val="28"/>
          <w:szCs w:val="28"/>
        </w:rPr>
        <w:t xml:space="preserve">E EXPIDE EL PLAN NACIONAL DE DESARROLLO 2022-2026 “COLOMBIA POTENCIA MUNDIAL DE LA VIDA”. </w:t>
      </w:r>
    </w:p>
    <w:p w:rsidR="0094006E" w:rsidRPr="00E4401D" w:rsidRDefault="00E4401D" w:rsidP="00902D71">
      <w:pPr>
        <w:tabs>
          <w:tab w:val="left" w:pos="540"/>
        </w:tabs>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El artículo 55 quedará así: </w:t>
      </w:r>
    </w:p>
    <w:p w:rsidR="0094006E" w:rsidRPr="00E4401D" w:rsidRDefault="00E4401D" w:rsidP="00902D71">
      <w:pPr>
        <w:tabs>
          <w:tab w:val="left" w:pos="540"/>
        </w:tabs>
        <w:mirrorIndents/>
        <w:jc w:val="both"/>
        <w:rPr>
          <w:rFonts w:ascii="Times New Roman" w:hAnsi="Times New Roman" w:cs="Times New Roman"/>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ARTÍCULO 55. MECANISMOS PARA FACILITAR Y DINAMIZAR LOS PROCESOS DE COMPRA DE TIERRAS POR OFERTA VOLUNTARIA. En el marco del procedimien</w:t>
      </w:r>
      <w:r w:rsidRPr="00E4401D">
        <w:rPr>
          <w:rFonts w:ascii="Times New Roman" w:hAnsi="Times New Roman" w:cs="Times New Roman"/>
          <w:i/>
          <w:iCs/>
          <w:sz w:val="28"/>
          <w:szCs w:val="28"/>
        </w:rPr>
        <w:t>to de compra por oferta voluntaria a cargo de la Agencia Nacional de Tierras (ANT), podrán adelantarse las siguientes medidas:</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1. Saneamiento para la compra de tierras. En los eventos en que la ANT, en el marco de sus funciones, adquiera inmuebles por neg</w:t>
      </w:r>
      <w:r w:rsidRPr="00E4401D">
        <w:rPr>
          <w:rFonts w:ascii="Times New Roman" w:hAnsi="Times New Roman" w:cs="Times New Roman"/>
          <w:i/>
          <w:iCs/>
          <w:sz w:val="28"/>
          <w:szCs w:val="28"/>
        </w:rPr>
        <w:t>ociación directa, operará a su favor el saneamiento sobre la existencia de limitaciones, gravámenes, afectaciones o medidas cautelares que impidan el uso, goce y disposición plena del predio, incluso las que surjan con posterioridad al proceso de adquisici</w:t>
      </w:r>
      <w:r w:rsidRPr="00E4401D">
        <w:rPr>
          <w:rFonts w:ascii="Times New Roman" w:hAnsi="Times New Roman" w:cs="Times New Roman"/>
          <w:i/>
          <w:iCs/>
          <w:sz w:val="28"/>
          <w:szCs w:val="28"/>
        </w:rPr>
        <w:t xml:space="preserve">ón. Lo anterior, sin perjuicio de las acciones indemnizatorias que procedan según la ley. En caso de ser necesario, </w:t>
      </w:r>
      <w:r w:rsidRPr="00E4401D">
        <w:rPr>
          <w:rFonts w:ascii="Times New Roman" w:hAnsi="Times New Roman" w:cs="Times New Roman"/>
          <w:i/>
          <w:iCs/>
          <w:sz w:val="28"/>
          <w:szCs w:val="28"/>
        </w:rPr>
        <w:t>c</w:t>
      </w:r>
      <w:r w:rsidRPr="00E4401D">
        <w:rPr>
          <w:rFonts w:ascii="Times New Roman" w:hAnsi="Times New Roman" w:cs="Times New Roman"/>
          <w:i/>
          <w:iCs/>
          <w:sz w:val="28"/>
          <w:szCs w:val="28"/>
        </w:rPr>
        <w:t>on cargo al precio de compra del inmueble, se asumirán las obligaciones causadas, tales como servicios públicos, obligaciones tributarias d</w:t>
      </w:r>
      <w:r w:rsidRPr="00E4401D">
        <w:rPr>
          <w:rFonts w:ascii="Times New Roman" w:hAnsi="Times New Roman" w:cs="Times New Roman"/>
          <w:i/>
          <w:iCs/>
          <w:sz w:val="28"/>
          <w:szCs w:val="28"/>
        </w:rPr>
        <w:t>el orden nacional y territorial, valorización y otras que recaigan sobre los inmuebles objeto de compra.</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El saneamiento previsto en el inciso anterior no operará en perjuicio de la presunción de bien baldío prevista en la Ley 160 de 1994. Así mismo, no op</w:t>
      </w:r>
      <w:r w:rsidRPr="00E4401D">
        <w:rPr>
          <w:rFonts w:ascii="Times New Roman" w:hAnsi="Times New Roman" w:cs="Times New Roman"/>
          <w:i/>
          <w:iCs/>
          <w:sz w:val="28"/>
          <w:szCs w:val="28"/>
        </w:rPr>
        <w:t>erará cuando i) se presente despojo por el conflicto armado, en términos de la Ley 1448 de 2011 y los Decretos ley 4633, 4634 y 4635 de 2011; ii) existan medidas o limitaciones asociadas a procesos de restitución de tierras, conforme lo prescrito por la Le</w:t>
      </w:r>
      <w:r w:rsidRPr="00E4401D">
        <w:rPr>
          <w:rFonts w:ascii="Times New Roman" w:hAnsi="Times New Roman" w:cs="Times New Roman"/>
          <w:i/>
          <w:iCs/>
          <w:sz w:val="28"/>
          <w:szCs w:val="28"/>
        </w:rPr>
        <w:t xml:space="preserve">y 1448 de 2011; iii) existan medidas de protección de conformidad con lo previsto en la Ley 387 de 1997; y iii) se estén adelantando procesos de clarificación de la propiedad, extinción del dominio por incumplimiento de la función social y ecológica de la </w:t>
      </w:r>
      <w:r w:rsidRPr="00E4401D">
        <w:rPr>
          <w:rFonts w:ascii="Times New Roman" w:hAnsi="Times New Roman" w:cs="Times New Roman"/>
          <w:i/>
          <w:iCs/>
          <w:sz w:val="28"/>
          <w:szCs w:val="28"/>
        </w:rPr>
        <w:t>propiedad, deslinde y recuperación de baldíos de que trata la Ley 160 de 1994.</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Sobre las tierras que pretenda adquirir la ANT se debe acreditar propiedad privada de conformidad con lo previsto en el artículo 48 de la Ley 160 de 1994, se debe cumplir con l</w:t>
      </w:r>
      <w:r w:rsidRPr="00E4401D">
        <w:rPr>
          <w:rFonts w:ascii="Times New Roman" w:hAnsi="Times New Roman" w:cs="Times New Roman"/>
          <w:i/>
          <w:iCs/>
          <w:sz w:val="28"/>
          <w:szCs w:val="28"/>
        </w:rPr>
        <w:t>as normas ambientales y agrarias, y deben estar en posesión de sus propietarios o del administrador del Frisco.</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2. Compra directa de tierras al FRISCO. La ANT podrá adquirir de manera directa:</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rPr>
        <w:t xml:space="preserve">a. Inmuebles rurales no sociales con medidas cautelares dentro del proceso de extinción de dominio, </w:t>
      </w:r>
      <w:r w:rsidRPr="00E4401D">
        <w:rPr>
          <w:rFonts w:ascii="Times New Roman" w:hAnsi="Times New Roman" w:cs="Times New Roman"/>
          <w:i/>
          <w:iCs/>
          <w:sz w:val="28"/>
          <w:szCs w:val="28"/>
          <w:u w:val="single"/>
        </w:rPr>
        <w:t xml:space="preserve">bajo la figura de enajenación temprana, o cualquier otro mecanismo que establezca la ley. En los eventos en los que se hubiera constituido reserva técnica, </w:t>
      </w:r>
      <w:r w:rsidRPr="00E4401D">
        <w:rPr>
          <w:rFonts w:ascii="Times New Roman" w:hAnsi="Times New Roman" w:cs="Times New Roman"/>
          <w:i/>
          <w:iCs/>
          <w:sz w:val="28"/>
          <w:szCs w:val="28"/>
          <w:u w:val="single"/>
        </w:rPr>
        <w:t>o se hubiere pagado el valor de venta y siempre que sea declarada la extinción de dominio, estos serán reintegrados en su totalidad al Fondo de Tierras.</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b. Inmuebles rurales propiedad de personas jurídicas incursas en procesos de liquidación y con medidas</w:t>
      </w:r>
      <w:r w:rsidRPr="00E4401D">
        <w:rPr>
          <w:rFonts w:ascii="Times New Roman" w:hAnsi="Times New Roman" w:cs="Times New Roman"/>
          <w:i/>
          <w:iCs/>
          <w:sz w:val="28"/>
          <w:szCs w:val="28"/>
        </w:rPr>
        <w:t xml:space="preserve"> cautelares dentro del proceso de extinción de dominio, bajo el mecanismo de enajenación temprana, de conformidad con lo establecido en el </w:t>
      </w:r>
      <w:r w:rsidRPr="00E4401D">
        <w:rPr>
          <w:rFonts w:ascii="Times New Roman" w:hAnsi="Times New Roman" w:cs="Times New Roman"/>
          <w:i/>
          <w:iCs/>
          <w:sz w:val="28"/>
          <w:szCs w:val="28"/>
        </w:rPr>
        <w:t>artículo</w:t>
      </w:r>
      <w:r w:rsidRPr="00E4401D">
        <w:rPr>
          <w:rFonts w:ascii="Times New Roman" w:hAnsi="Times New Roman" w:cs="Times New Roman"/>
          <w:i/>
          <w:iCs/>
          <w:sz w:val="28"/>
          <w:szCs w:val="28"/>
        </w:rPr>
        <w:t xml:space="preserve"> 93 de la Ley 1708 de 2014.</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Los predios deberán ser adquiridos por el precio base de venta definido en el av</w:t>
      </w:r>
      <w:r w:rsidRPr="00E4401D">
        <w:rPr>
          <w:rFonts w:ascii="Times New Roman" w:hAnsi="Times New Roman" w:cs="Times New Roman"/>
          <w:i/>
          <w:iCs/>
          <w:sz w:val="28"/>
          <w:szCs w:val="28"/>
        </w:rPr>
        <w:t>alúo comercial vigente al momento de la venta. El producto de la venta de estos bienes estará destinado a cancelar las deudas a cargo de la sociedad, respetando el proceso de liquidación, sus etapas y las prelaciones legales.</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c. Inmuebles rurales propieda</w:t>
      </w:r>
      <w:r w:rsidRPr="00E4401D">
        <w:rPr>
          <w:rFonts w:ascii="Times New Roman" w:hAnsi="Times New Roman" w:cs="Times New Roman"/>
          <w:i/>
          <w:iCs/>
          <w:sz w:val="28"/>
          <w:szCs w:val="28"/>
        </w:rPr>
        <w:t>d de personas jurídicas incursas en procesos de liquidación y sobre las que se declare la extinción de dominio, conforme lo establecido en el inciso segundo del artículo 105 de la Ley 1708 de 2014.</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Los predios deberán ser adquiridos por el precio base de </w:t>
      </w:r>
      <w:r w:rsidRPr="00E4401D">
        <w:rPr>
          <w:rFonts w:ascii="Times New Roman" w:hAnsi="Times New Roman" w:cs="Times New Roman"/>
          <w:i/>
          <w:iCs/>
          <w:sz w:val="28"/>
          <w:szCs w:val="28"/>
        </w:rPr>
        <w:t>venta definido en el avalúo comercial vigente al momento de la venta. El producto de la venta de estos bienes estará destinado a cancelar las deudas a cargo de la sociedad, respetando el proceso de liquidación, sus etapas y las prelaciones legales.</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rPr>
        <w:t>3. Com</w:t>
      </w:r>
      <w:r w:rsidRPr="00E4401D">
        <w:rPr>
          <w:rFonts w:ascii="Times New Roman" w:hAnsi="Times New Roman" w:cs="Times New Roman"/>
          <w:i/>
          <w:iCs/>
          <w:sz w:val="28"/>
          <w:szCs w:val="28"/>
        </w:rPr>
        <w:t xml:space="preserve">pra directa de tierras al Fondo para la Reparación de las Victimas. </w:t>
      </w:r>
      <w:r w:rsidRPr="00E4401D">
        <w:rPr>
          <w:rFonts w:ascii="Times New Roman" w:hAnsi="Times New Roman" w:cs="Times New Roman"/>
          <w:i/>
          <w:iCs/>
          <w:sz w:val="28"/>
          <w:szCs w:val="28"/>
          <w:u w:val="single"/>
        </w:rPr>
        <w:t>La ANT podrá adquirir de manera directa los inmuebles rurales del Fondo para la Reparación de las Victimas susceptibles de comercialización, de que trata el artículo 54 de la Ley 975 de 20</w:t>
      </w:r>
      <w:r w:rsidRPr="00E4401D">
        <w:rPr>
          <w:rFonts w:ascii="Times New Roman" w:hAnsi="Times New Roman" w:cs="Times New Roman"/>
          <w:i/>
          <w:iCs/>
          <w:sz w:val="28"/>
          <w:szCs w:val="28"/>
          <w:u w:val="single"/>
        </w:rPr>
        <w:t>05, los cuales serán adquiridos por el monto fijado mediante avalúo comercial vigente.</w:t>
      </w:r>
    </w:p>
    <w:p w:rsidR="00902D7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Cuando se trate de inmuebles rurales vinculados a acciones de extinción del derecho de dominio en curso, la ANT los podrá adquirir tempranamente por el precio base de v</w:t>
      </w:r>
      <w:r w:rsidRPr="00E4401D">
        <w:rPr>
          <w:rFonts w:ascii="Times New Roman" w:hAnsi="Times New Roman" w:cs="Times New Roman"/>
          <w:i/>
          <w:iCs/>
          <w:sz w:val="28"/>
          <w:szCs w:val="28"/>
          <w:u w:val="single"/>
        </w:rPr>
        <w:t>enta definido en el avalúo comercial vigente al momento de la venta. Para ello se aplicará el mecanismo de adquisición temprana establecido a continuación:</w:t>
      </w:r>
    </w:p>
    <w:p w:rsidR="00902D7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a. La Unidad Administrativa para la Reparación Integral de las Víctimas, en su condición de adminis</w:t>
      </w:r>
      <w:r w:rsidRPr="00E4401D">
        <w:rPr>
          <w:rFonts w:ascii="Times New Roman" w:hAnsi="Times New Roman" w:cs="Times New Roman"/>
          <w:i/>
          <w:iCs/>
          <w:sz w:val="28"/>
          <w:szCs w:val="28"/>
          <w:u w:val="single"/>
        </w:rPr>
        <w:t>tradora del Fondo para la Reparación de las Víctimas, podrá aplicar su reglamento interno para la enajenación de inmuebles rurales vinculados a acciones de extinción de dominio, siempre y cuando el comprador sea la ANT.</w:t>
      </w:r>
    </w:p>
    <w:p w:rsidR="00902D7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 xml:space="preserve">b. Una vez el inmueble sea vendido </w:t>
      </w:r>
      <w:r w:rsidRPr="00E4401D">
        <w:rPr>
          <w:rFonts w:ascii="Times New Roman" w:hAnsi="Times New Roman" w:cs="Times New Roman"/>
          <w:i/>
          <w:iCs/>
          <w:sz w:val="28"/>
          <w:szCs w:val="28"/>
          <w:u w:val="single"/>
        </w:rPr>
        <w:t>a la ANT, el administrador del Fondo para la Reparación de las Victimas deberá informar a la autoridad judicial que conoce del proceso de extinción de dominio.</w:t>
      </w:r>
    </w:p>
    <w:p w:rsidR="00902D7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c. Con los dineros producto de la venta, el administrador del Fondo para la Reparación de las V</w:t>
      </w:r>
      <w:r w:rsidRPr="00E4401D">
        <w:rPr>
          <w:rFonts w:ascii="Times New Roman" w:hAnsi="Times New Roman" w:cs="Times New Roman"/>
          <w:i/>
          <w:iCs/>
          <w:sz w:val="28"/>
          <w:szCs w:val="28"/>
          <w:u w:val="single"/>
        </w:rPr>
        <w:t>íctimas constituirá una reserva técnica del treinta por ciento (30%), destinada a cumplir las órdenes judiciales de devolución que recaigan sobre los inmuebles objeto de venta.</w:t>
      </w:r>
    </w:p>
    <w:p w:rsidR="009D7B53"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4. Transferencia directa por parte de otras entidades públicas. La ANT podrá</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adquirir de manera directa bienes inmuebles rurales de propiedad de las entidades públicas que cumplan con las condiciones para la implementación de programas de dotación de tierras.</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Las entidades de derecho público podrán realizar la transferencia a títu</w:t>
      </w:r>
      <w:r w:rsidRPr="00E4401D">
        <w:rPr>
          <w:rFonts w:ascii="Times New Roman" w:hAnsi="Times New Roman" w:cs="Times New Roman"/>
          <w:i/>
          <w:iCs/>
          <w:sz w:val="28"/>
          <w:szCs w:val="28"/>
        </w:rPr>
        <w:t>lo gratuito. En estos casos, la transferencia puede condicionar que la ANT comprometa la inversión de recursos. Estos recursos se destinarán a la compra de inmuebles para nuevas adjudicaciones, la adecuación de los bienes transferidos o su saneamiento.</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5. Identificación, priorización y compra de predios para la Reforma Rural Integral. Con el propósito de identificar predios idóneos para la reforma rural integral, el Ministerio de Agricultura y Desarrollo Rural (MADR), con el apoyo de la Unidad de Planifi</w:t>
      </w:r>
      <w:r w:rsidRPr="00E4401D">
        <w:rPr>
          <w:rFonts w:ascii="Times New Roman" w:hAnsi="Times New Roman" w:cs="Times New Roman"/>
          <w:i/>
          <w:iCs/>
          <w:sz w:val="28"/>
          <w:szCs w:val="28"/>
          <w:u w:val="single"/>
        </w:rPr>
        <w:t>cación Rural Agropecuaria (UPRA), adelantará análisis prediales a través de la consulta de información pública, plataformas institucionales, capas geográficas, uso de las tecnologías de la información y demás métodos indirectos. El análisis identificará lo</w:t>
      </w:r>
      <w:r w:rsidRPr="00E4401D">
        <w:rPr>
          <w:rFonts w:ascii="Times New Roman" w:hAnsi="Times New Roman" w:cs="Times New Roman"/>
          <w:i/>
          <w:iCs/>
          <w:sz w:val="28"/>
          <w:szCs w:val="28"/>
          <w:u w:val="single"/>
        </w:rPr>
        <w:t>s predios con áreas superiores a dos (2) Unidades Agrícolas Familiares (UAF), calculadas por la metodología de Zonas Relativamente Homogéneas. Los predios que cumplan con las condiciones anteriormente referidas constituirán la base para definir núcleos ter</w:t>
      </w:r>
      <w:r w:rsidRPr="00E4401D">
        <w:rPr>
          <w:rFonts w:ascii="Times New Roman" w:hAnsi="Times New Roman" w:cs="Times New Roman"/>
          <w:i/>
          <w:iCs/>
          <w:sz w:val="28"/>
          <w:szCs w:val="28"/>
          <w:u w:val="single"/>
        </w:rPr>
        <w:t>ritoriales para su intervención prioritaria.</w:t>
      </w:r>
    </w:p>
    <w:p w:rsidR="00902D7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EI MADR remitirá la información de los núcleos territoriales priorizados a la Agencia Nacional de Tierras (ANT), con el propósito de que esta entidad proceda a la identificación de predios idóneos para la Refor</w:t>
      </w:r>
      <w:r w:rsidRPr="00E4401D">
        <w:rPr>
          <w:rFonts w:ascii="Times New Roman" w:hAnsi="Times New Roman" w:cs="Times New Roman"/>
          <w:i/>
          <w:iCs/>
          <w:sz w:val="28"/>
          <w:szCs w:val="28"/>
          <w:u w:val="single"/>
        </w:rPr>
        <w:t>ma Rural Integral, y posterior aplicación del procedimiento de compra por oferta voluntaria.</w:t>
      </w:r>
    </w:p>
    <w:p w:rsidR="00902D7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En aquellos casos en los que los propietarios no procedan a la venta, la ANT adelantará</w:t>
      </w:r>
      <w:r w:rsidRPr="00E4401D">
        <w:rPr>
          <w:rFonts w:ascii="Times New Roman" w:hAnsi="Times New Roman" w:cs="Times New Roman"/>
          <w:i/>
          <w:iCs/>
          <w:sz w:val="28"/>
          <w:szCs w:val="28"/>
          <w:u w:val="single"/>
        </w:rPr>
        <w:t xml:space="preserve"> </w:t>
      </w:r>
      <w:r w:rsidRPr="00E4401D">
        <w:rPr>
          <w:rFonts w:ascii="Times New Roman" w:hAnsi="Times New Roman" w:cs="Times New Roman"/>
          <w:i/>
          <w:iCs/>
          <w:sz w:val="28"/>
          <w:szCs w:val="28"/>
          <w:u w:val="single"/>
        </w:rPr>
        <w:t>el análisis de la explotación económica del predio, requiriendo a su propi</w:t>
      </w:r>
      <w:r w:rsidRPr="00E4401D">
        <w:rPr>
          <w:rFonts w:ascii="Times New Roman" w:hAnsi="Times New Roman" w:cs="Times New Roman"/>
          <w:i/>
          <w:iCs/>
          <w:sz w:val="28"/>
          <w:szCs w:val="28"/>
          <w:u w:val="single"/>
        </w:rPr>
        <w:t>etario por una única vez, para que proceda a la enajenación de aquellas áreas que no se encuentren bajo aprovechamiento económico y que excedan la extensión de la UAF.</w:t>
      </w:r>
    </w:p>
    <w:p w:rsidR="00902D7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Cuando el propietario no acceda a la enajenación, la ANT aplicará los procedimientos ag</w:t>
      </w:r>
      <w:r w:rsidRPr="00E4401D">
        <w:rPr>
          <w:rFonts w:ascii="Times New Roman" w:hAnsi="Times New Roman" w:cs="Times New Roman"/>
          <w:i/>
          <w:iCs/>
          <w:sz w:val="28"/>
          <w:szCs w:val="28"/>
          <w:u w:val="single"/>
        </w:rPr>
        <w:t>rarios a los que haya lugar.</w:t>
      </w:r>
    </w:p>
    <w:p w:rsidR="00902D7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De manera simultánea, el Instituto Geográfico A</w:t>
      </w:r>
      <w:r w:rsidRPr="00E4401D">
        <w:rPr>
          <w:rFonts w:ascii="Times New Roman" w:hAnsi="Times New Roman" w:cs="Times New Roman"/>
          <w:i/>
          <w:iCs/>
          <w:sz w:val="28"/>
          <w:szCs w:val="28"/>
          <w:u w:val="single"/>
        </w:rPr>
        <w:t>g</w:t>
      </w:r>
      <w:r w:rsidRPr="00E4401D">
        <w:rPr>
          <w:rFonts w:ascii="Times New Roman" w:hAnsi="Times New Roman" w:cs="Times New Roman"/>
          <w:i/>
          <w:iCs/>
          <w:sz w:val="28"/>
          <w:szCs w:val="28"/>
          <w:u w:val="single"/>
        </w:rPr>
        <w:t>ustin Codazzi (IGAC) priorizará la actualización catastral en las zonas definidas por el MADR, a partir de la metodología que el Instituto defina para tal fin. En las áreas resta</w:t>
      </w:r>
      <w:r w:rsidRPr="00E4401D">
        <w:rPr>
          <w:rFonts w:ascii="Times New Roman" w:hAnsi="Times New Roman" w:cs="Times New Roman"/>
          <w:i/>
          <w:iCs/>
          <w:sz w:val="28"/>
          <w:szCs w:val="28"/>
          <w:u w:val="single"/>
        </w:rPr>
        <w:t>ntes de los municipios, el IGAC adelantará la actualización catastral de manera progresiva. Los gestores catastrales deberán aplicar e incorporar dicha modificación en sus respectivas bases catastrales.</w:t>
      </w:r>
    </w:p>
    <w:p w:rsidR="00902D7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6. Procedimientos de la autoridad de tierras que deb</w:t>
      </w:r>
      <w:r w:rsidRPr="00E4401D">
        <w:rPr>
          <w:rFonts w:ascii="Times New Roman" w:hAnsi="Times New Roman" w:cs="Times New Roman"/>
          <w:i/>
          <w:iCs/>
          <w:sz w:val="28"/>
          <w:szCs w:val="28"/>
          <w:u w:val="single"/>
        </w:rPr>
        <w:t xml:space="preserve">erán ser resueltos en fase administrativa. Para los asuntos de que trata los numerales 4, 5 y 7 del </w:t>
      </w:r>
      <w:r w:rsidRPr="00E4401D">
        <w:rPr>
          <w:rFonts w:ascii="Times New Roman" w:hAnsi="Times New Roman" w:cs="Times New Roman"/>
          <w:i/>
          <w:iCs/>
          <w:sz w:val="28"/>
          <w:szCs w:val="28"/>
          <w:u w:val="single"/>
        </w:rPr>
        <w:t>artículo</w:t>
      </w:r>
      <w:r w:rsidRPr="00E4401D">
        <w:rPr>
          <w:rFonts w:ascii="Times New Roman" w:hAnsi="Times New Roman" w:cs="Times New Roman"/>
          <w:i/>
          <w:iCs/>
          <w:sz w:val="28"/>
          <w:szCs w:val="28"/>
          <w:u w:val="single"/>
        </w:rPr>
        <w:t xml:space="preserve"> 58 del Decreto Ley 902 de 2017, la Agencia Nacional de Tierras (ANT), mediante acto administrativo fundamentado en el informe técnico </w:t>
      </w:r>
      <w:r w:rsidRPr="00E4401D">
        <w:rPr>
          <w:rFonts w:ascii="Times New Roman" w:hAnsi="Times New Roman" w:cs="Times New Roman"/>
          <w:i/>
          <w:iCs/>
          <w:sz w:val="28"/>
          <w:szCs w:val="28"/>
          <w:u w:val="single"/>
        </w:rPr>
        <w:t>jurídico</w:t>
      </w:r>
      <w:r w:rsidRPr="00E4401D">
        <w:rPr>
          <w:rFonts w:ascii="Times New Roman" w:hAnsi="Times New Roman" w:cs="Times New Roman"/>
          <w:i/>
          <w:iCs/>
          <w:sz w:val="28"/>
          <w:szCs w:val="28"/>
          <w:u w:val="single"/>
        </w:rPr>
        <w:t xml:space="preserve"> defi</w:t>
      </w:r>
      <w:r w:rsidRPr="00E4401D">
        <w:rPr>
          <w:rFonts w:ascii="Times New Roman" w:hAnsi="Times New Roman" w:cs="Times New Roman"/>
          <w:i/>
          <w:iCs/>
          <w:sz w:val="28"/>
          <w:szCs w:val="28"/>
          <w:u w:val="single"/>
        </w:rPr>
        <w:t>nitivo y demás pruebas</w:t>
      </w:r>
      <w:r w:rsidRPr="00E4401D">
        <w:rPr>
          <w:rFonts w:ascii="Times New Roman" w:hAnsi="Times New Roman" w:cs="Times New Roman"/>
          <w:i/>
          <w:iCs/>
          <w:sz w:val="28"/>
          <w:szCs w:val="28"/>
          <w:u w:val="single"/>
        </w:rPr>
        <w:t xml:space="preserve"> </w:t>
      </w:r>
      <w:r w:rsidRPr="00E4401D">
        <w:rPr>
          <w:rFonts w:ascii="Times New Roman" w:hAnsi="Times New Roman" w:cs="Times New Roman"/>
          <w:i/>
          <w:iCs/>
          <w:sz w:val="28"/>
          <w:szCs w:val="28"/>
          <w:u w:val="single"/>
        </w:rPr>
        <w:t>recaudadas, tomará la decisión de fondo que corresponda.</w:t>
      </w:r>
    </w:p>
    <w:p w:rsidR="00411694"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 xml:space="preserve">En firme dicho acto administrativo, la ANT </w:t>
      </w:r>
      <w:r w:rsidRPr="00E4401D">
        <w:rPr>
          <w:rFonts w:ascii="Times New Roman" w:hAnsi="Times New Roman" w:cs="Times New Roman"/>
          <w:i/>
          <w:iCs/>
          <w:sz w:val="28"/>
          <w:szCs w:val="28"/>
          <w:u w:val="single"/>
        </w:rPr>
        <w:t>procederá</w:t>
      </w:r>
      <w:r w:rsidRPr="00E4401D">
        <w:rPr>
          <w:rFonts w:ascii="Times New Roman" w:hAnsi="Times New Roman" w:cs="Times New Roman"/>
          <w:i/>
          <w:iCs/>
          <w:sz w:val="28"/>
          <w:szCs w:val="28"/>
          <w:u w:val="single"/>
        </w:rPr>
        <w:t xml:space="preserve"> a su radicación en la Oficina de Registro de Instrumentos Públicos del círculo donde se encuentra el predio, con el fin de que se realice el respectivo registro en el folio de matrícula inmobiliaria.</w:t>
      </w:r>
    </w:p>
    <w:p w:rsidR="0020096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Los particulares que aduzcan tener derechos reales sob</w:t>
      </w:r>
      <w:r w:rsidRPr="00E4401D">
        <w:rPr>
          <w:rFonts w:ascii="Times New Roman" w:hAnsi="Times New Roman" w:cs="Times New Roman"/>
          <w:i/>
          <w:iCs/>
          <w:sz w:val="28"/>
          <w:szCs w:val="28"/>
          <w:u w:val="single"/>
        </w:rPr>
        <w:t>re los predios sometidos a los asuntos indicados, podrán ejercer únicamente la acción de nulidad agraria de que trata el artículo 39 de dicho decreto.</w:t>
      </w:r>
    </w:p>
    <w:p w:rsidR="00902D7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Dicha acción operará como control judicial frente al acto administrativo en el que se toma la decisión d</w:t>
      </w:r>
      <w:r w:rsidRPr="00E4401D">
        <w:rPr>
          <w:rFonts w:ascii="Times New Roman" w:hAnsi="Times New Roman" w:cs="Times New Roman"/>
          <w:i/>
          <w:iCs/>
          <w:sz w:val="28"/>
          <w:szCs w:val="28"/>
          <w:u w:val="single"/>
        </w:rPr>
        <w:t>e fondo. Para su interposición, el accionante contará con un término de tres (3) años, contados a partir de la fecha de inscripción del acto administrativo en el folio de matrícula inmobiliaria. Esta acción podrá interponerse directamente, sin necesidad de</w:t>
      </w:r>
      <w:r w:rsidRPr="00E4401D">
        <w:rPr>
          <w:rFonts w:ascii="Times New Roman" w:hAnsi="Times New Roman" w:cs="Times New Roman"/>
          <w:i/>
          <w:iCs/>
          <w:sz w:val="28"/>
          <w:szCs w:val="28"/>
          <w:u w:val="single"/>
        </w:rPr>
        <w:t xml:space="preserve"> haber agotado los recursos contra el acto administrativo.</w:t>
      </w:r>
    </w:p>
    <w:p w:rsidR="00902D7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En los eventos en los que el juez disponga la suspensión provisional del acto administrativo en el marco de la acción de nulidad agraria, la ANT podrá disponer del inmueble conforme a sus competen</w:t>
      </w:r>
      <w:r w:rsidRPr="00E4401D">
        <w:rPr>
          <w:rFonts w:ascii="Times New Roman" w:hAnsi="Times New Roman" w:cs="Times New Roman"/>
          <w:i/>
          <w:iCs/>
          <w:sz w:val="28"/>
          <w:szCs w:val="28"/>
          <w:u w:val="single"/>
        </w:rPr>
        <w:t xml:space="preserve">cias legales, siempre y cuando constituya una reserva destinada a cumplir las órdenes judiciales que se puedan dar en favor de los accionantes. Dicha reserva podrá ser constituida con recursos de su presupuesto, </w:t>
      </w:r>
      <w:r w:rsidRPr="00E4401D">
        <w:rPr>
          <w:rFonts w:ascii="Times New Roman" w:hAnsi="Times New Roman" w:cs="Times New Roman"/>
          <w:i/>
          <w:iCs/>
          <w:sz w:val="28"/>
          <w:szCs w:val="28"/>
          <w:u w:val="single"/>
        </w:rPr>
        <w:t>vehículos</w:t>
      </w:r>
      <w:r w:rsidRPr="00E4401D">
        <w:rPr>
          <w:rFonts w:ascii="Times New Roman" w:hAnsi="Times New Roman" w:cs="Times New Roman"/>
          <w:i/>
          <w:iCs/>
          <w:sz w:val="28"/>
          <w:szCs w:val="28"/>
          <w:u w:val="single"/>
        </w:rPr>
        <w:t xml:space="preserve"> financieros públicos y/o cuentas e</w:t>
      </w:r>
      <w:r w:rsidRPr="00E4401D">
        <w:rPr>
          <w:rFonts w:ascii="Times New Roman" w:hAnsi="Times New Roman" w:cs="Times New Roman"/>
          <w:i/>
          <w:iCs/>
          <w:sz w:val="28"/>
          <w:szCs w:val="28"/>
          <w:u w:val="single"/>
        </w:rPr>
        <w:t>speciales de la Nación.</w:t>
      </w:r>
    </w:p>
    <w:p w:rsidR="00BF192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Los procedimientos especiales agrarios que hubiesen pasado a etapa judicial, empero no hayan surtido la fase probatoria en dicha instancia, podrán ser reasumidos, mediante acto administrativo, por la Agencia Nacional de Tierras y t</w:t>
      </w:r>
      <w:r w:rsidRPr="00E4401D">
        <w:rPr>
          <w:rFonts w:ascii="Times New Roman" w:hAnsi="Times New Roman" w:cs="Times New Roman"/>
          <w:i/>
          <w:iCs/>
          <w:sz w:val="28"/>
          <w:szCs w:val="28"/>
          <w:u w:val="single"/>
        </w:rPr>
        <w:t xml:space="preserve">ramitarse atendiendo las disposiciones </w:t>
      </w:r>
      <w:r w:rsidRPr="00E4401D">
        <w:rPr>
          <w:rFonts w:ascii="Times New Roman" w:hAnsi="Times New Roman" w:cs="Times New Roman"/>
          <w:i/>
          <w:iCs/>
          <w:sz w:val="28"/>
          <w:szCs w:val="28"/>
          <w:u w:val="single"/>
        </w:rPr>
        <w:t>acá</w:t>
      </w:r>
      <w:r w:rsidRPr="00E4401D">
        <w:rPr>
          <w:rFonts w:ascii="Times New Roman" w:hAnsi="Times New Roman" w:cs="Times New Roman"/>
          <w:i/>
          <w:iCs/>
          <w:sz w:val="28"/>
          <w:szCs w:val="28"/>
          <w:u w:val="single"/>
        </w:rPr>
        <w:t xml:space="preserve"> contenidas.</w:t>
      </w:r>
    </w:p>
    <w:p w:rsidR="00BF192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 xml:space="preserve">PARAGRAFO PRIMERO. En los mecanismos de compra previstos en los numerales 2, 3 y 4 del presente </w:t>
      </w:r>
      <w:r w:rsidRPr="00E4401D">
        <w:rPr>
          <w:rFonts w:ascii="Times New Roman" w:hAnsi="Times New Roman" w:cs="Times New Roman"/>
          <w:i/>
          <w:iCs/>
          <w:sz w:val="28"/>
          <w:szCs w:val="28"/>
          <w:u w:val="single"/>
        </w:rPr>
        <w:t>artículo</w:t>
      </w:r>
      <w:r w:rsidRPr="00E4401D">
        <w:rPr>
          <w:rFonts w:ascii="Times New Roman" w:hAnsi="Times New Roman" w:cs="Times New Roman"/>
          <w:i/>
          <w:iCs/>
          <w:sz w:val="28"/>
          <w:szCs w:val="28"/>
          <w:u w:val="single"/>
        </w:rPr>
        <w:t>, la ANT tendrá la primera opción de compra.</w:t>
      </w:r>
    </w:p>
    <w:p w:rsidR="00902D71" w:rsidRPr="00E4401D" w:rsidRDefault="00E4401D" w:rsidP="00902D71">
      <w:pPr>
        <w:tabs>
          <w:tab w:val="left" w:pos="540"/>
        </w:tabs>
        <w:mirrorIndents/>
        <w:jc w:val="both"/>
        <w:rPr>
          <w:rFonts w:ascii="Times New Roman" w:hAnsi="Times New Roman" w:cs="Times New Roman"/>
          <w:i/>
          <w:iCs/>
          <w:sz w:val="28"/>
          <w:szCs w:val="28"/>
          <w:u w:val="single"/>
        </w:rPr>
      </w:pPr>
    </w:p>
    <w:p w:rsidR="00902D71" w:rsidRPr="00E4401D" w:rsidRDefault="00E4401D" w:rsidP="00902D71">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PARAGRAFO SEGUNDO. Los literales a y b del numeral</w:t>
      </w:r>
      <w:r w:rsidRPr="00E4401D">
        <w:rPr>
          <w:rFonts w:ascii="Times New Roman" w:hAnsi="Times New Roman" w:cs="Times New Roman"/>
          <w:i/>
          <w:iCs/>
          <w:sz w:val="28"/>
          <w:szCs w:val="28"/>
        </w:rPr>
        <w:t xml:space="preserve"> 2 del presente articulo constituyen supuestos adicionales a las reglas aplicables para la enajenación temprana. previstos en la legislación vigente.</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902D71" w:rsidRPr="00E4401D" w:rsidRDefault="00E4401D" w:rsidP="00902D71">
      <w:pPr>
        <w:tabs>
          <w:tab w:val="left" w:pos="540"/>
        </w:tabs>
        <w:mirrorIndents/>
        <w:jc w:val="both"/>
        <w:rPr>
          <w:rFonts w:ascii="Times New Roman" w:hAnsi="Times New Roman" w:cs="Times New Roman"/>
          <w:i/>
          <w:iCs/>
          <w:sz w:val="28"/>
          <w:szCs w:val="28"/>
          <w:u w:val="single"/>
        </w:rPr>
      </w:pPr>
      <w:r w:rsidRPr="00E4401D">
        <w:rPr>
          <w:rFonts w:ascii="Times New Roman" w:hAnsi="Times New Roman" w:cs="Times New Roman"/>
          <w:i/>
          <w:iCs/>
          <w:sz w:val="28"/>
          <w:szCs w:val="28"/>
          <w:u w:val="single"/>
        </w:rPr>
        <w:t xml:space="preserve">PARÁGRAFO TERCERO. El numeral 6 del presente articulo deroga el inciso segundo del </w:t>
      </w:r>
      <w:r w:rsidRPr="00E4401D">
        <w:rPr>
          <w:rFonts w:ascii="Times New Roman" w:hAnsi="Times New Roman" w:cs="Times New Roman"/>
          <w:i/>
          <w:iCs/>
          <w:sz w:val="28"/>
          <w:szCs w:val="28"/>
          <w:u w:val="single"/>
        </w:rPr>
        <w:t>artículo</w:t>
      </w:r>
      <w:r w:rsidRPr="00E4401D">
        <w:rPr>
          <w:rFonts w:ascii="Times New Roman" w:hAnsi="Times New Roman" w:cs="Times New Roman"/>
          <w:i/>
          <w:iCs/>
          <w:sz w:val="28"/>
          <w:szCs w:val="28"/>
          <w:u w:val="single"/>
        </w:rPr>
        <w:t xml:space="preserve"> 39, el numera</w:t>
      </w:r>
      <w:r w:rsidRPr="00E4401D">
        <w:rPr>
          <w:rFonts w:ascii="Times New Roman" w:hAnsi="Times New Roman" w:cs="Times New Roman"/>
          <w:i/>
          <w:iCs/>
          <w:sz w:val="28"/>
          <w:szCs w:val="28"/>
          <w:u w:val="single"/>
        </w:rPr>
        <w:t xml:space="preserve">l 2 del </w:t>
      </w:r>
      <w:r w:rsidRPr="00E4401D">
        <w:rPr>
          <w:rFonts w:ascii="Times New Roman" w:hAnsi="Times New Roman" w:cs="Times New Roman"/>
          <w:i/>
          <w:iCs/>
          <w:sz w:val="28"/>
          <w:szCs w:val="28"/>
          <w:u w:val="single"/>
        </w:rPr>
        <w:t>artículo</w:t>
      </w:r>
      <w:r w:rsidRPr="00E4401D">
        <w:rPr>
          <w:rFonts w:ascii="Times New Roman" w:hAnsi="Times New Roman" w:cs="Times New Roman"/>
          <w:i/>
          <w:iCs/>
          <w:sz w:val="28"/>
          <w:szCs w:val="28"/>
          <w:u w:val="single"/>
        </w:rPr>
        <w:t xml:space="preserve"> 60, el inciso segundo del </w:t>
      </w:r>
      <w:r w:rsidRPr="00E4401D">
        <w:rPr>
          <w:rFonts w:ascii="Times New Roman" w:hAnsi="Times New Roman" w:cs="Times New Roman"/>
          <w:i/>
          <w:iCs/>
          <w:sz w:val="28"/>
          <w:szCs w:val="28"/>
          <w:u w:val="single"/>
        </w:rPr>
        <w:t>artículo</w:t>
      </w:r>
      <w:r w:rsidRPr="00E4401D">
        <w:rPr>
          <w:rFonts w:ascii="Times New Roman" w:hAnsi="Times New Roman" w:cs="Times New Roman"/>
          <w:i/>
          <w:iCs/>
          <w:sz w:val="28"/>
          <w:szCs w:val="28"/>
          <w:u w:val="single"/>
        </w:rPr>
        <w:t xml:space="preserve"> 61, el articulo 75 y el inciso tercero del </w:t>
      </w:r>
      <w:r w:rsidRPr="00E4401D">
        <w:rPr>
          <w:rFonts w:ascii="Times New Roman" w:hAnsi="Times New Roman" w:cs="Times New Roman"/>
          <w:i/>
          <w:iCs/>
          <w:sz w:val="28"/>
          <w:szCs w:val="28"/>
          <w:u w:val="single"/>
        </w:rPr>
        <w:t>artículo</w:t>
      </w:r>
      <w:r w:rsidRPr="00E4401D">
        <w:rPr>
          <w:rFonts w:ascii="Times New Roman" w:hAnsi="Times New Roman" w:cs="Times New Roman"/>
          <w:i/>
          <w:iCs/>
          <w:sz w:val="28"/>
          <w:szCs w:val="28"/>
          <w:u w:val="single"/>
        </w:rPr>
        <w:t xml:space="preserve"> 76, solo en lo que respecta a los asuntos de que trata los numerales 4, 5 y 7 del artículo 58 del Decreto Ley 902 de 2017; y las demás normas procedimen</w:t>
      </w:r>
      <w:r w:rsidRPr="00E4401D">
        <w:rPr>
          <w:rFonts w:ascii="Times New Roman" w:hAnsi="Times New Roman" w:cs="Times New Roman"/>
          <w:i/>
          <w:iCs/>
          <w:sz w:val="28"/>
          <w:szCs w:val="28"/>
          <w:u w:val="single"/>
        </w:rPr>
        <w:t>tales que contradigan su contenido.</w:t>
      </w:r>
    </w:p>
    <w:p w:rsidR="00902D71" w:rsidRPr="00E4401D" w:rsidRDefault="00E4401D" w:rsidP="00902D71">
      <w:pPr>
        <w:tabs>
          <w:tab w:val="left" w:pos="540"/>
        </w:tabs>
        <w:mirrorIndents/>
        <w:jc w:val="both"/>
        <w:rPr>
          <w:rFonts w:ascii="Times New Roman" w:hAnsi="Times New Roman" w:cs="Times New Roman"/>
          <w:i/>
          <w:iCs/>
          <w:sz w:val="28"/>
          <w:szCs w:val="28"/>
        </w:rPr>
      </w:pPr>
    </w:p>
    <w:p w:rsidR="00882DA9" w:rsidRPr="00E4401D" w:rsidRDefault="00E4401D" w:rsidP="00902D71">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PARAGRAFO CUARTO. El cumplimiento de lo dispuesto en este artículo estará sujeto al Marco Fiscal de Mediano Plazo, el Marco de Gasto de Mediano Plazo del correspondiente sector y a las disponibilidades presupuestales.</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61"/>
      </w:r>
    </w:p>
    <w:p w:rsidR="00335231" w:rsidRPr="00E4401D" w:rsidRDefault="00E4401D" w:rsidP="00335231">
      <w:pPr>
        <w:pStyle w:val="Prrafodelista"/>
        <w:ind w:left="0"/>
        <w:jc w:val="both"/>
        <w:rPr>
          <w:rFonts w:ascii="Times New Roman" w:hAnsi="Times New Roman" w:cs="Times New Roman"/>
          <w:sz w:val="28"/>
          <w:szCs w:val="28"/>
        </w:rPr>
      </w:pPr>
    </w:p>
    <w:p w:rsidR="00463FB2" w:rsidRPr="00E4401D" w:rsidRDefault="00E4401D" w:rsidP="00335231">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Durante la sesión plenaria del Senado de la República, celebrada el 2 de mayo de 2023, el presidente del Senado solicitó al equipo de Gobierno que presentara las proposiciones al proyecto de ley que contaran con su aval, con el fin de leerlas y posterio</w:t>
      </w:r>
      <w:r w:rsidRPr="00E4401D">
        <w:rPr>
          <w:rFonts w:ascii="Times New Roman" w:hAnsi="Times New Roman" w:cs="Times New Roman"/>
          <w:sz w:val="28"/>
          <w:szCs w:val="28"/>
        </w:rPr>
        <w:t>rmente votarlas en bloque. Entre estas proposiciones se encontraba la modificatoria al artículo 55 del proyecto.</w:t>
      </w:r>
      <w:r w:rsidRPr="00E4401D">
        <w:rPr>
          <w:rStyle w:val="Refdenotaalpie"/>
          <w:rFonts w:ascii="Times New Roman" w:hAnsi="Times New Roman" w:cs="Times New Roman"/>
          <w:sz w:val="28"/>
          <w:szCs w:val="28"/>
        </w:rPr>
        <w:footnoteReference w:id="62"/>
      </w:r>
    </w:p>
    <w:p w:rsidR="00463FB2" w:rsidRPr="00E4401D" w:rsidRDefault="00E4401D" w:rsidP="00BA5B06">
      <w:pPr>
        <w:pStyle w:val="Prrafodelista"/>
        <w:rPr>
          <w:rFonts w:ascii="Times New Roman" w:hAnsi="Times New Roman" w:cs="Times New Roman"/>
          <w:sz w:val="28"/>
          <w:szCs w:val="28"/>
        </w:rPr>
      </w:pPr>
    </w:p>
    <w:p w:rsidR="00335231" w:rsidRPr="00E4401D" w:rsidRDefault="00E4401D" w:rsidP="00335231">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El alcance de esta proposición modificatoria fue explicado por el entonces presidente del Senado en los siguientes términos: </w:t>
      </w:r>
    </w:p>
    <w:p w:rsidR="00335231" w:rsidRPr="00E4401D" w:rsidRDefault="00E4401D" w:rsidP="00335231">
      <w:pPr>
        <w:pStyle w:val="Prrafodelista"/>
        <w:ind w:left="0"/>
        <w:jc w:val="both"/>
        <w:rPr>
          <w:rFonts w:ascii="Times New Roman" w:hAnsi="Times New Roman" w:cs="Times New Roman"/>
          <w:sz w:val="28"/>
          <w:szCs w:val="28"/>
        </w:rPr>
      </w:pPr>
    </w:p>
    <w:p w:rsidR="00335231" w:rsidRPr="00E4401D" w:rsidRDefault="00E4401D" w:rsidP="00335231">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w:t>
      </w:r>
      <w:r w:rsidRPr="00E4401D">
        <w:rPr>
          <w:rFonts w:ascii="Times New Roman" w:hAnsi="Times New Roman" w:cs="Times New Roman"/>
          <w:i/>
          <w:iCs/>
          <w:sz w:val="28"/>
          <w:szCs w:val="28"/>
        </w:rPr>
        <w:t>y la prop</w:t>
      </w:r>
      <w:r w:rsidRPr="00E4401D">
        <w:rPr>
          <w:rFonts w:ascii="Times New Roman" w:hAnsi="Times New Roman" w:cs="Times New Roman"/>
          <w:i/>
          <w:iCs/>
          <w:sz w:val="28"/>
          <w:szCs w:val="28"/>
        </w:rPr>
        <w:t xml:space="preserve">osición que se refiere al artículo 55 avalada, también, y con </w:t>
      </w:r>
      <w:r w:rsidRPr="00E4401D">
        <w:rPr>
          <w:rFonts w:ascii="Times New Roman" w:hAnsi="Times New Roman" w:cs="Times New Roman"/>
          <w:i/>
          <w:iCs/>
          <w:sz w:val="28"/>
          <w:szCs w:val="28"/>
        </w:rPr>
        <w:t>múltiples</w:t>
      </w:r>
      <w:r w:rsidRPr="00E4401D">
        <w:rPr>
          <w:rFonts w:ascii="Times New Roman" w:hAnsi="Times New Roman" w:cs="Times New Roman"/>
          <w:i/>
          <w:iCs/>
          <w:sz w:val="28"/>
          <w:szCs w:val="28"/>
        </w:rPr>
        <w:t xml:space="preserve"> firmas, tengo N firmas, la de la Senadora Liliana, la de la Senadora Clara Lopez, Angélica Lozano, en fin, Aída Avella, artículo 55 y esa</w:t>
      </w:r>
      <w:r w:rsidRPr="00E4401D">
        <w:rPr>
          <w:rFonts w:ascii="Times New Roman" w:hAnsi="Times New Roman" w:cs="Times New Roman"/>
          <w:i/>
          <w:iCs/>
          <w:sz w:val="28"/>
          <w:szCs w:val="28"/>
        </w:rPr>
        <w:t xml:space="preserve"> proposición agrega, entre otros, en el numeral</w:t>
      </w:r>
      <w:r w:rsidRPr="00E4401D">
        <w:rPr>
          <w:rFonts w:ascii="Times New Roman" w:hAnsi="Times New Roman" w:cs="Times New Roman"/>
          <w:i/>
          <w:iCs/>
          <w:sz w:val="28"/>
          <w:szCs w:val="28"/>
        </w:rPr>
        <w:t xml:space="preserve"> dos, inmuebles rurales no sociales con medidas cautelares dentro del proceso de extinción de dominio, bajo de la figura </w:t>
      </w:r>
      <w:r w:rsidRPr="00E4401D">
        <w:rPr>
          <w:rFonts w:ascii="Times New Roman" w:hAnsi="Times New Roman" w:cs="Times New Roman"/>
          <w:i/>
          <w:iCs/>
          <w:sz w:val="28"/>
          <w:szCs w:val="28"/>
        </w:rPr>
        <w:t xml:space="preserve">enajenación </w:t>
      </w:r>
      <w:r w:rsidRPr="00E4401D">
        <w:rPr>
          <w:rFonts w:ascii="Times New Roman" w:hAnsi="Times New Roman" w:cs="Times New Roman"/>
          <w:i/>
          <w:iCs/>
          <w:sz w:val="28"/>
          <w:szCs w:val="28"/>
        </w:rPr>
        <w:t>tempran</w:t>
      </w:r>
      <w:r w:rsidRPr="00E4401D">
        <w:rPr>
          <w:rFonts w:ascii="Times New Roman" w:hAnsi="Times New Roman" w:cs="Times New Roman"/>
          <w:i/>
          <w:iCs/>
          <w:sz w:val="28"/>
          <w:szCs w:val="28"/>
        </w:rPr>
        <w:t>a</w:t>
      </w:r>
      <w:r w:rsidRPr="00E4401D">
        <w:rPr>
          <w:rFonts w:ascii="Times New Roman" w:hAnsi="Times New Roman" w:cs="Times New Roman"/>
          <w:i/>
          <w:iCs/>
          <w:sz w:val="28"/>
          <w:szCs w:val="28"/>
        </w:rPr>
        <w:t xml:space="preserve"> de cualquier otro mecanismo que establezca la ley, en los eventos en los que se hubiera constituido reserva técnic</w:t>
      </w:r>
      <w:r w:rsidRPr="00E4401D">
        <w:rPr>
          <w:rFonts w:ascii="Times New Roman" w:hAnsi="Times New Roman" w:cs="Times New Roman"/>
          <w:i/>
          <w:iCs/>
          <w:sz w:val="28"/>
          <w:szCs w:val="28"/>
        </w:rPr>
        <w:t>a, o si hubiera pagado el valor de venta y siempre que sea declara la extinción de dominio, serán reintegrados al Fondo de Tierras, esa</w:t>
      </w:r>
      <w:r w:rsidRPr="00E4401D">
        <w:rPr>
          <w:rFonts w:ascii="Times New Roman" w:hAnsi="Times New Roman" w:cs="Times New Roman"/>
          <w:i/>
          <w:iCs/>
          <w:sz w:val="28"/>
          <w:szCs w:val="28"/>
        </w:rPr>
        <w:t xml:space="preserve"> es</w:t>
      </w:r>
      <w:r w:rsidRPr="00E4401D">
        <w:rPr>
          <w:rFonts w:ascii="Times New Roman" w:hAnsi="Times New Roman" w:cs="Times New Roman"/>
          <w:i/>
          <w:iCs/>
          <w:sz w:val="28"/>
          <w:szCs w:val="28"/>
        </w:rPr>
        <w:t xml:space="preserve"> una proposición avalada por el Gobierno y con la firma de 30 Senadores.</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63"/>
      </w:r>
    </w:p>
    <w:p w:rsidR="00335231" w:rsidRPr="00E4401D" w:rsidRDefault="00E4401D" w:rsidP="00335231">
      <w:pPr>
        <w:pStyle w:val="Prrafodelista"/>
        <w:ind w:left="0"/>
        <w:jc w:val="both"/>
        <w:rPr>
          <w:rFonts w:ascii="Times New Roman" w:hAnsi="Times New Roman" w:cs="Times New Roman"/>
          <w:sz w:val="28"/>
          <w:szCs w:val="28"/>
        </w:rPr>
      </w:pPr>
    </w:p>
    <w:p w:rsidR="00A7360B" w:rsidRPr="00E4401D" w:rsidRDefault="00E4401D" w:rsidP="000858D1">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Posteriormente, en la misma sesión, la di</w:t>
      </w:r>
      <w:r w:rsidRPr="00E4401D">
        <w:rPr>
          <w:rFonts w:ascii="Times New Roman" w:hAnsi="Times New Roman" w:cs="Times New Roman"/>
          <w:sz w:val="28"/>
          <w:szCs w:val="28"/>
        </w:rPr>
        <w:t xml:space="preserve">sposición fue votada en bloque junto con las demás proposiciones modificativas o aditivas que tenían aval del Ministerio de Hacienda y Crédito Público. </w:t>
      </w:r>
      <w:r w:rsidRPr="00E4401D">
        <w:rPr>
          <w:rFonts w:ascii="Times New Roman" w:hAnsi="Times New Roman" w:cs="Times New Roman"/>
          <w:sz w:val="28"/>
          <w:szCs w:val="28"/>
        </w:rPr>
        <w:t xml:space="preserve">Se obtuvieron </w:t>
      </w:r>
      <w:r w:rsidRPr="00E4401D">
        <w:rPr>
          <w:rFonts w:ascii="Times New Roman" w:hAnsi="Times New Roman" w:cs="Times New Roman"/>
          <w:sz w:val="28"/>
          <w:szCs w:val="28"/>
        </w:rPr>
        <w:t xml:space="preserve">60 </w:t>
      </w:r>
      <w:r w:rsidRPr="00E4401D">
        <w:rPr>
          <w:rFonts w:ascii="Times New Roman" w:hAnsi="Times New Roman" w:cs="Times New Roman"/>
          <w:sz w:val="28"/>
          <w:szCs w:val="28"/>
        </w:rPr>
        <w:t xml:space="preserve">votos </w:t>
      </w:r>
      <w:r w:rsidRPr="00E4401D">
        <w:rPr>
          <w:rFonts w:ascii="Times New Roman" w:hAnsi="Times New Roman" w:cs="Times New Roman"/>
          <w:sz w:val="28"/>
          <w:szCs w:val="28"/>
        </w:rPr>
        <w:t>por el sí y 14 por el no. De este modo quedó aprobada la proposición.</w:t>
      </w:r>
      <w:r w:rsidRPr="00E4401D">
        <w:rPr>
          <w:rStyle w:val="Refdenotaalpie"/>
          <w:rFonts w:ascii="Times New Roman" w:hAnsi="Times New Roman" w:cs="Times New Roman"/>
          <w:sz w:val="28"/>
          <w:szCs w:val="28"/>
        </w:rPr>
        <w:footnoteReference w:id="64"/>
      </w:r>
    </w:p>
    <w:p w:rsidR="00161F9F" w:rsidRPr="00E4401D" w:rsidRDefault="00E4401D" w:rsidP="00161F9F">
      <w:pPr>
        <w:pStyle w:val="Prrafodelista"/>
        <w:ind w:left="0"/>
        <w:jc w:val="both"/>
        <w:rPr>
          <w:rFonts w:ascii="Times New Roman" w:hAnsi="Times New Roman" w:cs="Times New Roman"/>
          <w:sz w:val="28"/>
          <w:szCs w:val="28"/>
        </w:rPr>
      </w:pPr>
    </w:p>
    <w:p w:rsidR="00161F9F" w:rsidRPr="00E4401D" w:rsidRDefault="00E4401D" w:rsidP="000858D1">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E</w:t>
      </w:r>
      <w:r w:rsidRPr="00E4401D">
        <w:rPr>
          <w:rFonts w:ascii="Times New Roman" w:hAnsi="Times New Roman" w:cs="Times New Roman"/>
          <w:sz w:val="28"/>
          <w:szCs w:val="28"/>
        </w:rPr>
        <w:t xml:space="preserve">s </w:t>
      </w:r>
      <w:r w:rsidRPr="00E4401D">
        <w:rPr>
          <w:rFonts w:ascii="Times New Roman" w:hAnsi="Times New Roman" w:cs="Times New Roman"/>
          <w:sz w:val="28"/>
          <w:szCs w:val="28"/>
        </w:rPr>
        <w:t>preciso advertir que e</w:t>
      </w:r>
      <w:r w:rsidRPr="00E4401D">
        <w:rPr>
          <w:rFonts w:ascii="Times New Roman" w:hAnsi="Times New Roman" w:cs="Times New Roman"/>
          <w:sz w:val="28"/>
          <w:szCs w:val="28"/>
        </w:rPr>
        <w:t>n la Sentencia C-294 de 2024 la Corte también analizó el trámite de aprobación del artículo 61 de la Ley 2294 de 2023 con ocasión de una demanda formulada contra el numeral 6 y el parágrafo de esta disposición por la violación del pri</w:t>
      </w:r>
      <w:r w:rsidRPr="00E4401D">
        <w:rPr>
          <w:rFonts w:ascii="Times New Roman" w:hAnsi="Times New Roman" w:cs="Times New Roman"/>
          <w:sz w:val="28"/>
          <w:szCs w:val="28"/>
        </w:rPr>
        <w:t xml:space="preserve">ncipio de publicidad. La Sala Plena constató que </w:t>
      </w:r>
      <w:r w:rsidRPr="00E4401D">
        <w:rPr>
          <w:rFonts w:ascii="Times New Roman" w:hAnsi="Times New Roman" w:cs="Times New Roman"/>
          <w:i/>
          <w:iCs/>
          <w:sz w:val="28"/>
          <w:szCs w:val="28"/>
        </w:rPr>
        <w:t>“en relación con la proposición presentada frente al artículo 55 del proyecto de ley aprobatorio del Plan Nacional de Desarrollo en el trámite ante la Plenaria del Senado de la República no se cumplió el mec</w:t>
      </w:r>
      <w:r w:rsidRPr="00E4401D">
        <w:rPr>
          <w:rFonts w:ascii="Times New Roman" w:hAnsi="Times New Roman" w:cs="Times New Roman"/>
          <w:i/>
          <w:iCs/>
          <w:sz w:val="28"/>
          <w:szCs w:val="28"/>
        </w:rPr>
        <w:t>anismo de publicidad definido en la Ley 5 de 1992, esto es, la lectura de la proposición previo al debate y su aprobación. Adicionalmente, al examinar si la publicidad se garantizó por otros mecanismos, esta corporación no encontró que la explicación reali</w:t>
      </w:r>
      <w:r w:rsidRPr="00E4401D">
        <w:rPr>
          <w:rFonts w:ascii="Times New Roman" w:hAnsi="Times New Roman" w:cs="Times New Roman"/>
          <w:i/>
          <w:iCs/>
          <w:sz w:val="28"/>
          <w:szCs w:val="28"/>
        </w:rPr>
        <w:t xml:space="preserve">zada por el presidente del Senado sobre la proposición aquí analizada se presentara con un grado de claridad y detalle que les permitiera a los senadores conocer el alcance de la proposición presentada, avalada y aprobada. Finalmente, los otros mecanismos </w:t>
      </w:r>
      <w:r w:rsidRPr="00E4401D">
        <w:rPr>
          <w:rFonts w:ascii="Times New Roman" w:hAnsi="Times New Roman" w:cs="Times New Roman"/>
          <w:i/>
          <w:iCs/>
          <w:sz w:val="28"/>
          <w:szCs w:val="28"/>
        </w:rPr>
        <w:t>alegados, tales como la intervención de la ministra de Agricultura, la publicación en la página web o la inferencia por el contenido del debate, no revelan que en el trámite ante la plenaria del Senado se haya asegurado algún mecanismo o medida que les per</w:t>
      </w:r>
      <w:r w:rsidRPr="00E4401D">
        <w:rPr>
          <w:rFonts w:ascii="Times New Roman" w:hAnsi="Times New Roman" w:cs="Times New Roman"/>
          <w:i/>
          <w:iCs/>
          <w:sz w:val="28"/>
          <w:szCs w:val="28"/>
        </w:rPr>
        <w:t>mitiera a los congresistas conocer el alcance de la proposición aprobada con respecto al artículo 55”</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65"/>
      </w:r>
    </w:p>
    <w:p w:rsidR="00666AD3" w:rsidRPr="00E4401D" w:rsidRDefault="00E4401D" w:rsidP="00666AD3">
      <w:pPr>
        <w:pStyle w:val="Prrafodelista"/>
        <w:ind w:left="0"/>
        <w:jc w:val="both"/>
        <w:rPr>
          <w:rFonts w:ascii="Times New Roman" w:hAnsi="Times New Roman" w:cs="Times New Roman"/>
          <w:sz w:val="28"/>
          <w:szCs w:val="28"/>
        </w:rPr>
      </w:pPr>
    </w:p>
    <w:p w:rsidR="00603E57" w:rsidRPr="00E4401D" w:rsidRDefault="00E4401D" w:rsidP="008A3C27">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Con base en el anterior recuento de</w:t>
      </w:r>
      <w:r w:rsidRPr="00E4401D">
        <w:rPr>
          <w:rFonts w:ascii="Times New Roman" w:hAnsi="Times New Roman" w:cs="Times New Roman"/>
          <w:sz w:val="28"/>
          <w:szCs w:val="28"/>
        </w:rPr>
        <w:t xml:space="preserve"> los hechos</w:t>
      </w:r>
      <w:r w:rsidRPr="00E4401D">
        <w:rPr>
          <w:rFonts w:ascii="Times New Roman" w:hAnsi="Times New Roman" w:cs="Times New Roman"/>
          <w:sz w:val="28"/>
          <w:szCs w:val="28"/>
        </w:rPr>
        <w:t xml:space="preserve"> y</w:t>
      </w:r>
      <w:r w:rsidRPr="00E4401D">
        <w:rPr>
          <w:rFonts w:ascii="Times New Roman" w:hAnsi="Times New Roman" w:cs="Times New Roman"/>
          <w:sz w:val="28"/>
          <w:szCs w:val="28"/>
        </w:rPr>
        <w:t xml:space="preserve"> tal como se constató en</w:t>
      </w:r>
      <w:r w:rsidRPr="00E4401D">
        <w:rPr>
          <w:rFonts w:ascii="Times New Roman" w:hAnsi="Times New Roman" w:cs="Times New Roman"/>
          <w:sz w:val="28"/>
          <w:szCs w:val="28"/>
        </w:rPr>
        <w:t xml:space="preserve"> la sentencia C-294 de 2024</w:t>
      </w:r>
      <w:r w:rsidRPr="00E4401D">
        <w:rPr>
          <w:rFonts w:ascii="Times New Roman" w:hAnsi="Times New Roman" w:cs="Times New Roman"/>
          <w:sz w:val="28"/>
          <w:szCs w:val="28"/>
        </w:rPr>
        <w:t>, la Sala concluye que e</w:t>
      </w:r>
      <w:r w:rsidRPr="00E4401D">
        <w:rPr>
          <w:rFonts w:ascii="Times New Roman" w:hAnsi="Times New Roman" w:cs="Times New Roman"/>
          <w:sz w:val="28"/>
          <w:szCs w:val="28"/>
        </w:rPr>
        <w:t xml:space="preserve">l trámite legislativo </w:t>
      </w:r>
      <w:r w:rsidRPr="00E4401D">
        <w:rPr>
          <w:rFonts w:ascii="Times New Roman" w:hAnsi="Times New Roman" w:cs="Times New Roman"/>
          <w:sz w:val="28"/>
          <w:szCs w:val="28"/>
        </w:rPr>
        <w:t>de apr</w:t>
      </w:r>
      <w:r w:rsidRPr="00E4401D">
        <w:rPr>
          <w:rFonts w:ascii="Times New Roman" w:hAnsi="Times New Roman" w:cs="Times New Roman"/>
          <w:sz w:val="28"/>
          <w:szCs w:val="28"/>
        </w:rPr>
        <w:t xml:space="preserve">obación de la proposición modificativa </w:t>
      </w:r>
      <w:r w:rsidRPr="00E4401D">
        <w:rPr>
          <w:rFonts w:ascii="Times New Roman" w:hAnsi="Times New Roman" w:cs="Times New Roman"/>
          <w:sz w:val="28"/>
          <w:szCs w:val="28"/>
        </w:rPr>
        <w:t>al</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artículo 61 de la Ley 22</w:t>
      </w:r>
      <w:r w:rsidRPr="00E4401D">
        <w:rPr>
          <w:rFonts w:ascii="Times New Roman" w:hAnsi="Times New Roman" w:cs="Times New Roman"/>
          <w:sz w:val="28"/>
          <w:szCs w:val="28"/>
        </w:rPr>
        <w:t>94</w:t>
      </w:r>
      <w:r w:rsidRPr="00E4401D">
        <w:rPr>
          <w:rFonts w:ascii="Times New Roman" w:hAnsi="Times New Roman" w:cs="Times New Roman"/>
          <w:sz w:val="28"/>
          <w:szCs w:val="28"/>
        </w:rPr>
        <w:t xml:space="preserve"> de 2023</w:t>
      </w:r>
      <w:r w:rsidRPr="00E4401D">
        <w:rPr>
          <w:rFonts w:ascii="Times New Roman" w:hAnsi="Times New Roman" w:cs="Times New Roman"/>
          <w:sz w:val="28"/>
          <w:szCs w:val="28"/>
        </w:rPr>
        <w:t xml:space="preserve"> durante la sesión plenaria del Senado de la </w:t>
      </w:r>
      <w:r w:rsidRPr="00E4401D">
        <w:rPr>
          <w:rFonts w:ascii="Times New Roman" w:hAnsi="Times New Roman" w:cs="Times New Roman"/>
          <w:sz w:val="28"/>
          <w:szCs w:val="28"/>
        </w:rPr>
        <w:t>República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incumplió parcialmente </w:t>
      </w:r>
      <w:r w:rsidRPr="00E4401D">
        <w:rPr>
          <w:rFonts w:ascii="Times New Roman" w:hAnsi="Times New Roman" w:cs="Times New Roman"/>
          <w:sz w:val="28"/>
          <w:szCs w:val="28"/>
        </w:rPr>
        <w:t xml:space="preserve">con el parámetro constitucional </w:t>
      </w:r>
      <w:r w:rsidRPr="00E4401D">
        <w:rPr>
          <w:rFonts w:ascii="Times New Roman" w:hAnsi="Times New Roman" w:cs="Times New Roman"/>
          <w:sz w:val="28"/>
          <w:szCs w:val="28"/>
        </w:rPr>
        <w:t>relativo al principio de publicidad</w:t>
      </w:r>
      <w:r w:rsidRPr="00E4401D">
        <w:rPr>
          <w:rFonts w:ascii="Times New Roman" w:hAnsi="Times New Roman" w:cs="Times New Roman"/>
          <w:sz w:val="28"/>
          <w:szCs w:val="28"/>
        </w:rPr>
        <w:t xml:space="preserve"> por las siguientes razones.</w:t>
      </w:r>
    </w:p>
    <w:p w:rsidR="00E85F40" w:rsidRPr="00E4401D" w:rsidRDefault="00E4401D" w:rsidP="00E85F40">
      <w:pPr>
        <w:pStyle w:val="Prrafodelista"/>
        <w:rPr>
          <w:rFonts w:ascii="Times New Roman" w:hAnsi="Times New Roman" w:cs="Times New Roman"/>
          <w:sz w:val="28"/>
          <w:szCs w:val="28"/>
        </w:rPr>
      </w:pPr>
    </w:p>
    <w:p w:rsidR="001E4595" w:rsidRPr="00E4401D" w:rsidRDefault="00E4401D" w:rsidP="008A3C27">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El artículo </w:t>
      </w:r>
      <w:r w:rsidRPr="00E4401D">
        <w:rPr>
          <w:rFonts w:ascii="Times New Roman" w:hAnsi="Times New Roman" w:cs="Times New Roman"/>
          <w:sz w:val="28"/>
          <w:szCs w:val="28"/>
        </w:rPr>
        <w:t xml:space="preserve">61 de la Ley 2294 de 2023 establece un conjunto de mecanismos y procedimientos para la compra de tierras que serán destinadas al fondo de tierras </w:t>
      </w:r>
      <w:r w:rsidRPr="00E4401D">
        <w:rPr>
          <w:rFonts w:ascii="Times New Roman" w:hAnsi="Times New Roman" w:cs="Times New Roman"/>
          <w:sz w:val="28"/>
          <w:szCs w:val="28"/>
        </w:rPr>
        <w:t>en cabeza de la Agencia Nacional de Tierras</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w:t>
      </w:r>
    </w:p>
    <w:p w:rsidR="001E4595" w:rsidRPr="00E4401D" w:rsidRDefault="00E4401D" w:rsidP="001E4595">
      <w:pPr>
        <w:pStyle w:val="Prrafodelista"/>
        <w:rPr>
          <w:rFonts w:ascii="Times New Roman" w:hAnsi="Times New Roman" w:cs="Times New Roman"/>
          <w:sz w:val="28"/>
          <w:szCs w:val="28"/>
        </w:rPr>
      </w:pPr>
    </w:p>
    <w:p w:rsidR="00976AA8" w:rsidRPr="00E4401D" w:rsidRDefault="00E4401D" w:rsidP="00BA5B06">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La proposición objeto de análisis introdujo varias </w:t>
      </w:r>
      <w:r w:rsidRPr="00E4401D">
        <w:rPr>
          <w:rFonts w:ascii="Times New Roman" w:hAnsi="Times New Roman" w:cs="Times New Roman"/>
          <w:sz w:val="28"/>
          <w:szCs w:val="28"/>
        </w:rPr>
        <w:t>modificaciones al artículo:</w:t>
      </w:r>
    </w:p>
    <w:p w:rsidR="00976AA8" w:rsidRPr="00E4401D" w:rsidRDefault="00E4401D" w:rsidP="00463FB2">
      <w:pPr>
        <w:jc w:val="both"/>
        <w:rPr>
          <w:rFonts w:ascii="Times New Roman" w:hAnsi="Times New Roman" w:cs="Times New Roman"/>
          <w:sz w:val="28"/>
          <w:szCs w:val="28"/>
        </w:rPr>
      </w:pPr>
    </w:p>
    <w:p w:rsidR="00FA5251" w:rsidRPr="00E4401D" w:rsidRDefault="00E4401D" w:rsidP="00BA5B06">
      <w:pPr>
        <w:pStyle w:val="Prrafodelista"/>
        <w:numPr>
          <w:ilvl w:val="0"/>
          <w:numId w:val="9"/>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Se agregó en </w:t>
      </w:r>
      <w:r w:rsidRPr="00E4401D">
        <w:rPr>
          <w:rFonts w:ascii="Times New Roman" w:hAnsi="Times New Roman" w:cs="Times New Roman"/>
          <w:sz w:val="28"/>
          <w:szCs w:val="28"/>
        </w:rPr>
        <w:t xml:space="preserve">la letra a del </w:t>
      </w:r>
      <w:r w:rsidRPr="00E4401D">
        <w:rPr>
          <w:rFonts w:ascii="Times New Roman" w:hAnsi="Times New Roman" w:cs="Times New Roman"/>
          <w:sz w:val="28"/>
          <w:szCs w:val="28"/>
        </w:rPr>
        <w:t xml:space="preserve">numeral 2 la expresión </w:t>
      </w:r>
      <w:r w:rsidRPr="00E4401D">
        <w:rPr>
          <w:rFonts w:ascii="Times New Roman" w:hAnsi="Times New Roman" w:cs="Times New Roman"/>
          <w:sz w:val="28"/>
          <w:szCs w:val="28"/>
        </w:rPr>
        <w:t>“</w:t>
      </w:r>
      <w:r w:rsidRPr="00E4401D">
        <w:rPr>
          <w:rFonts w:ascii="Times New Roman" w:hAnsi="Times New Roman" w:cs="Times New Roman"/>
          <w:i/>
          <w:iCs/>
          <w:sz w:val="28"/>
          <w:szCs w:val="28"/>
        </w:rPr>
        <w:t>bajo la figura de enajenación temprana, o cualquier otro mecanismo que establezca la ley. En los eventos en los que se hubiera constituido reserva técnica, o se hubiere pagado</w:t>
      </w:r>
      <w:r w:rsidRPr="00E4401D">
        <w:rPr>
          <w:rFonts w:ascii="Times New Roman" w:hAnsi="Times New Roman" w:cs="Times New Roman"/>
          <w:i/>
          <w:iCs/>
          <w:sz w:val="28"/>
          <w:szCs w:val="28"/>
        </w:rPr>
        <w:t xml:space="preserve"> el valor de venta y siempre que sea declarada la extinción de dominio, estos serán reintegrados en su totalidad al Fondo de Tierras</w:t>
      </w:r>
      <w:r w:rsidRPr="00E4401D">
        <w:rPr>
          <w:rFonts w:ascii="Times New Roman" w:hAnsi="Times New Roman" w:cs="Times New Roman"/>
          <w:sz w:val="28"/>
          <w:szCs w:val="28"/>
        </w:rPr>
        <w:t>”.</w:t>
      </w:r>
    </w:p>
    <w:p w:rsidR="00976AA8" w:rsidRPr="00E4401D" w:rsidRDefault="00E4401D" w:rsidP="00463FB2">
      <w:pPr>
        <w:jc w:val="both"/>
        <w:rPr>
          <w:rFonts w:ascii="Times New Roman" w:hAnsi="Times New Roman" w:cs="Times New Roman"/>
          <w:sz w:val="28"/>
          <w:szCs w:val="28"/>
        </w:rPr>
      </w:pPr>
    </w:p>
    <w:p w:rsidR="00976AA8" w:rsidRPr="00E4401D" w:rsidRDefault="00E4401D" w:rsidP="00BA5B06">
      <w:pPr>
        <w:pStyle w:val="Prrafodelista"/>
        <w:numPr>
          <w:ilvl w:val="0"/>
          <w:numId w:val="9"/>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En el numeral 3</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se incluyó la referencia “</w:t>
      </w:r>
      <w:r w:rsidRPr="00E4401D">
        <w:rPr>
          <w:rFonts w:ascii="Times New Roman" w:hAnsi="Times New Roman" w:cs="Times New Roman"/>
          <w:i/>
          <w:iCs/>
          <w:sz w:val="28"/>
          <w:szCs w:val="28"/>
        </w:rPr>
        <w:t>de que trata el artículo 54 de la Ley 975 de 2005</w:t>
      </w:r>
      <w:r w:rsidRPr="00E4401D">
        <w:rPr>
          <w:rFonts w:ascii="Times New Roman" w:hAnsi="Times New Roman" w:cs="Times New Roman"/>
          <w:sz w:val="28"/>
          <w:szCs w:val="28"/>
        </w:rPr>
        <w:t>” en el inciso primero</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y se </w:t>
      </w:r>
      <w:r w:rsidRPr="00E4401D">
        <w:rPr>
          <w:rFonts w:ascii="Times New Roman" w:hAnsi="Times New Roman" w:cs="Times New Roman"/>
          <w:sz w:val="28"/>
          <w:szCs w:val="28"/>
        </w:rPr>
        <w:t>añadi</w:t>
      </w:r>
      <w:r w:rsidRPr="00E4401D">
        <w:rPr>
          <w:rFonts w:ascii="Times New Roman" w:hAnsi="Times New Roman" w:cs="Times New Roman"/>
          <w:sz w:val="28"/>
          <w:szCs w:val="28"/>
        </w:rPr>
        <w:t>ó</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el segundo inciso y </w:t>
      </w:r>
      <w:r w:rsidRPr="00E4401D">
        <w:rPr>
          <w:rFonts w:ascii="Times New Roman" w:hAnsi="Times New Roman" w:cs="Times New Roman"/>
          <w:sz w:val="28"/>
          <w:szCs w:val="28"/>
        </w:rPr>
        <w:t xml:space="preserve">los literales </w:t>
      </w:r>
      <w:r w:rsidRPr="00E4401D">
        <w:rPr>
          <w:rFonts w:ascii="Times New Roman" w:hAnsi="Times New Roman" w:cs="Times New Roman"/>
          <w:sz w:val="28"/>
          <w:szCs w:val="28"/>
        </w:rPr>
        <w:t>a, b y c.</w:t>
      </w:r>
    </w:p>
    <w:p w:rsidR="00976AA8" w:rsidRPr="00E4401D" w:rsidRDefault="00E4401D" w:rsidP="00463FB2">
      <w:pPr>
        <w:jc w:val="both"/>
        <w:rPr>
          <w:rFonts w:ascii="Times New Roman" w:hAnsi="Times New Roman" w:cs="Times New Roman"/>
          <w:sz w:val="28"/>
          <w:szCs w:val="28"/>
        </w:rPr>
      </w:pPr>
    </w:p>
    <w:p w:rsidR="00976AA8" w:rsidRPr="00E4401D" w:rsidRDefault="00E4401D" w:rsidP="00BA5B06">
      <w:pPr>
        <w:pStyle w:val="Prrafodelista"/>
        <w:numPr>
          <w:ilvl w:val="0"/>
          <w:numId w:val="9"/>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Se añadió la totalidad del numeral 5 y del numeral 6.</w:t>
      </w:r>
    </w:p>
    <w:p w:rsidR="00976AA8" w:rsidRPr="00E4401D" w:rsidRDefault="00E4401D" w:rsidP="00463FB2">
      <w:pPr>
        <w:jc w:val="both"/>
        <w:rPr>
          <w:rFonts w:ascii="Times New Roman" w:hAnsi="Times New Roman" w:cs="Times New Roman"/>
          <w:sz w:val="28"/>
          <w:szCs w:val="28"/>
        </w:rPr>
      </w:pPr>
    </w:p>
    <w:p w:rsidR="008E40B0" w:rsidRPr="00E4401D" w:rsidRDefault="00E4401D" w:rsidP="00BA5B06">
      <w:pPr>
        <w:pStyle w:val="Prrafodelista"/>
        <w:numPr>
          <w:ilvl w:val="0"/>
          <w:numId w:val="9"/>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Asimismo, se incorporaron el parágrafo 1° y el parágrafo 3°.</w:t>
      </w:r>
    </w:p>
    <w:p w:rsidR="003C14EA" w:rsidRPr="00E4401D" w:rsidRDefault="00E4401D" w:rsidP="003C14EA">
      <w:pPr>
        <w:pStyle w:val="Prrafodelista"/>
        <w:ind w:left="0"/>
        <w:jc w:val="both"/>
        <w:rPr>
          <w:rFonts w:ascii="Times New Roman" w:hAnsi="Times New Roman" w:cs="Times New Roman"/>
          <w:sz w:val="28"/>
          <w:szCs w:val="28"/>
        </w:rPr>
      </w:pPr>
    </w:p>
    <w:p w:rsidR="003C14EA" w:rsidRPr="00E4401D" w:rsidRDefault="00E4401D" w:rsidP="00335231">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Es importante reiterar que </w:t>
      </w:r>
      <w:r w:rsidRPr="00E4401D">
        <w:rPr>
          <w:rFonts w:ascii="Times New Roman" w:hAnsi="Times New Roman" w:cs="Times New Roman"/>
          <w:sz w:val="28"/>
          <w:szCs w:val="28"/>
        </w:rPr>
        <w:t>la Corte</w:t>
      </w:r>
      <w:r w:rsidRPr="00E4401D">
        <w:rPr>
          <w:rFonts w:ascii="Times New Roman" w:hAnsi="Times New Roman" w:cs="Times New Roman"/>
          <w:sz w:val="28"/>
          <w:szCs w:val="28"/>
        </w:rPr>
        <w:t xml:space="preserve"> decla</w:t>
      </w:r>
      <w:r w:rsidRPr="00E4401D">
        <w:rPr>
          <w:rFonts w:ascii="Times New Roman" w:hAnsi="Times New Roman" w:cs="Times New Roman"/>
          <w:sz w:val="28"/>
          <w:szCs w:val="28"/>
        </w:rPr>
        <w:t>ró</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la inexequibilidad de</w:t>
      </w:r>
      <w:r w:rsidRPr="00E4401D">
        <w:rPr>
          <w:rFonts w:ascii="Times New Roman" w:hAnsi="Times New Roman" w:cs="Times New Roman"/>
          <w:sz w:val="28"/>
          <w:szCs w:val="28"/>
        </w:rPr>
        <w:t>l numeral 6 y el parág</w:t>
      </w:r>
      <w:r w:rsidRPr="00E4401D">
        <w:rPr>
          <w:rFonts w:ascii="Times New Roman" w:hAnsi="Times New Roman" w:cs="Times New Roman"/>
          <w:sz w:val="28"/>
          <w:szCs w:val="28"/>
        </w:rPr>
        <w:t xml:space="preserve">rafo 3° del artículo </w:t>
      </w:r>
      <w:r w:rsidRPr="00E4401D">
        <w:rPr>
          <w:rFonts w:ascii="Times New Roman" w:hAnsi="Times New Roman" w:cs="Times New Roman"/>
          <w:sz w:val="28"/>
          <w:szCs w:val="28"/>
        </w:rPr>
        <w:t xml:space="preserve">61 de la Ley 2294 de </w:t>
      </w:r>
      <w:r w:rsidRPr="00E4401D">
        <w:rPr>
          <w:rFonts w:ascii="Times New Roman" w:hAnsi="Times New Roman" w:cs="Times New Roman"/>
          <w:sz w:val="28"/>
          <w:szCs w:val="28"/>
        </w:rPr>
        <w:t>2023 en</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la</w:t>
      </w:r>
      <w:r w:rsidRPr="00E4401D">
        <w:rPr>
          <w:rFonts w:ascii="Times New Roman" w:hAnsi="Times New Roman" w:cs="Times New Roman"/>
          <w:sz w:val="28"/>
          <w:szCs w:val="28"/>
        </w:rPr>
        <w:t xml:space="preserve"> sentencia C-294 de 2024</w:t>
      </w:r>
      <w:r w:rsidRPr="00E4401D">
        <w:rPr>
          <w:rFonts w:ascii="Times New Roman" w:hAnsi="Times New Roman" w:cs="Times New Roman"/>
          <w:sz w:val="28"/>
          <w:szCs w:val="28"/>
        </w:rPr>
        <w:t xml:space="preserve"> y precisar </w:t>
      </w:r>
      <w:r w:rsidRPr="00E4401D">
        <w:rPr>
          <w:rFonts w:ascii="Times New Roman" w:hAnsi="Times New Roman" w:cs="Times New Roman"/>
          <w:sz w:val="28"/>
          <w:szCs w:val="28"/>
        </w:rPr>
        <w:t>que los parágrafos 2° y 4° no fueron modificados por la proposición</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sino que</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cambiaron su </w:t>
      </w:r>
      <w:r w:rsidRPr="00E4401D">
        <w:rPr>
          <w:rFonts w:ascii="Times New Roman" w:hAnsi="Times New Roman" w:cs="Times New Roman"/>
          <w:sz w:val="28"/>
          <w:szCs w:val="28"/>
        </w:rPr>
        <w:t>enumeración.</w:t>
      </w:r>
    </w:p>
    <w:p w:rsidR="008A5C81" w:rsidRPr="00E4401D" w:rsidRDefault="00E4401D" w:rsidP="008A5C81">
      <w:pPr>
        <w:pStyle w:val="Prrafodelista"/>
        <w:ind w:left="0"/>
        <w:jc w:val="both"/>
        <w:rPr>
          <w:rFonts w:ascii="Times New Roman" w:hAnsi="Times New Roman" w:cs="Times New Roman"/>
          <w:sz w:val="28"/>
          <w:szCs w:val="28"/>
        </w:rPr>
      </w:pPr>
    </w:p>
    <w:p w:rsidR="00463FB2" w:rsidRPr="00E4401D" w:rsidRDefault="00E4401D" w:rsidP="00463FB2">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L</w:t>
      </w:r>
      <w:r w:rsidRPr="00E4401D">
        <w:rPr>
          <w:rFonts w:ascii="Times New Roman" w:hAnsi="Times New Roman" w:cs="Times New Roman"/>
          <w:sz w:val="28"/>
          <w:szCs w:val="28"/>
        </w:rPr>
        <w:t>a Sala</w:t>
      </w:r>
      <w:r w:rsidRPr="00E4401D">
        <w:rPr>
          <w:rFonts w:ascii="Times New Roman" w:hAnsi="Times New Roman" w:cs="Times New Roman"/>
          <w:sz w:val="28"/>
          <w:szCs w:val="28"/>
        </w:rPr>
        <w:t xml:space="preserve"> Plena constata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que </w:t>
      </w:r>
      <w:r w:rsidRPr="00E4401D">
        <w:rPr>
          <w:rFonts w:ascii="Times New Roman" w:hAnsi="Times New Roman" w:cs="Times New Roman"/>
          <w:sz w:val="28"/>
          <w:szCs w:val="28"/>
        </w:rPr>
        <w:t xml:space="preserve">ninguno de los mecanismos empleados para </w:t>
      </w:r>
      <w:r w:rsidRPr="00E4401D">
        <w:rPr>
          <w:rFonts w:ascii="Times New Roman" w:hAnsi="Times New Roman" w:cs="Times New Roman"/>
          <w:sz w:val="28"/>
          <w:szCs w:val="28"/>
        </w:rPr>
        <w:t>dar a conocer</w:t>
      </w:r>
      <w:r w:rsidRPr="00E4401D">
        <w:rPr>
          <w:rFonts w:ascii="Times New Roman" w:hAnsi="Times New Roman" w:cs="Times New Roman"/>
          <w:sz w:val="28"/>
          <w:szCs w:val="28"/>
        </w:rPr>
        <w:t xml:space="preserve"> el contenido de la proposición</w:t>
      </w:r>
      <w:r w:rsidRPr="00E4401D">
        <w:rPr>
          <w:rFonts w:ascii="Times New Roman" w:hAnsi="Times New Roman" w:cs="Times New Roman"/>
          <w:sz w:val="28"/>
          <w:szCs w:val="28"/>
        </w:rPr>
        <w:t xml:space="preserve"> a los senadores</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la publicación en </w:t>
      </w:r>
      <w:r w:rsidRPr="00E4401D">
        <w:rPr>
          <w:rFonts w:ascii="Times New Roman" w:hAnsi="Times New Roman" w:cs="Times New Roman"/>
          <w:sz w:val="28"/>
          <w:szCs w:val="28"/>
        </w:rPr>
        <w:t xml:space="preserve">la página web del Senado de la </w:t>
      </w:r>
      <w:r w:rsidRPr="00E4401D">
        <w:rPr>
          <w:rFonts w:ascii="Times New Roman" w:hAnsi="Times New Roman" w:cs="Times New Roman"/>
          <w:sz w:val="28"/>
          <w:szCs w:val="28"/>
        </w:rPr>
        <w:t>República</w:t>
      </w:r>
      <w:r w:rsidRPr="00E4401D">
        <w:rPr>
          <w:rFonts w:ascii="Times New Roman" w:hAnsi="Times New Roman" w:cs="Times New Roman"/>
          <w:sz w:val="28"/>
          <w:szCs w:val="28"/>
        </w:rPr>
        <w:t xml:space="preserve"> y explicación oral </w:t>
      </w:r>
      <w:r w:rsidRPr="00E4401D">
        <w:rPr>
          <w:rFonts w:ascii="Times New Roman" w:hAnsi="Times New Roman" w:cs="Times New Roman"/>
          <w:sz w:val="28"/>
          <w:szCs w:val="28"/>
        </w:rPr>
        <w:t xml:space="preserve">por parte del entonces presidente </w:t>
      </w:r>
      <w:r w:rsidRPr="00E4401D">
        <w:rPr>
          <w:rFonts w:ascii="Times New Roman" w:hAnsi="Times New Roman" w:cs="Times New Roman"/>
          <w:sz w:val="28"/>
          <w:szCs w:val="28"/>
        </w:rPr>
        <w:t>del Senado, satisface el principio de pub</w:t>
      </w:r>
      <w:r w:rsidRPr="00E4401D">
        <w:rPr>
          <w:rFonts w:ascii="Times New Roman" w:hAnsi="Times New Roman" w:cs="Times New Roman"/>
          <w:sz w:val="28"/>
          <w:szCs w:val="28"/>
        </w:rPr>
        <w:t>licidad</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En </w:t>
      </w:r>
      <w:r w:rsidRPr="00E4401D">
        <w:rPr>
          <w:rFonts w:ascii="Times New Roman" w:hAnsi="Times New Roman" w:cs="Times New Roman"/>
          <w:sz w:val="28"/>
          <w:szCs w:val="28"/>
        </w:rPr>
        <w:t>primer lugar,</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la publicación </w:t>
      </w:r>
      <w:r w:rsidRPr="00E4401D">
        <w:rPr>
          <w:rFonts w:ascii="Times New Roman" w:hAnsi="Times New Roman" w:cs="Times New Roman"/>
          <w:sz w:val="28"/>
          <w:szCs w:val="28"/>
        </w:rPr>
        <w:t xml:space="preserve">en la página web no cumplió con el requisito de </w:t>
      </w:r>
      <w:r w:rsidRPr="00E4401D">
        <w:rPr>
          <w:rFonts w:ascii="Times New Roman" w:hAnsi="Times New Roman" w:cs="Times New Roman"/>
          <w:sz w:val="28"/>
          <w:szCs w:val="28"/>
        </w:rPr>
        <w:t xml:space="preserve">ser previo, </w:t>
      </w:r>
      <w:r w:rsidRPr="00E4401D">
        <w:rPr>
          <w:rFonts w:ascii="Times New Roman" w:hAnsi="Times New Roman" w:cs="Times New Roman"/>
          <w:sz w:val="28"/>
          <w:szCs w:val="28"/>
        </w:rPr>
        <w:t xml:space="preserve">pues fue cargada al micrositio </w:t>
      </w:r>
      <w:r w:rsidRPr="00E4401D">
        <w:rPr>
          <w:rFonts w:ascii="Times New Roman" w:hAnsi="Times New Roman" w:cs="Times New Roman"/>
          <w:sz w:val="28"/>
          <w:szCs w:val="28"/>
        </w:rPr>
        <w:t xml:space="preserve">el día </w:t>
      </w:r>
      <w:r w:rsidRPr="00E4401D">
        <w:rPr>
          <w:rFonts w:ascii="Times New Roman" w:hAnsi="Times New Roman" w:cs="Times New Roman"/>
          <w:sz w:val="28"/>
          <w:szCs w:val="28"/>
        </w:rPr>
        <w:t xml:space="preserve">de </w:t>
      </w:r>
      <w:r w:rsidRPr="00E4401D">
        <w:rPr>
          <w:rFonts w:ascii="Times New Roman" w:hAnsi="Times New Roman" w:cs="Times New Roman"/>
          <w:sz w:val="28"/>
          <w:szCs w:val="28"/>
        </w:rPr>
        <w:t xml:space="preserve">la sesión plenaria en la que </w:t>
      </w:r>
      <w:r w:rsidRPr="00E4401D">
        <w:rPr>
          <w:rFonts w:ascii="Times New Roman" w:hAnsi="Times New Roman" w:cs="Times New Roman"/>
          <w:sz w:val="28"/>
          <w:szCs w:val="28"/>
        </w:rPr>
        <w:t xml:space="preserve">se votó la proposición, </w:t>
      </w:r>
      <w:r w:rsidRPr="00E4401D">
        <w:rPr>
          <w:rFonts w:ascii="Times New Roman" w:hAnsi="Times New Roman" w:cs="Times New Roman"/>
          <w:sz w:val="28"/>
          <w:szCs w:val="28"/>
        </w:rPr>
        <w:t xml:space="preserve">y después de su aprobación, </w:t>
      </w:r>
      <w:r w:rsidRPr="00E4401D">
        <w:rPr>
          <w:rFonts w:ascii="Times New Roman" w:hAnsi="Times New Roman" w:cs="Times New Roman"/>
          <w:sz w:val="28"/>
          <w:szCs w:val="28"/>
        </w:rPr>
        <w:t>es decir, el 2 de mayo de 2023.</w:t>
      </w:r>
      <w:r w:rsidRPr="00E4401D">
        <w:rPr>
          <w:rFonts w:ascii="Times New Roman" w:hAnsi="Times New Roman" w:cs="Times New Roman"/>
          <w:sz w:val="28"/>
          <w:szCs w:val="28"/>
        </w:rPr>
        <w:t xml:space="preserve"> Prueba de ello es que para cuando fue publicada fue identificada como </w:t>
      </w:r>
      <w:r w:rsidRPr="00E4401D">
        <w:rPr>
          <w:rFonts w:ascii="Times New Roman" w:hAnsi="Times New Roman" w:cs="Times New Roman"/>
          <w:i/>
          <w:iCs/>
          <w:sz w:val="28"/>
          <w:szCs w:val="28"/>
        </w:rPr>
        <w:t>“avalada y aprobada”</w:t>
      </w:r>
      <w:r w:rsidRPr="00E4401D">
        <w:rPr>
          <w:rStyle w:val="Refdenotaalpie"/>
          <w:rFonts w:ascii="Times New Roman" w:hAnsi="Times New Roman" w:cs="Times New Roman"/>
          <w:i/>
          <w:iCs/>
          <w:sz w:val="28"/>
          <w:szCs w:val="28"/>
        </w:rPr>
        <w:footnoteReference w:id="66"/>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En segundo lugar,</w:t>
      </w:r>
      <w:r w:rsidRPr="00E4401D">
        <w:rPr>
          <w:rFonts w:ascii="Times New Roman" w:hAnsi="Times New Roman" w:cs="Times New Roman"/>
          <w:sz w:val="28"/>
          <w:szCs w:val="28"/>
        </w:rPr>
        <w:t xml:space="preserve"> la explicación </w:t>
      </w:r>
      <w:r w:rsidRPr="00E4401D">
        <w:rPr>
          <w:rFonts w:ascii="Times New Roman" w:hAnsi="Times New Roman" w:cs="Times New Roman"/>
          <w:sz w:val="28"/>
          <w:szCs w:val="28"/>
        </w:rPr>
        <w:t xml:space="preserve">oral </w:t>
      </w:r>
      <w:r w:rsidRPr="00E4401D">
        <w:rPr>
          <w:rFonts w:ascii="Times New Roman" w:hAnsi="Times New Roman" w:cs="Times New Roman"/>
          <w:sz w:val="28"/>
          <w:szCs w:val="28"/>
        </w:rPr>
        <w:t xml:space="preserve">de la proposición que adelantó el presidente del Senado de la </w:t>
      </w:r>
      <w:r w:rsidRPr="00E4401D">
        <w:rPr>
          <w:rFonts w:ascii="Times New Roman" w:hAnsi="Times New Roman" w:cs="Times New Roman"/>
          <w:sz w:val="28"/>
          <w:szCs w:val="28"/>
        </w:rPr>
        <w:t>República</w:t>
      </w:r>
      <w:r w:rsidRPr="00E4401D">
        <w:rPr>
          <w:rFonts w:ascii="Times New Roman" w:hAnsi="Times New Roman" w:cs="Times New Roman"/>
          <w:sz w:val="28"/>
          <w:szCs w:val="28"/>
        </w:rPr>
        <w:t xml:space="preserve"> durante la sesión del 2 de mayo de 2023 </w:t>
      </w:r>
      <w:r w:rsidRPr="00E4401D">
        <w:rPr>
          <w:rFonts w:ascii="Times New Roman" w:hAnsi="Times New Roman" w:cs="Times New Roman"/>
          <w:sz w:val="28"/>
          <w:szCs w:val="28"/>
        </w:rPr>
        <w:t xml:space="preserve">solamente </w:t>
      </w:r>
      <w:r w:rsidRPr="00E4401D">
        <w:rPr>
          <w:rFonts w:ascii="Times New Roman" w:hAnsi="Times New Roman" w:cs="Times New Roman"/>
          <w:sz w:val="28"/>
          <w:szCs w:val="28"/>
        </w:rPr>
        <w:t>cumplió con el requisito de publicidad respecto a la modificación a la letra a del numeral 2 del artículo</w:t>
      </w:r>
      <w:r w:rsidRPr="00E4401D">
        <w:rPr>
          <w:rFonts w:ascii="Times New Roman" w:hAnsi="Times New Roman" w:cs="Times New Roman"/>
          <w:sz w:val="28"/>
          <w:szCs w:val="28"/>
        </w:rPr>
        <w:t>, pues el entonces presidente del Senado de la República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únicamente </w:t>
      </w:r>
      <w:r w:rsidRPr="00E4401D">
        <w:rPr>
          <w:rFonts w:ascii="Times New Roman" w:hAnsi="Times New Roman" w:cs="Times New Roman"/>
          <w:sz w:val="28"/>
          <w:szCs w:val="28"/>
        </w:rPr>
        <w:t xml:space="preserve">leyó la modificación propuesta respecto </w:t>
      </w:r>
      <w:r w:rsidRPr="00E4401D">
        <w:rPr>
          <w:rFonts w:ascii="Times New Roman" w:hAnsi="Times New Roman" w:cs="Times New Roman"/>
          <w:sz w:val="28"/>
          <w:szCs w:val="28"/>
        </w:rPr>
        <w:t>de</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la compra directa </w:t>
      </w:r>
      <w:r w:rsidRPr="00E4401D">
        <w:rPr>
          <w:rFonts w:ascii="Times New Roman" w:hAnsi="Times New Roman" w:cs="Times New Roman"/>
          <w:sz w:val="28"/>
          <w:szCs w:val="28"/>
        </w:rPr>
        <w:t xml:space="preserve">de tierras </w:t>
      </w:r>
      <w:r w:rsidRPr="00E4401D">
        <w:rPr>
          <w:rFonts w:ascii="Times New Roman" w:hAnsi="Times New Roman" w:cs="Times New Roman"/>
          <w:sz w:val="28"/>
          <w:szCs w:val="28"/>
        </w:rPr>
        <w:t>a</w:t>
      </w:r>
      <w:r w:rsidRPr="00E4401D">
        <w:rPr>
          <w:rFonts w:ascii="Times New Roman" w:hAnsi="Times New Roman" w:cs="Times New Roman"/>
          <w:sz w:val="28"/>
          <w:szCs w:val="28"/>
        </w:rPr>
        <w:t>l Frisco a</w:t>
      </w:r>
      <w:r w:rsidRPr="00E4401D">
        <w:rPr>
          <w:rFonts w:ascii="Times New Roman" w:hAnsi="Times New Roman" w:cs="Times New Roman"/>
          <w:sz w:val="28"/>
          <w:szCs w:val="28"/>
        </w:rPr>
        <w:t xml:space="preserve"> través del mecanismo de enajenación temprana o cualquier otro mecanismo, y precis</w:t>
      </w:r>
      <w:r w:rsidRPr="00E4401D">
        <w:rPr>
          <w:rFonts w:ascii="Times New Roman" w:hAnsi="Times New Roman" w:cs="Times New Roman"/>
          <w:sz w:val="28"/>
          <w:szCs w:val="28"/>
        </w:rPr>
        <w:t>ó</w:t>
      </w:r>
      <w:r w:rsidRPr="00E4401D">
        <w:rPr>
          <w:rFonts w:ascii="Times New Roman" w:hAnsi="Times New Roman" w:cs="Times New Roman"/>
          <w:sz w:val="28"/>
          <w:szCs w:val="28"/>
        </w:rPr>
        <w:t xml:space="preserve"> que procedía la reintegración a la A</w:t>
      </w:r>
      <w:r w:rsidRPr="00E4401D">
        <w:rPr>
          <w:rFonts w:ascii="Times New Roman" w:hAnsi="Times New Roman" w:cs="Times New Roman"/>
          <w:sz w:val="28"/>
          <w:szCs w:val="28"/>
        </w:rPr>
        <w:t>gencia Nacional de Tierras</w:t>
      </w:r>
      <w:r w:rsidRPr="00E4401D">
        <w:rPr>
          <w:rFonts w:ascii="Times New Roman" w:hAnsi="Times New Roman" w:cs="Times New Roman"/>
          <w:sz w:val="28"/>
          <w:szCs w:val="28"/>
        </w:rPr>
        <w:t xml:space="preserve"> de la reserva </w:t>
      </w:r>
      <w:r w:rsidRPr="00E4401D">
        <w:rPr>
          <w:rFonts w:ascii="Times New Roman" w:hAnsi="Times New Roman" w:cs="Times New Roman"/>
          <w:sz w:val="28"/>
          <w:szCs w:val="28"/>
        </w:rPr>
        <w:t xml:space="preserve">técnica </w:t>
      </w:r>
      <w:r w:rsidRPr="00E4401D">
        <w:rPr>
          <w:rFonts w:ascii="Times New Roman" w:hAnsi="Times New Roman" w:cs="Times New Roman"/>
          <w:sz w:val="28"/>
          <w:szCs w:val="28"/>
        </w:rPr>
        <w:t>constituida en casos de extinción de dominio.</w:t>
      </w:r>
    </w:p>
    <w:p w:rsidR="00810B48" w:rsidRPr="00E4401D" w:rsidRDefault="00E4401D" w:rsidP="00463FB2">
      <w:pPr>
        <w:pStyle w:val="Prrafodelista"/>
        <w:ind w:left="0"/>
        <w:jc w:val="both"/>
        <w:rPr>
          <w:rFonts w:ascii="Times New Roman" w:hAnsi="Times New Roman" w:cs="Times New Roman"/>
          <w:sz w:val="28"/>
          <w:szCs w:val="28"/>
        </w:rPr>
      </w:pPr>
    </w:p>
    <w:p w:rsidR="00463FB2" w:rsidRPr="00E4401D" w:rsidRDefault="00E4401D" w:rsidP="00BA5B06">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Respecto </w:t>
      </w:r>
      <w:r w:rsidRPr="00E4401D">
        <w:rPr>
          <w:rFonts w:ascii="Times New Roman" w:hAnsi="Times New Roman" w:cs="Times New Roman"/>
          <w:sz w:val="28"/>
          <w:szCs w:val="28"/>
        </w:rPr>
        <w:t xml:space="preserve">a </w:t>
      </w:r>
      <w:r w:rsidRPr="00E4401D">
        <w:rPr>
          <w:rFonts w:ascii="Times New Roman" w:hAnsi="Times New Roman" w:cs="Times New Roman"/>
          <w:sz w:val="28"/>
          <w:szCs w:val="28"/>
        </w:rPr>
        <w:t xml:space="preserve">las demás modificaciones de la proposición, </w:t>
      </w:r>
      <w:r w:rsidRPr="00E4401D">
        <w:rPr>
          <w:rFonts w:ascii="Times New Roman" w:hAnsi="Times New Roman" w:cs="Times New Roman"/>
          <w:sz w:val="28"/>
          <w:szCs w:val="28"/>
        </w:rPr>
        <w:t>no se puede tener por cumplido el requisito de la publicidad</w:t>
      </w:r>
      <w:r w:rsidRPr="00E4401D">
        <w:rPr>
          <w:rFonts w:ascii="Times New Roman" w:hAnsi="Times New Roman" w:cs="Times New Roman"/>
          <w:sz w:val="28"/>
          <w:szCs w:val="28"/>
        </w:rPr>
        <w:t xml:space="preserve">, pues </w:t>
      </w:r>
      <w:r w:rsidRPr="00E4401D">
        <w:rPr>
          <w:rFonts w:ascii="Times New Roman" w:hAnsi="Times New Roman" w:cs="Times New Roman"/>
          <w:sz w:val="28"/>
          <w:szCs w:val="28"/>
        </w:rPr>
        <w:t xml:space="preserve">la </w:t>
      </w:r>
      <w:r w:rsidRPr="00E4401D">
        <w:rPr>
          <w:rFonts w:ascii="Times New Roman" w:hAnsi="Times New Roman" w:cs="Times New Roman"/>
          <w:sz w:val="28"/>
          <w:szCs w:val="28"/>
        </w:rPr>
        <w:t xml:space="preserve">exposición oral efectuada durante el trámite </w:t>
      </w:r>
      <w:r w:rsidRPr="00E4401D">
        <w:rPr>
          <w:rFonts w:ascii="Times New Roman" w:hAnsi="Times New Roman" w:cs="Times New Roman"/>
          <w:sz w:val="28"/>
          <w:szCs w:val="28"/>
        </w:rPr>
        <w:t xml:space="preserve">de la sesión plenaria </w:t>
      </w:r>
      <w:r w:rsidRPr="00E4401D">
        <w:rPr>
          <w:rFonts w:ascii="Times New Roman" w:hAnsi="Times New Roman" w:cs="Times New Roman"/>
          <w:sz w:val="28"/>
          <w:szCs w:val="28"/>
        </w:rPr>
        <w:t xml:space="preserve">no dio cuenta </w:t>
      </w:r>
      <w:r w:rsidRPr="00E4401D">
        <w:rPr>
          <w:rFonts w:ascii="Times New Roman" w:hAnsi="Times New Roman" w:cs="Times New Roman"/>
          <w:sz w:val="28"/>
          <w:szCs w:val="28"/>
        </w:rPr>
        <w:t>de su contenido</w:t>
      </w:r>
      <w:r w:rsidRPr="00E4401D">
        <w:rPr>
          <w:rFonts w:ascii="Times New Roman" w:hAnsi="Times New Roman" w:cs="Times New Roman"/>
          <w:sz w:val="28"/>
          <w:szCs w:val="28"/>
        </w:rPr>
        <w:t xml:space="preserve"> o el</w:t>
      </w:r>
      <w:r w:rsidRPr="00E4401D">
        <w:rPr>
          <w:rFonts w:ascii="Times New Roman" w:hAnsi="Times New Roman" w:cs="Times New Roman"/>
          <w:sz w:val="28"/>
          <w:szCs w:val="28"/>
        </w:rPr>
        <w:t xml:space="preserve"> alcance de </w:t>
      </w:r>
      <w:r w:rsidRPr="00E4401D">
        <w:rPr>
          <w:rFonts w:ascii="Times New Roman" w:hAnsi="Times New Roman" w:cs="Times New Roman"/>
          <w:sz w:val="28"/>
          <w:szCs w:val="28"/>
        </w:rPr>
        <w:t xml:space="preserve">dichas modificaciones </w:t>
      </w:r>
      <w:r w:rsidRPr="00E4401D">
        <w:rPr>
          <w:rFonts w:ascii="Times New Roman" w:hAnsi="Times New Roman" w:cs="Times New Roman"/>
          <w:sz w:val="28"/>
          <w:szCs w:val="28"/>
        </w:rPr>
        <w:t>que fue</w:t>
      </w:r>
      <w:r w:rsidRPr="00E4401D">
        <w:rPr>
          <w:rFonts w:ascii="Times New Roman" w:hAnsi="Times New Roman" w:cs="Times New Roman"/>
          <w:sz w:val="28"/>
          <w:szCs w:val="28"/>
        </w:rPr>
        <w:t>ron</w:t>
      </w:r>
      <w:r w:rsidRPr="00E4401D">
        <w:rPr>
          <w:rFonts w:ascii="Times New Roman" w:hAnsi="Times New Roman" w:cs="Times New Roman"/>
          <w:sz w:val="28"/>
          <w:szCs w:val="28"/>
        </w:rPr>
        <w:t xml:space="preserve"> objeto de votación.</w:t>
      </w:r>
      <w:r w:rsidRPr="00E4401D">
        <w:rPr>
          <w:rFonts w:ascii="Times New Roman" w:hAnsi="Times New Roman" w:cs="Times New Roman"/>
          <w:sz w:val="28"/>
          <w:szCs w:val="28"/>
        </w:rPr>
        <w:t xml:space="preserve"> Tampoco se incorporaron en los informes de ponencia ni se difundieron por medios oficiales antes de la votación. Además, se descarta que hubieran concurrido mecanismos alternativos de publicidad reconocidos por </w:t>
      </w:r>
      <w:r w:rsidRPr="00E4401D">
        <w:rPr>
          <w:rFonts w:ascii="Times New Roman" w:hAnsi="Times New Roman" w:cs="Times New Roman"/>
          <w:sz w:val="28"/>
          <w:szCs w:val="28"/>
        </w:rPr>
        <w:t>la jurisprudencia</w:t>
      </w:r>
      <w:r w:rsidRPr="00E4401D">
        <w:rPr>
          <w:rFonts w:ascii="Times New Roman" w:hAnsi="Times New Roman" w:cs="Times New Roman"/>
          <w:sz w:val="28"/>
          <w:szCs w:val="28"/>
        </w:rPr>
        <w:t>, ta</w:t>
      </w:r>
      <w:r w:rsidRPr="00E4401D">
        <w:rPr>
          <w:rFonts w:ascii="Times New Roman" w:hAnsi="Times New Roman" w:cs="Times New Roman"/>
          <w:sz w:val="28"/>
          <w:szCs w:val="28"/>
        </w:rPr>
        <w:t xml:space="preserve">les como la distribución previa de copias, su publicación con antelación razonable en el sitio web oficial del Senado, o la existencia de una explicación oral suficientemente específica y detallada. En </w:t>
      </w:r>
      <w:r w:rsidRPr="00E4401D">
        <w:rPr>
          <w:rFonts w:ascii="Times New Roman" w:hAnsi="Times New Roman" w:cs="Times New Roman"/>
          <w:sz w:val="28"/>
          <w:szCs w:val="28"/>
        </w:rPr>
        <w:t>resumen</w:t>
      </w:r>
      <w:r w:rsidRPr="00E4401D">
        <w:rPr>
          <w:rFonts w:ascii="Times New Roman" w:hAnsi="Times New Roman" w:cs="Times New Roman"/>
          <w:sz w:val="28"/>
          <w:szCs w:val="28"/>
        </w:rPr>
        <w:t xml:space="preserve">, no se garantizó el acceso real y oportuno al </w:t>
      </w:r>
      <w:r w:rsidRPr="00E4401D">
        <w:rPr>
          <w:rFonts w:ascii="Times New Roman" w:hAnsi="Times New Roman" w:cs="Times New Roman"/>
          <w:sz w:val="28"/>
          <w:szCs w:val="28"/>
        </w:rPr>
        <w:t>contenido de las modificaciones, lo que impidió a los senadores formar un criterio informado al momento de votar.</w:t>
      </w:r>
    </w:p>
    <w:p w:rsidR="00463FB2" w:rsidRPr="00E4401D" w:rsidRDefault="00E4401D" w:rsidP="00BA5B06">
      <w:pPr>
        <w:jc w:val="both"/>
        <w:rPr>
          <w:rFonts w:ascii="Times New Roman" w:hAnsi="Times New Roman" w:cs="Times New Roman"/>
          <w:sz w:val="28"/>
          <w:szCs w:val="28"/>
        </w:rPr>
      </w:pPr>
    </w:p>
    <w:p w:rsidR="00463FB2" w:rsidRPr="00E4401D" w:rsidRDefault="00E4401D" w:rsidP="00463FB2">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De la misma forma que en el proceso que terminó con la Sentencia C-294 de 2024, en este caso </w:t>
      </w:r>
      <w:r w:rsidRPr="00E4401D">
        <w:rPr>
          <w:rFonts w:ascii="Times New Roman" w:hAnsi="Times New Roman" w:cs="Times New Roman"/>
          <w:sz w:val="28"/>
          <w:szCs w:val="28"/>
        </w:rPr>
        <w:t>la Presidencia de la República</w:t>
      </w:r>
      <w:r w:rsidRPr="00E4401D">
        <w:rPr>
          <w:rFonts w:ascii="Times New Roman" w:hAnsi="Times New Roman" w:cs="Times New Roman"/>
          <w:sz w:val="28"/>
          <w:szCs w:val="28"/>
        </w:rPr>
        <w:t xml:space="preserve"> sostuvo que </w:t>
      </w:r>
      <w:r w:rsidRPr="00E4401D">
        <w:rPr>
          <w:rFonts w:ascii="Times New Roman" w:hAnsi="Times New Roman" w:cs="Times New Roman"/>
          <w:sz w:val="28"/>
          <w:szCs w:val="28"/>
        </w:rPr>
        <w:t>se de</w:t>
      </w:r>
      <w:r w:rsidRPr="00E4401D">
        <w:rPr>
          <w:rFonts w:ascii="Times New Roman" w:hAnsi="Times New Roman" w:cs="Times New Roman"/>
          <w:sz w:val="28"/>
          <w:szCs w:val="28"/>
        </w:rPr>
        <w:t xml:space="preserve">be admitir como mecanismo de publicidad de la proposición </w:t>
      </w:r>
      <w:r w:rsidRPr="00E4401D">
        <w:rPr>
          <w:rFonts w:ascii="Times New Roman" w:hAnsi="Times New Roman" w:cs="Times New Roman"/>
          <w:sz w:val="28"/>
          <w:szCs w:val="28"/>
        </w:rPr>
        <w:t>su</w:t>
      </w:r>
      <w:r w:rsidRPr="00E4401D">
        <w:rPr>
          <w:rFonts w:ascii="Times New Roman" w:hAnsi="Times New Roman" w:cs="Times New Roman"/>
          <w:sz w:val="28"/>
          <w:szCs w:val="28"/>
        </w:rPr>
        <w:t xml:space="preserve"> explicación por parte de la ministra de Agricultura</w:t>
      </w:r>
      <w:r w:rsidRPr="00E4401D">
        <w:rPr>
          <w:rFonts w:ascii="Times New Roman" w:hAnsi="Times New Roman" w:cs="Times New Roman"/>
          <w:sz w:val="28"/>
          <w:szCs w:val="28"/>
        </w:rPr>
        <w:t>. Al respecto</w:t>
      </w:r>
      <w:r w:rsidRPr="00E4401D">
        <w:rPr>
          <w:rFonts w:ascii="Times New Roman" w:hAnsi="Times New Roman" w:cs="Times New Roman"/>
          <w:sz w:val="28"/>
          <w:szCs w:val="28"/>
        </w:rPr>
        <w:t>, es</w:t>
      </w:r>
      <w:r w:rsidRPr="00E4401D">
        <w:rPr>
          <w:rFonts w:ascii="Times New Roman" w:hAnsi="Times New Roman" w:cs="Times New Roman"/>
          <w:sz w:val="28"/>
          <w:szCs w:val="28"/>
        </w:rPr>
        <w:t xml:space="preserve"> preciso </w:t>
      </w:r>
      <w:r w:rsidRPr="00E4401D">
        <w:rPr>
          <w:rFonts w:ascii="Times New Roman" w:hAnsi="Times New Roman" w:cs="Times New Roman"/>
          <w:sz w:val="28"/>
          <w:szCs w:val="28"/>
        </w:rPr>
        <w:t>reiterar</w:t>
      </w:r>
      <w:r w:rsidRPr="00E4401D">
        <w:rPr>
          <w:rFonts w:ascii="Times New Roman" w:hAnsi="Times New Roman" w:cs="Times New Roman"/>
          <w:sz w:val="28"/>
          <w:szCs w:val="28"/>
        </w:rPr>
        <w:t xml:space="preserve"> lo expresado por la Sala Plena en la referida </w:t>
      </w:r>
      <w:r w:rsidRPr="00E4401D">
        <w:rPr>
          <w:rFonts w:ascii="Times New Roman" w:hAnsi="Times New Roman" w:cs="Times New Roman"/>
          <w:sz w:val="28"/>
          <w:szCs w:val="28"/>
        </w:rPr>
        <w:t>sentencia C-294 de 2024</w:t>
      </w:r>
      <w:r w:rsidRPr="00E4401D">
        <w:rPr>
          <w:rFonts w:ascii="Times New Roman" w:hAnsi="Times New Roman" w:cs="Times New Roman"/>
          <w:sz w:val="28"/>
          <w:szCs w:val="28"/>
        </w:rPr>
        <w:t>. En esa ocasión, la Corte</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resaltó que </w:t>
      </w:r>
      <w:r w:rsidRPr="00E4401D">
        <w:rPr>
          <w:rFonts w:ascii="Times New Roman" w:hAnsi="Times New Roman" w:cs="Times New Roman"/>
          <w:sz w:val="28"/>
          <w:szCs w:val="28"/>
        </w:rPr>
        <w:t>l</w:t>
      </w:r>
      <w:r w:rsidRPr="00E4401D">
        <w:rPr>
          <w:rFonts w:ascii="Times New Roman" w:hAnsi="Times New Roman" w:cs="Times New Roman"/>
          <w:sz w:val="28"/>
          <w:szCs w:val="28"/>
        </w:rPr>
        <w:t xml:space="preserve">a intervención </w:t>
      </w:r>
      <w:r w:rsidRPr="00E4401D">
        <w:rPr>
          <w:rFonts w:ascii="Times New Roman" w:hAnsi="Times New Roman" w:cs="Times New Roman"/>
          <w:sz w:val="28"/>
          <w:szCs w:val="28"/>
        </w:rPr>
        <w:t xml:space="preserve">de la ministra a la que se refería la defensa de la Presidencia de la República ocurrió </w:t>
      </w:r>
      <w:r w:rsidRPr="00E4401D">
        <w:rPr>
          <w:rFonts w:ascii="Times New Roman" w:hAnsi="Times New Roman" w:cs="Times New Roman"/>
          <w:sz w:val="28"/>
          <w:szCs w:val="28"/>
        </w:rPr>
        <w:t>el día siguiente</w:t>
      </w:r>
      <w:r w:rsidRPr="00E4401D">
        <w:rPr>
          <w:rFonts w:ascii="Times New Roman" w:hAnsi="Times New Roman" w:cs="Times New Roman"/>
          <w:sz w:val="28"/>
          <w:szCs w:val="28"/>
        </w:rPr>
        <w:t xml:space="preserve"> a </w:t>
      </w:r>
      <w:r w:rsidRPr="00E4401D">
        <w:rPr>
          <w:rFonts w:ascii="Times New Roman" w:hAnsi="Times New Roman" w:cs="Times New Roman"/>
          <w:sz w:val="28"/>
          <w:szCs w:val="28"/>
        </w:rPr>
        <w:t>la aprobación del artículo</w:t>
      </w:r>
      <w:r w:rsidRPr="00E4401D">
        <w:rPr>
          <w:rFonts w:ascii="Times New Roman" w:hAnsi="Times New Roman" w:cs="Times New Roman"/>
          <w:sz w:val="28"/>
          <w:szCs w:val="28"/>
        </w:rPr>
        <w:t xml:space="preserve"> 61</w:t>
      </w:r>
      <w:r w:rsidRPr="00E4401D">
        <w:rPr>
          <w:rFonts w:ascii="Times New Roman" w:hAnsi="Times New Roman" w:cs="Times New Roman"/>
          <w:sz w:val="28"/>
          <w:szCs w:val="28"/>
        </w:rPr>
        <w:t>, y se dio en relación con otra disposición que no corresponde al artículo examinado por la Corte. En efe</w:t>
      </w:r>
      <w:r w:rsidRPr="00E4401D">
        <w:rPr>
          <w:rFonts w:ascii="Times New Roman" w:hAnsi="Times New Roman" w:cs="Times New Roman"/>
          <w:sz w:val="28"/>
          <w:szCs w:val="28"/>
        </w:rPr>
        <w:t>cto, en la sesión del 3 de mayo de 2023, la ministra explicó una proposición que radicó ese día frente al artículo 373 del proyecto de ley, que correspondía a las derogatorias y no al artículo 55, que regula los mecanismos para facilitar y dinamizar los pr</w:t>
      </w:r>
      <w:r w:rsidRPr="00E4401D">
        <w:rPr>
          <w:rFonts w:ascii="Times New Roman" w:hAnsi="Times New Roman" w:cs="Times New Roman"/>
          <w:sz w:val="28"/>
          <w:szCs w:val="28"/>
        </w:rPr>
        <w:t>ocesos de compra de tierras por oferta voluntaria.</w:t>
      </w:r>
    </w:p>
    <w:p w:rsidR="008C00B9" w:rsidRPr="00E4401D" w:rsidRDefault="00E4401D" w:rsidP="00BA5B06">
      <w:pPr>
        <w:rPr>
          <w:rFonts w:ascii="Times New Roman" w:hAnsi="Times New Roman" w:cs="Times New Roman"/>
          <w:sz w:val="28"/>
          <w:szCs w:val="28"/>
        </w:rPr>
      </w:pPr>
    </w:p>
    <w:p w:rsidR="008C00B9" w:rsidRPr="00E4401D" w:rsidRDefault="00E4401D" w:rsidP="00BA5B06">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Por lo expuesto hasta acá, la Corte declarará la inexequibilidad de</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l</w:t>
      </w:r>
      <w:r w:rsidRPr="00E4401D">
        <w:rPr>
          <w:rFonts w:ascii="Times New Roman" w:hAnsi="Times New Roman" w:cs="Times New Roman"/>
          <w:sz w:val="28"/>
          <w:szCs w:val="28"/>
        </w:rPr>
        <w:t>a expresión “</w:t>
      </w:r>
      <w:r w:rsidRPr="00E4401D">
        <w:rPr>
          <w:rFonts w:ascii="Times New Roman" w:hAnsi="Times New Roman" w:cs="Times New Roman"/>
          <w:i/>
          <w:iCs/>
          <w:sz w:val="28"/>
          <w:szCs w:val="28"/>
        </w:rPr>
        <w:t>de que trata el artículo 54 de la Ley 975 de 2005</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el </w:t>
      </w:r>
      <w:r w:rsidRPr="00E4401D">
        <w:rPr>
          <w:rFonts w:ascii="Times New Roman" w:hAnsi="Times New Roman" w:cs="Times New Roman"/>
          <w:sz w:val="28"/>
          <w:szCs w:val="28"/>
        </w:rPr>
        <w:t>inciso segundo</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y los literales a, b y c del numeral 3 del artículo 61 demandado. Así mismo, se declarará la inexequibilidad del numeral 5 y del parágrafo 1 de la misma norma.</w:t>
      </w:r>
    </w:p>
    <w:p w:rsidR="00124888" w:rsidRPr="00E4401D" w:rsidRDefault="00E4401D" w:rsidP="00124888">
      <w:pPr>
        <w:pStyle w:val="Prrafodelista"/>
        <w:rPr>
          <w:rFonts w:ascii="Times New Roman" w:hAnsi="Times New Roman" w:cs="Times New Roman"/>
          <w:sz w:val="28"/>
          <w:szCs w:val="28"/>
        </w:rPr>
      </w:pPr>
    </w:p>
    <w:p w:rsidR="00124888" w:rsidRPr="00E4401D" w:rsidRDefault="00E4401D" w:rsidP="00BA5B06">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Respecto al literal a. del numeral 2 del artículo 61 de la Ley 2294 de 2023, la Sala encuentra</w:t>
      </w:r>
      <w:r w:rsidRPr="00E4401D">
        <w:rPr>
          <w:rFonts w:ascii="Times New Roman" w:hAnsi="Times New Roman" w:cs="Times New Roman"/>
          <w:sz w:val="28"/>
          <w:szCs w:val="28"/>
        </w:rPr>
        <w:t xml:space="preserve"> acreditado el cumplimiento del principio de publicidad. En efecto, el entonces presidente del Senado de la República </w:t>
      </w:r>
      <w:r w:rsidRPr="00E4401D">
        <w:rPr>
          <w:rFonts w:ascii="Times New Roman" w:hAnsi="Times New Roman" w:cs="Times New Roman"/>
          <w:sz w:val="28"/>
          <w:szCs w:val="28"/>
        </w:rPr>
        <w:t xml:space="preserve">explicó </w:t>
      </w:r>
      <w:r w:rsidRPr="00E4401D">
        <w:rPr>
          <w:rFonts w:ascii="Times New Roman" w:hAnsi="Times New Roman" w:cs="Times New Roman"/>
          <w:sz w:val="28"/>
          <w:szCs w:val="28"/>
        </w:rPr>
        <w:t xml:space="preserve">durante la sesión plenaria del 2 de mayo de 2023 </w:t>
      </w:r>
      <w:r w:rsidRPr="00E4401D">
        <w:rPr>
          <w:rFonts w:ascii="Times New Roman" w:hAnsi="Times New Roman" w:cs="Times New Roman"/>
          <w:sz w:val="28"/>
          <w:szCs w:val="28"/>
        </w:rPr>
        <w:t xml:space="preserve">todo el contenido normativo </w:t>
      </w:r>
      <w:r w:rsidRPr="00E4401D">
        <w:rPr>
          <w:rFonts w:ascii="Times New Roman" w:hAnsi="Times New Roman" w:cs="Times New Roman"/>
          <w:sz w:val="28"/>
          <w:szCs w:val="28"/>
        </w:rPr>
        <w:t>de l</w:t>
      </w:r>
      <w:r w:rsidRPr="00E4401D">
        <w:rPr>
          <w:rFonts w:ascii="Times New Roman" w:hAnsi="Times New Roman" w:cs="Times New Roman"/>
          <w:sz w:val="28"/>
          <w:szCs w:val="28"/>
        </w:rPr>
        <w:t>a disposición</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sobre</w:t>
      </w:r>
      <w:r w:rsidRPr="00E4401D">
        <w:rPr>
          <w:rFonts w:ascii="Times New Roman" w:hAnsi="Times New Roman" w:cs="Times New Roman"/>
          <w:sz w:val="28"/>
          <w:szCs w:val="28"/>
        </w:rPr>
        <w:t xml:space="preserve"> la figura de enajenación tem</w:t>
      </w:r>
      <w:r w:rsidRPr="00E4401D">
        <w:rPr>
          <w:rFonts w:ascii="Times New Roman" w:hAnsi="Times New Roman" w:cs="Times New Roman"/>
          <w:sz w:val="28"/>
          <w:szCs w:val="28"/>
        </w:rPr>
        <w:t xml:space="preserve">prana o de cualquier otro mecanismo que establezca la ley, y a la disposición relacionada con la reintegración de la reserva técnica en favor del Fondo de Tierras. La </w:t>
      </w:r>
      <w:r w:rsidRPr="00E4401D">
        <w:rPr>
          <w:rFonts w:ascii="Times New Roman" w:hAnsi="Times New Roman" w:cs="Times New Roman"/>
          <w:sz w:val="28"/>
          <w:szCs w:val="28"/>
        </w:rPr>
        <w:t>explicación</w:t>
      </w:r>
      <w:r w:rsidRPr="00E4401D">
        <w:rPr>
          <w:rFonts w:ascii="Times New Roman" w:hAnsi="Times New Roman" w:cs="Times New Roman"/>
          <w:sz w:val="28"/>
          <w:szCs w:val="28"/>
        </w:rPr>
        <w:t xml:space="preserve"> oral del contenido de la proposición permitió que los senadores conocieran ad</w:t>
      </w:r>
      <w:r w:rsidRPr="00E4401D">
        <w:rPr>
          <w:rFonts w:ascii="Times New Roman" w:hAnsi="Times New Roman" w:cs="Times New Roman"/>
          <w:sz w:val="28"/>
          <w:szCs w:val="28"/>
        </w:rPr>
        <w:t xml:space="preserve">ecuadamente su alcance antes de proceder a la votación. Por consiguiente, la Corte declarará </w:t>
      </w:r>
      <w:r w:rsidRPr="00E4401D">
        <w:rPr>
          <w:rFonts w:ascii="Times New Roman" w:hAnsi="Times New Roman" w:cs="Times New Roman"/>
          <w:sz w:val="28"/>
          <w:szCs w:val="28"/>
        </w:rPr>
        <w:t>la</w:t>
      </w:r>
      <w:r w:rsidRPr="00E4401D">
        <w:rPr>
          <w:rFonts w:ascii="Times New Roman" w:hAnsi="Times New Roman" w:cs="Times New Roman"/>
          <w:sz w:val="28"/>
          <w:szCs w:val="28"/>
        </w:rPr>
        <w:t xml:space="preserve"> exequibilidad</w:t>
      </w:r>
      <w:r w:rsidRPr="00E4401D">
        <w:rPr>
          <w:rFonts w:ascii="Times New Roman" w:hAnsi="Times New Roman" w:cs="Times New Roman"/>
          <w:sz w:val="28"/>
          <w:szCs w:val="28"/>
        </w:rPr>
        <w:t xml:space="preserve"> de todo el literal a. del numeral 2 del artículo 61 de la Ley 2294 de 2023.</w:t>
      </w:r>
    </w:p>
    <w:p w:rsidR="00124888" w:rsidRPr="00E4401D" w:rsidRDefault="00E4401D" w:rsidP="00124888">
      <w:pPr>
        <w:pStyle w:val="Prrafodelista"/>
        <w:rPr>
          <w:rFonts w:ascii="Times New Roman" w:hAnsi="Times New Roman" w:cs="Times New Roman"/>
          <w:sz w:val="28"/>
          <w:szCs w:val="28"/>
        </w:rPr>
      </w:pPr>
    </w:p>
    <w:p w:rsidR="00124888" w:rsidRPr="00E4401D" w:rsidRDefault="00E4401D" w:rsidP="00BA5B06">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Asimismo, la Sala precisa que los parágrafos segundo y cuarto del art</w:t>
      </w:r>
      <w:r w:rsidRPr="00E4401D">
        <w:rPr>
          <w:rFonts w:ascii="Times New Roman" w:hAnsi="Times New Roman" w:cs="Times New Roman"/>
          <w:sz w:val="28"/>
          <w:szCs w:val="28"/>
        </w:rPr>
        <w:t xml:space="preserve">ículo 61 no fueron objeto de modificación por la proposición presentada y avalada durante la sesión plenaria del Senado de la </w:t>
      </w:r>
      <w:r w:rsidRPr="00E4401D">
        <w:rPr>
          <w:rFonts w:ascii="Times New Roman" w:hAnsi="Times New Roman" w:cs="Times New Roman"/>
          <w:sz w:val="28"/>
          <w:szCs w:val="28"/>
        </w:rPr>
        <w:t>República</w:t>
      </w:r>
      <w:r w:rsidRPr="00E4401D">
        <w:rPr>
          <w:rFonts w:ascii="Times New Roman" w:hAnsi="Times New Roman" w:cs="Times New Roman"/>
          <w:sz w:val="28"/>
          <w:szCs w:val="28"/>
        </w:rPr>
        <w:t xml:space="preserve"> del 2 de mayo de 2023. Estos parágrafos conservan la redacción contenida en el proyecto original debatido en primer y se</w:t>
      </w:r>
      <w:r w:rsidRPr="00E4401D">
        <w:rPr>
          <w:rFonts w:ascii="Times New Roman" w:hAnsi="Times New Roman" w:cs="Times New Roman"/>
          <w:sz w:val="28"/>
          <w:szCs w:val="28"/>
        </w:rPr>
        <w:t>gundo debate, sin alteraciones. Dado que su contenido fue sometido a debate y aprobación, no se identifican vicios de procedimiento relacionados con la publicidad que afecten su validez. En consecuencia, la Corte declarará la exequibilidad de los parágrafo</w:t>
      </w:r>
      <w:r w:rsidRPr="00E4401D">
        <w:rPr>
          <w:rFonts w:ascii="Times New Roman" w:hAnsi="Times New Roman" w:cs="Times New Roman"/>
          <w:sz w:val="28"/>
          <w:szCs w:val="28"/>
        </w:rPr>
        <w:t>s segundo y cuarto del artículo 61 de la Ley 2294 de 2023.</w:t>
      </w:r>
    </w:p>
    <w:p w:rsidR="008C00B9" w:rsidRPr="00E4401D" w:rsidRDefault="00E4401D" w:rsidP="008C00B9">
      <w:pPr>
        <w:pStyle w:val="Prrafodelista"/>
        <w:ind w:left="0"/>
        <w:jc w:val="both"/>
        <w:rPr>
          <w:rFonts w:ascii="Times New Roman" w:hAnsi="Times New Roman" w:cs="Times New Roman"/>
          <w:sz w:val="28"/>
          <w:szCs w:val="28"/>
        </w:rPr>
      </w:pPr>
    </w:p>
    <w:p w:rsidR="008C00B9" w:rsidRPr="00E4401D" w:rsidRDefault="00E4401D" w:rsidP="00BA5B06">
      <w:pPr>
        <w:pStyle w:val="Ttulo4"/>
        <w:jc w:val="both"/>
        <w:rPr>
          <w:rFonts w:ascii="Times New Roman" w:hAnsi="Times New Roman" w:cs="Times New Roman"/>
          <w:b/>
          <w:bCs/>
          <w:color w:val="auto"/>
          <w:sz w:val="28"/>
          <w:szCs w:val="28"/>
        </w:rPr>
      </w:pPr>
      <w:r w:rsidRPr="00E4401D">
        <w:rPr>
          <w:rFonts w:ascii="Times New Roman" w:hAnsi="Times New Roman" w:cs="Times New Roman"/>
          <w:b/>
          <w:bCs/>
          <w:color w:val="auto"/>
          <w:sz w:val="28"/>
          <w:szCs w:val="28"/>
        </w:rPr>
        <w:t>Trámite legislativo que condujo a la aprobación del artículo 289 de la Ley 2294 de 2023 en la sesión plenaria del Senado de la República</w:t>
      </w:r>
    </w:p>
    <w:p w:rsidR="008C00B9" w:rsidRPr="00E4401D" w:rsidRDefault="00E4401D" w:rsidP="00BA5B06">
      <w:pPr>
        <w:pStyle w:val="Prrafodelista"/>
        <w:ind w:left="0"/>
        <w:jc w:val="both"/>
        <w:rPr>
          <w:rFonts w:ascii="Times New Roman" w:hAnsi="Times New Roman" w:cs="Times New Roman"/>
          <w:sz w:val="28"/>
          <w:szCs w:val="28"/>
        </w:rPr>
      </w:pPr>
    </w:p>
    <w:p w:rsidR="00463FB2" w:rsidRPr="00E4401D" w:rsidRDefault="00E4401D" w:rsidP="008C00B9">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La Sala observa que </w:t>
      </w:r>
      <w:r w:rsidRPr="00E4401D">
        <w:rPr>
          <w:rFonts w:ascii="Times New Roman" w:hAnsi="Times New Roman" w:cs="Times New Roman"/>
          <w:sz w:val="28"/>
          <w:szCs w:val="28"/>
        </w:rPr>
        <w:t>e</w:t>
      </w:r>
      <w:r w:rsidRPr="00E4401D">
        <w:rPr>
          <w:rFonts w:ascii="Times New Roman" w:hAnsi="Times New Roman" w:cs="Times New Roman"/>
          <w:sz w:val="28"/>
          <w:szCs w:val="28"/>
        </w:rPr>
        <w:t xml:space="preserve">sta disposición no se encontraba </w:t>
      </w:r>
      <w:r w:rsidRPr="00E4401D">
        <w:rPr>
          <w:rFonts w:ascii="Times New Roman" w:hAnsi="Times New Roman" w:cs="Times New Roman"/>
          <w:sz w:val="28"/>
          <w:szCs w:val="28"/>
        </w:rPr>
        <w:t>dentro</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d</w:t>
      </w:r>
      <w:r w:rsidRPr="00E4401D">
        <w:rPr>
          <w:rFonts w:ascii="Times New Roman" w:hAnsi="Times New Roman" w:cs="Times New Roman"/>
          <w:sz w:val="28"/>
          <w:szCs w:val="28"/>
        </w:rPr>
        <w:t>el proyecto de ley radicado por el Gobierno nacional el 06 de febrero de 2023</w:t>
      </w:r>
      <w:r w:rsidRPr="00E4401D">
        <w:rPr>
          <w:rFonts w:ascii="Times New Roman" w:hAnsi="Times New Roman" w:cs="Times New Roman"/>
          <w:sz w:val="28"/>
          <w:szCs w:val="28"/>
        </w:rPr>
        <w:t>. Tampoco estaba dentro del texto aprobado por las comisi</w:t>
      </w:r>
      <w:r w:rsidRPr="00E4401D">
        <w:rPr>
          <w:rFonts w:ascii="Times New Roman" w:hAnsi="Times New Roman" w:cs="Times New Roman"/>
          <w:sz w:val="28"/>
          <w:szCs w:val="28"/>
        </w:rPr>
        <w:t xml:space="preserve">ones económicas constitucionales permanentes </w:t>
      </w:r>
      <w:r w:rsidRPr="00E4401D">
        <w:rPr>
          <w:rFonts w:ascii="Times New Roman" w:hAnsi="Times New Roman" w:cs="Times New Roman"/>
          <w:sz w:val="28"/>
          <w:szCs w:val="28"/>
        </w:rPr>
        <w:t>del Senado de la Rep</w:t>
      </w:r>
      <w:r w:rsidRPr="00E4401D">
        <w:rPr>
          <w:rFonts w:ascii="Times New Roman" w:hAnsi="Times New Roman" w:cs="Times New Roman"/>
          <w:sz w:val="28"/>
          <w:szCs w:val="28"/>
        </w:rPr>
        <w:t>ú</w:t>
      </w:r>
      <w:r w:rsidRPr="00E4401D">
        <w:rPr>
          <w:rFonts w:ascii="Times New Roman" w:hAnsi="Times New Roman" w:cs="Times New Roman"/>
          <w:sz w:val="28"/>
          <w:szCs w:val="28"/>
        </w:rPr>
        <w:t>blica y de la Cámara de Representantes.</w:t>
      </w:r>
    </w:p>
    <w:p w:rsidR="008C00B9" w:rsidRPr="00E4401D" w:rsidRDefault="00E4401D" w:rsidP="00BA5B06">
      <w:pPr>
        <w:jc w:val="both"/>
        <w:rPr>
          <w:rFonts w:ascii="Times New Roman" w:hAnsi="Times New Roman" w:cs="Times New Roman"/>
          <w:sz w:val="28"/>
          <w:szCs w:val="28"/>
        </w:rPr>
      </w:pPr>
    </w:p>
    <w:p w:rsidR="007D2694" w:rsidRPr="00E4401D" w:rsidRDefault="00E4401D" w:rsidP="00BA5B06">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En la p</w:t>
      </w:r>
      <w:r w:rsidRPr="00E4401D">
        <w:rPr>
          <w:rFonts w:ascii="Times New Roman" w:hAnsi="Times New Roman" w:cs="Times New Roman"/>
          <w:sz w:val="28"/>
          <w:szCs w:val="28"/>
        </w:rPr>
        <w:t>resentación</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d</w:t>
      </w:r>
      <w:r w:rsidRPr="00E4401D">
        <w:rPr>
          <w:rFonts w:ascii="Times New Roman" w:hAnsi="Times New Roman" w:cs="Times New Roman"/>
          <w:sz w:val="28"/>
          <w:szCs w:val="28"/>
        </w:rPr>
        <w:t xml:space="preserve">el informe de ponencia ante la sesión plenaria del Senado de la </w:t>
      </w:r>
      <w:r w:rsidRPr="00E4401D">
        <w:rPr>
          <w:rFonts w:ascii="Times New Roman" w:hAnsi="Times New Roman" w:cs="Times New Roman"/>
          <w:sz w:val="28"/>
          <w:szCs w:val="28"/>
        </w:rPr>
        <w:t>República</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los</w:t>
      </w:r>
      <w:r w:rsidRPr="00E4401D">
        <w:rPr>
          <w:rFonts w:ascii="Times New Roman" w:hAnsi="Times New Roman" w:cs="Times New Roman"/>
          <w:sz w:val="28"/>
          <w:szCs w:val="28"/>
        </w:rPr>
        <w:t xml:space="preserve"> ponentes</w:t>
      </w:r>
      <w:r w:rsidRPr="00E4401D">
        <w:rPr>
          <w:rFonts w:ascii="Times New Roman" w:hAnsi="Times New Roman" w:cs="Times New Roman"/>
          <w:sz w:val="28"/>
          <w:szCs w:val="28"/>
        </w:rPr>
        <w:t xml:space="preserve"> del proyecto</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introdujeron</w:t>
      </w:r>
      <w:r w:rsidRPr="00E4401D">
        <w:rPr>
          <w:rFonts w:ascii="Times New Roman" w:hAnsi="Times New Roman" w:cs="Times New Roman"/>
          <w:sz w:val="28"/>
          <w:szCs w:val="28"/>
        </w:rPr>
        <w:t xml:space="preserve"> esta disposición </w:t>
      </w:r>
      <w:r w:rsidRPr="00E4401D">
        <w:rPr>
          <w:rFonts w:ascii="Times New Roman" w:hAnsi="Times New Roman" w:cs="Times New Roman"/>
          <w:sz w:val="28"/>
          <w:szCs w:val="28"/>
        </w:rPr>
        <w:t xml:space="preserve">como </w:t>
      </w:r>
      <w:r w:rsidRPr="00E4401D">
        <w:rPr>
          <w:rFonts w:ascii="Times New Roman" w:hAnsi="Times New Roman" w:cs="Times New Roman"/>
          <w:sz w:val="28"/>
          <w:szCs w:val="28"/>
        </w:rPr>
        <w:t>un artículo nuevo</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Correspondía al artículo 338 del proyecto presentado a la sesión plenaria.</w:t>
      </w:r>
      <w:r w:rsidRPr="00E4401D">
        <w:rPr>
          <w:rStyle w:val="Refdenotaalpie"/>
          <w:rFonts w:ascii="Times New Roman" w:hAnsi="Times New Roman" w:cs="Times New Roman"/>
          <w:sz w:val="28"/>
          <w:szCs w:val="28"/>
        </w:rPr>
        <w:footnoteReference w:id="67"/>
      </w:r>
      <w:r w:rsidRPr="00E4401D">
        <w:rPr>
          <w:rFonts w:ascii="Times New Roman" w:hAnsi="Times New Roman" w:cs="Times New Roman"/>
          <w:sz w:val="28"/>
          <w:szCs w:val="28"/>
        </w:rPr>
        <w:t xml:space="preserve"> Los ponentes </w:t>
      </w:r>
      <w:r w:rsidRPr="00E4401D">
        <w:rPr>
          <w:rFonts w:ascii="Times New Roman" w:hAnsi="Times New Roman" w:cs="Times New Roman"/>
          <w:sz w:val="28"/>
          <w:szCs w:val="28"/>
        </w:rPr>
        <w:t xml:space="preserve">justificaron la inclusión de este artículo de la siguiente manera: </w:t>
      </w:r>
    </w:p>
    <w:p w:rsidR="00233F79" w:rsidRPr="00E4401D" w:rsidRDefault="00E4401D" w:rsidP="00233F79">
      <w:pPr>
        <w:pStyle w:val="Prrafodelista"/>
        <w:rPr>
          <w:rFonts w:ascii="Times New Roman" w:hAnsi="Times New Roman" w:cs="Times New Roman"/>
          <w:sz w:val="28"/>
          <w:szCs w:val="28"/>
        </w:rPr>
      </w:pPr>
    </w:p>
    <w:p w:rsidR="00233F79" w:rsidRPr="00E4401D" w:rsidRDefault="00E4401D" w:rsidP="00233F79">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Artículo 338°</w:t>
      </w:r>
      <w:r w:rsidRPr="00E4401D">
        <w:rPr>
          <w:rFonts w:ascii="Times New Roman" w:hAnsi="Times New Roman" w:cs="Times New Roman"/>
          <w:i/>
          <w:iCs/>
          <w:sz w:val="28"/>
          <w:szCs w:val="28"/>
        </w:rPr>
        <w:t xml:space="preserve">. Nuevo. </w:t>
      </w:r>
      <w:r w:rsidRPr="00E4401D">
        <w:rPr>
          <w:rFonts w:ascii="Times New Roman" w:hAnsi="Times New Roman" w:cs="Times New Roman"/>
          <w:i/>
          <w:iCs/>
          <w:sz w:val="28"/>
          <w:szCs w:val="28"/>
        </w:rPr>
        <w:t xml:space="preserve">AUTORIZACIÓN EXCEPCIONAL PARA EL OTORGAMIENTO DE CRÉDITO DIRECTO A LOS PATRIMONIOS AUTÓNOMOS QUE CONSTITUYA LA FINANCIERA DE DESARROLLO TERRITORIAL </w:t>
      </w:r>
      <w:r w:rsidRPr="00E4401D">
        <w:rPr>
          <w:rFonts w:ascii="Times New Roman" w:hAnsi="Times New Roman" w:cs="Times New Roman"/>
          <w:i/>
          <w:iCs/>
          <w:sz w:val="28"/>
          <w:szCs w:val="28"/>
        </w:rPr>
        <w:t>PARA EL DESARROLLO DE PROYECTOS DE INVERSIÓN EN INFRAESTRUCTURA EN SECTORES ELEGIBLES. Se autoriza a la Financiera de Desarrollo Territorial S.A. – FINDETER para realizar giros directos a patrimonios autónomos creados por dicha financiera como fideicomiten</w:t>
      </w:r>
      <w:r w:rsidRPr="00E4401D">
        <w:rPr>
          <w:rFonts w:ascii="Times New Roman" w:hAnsi="Times New Roman" w:cs="Times New Roman"/>
          <w:i/>
          <w:iCs/>
          <w:sz w:val="28"/>
          <w:szCs w:val="28"/>
        </w:rPr>
        <w:t>te dentro de contratos de fiducia mercantil para el desarrollo de proyectos de inversión en infraestructura, y los demás que se encuentren dentro de los sectores elegibles.</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68"/>
      </w:r>
    </w:p>
    <w:p w:rsidR="00603445" w:rsidRPr="00E4401D" w:rsidRDefault="00E4401D" w:rsidP="00233F79">
      <w:pPr>
        <w:pStyle w:val="Prrafodelista"/>
        <w:tabs>
          <w:tab w:val="left" w:pos="540"/>
        </w:tabs>
        <w:ind w:left="0"/>
        <w:mirrorIndents/>
        <w:jc w:val="both"/>
        <w:rPr>
          <w:rFonts w:ascii="Times New Roman" w:hAnsi="Times New Roman" w:cs="Times New Roman"/>
          <w:sz w:val="28"/>
          <w:szCs w:val="28"/>
        </w:rPr>
      </w:pPr>
    </w:p>
    <w:p w:rsidR="005B482D" w:rsidRPr="00E4401D" w:rsidRDefault="00E4401D" w:rsidP="00E91CC0">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El texto </w:t>
      </w:r>
      <w:r w:rsidRPr="00E4401D">
        <w:rPr>
          <w:rFonts w:ascii="Times New Roman" w:hAnsi="Times New Roman" w:cs="Times New Roman"/>
          <w:sz w:val="28"/>
          <w:szCs w:val="28"/>
        </w:rPr>
        <w:t xml:space="preserve">del artículo </w:t>
      </w:r>
      <w:r w:rsidRPr="00E4401D">
        <w:rPr>
          <w:rFonts w:ascii="Times New Roman" w:hAnsi="Times New Roman" w:cs="Times New Roman"/>
          <w:sz w:val="28"/>
          <w:szCs w:val="28"/>
        </w:rPr>
        <w:t>propuesto</w:t>
      </w:r>
      <w:r w:rsidRPr="00E4401D">
        <w:rPr>
          <w:rFonts w:ascii="Times New Roman" w:hAnsi="Times New Roman" w:cs="Times New Roman"/>
          <w:sz w:val="28"/>
          <w:szCs w:val="28"/>
        </w:rPr>
        <w:t xml:space="preserve"> dentro de la ponencia</w:t>
      </w:r>
      <w:r w:rsidRPr="00E4401D">
        <w:rPr>
          <w:rFonts w:ascii="Times New Roman" w:hAnsi="Times New Roman" w:cs="Times New Roman"/>
          <w:sz w:val="28"/>
          <w:szCs w:val="28"/>
        </w:rPr>
        <w:t xml:space="preserve"> para el debate ante la se</w:t>
      </w:r>
      <w:r w:rsidRPr="00E4401D">
        <w:rPr>
          <w:rFonts w:ascii="Times New Roman" w:hAnsi="Times New Roman" w:cs="Times New Roman"/>
          <w:sz w:val="28"/>
          <w:szCs w:val="28"/>
        </w:rPr>
        <w:t xml:space="preserve">sión plenaria del Senado de la República </w:t>
      </w:r>
      <w:r w:rsidRPr="00E4401D">
        <w:rPr>
          <w:rFonts w:ascii="Times New Roman" w:hAnsi="Times New Roman" w:cs="Times New Roman"/>
          <w:sz w:val="28"/>
          <w:szCs w:val="28"/>
        </w:rPr>
        <w:t>fue</w:t>
      </w:r>
      <w:r w:rsidRPr="00E4401D">
        <w:rPr>
          <w:rFonts w:ascii="Times New Roman" w:hAnsi="Times New Roman" w:cs="Times New Roman"/>
          <w:sz w:val="28"/>
          <w:szCs w:val="28"/>
        </w:rPr>
        <w:t xml:space="preserve"> el siguiente: </w:t>
      </w:r>
    </w:p>
    <w:p w:rsidR="005B482D" w:rsidRPr="00E4401D" w:rsidRDefault="00E4401D" w:rsidP="005B482D">
      <w:pPr>
        <w:jc w:val="both"/>
        <w:rPr>
          <w:rFonts w:ascii="Times New Roman" w:hAnsi="Times New Roman" w:cs="Times New Roman"/>
          <w:sz w:val="28"/>
          <w:szCs w:val="28"/>
        </w:rPr>
      </w:pPr>
    </w:p>
    <w:p w:rsidR="008E7004" w:rsidRPr="00E4401D" w:rsidRDefault="00E4401D" w:rsidP="008E7004">
      <w:pPr>
        <w:jc w:val="both"/>
        <w:rPr>
          <w:rFonts w:ascii="Times New Roman" w:hAnsi="Times New Roman" w:cs="Times New Roman"/>
          <w:i/>
          <w:iCs/>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ARTÍCULO 338° (NUEVO). AUTORIZACIÓN EXCEPCIONAL PARA EL OTORGAMIENTO DE CRÉDITO DIRECTO A LOS PATRIMONIOS AUTÓNOMOS QUE CONSTITUYA LA FINANCIERA DE DESARROLLO TERRITORIAL S.A. - FINDETER PARA EL</w:t>
      </w:r>
      <w:r w:rsidRPr="00E4401D">
        <w:rPr>
          <w:rFonts w:ascii="Times New Roman" w:hAnsi="Times New Roman" w:cs="Times New Roman"/>
          <w:i/>
          <w:iCs/>
          <w:sz w:val="28"/>
          <w:szCs w:val="28"/>
        </w:rPr>
        <w:t xml:space="preserve"> DESARROLLO DE PROYECTOS DE INVERSIÓN EN INFRAESTRUCTURA EN SUS SECTORES ELEGIBLES. Previa verificación de la Superintendencia Financiera de Colombia del cumplimiento de los requisitos para la administración y gestión de los sistemas integrales de gestión </w:t>
      </w:r>
      <w:r w:rsidRPr="00E4401D">
        <w:rPr>
          <w:rFonts w:ascii="Times New Roman" w:hAnsi="Times New Roman" w:cs="Times New Roman"/>
          <w:i/>
          <w:iCs/>
          <w:sz w:val="28"/>
          <w:szCs w:val="28"/>
        </w:rPr>
        <w:t>de riesgos, se autoriza a la Financiera de Desarrollo Territorial S.A. - Findeter, para otorgar créditos directos a patrimonios autónomos creados por Findeter como fideicomitente dentro de un contrato de fiducia mercantil en virtud de la autorización conte</w:t>
      </w:r>
      <w:r w:rsidRPr="00E4401D">
        <w:rPr>
          <w:rFonts w:ascii="Times New Roman" w:hAnsi="Times New Roman" w:cs="Times New Roman"/>
          <w:i/>
          <w:iCs/>
          <w:sz w:val="28"/>
          <w:szCs w:val="28"/>
        </w:rPr>
        <w:t>nida en el artículo 270 del Estatuto Orgánico del Sistema Financiero (Decreto Ley 663 de 1993), y cuyo objeto sea el desarrollo de proyectos de inversión en infraestructura y los demás que se encuentren dentro de los sectores elegibles de conformidad con l</w:t>
      </w:r>
      <w:r w:rsidRPr="00E4401D">
        <w:rPr>
          <w:rFonts w:ascii="Times New Roman" w:hAnsi="Times New Roman" w:cs="Times New Roman"/>
          <w:i/>
          <w:iCs/>
          <w:sz w:val="28"/>
          <w:szCs w:val="28"/>
        </w:rPr>
        <w:t>as normas vigentes. El otorgamiento de los créditos provendrá de los recursos propios disponibles de la Financiera de Desarrollo Territorial S.A. -Findeter.</w:t>
      </w:r>
    </w:p>
    <w:p w:rsidR="008E7004" w:rsidRPr="00E4401D" w:rsidRDefault="00E4401D" w:rsidP="008E7004">
      <w:pPr>
        <w:jc w:val="both"/>
        <w:rPr>
          <w:rFonts w:ascii="Times New Roman" w:hAnsi="Times New Roman" w:cs="Times New Roman"/>
          <w:i/>
          <w:iCs/>
          <w:sz w:val="28"/>
          <w:szCs w:val="28"/>
        </w:rPr>
      </w:pPr>
    </w:p>
    <w:p w:rsidR="008E7004" w:rsidRPr="00E4401D" w:rsidRDefault="00E4401D" w:rsidP="008E7004">
      <w:pPr>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Lo dispuesto en este </w:t>
      </w:r>
      <w:r w:rsidRPr="00E4401D">
        <w:rPr>
          <w:rFonts w:ascii="Times New Roman" w:hAnsi="Times New Roman" w:cs="Times New Roman"/>
          <w:i/>
          <w:iCs/>
          <w:sz w:val="28"/>
          <w:szCs w:val="28"/>
        </w:rPr>
        <w:t>artículo</w:t>
      </w:r>
      <w:r w:rsidRPr="00E4401D">
        <w:rPr>
          <w:rFonts w:ascii="Times New Roman" w:hAnsi="Times New Roman" w:cs="Times New Roman"/>
          <w:i/>
          <w:iCs/>
          <w:sz w:val="28"/>
          <w:szCs w:val="28"/>
        </w:rPr>
        <w:t xml:space="preserve">, en ningún caso será aplicable a las operaciones de crédito público </w:t>
      </w:r>
      <w:r w:rsidRPr="00E4401D">
        <w:rPr>
          <w:rFonts w:ascii="Times New Roman" w:hAnsi="Times New Roman" w:cs="Times New Roman"/>
          <w:i/>
          <w:iCs/>
          <w:sz w:val="28"/>
          <w:szCs w:val="28"/>
        </w:rPr>
        <w:t xml:space="preserve">con cargo a la Asignación de Inversión Regional del Sistema General de </w:t>
      </w:r>
      <w:r w:rsidRPr="00E4401D">
        <w:rPr>
          <w:rFonts w:ascii="Times New Roman" w:hAnsi="Times New Roman" w:cs="Times New Roman"/>
          <w:i/>
          <w:iCs/>
          <w:sz w:val="28"/>
          <w:szCs w:val="28"/>
        </w:rPr>
        <w:t>Regalías</w:t>
      </w:r>
      <w:r w:rsidRPr="00E4401D">
        <w:rPr>
          <w:rFonts w:ascii="Times New Roman" w:hAnsi="Times New Roman" w:cs="Times New Roman"/>
          <w:i/>
          <w:iCs/>
          <w:sz w:val="28"/>
          <w:szCs w:val="28"/>
        </w:rPr>
        <w:t>, consagradas en el artículo 25 de la Ley 2279 de 2022 o en las normas que lo modifiquen o sustituyan.</w:t>
      </w:r>
    </w:p>
    <w:p w:rsidR="008E7004" w:rsidRPr="00E4401D" w:rsidRDefault="00E4401D" w:rsidP="008E7004">
      <w:pPr>
        <w:jc w:val="both"/>
        <w:rPr>
          <w:rFonts w:ascii="Times New Roman" w:hAnsi="Times New Roman" w:cs="Times New Roman"/>
          <w:i/>
          <w:iCs/>
          <w:sz w:val="28"/>
          <w:szCs w:val="28"/>
        </w:rPr>
      </w:pPr>
    </w:p>
    <w:p w:rsidR="008E7004" w:rsidRPr="00E4401D" w:rsidRDefault="00E4401D" w:rsidP="008E7004">
      <w:pPr>
        <w:jc w:val="both"/>
        <w:rPr>
          <w:rFonts w:ascii="Times New Roman" w:hAnsi="Times New Roman" w:cs="Times New Roman"/>
          <w:i/>
          <w:iCs/>
          <w:sz w:val="28"/>
          <w:szCs w:val="28"/>
        </w:rPr>
      </w:pPr>
      <w:r w:rsidRPr="00E4401D">
        <w:rPr>
          <w:rFonts w:ascii="Times New Roman" w:hAnsi="Times New Roman" w:cs="Times New Roman"/>
          <w:i/>
          <w:iCs/>
          <w:sz w:val="28"/>
          <w:szCs w:val="28"/>
        </w:rPr>
        <w:t>La Financiera de Desarrollo Territorial S.A. -Findeter a través de sus re</w:t>
      </w:r>
      <w:r w:rsidRPr="00E4401D">
        <w:rPr>
          <w:rFonts w:ascii="Times New Roman" w:hAnsi="Times New Roman" w:cs="Times New Roman"/>
          <w:i/>
          <w:iCs/>
          <w:sz w:val="28"/>
          <w:szCs w:val="28"/>
        </w:rPr>
        <w:t xml:space="preserve">glamentos internos establecerá los montos máximos de recursos propios que se destinarán para apalancar esta modalidad de crédito, las condiciones financieras generales, especialmente sobre las fuentes de pago ciertas y las </w:t>
      </w:r>
      <w:r w:rsidRPr="00E4401D">
        <w:rPr>
          <w:rFonts w:ascii="Times New Roman" w:hAnsi="Times New Roman" w:cs="Times New Roman"/>
          <w:i/>
          <w:iCs/>
          <w:sz w:val="28"/>
          <w:szCs w:val="28"/>
        </w:rPr>
        <w:t>garantías</w:t>
      </w:r>
      <w:r w:rsidRPr="00E4401D">
        <w:rPr>
          <w:rFonts w:ascii="Times New Roman" w:hAnsi="Times New Roman" w:cs="Times New Roman"/>
          <w:i/>
          <w:iCs/>
          <w:sz w:val="28"/>
          <w:szCs w:val="28"/>
        </w:rPr>
        <w:t xml:space="preserve"> admisibles para este ti</w:t>
      </w:r>
      <w:r w:rsidRPr="00E4401D">
        <w:rPr>
          <w:rFonts w:ascii="Times New Roman" w:hAnsi="Times New Roman" w:cs="Times New Roman"/>
          <w:i/>
          <w:iCs/>
          <w:sz w:val="28"/>
          <w:szCs w:val="28"/>
        </w:rPr>
        <w:t>po de operaciones.</w:t>
      </w:r>
    </w:p>
    <w:p w:rsidR="00475AD2" w:rsidRPr="00E4401D" w:rsidRDefault="00E4401D" w:rsidP="008E7004">
      <w:pPr>
        <w:jc w:val="both"/>
        <w:rPr>
          <w:rFonts w:ascii="Times New Roman" w:hAnsi="Times New Roman" w:cs="Times New Roman"/>
          <w:i/>
          <w:iCs/>
          <w:sz w:val="28"/>
          <w:szCs w:val="28"/>
        </w:rPr>
      </w:pPr>
    </w:p>
    <w:p w:rsidR="008E7004" w:rsidRPr="00E4401D" w:rsidRDefault="00E4401D" w:rsidP="008E7004">
      <w:pPr>
        <w:jc w:val="both"/>
        <w:rPr>
          <w:rFonts w:ascii="Times New Roman" w:hAnsi="Times New Roman" w:cs="Times New Roman"/>
          <w:i/>
          <w:iCs/>
          <w:sz w:val="28"/>
          <w:szCs w:val="28"/>
        </w:rPr>
      </w:pPr>
      <w:r w:rsidRPr="00E4401D">
        <w:rPr>
          <w:rFonts w:ascii="Times New Roman" w:hAnsi="Times New Roman" w:cs="Times New Roman"/>
          <w:i/>
          <w:iCs/>
          <w:sz w:val="28"/>
          <w:szCs w:val="28"/>
        </w:rPr>
        <w:t>La Financiera de Desarrollo Territorial S.A. -Findeter deberá cumplir en todo momento con las condiciones establecidas en las disposiciones legales y actos administrativos vigentes para realizar este tipo de operaciones en materia de ot</w:t>
      </w:r>
      <w:r w:rsidRPr="00E4401D">
        <w:rPr>
          <w:rFonts w:ascii="Times New Roman" w:hAnsi="Times New Roman" w:cs="Times New Roman"/>
          <w:i/>
          <w:iCs/>
          <w:sz w:val="28"/>
          <w:szCs w:val="28"/>
        </w:rPr>
        <w:t>orgamiento, seguimiento y recuperación de los créditos otorgados y conflictos de interés que puedan configurarse.</w:t>
      </w:r>
    </w:p>
    <w:p w:rsidR="008E7004" w:rsidRPr="00E4401D" w:rsidRDefault="00E4401D" w:rsidP="008E7004">
      <w:pPr>
        <w:jc w:val="both"/>
        <w:rPr>
          <w:rFonts w:ascii="Times New Roman" w:hAnsi="Times New Roman" w:cs="Times New Roman"/>
          <w:i/>
          <w:iCs/>
          <w:sz w:val="28"/>
          <w:szCs w:val="28"/>
        </w:rPr>
      </w:pPr>
    </w:p>
    <w:p w:rsidR="008E7004" w:rsidRPr="00E4401D" w:rsidRDefault="00E4401D" w:rsidP="008E7004">
      <w:pPr>
        <w:jc w:val="both"/>
        <w:rPr>
          <w:rFonts w:ascii="Times New Roman" w:hAnsi="Times New Roman" w:cs="Times New Roman"/>
          <w:i/>
          <w:iCs/>
          <w:sz w:val="28"/>
          <w:szCs w:val="28"/>
        </w:rPr>
      </w:pPr>
      <w:r w:rsidRPr="00E4401D">
        <w:rPr>
          <w:rFonts w:ascii="Times New Roman" w:hAnsi="Times New Roman" w:cs="Times New Roman"/>
          <w:i/>
          <w:iCs/>
          <w:sz w:val="28"/>
          <w:szCs w:val="28"/>
        </w:rPr>
        <w:t>PARÁGRAFO PRIMERO. El presente artículo no constituye una autorización general para la constitución de patrimonios autónomos por parte de las</w:t>
      </w:r>
      <w:r w:rsidRPr="00E4401D">
        <w:rPr>
          <w:rFonts w:ascii="Times New Roman" w:hAnsi="Times New Roman" w:cs="Times New Roman"/>
          <w:i/>
          <w:iCs/>
          <w:sz w:val="28"/>
          <w:szCs w:val="28"/>
        </w:rPr>
        <w:t xml:space="preserve"> entidades públicas del nivel nacional, territorial ni para Findeter.</w:t>
      </w:r>
    </w:p>
    <w:p w:rsidR="008E7004" w:rsidRPr="00E4401D" w:rsidRDefault="00E4401D" w:rsidP="008E7004">
      <w:pPr>
        <w:jc w:val="both"/>
        <w:rPr>
          <w:rFonts w:ascii="Times New Roman" w:hAnsi="Times New Roman" w:cs="Times New Roman"/>
          <w:i/>
          <w:iCs/>
          <w:sz w:val="28"/>
          <w:szCs w:val="28"/>
        </w:rPr>
      </w:pPr>
    </w:p>
    <w:p w:rsidR="005B482D" w:rsidRPr="00E4401D" w:rsidRDefault="00E4401D" w:rsidP="008E7004">
      <w:pPr>
        <w:jc w:val="both"/>
        <w:rPr>
          <w:rFonts w:ascii="Times New Roman" w:hAnsi="Times New Roman" w:cs="Times New Roman"/>
          <w:sz w:val="28"/>
          <w:szCs w:val="28"/>
        </w:rPr>
      </w:pPr>
      <w:r w:rsidRPr="00E4401D">
        <w:rPr>
          <w:rFonts w:ascii="Times New Roman" w:hAnsi="Times New Roman" w:cs="Times New Roman"/>
          <w:i/>
          <w:iCs/>
          <w:sz w:val="28"/>
          <w:szCs w:val="28"/>
        </w:rPr>
        <w:t>PARÁGRAFO SEGUNDO. La operación de que trata este artículo no corresponde a aquellas calificadas como operaciones de crédito público</w:t>
      </w:r>
      <w:r w:rsidRPr="00E4401D">
        <w:rPr>
          <w:rFonts w:ascii="Times New Roman" w:hAnsi="Times New Roman" w:cs="Times New Roman"/>
          <w:sz w:val="28"/>
          <w:szCs w:val="28"/>
        </w:rPr>
        <w:t>.</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69"/>
      </w:r>
    </w:p>
    <w:p w:rsidR="009F6D00" w:rsidRPr="00E4401D" w:rsidRDefault="00E4401D" w:rsidP="008E7004">
      <w:pPr>
        <w:jc w:val="both"/>
        <w:rPr>
          <w:rFonts w:ascii="Times New Roman" w:hAnsi="Times New Roman" w:cs="Times New Roman"/>
          <w:sz w:val="28"/>
          <w:szCs w:val="28"/>
        </w:rPr>
      </w:pPr>
    </w:p>
    <w:p w:rsidR="009B5F24" w:rsidRPr="00E4401D" w:rsidRDefault="00E4401D" w:rsidP="009B5F24">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Este artículo nuevo </w:t>
      </w:r>
      <w:r w:rsidRPr="00E4401D">
        <w:rPr>
          <w:rFonts w:ascii="Times New Roman" w:hAnsi="Times New Roman" w:cs="Times New Roman"/>
          <w:sz w:val="28"/>
          <w:szCs w:val="28"/>
        </w:rPr>
        <w:t>fue una proposición</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de</w:t>
      </w:r>
      <w:r w:rsidRPr="00E4401D">
        <w:rPr>
          <w:rFonts w:ascii="Times New Roman" w:hAnsi="Times New Roman" w:cs="Times New Roman"/>
          <w:sz w:val="28"/>
          <w:szCs w:val="28"/>
        </w:rPr>
        <w:t xml:space="preserve"> la</w:t>
      </w:r>
      <w:r w:rsidRPr="00E4401D">
        <w:rPr>
          <w:rFonts w:ascii="Times New Roman" w:hAnsi="Times New Roman" w:cs="Times New Roman"/>
          <w:sz w:val="28"/>
          <w:szCs w:val="28"/>
        </w:rPr>
        <w:t>s</w:t>
      </w:r>
      <w:r w:rsidRPr="00E4401D">
        <w:rPr>
          <w:rFonts w:ascii="Times New Roman" w:hAnsi="Times New Roman" w:cs="Times New Roman"/>
          <w:sz w:val="28"/>
          <w:szCs w:val="28"/>
        </w:rPr>
        <w:t xml:space="preserve"> Representante</w:t>
      </w:r>
      <w:r w:rsidRPr="00E4401D">
        <w:rPr>
          <w:rFonts w:ascii="Times New Roman" w:hAnsi="Times New Roman" w:cs="Times New Roman"/>
          <w:sz w:val="28"/>
          <w:szCs w:val="28"/>
        </w:rPr>
        <w:t>s</w:t>
      </w:r>
      <w:r w:rsidRPr="00E4401D">
        <w:rPr>
          <w:rFonts w:ascii="Times New Roman" w:hAnsi="Times New Roman" w:cs="Times New Roman"/>
          <w:sz w:val="28"/>
          <w:szCs w:val="28"/>
        </w:rPr>
        <w:t xml:space="preserve"> Olga Lucia Velázquez Nieto</w:t>
      </w:r>
      <w:r w:rsidRPr="00E4401D">
        <w:rPr>
          <w:rFonts w:ascii="Times New Roman" w:hAnsi="Times New Roman" w:cs="Times New Roman"/>
          <w:sz w:val="28"/>
          <w:szCs w:val="28"/>
        </w:rPr>
        <w:t xml:space="preserve"> y Diana Loaiza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como consta en el documento anexo a la Gaceta 386 de 2023 en el que se presentó un resumen de las proposiciones </w:t>
      </w:r>
      <w:r w:rsidRPr="00E4401D">
        <w:rPr>
          <w:rFonts w:ascii="Times New Roman" w:hAnsi="Times New Roman" w:cs="Times New Roman"/>
          <w:sz w:val="28"/>
          <w:szCs w:val="28"/>
        </w:rPr>
        <w:t xml:space="preserve">radicadas al momento de la </w:t>
      </w:r>
      <w:r w:rsidRPr="00E4401D">
        <w:rPr>
          <w:rFonts w:ascii="Times New Roman" w:hAnsi="Times New Roman" w:cs="Times New Roman"/>
          <w:sz w:val="28"/>
          <w:szCs w:val="28"/>
        </w:rPr>
        <w:t>presentación de la ponencia.</w:t>
      </w:r>
      <w:r w:rsidRPr="00E4401D">
        <w:rPr>
          <w:rStyle w:val="Refdenotaalpie"/>
          <w:rFonts w:ascii="Times New Roman" w:hAnsi="Times New Roman" w:cs="Times New Roman"/>
          <w:sz w:val="28"/>
          <w:szCs w:val="28"/>
        </w:rPr>
        <w:footnoteReference w:id="70"/>
      </w:r>
    </w:p>
    <w:p w:rsidR="0094006E" w:rsidRPr="00E4401D" w:rsidRDefault="00E4401D" w:rsidP="0094006E">
      <w:pPr>
        <w:pStyle w:val="Prrafodelista"/>
        <w:ind w:left="0"/>
        <w:jc w:val="both"/>
        <w:rPr>
          <w:rFonts w:ascii="Times New Roman" w:hAnsi="Times New Roman" w:cs="Times New Roman"/>
          <w:sz w:val="28"/>
          <w:szCs w:val="28"/>
        </w:rPr>
      </w:pPr>
    </w:p>
    <w:p w:rsidR="004D4CDC" w:rsidRPr="00E4401D" w:rsidRDefault="00E4401D" w:rsidP="009B5F24">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Según la información disponi</w:t>
      </w:r>
      <w:r w:rsidRPr="00E4401D">
        <w:rPr>
          <w:rFonts w:ascii="Times New Roman" w:hAnsi="Times New Roman" w:cs="Times New Roman"/>
          <w:sz w:val="28"/>
          <w:szCs w:val="28"/>
        </w:rPr>
        <w:t>ble en el micrositio web del Senado de la República, el 2 de mayo de 2023 se publicó en esa página una proposición modificatoria al artículo</w:t>
      </w:r>
      <w:r w:rsidRPr="00E4401D">
        <w:rPr>
          <w:rFonts w:ascii="Times New Roman" w:hAnsi="Times New Roman" w:cs="Times New Roman"/>
          <w:sz w:val="28"/>
          <w:szCs w:val="28"/>
        </w:rPr>
        <w:t xml:space="preserve"> 338</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del proyecto de ley</w:t>
      </w:r>
      <w:r w:rsidRPr="00E4401D">
        <w:rPr>
          <w:rFonts w:ascii="Times New Roman" w:hAnsi="Times New Roman" w:cs="Times New Roman"/>
          <w:sz w:val="28"/>
          <w:szCs w:val="28"/>
        </w:rPr>
        <w:t>, que incorporaba a las organizaciones comunales como beneficiarias de la autorización excep</w:t>
      </w:r>
      <w:r w:rsidRPr="00E4401D">
        <w:rPr>
          <w:rFonts w:ascii="Times New Roman" w:hAnsi="Times New Roman" w:cs="Times New Roman"/>
          <w:sz w:val="28"/>
          <w:szCs w:val="28"/>
        </w:rPr>
        <w:t>cional para el otorgamiento de crédito directo, y añadía una condición para el otorgamiento de los créditos</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Para su publicación en el micrositio web del Senado de la República, la proposición fue incluida en el paquete </w:t>
      </w:r>
      <w:r w:rsidRPr="00E4401D">
        <w:rPr>
          <w:rFonts w:ascii="Times New Roman" w:hAnsi="Times New Roman" w:cs="Times New Roman"/>
          <w:i/>
          <w:iCs/>
          <w:sz w:val="28"/>
          <w:szCs w:val="28"/>
        </w:rPr>
        <w:t>“P 303 PAQUETE AVALADAS APROBADAS V</w:t>
      </w:r>
      <w:r w:rsidRPr="00E4401D">
        <w:rPr>
          <w:rFonts w:ascii="Times New Roman" w:hAnsi="Times New Roman" w:cs="Times New Roman"/>
          <w:i/>
          <w:iCs/>
          <w:sz w:val="28"/>
          <w:szCs w:val="28"/>
        </w:rPr>
        <w:t>ARIOS ARTS PL 232 DE 2023 SENADO PL 338 DE 2023 CAMARA VARIOS H.S.”</w:t>
      </w:r>
      <w:r w:rsidRPr="00E4401D">
        <w:rPr>
          <w:rStyle w:val="Refdenotaalpie"/>
          <w:rFonts w:ascii="Times New Roman" w:hAnsi="Times New Roman" w:cs="Times New Roman"/>
          <w:i/>
          <w:iCs/>
          <w:sz w:val="28"/>
          <w:szCs w:val="28"/>
        </w:rPr>
        <w:footnoteReference w:id="71"/>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 Esta </w:t>
      </w:r>
      <w:r w:rsidRPr="00E4401D">
        <w:rPr>
          <w:rFonts w:ascii="Times New Roman" w:hAnsi="Times New Roman" w:cs="Times New Roman"/>
          <w:sz w:val="28"/>
          <w:szCs w:val="28"/>
        </w:rPr>
        <w:t xml:space="preserve">proposición </w:t>
      </w:r>
      <w:r w:rsidRPr="00E4401D">
        <w:rPr>
          <w:rFonts w:ascii="Times New Roman" w:hAnsi="Times New Roman" w:cs="Times New Roman"/>
          <w:sz w:val="28"/>
          <w:szCs w:val="28"/>
        </w:rPr>
        <w:t>contaba con el aval del gobierno. La proposición se presentó y recibió aval el 2 de mayo de 2023. El contenido de la proposición es el siguiente:</w:t>
      </w:r>
    </w:p>
    <w:p w:rsidR="004D4CDC" w:rsidRPr="00E4401D" w:rsidRDefault="00E4401D" w:rsidP="004D4CDC">
      <w:pPr>
        <w:pStyle w:val="Prrafodelista"/>
        <w:tabs>
          <w:tab w:val="left" w:pos="540"/>
        </w:tabs>
        <w:ind w:left="0"/>
        <w:mirrorIndents/>
        <w:jc w:val="both"/>
        <w:rPr>
          <w:rFonts w:ascii="Times New Roman" w:hAnsi="Times New Roman" w:cs="Times New Roman"/>
          <w:sz w:val="28"/>
          <w:szCs w:val="28"/>
        </w:rPr>
      </w:pPr>
    </w:p>
    <w:p w:rsidR="0094006E" w:rsidRPr="00E4401D" w:rsidRDefault="00E4401D" w:rsidP="00CB04FA">
      <w:pPr>
        <w:tabs>
          <w:tab w:val="left" w:pos="540"/>
        </w:tabs>
        <w:mirrorIndents/>
        <w:jc w:val="both"/>
        <w:rPr>
          <w:rFonts w:ascii="Times New Roman" w:hAnsi="Times New Roman" w:cs="Times New Roman"/>
          <w:sz w:val="28"/>
          <w:szCs w:val="28"/>
        </w:rPr>
      </w:pPr>
      <w:r w:rsidRPr="00E4401D">
        <w:rPr>
          <w:rFonts w:ascii="Times New Roman" w:hAnsi="Times New Roman" w:cs="Times New Roman"/>
          <w:sz w:val="28"/>
          <w:szCs w:val="28"/>
        </w:rPr>
        <w:t>“</w:t>
      </w:r>
      <w:r w:rsidRPr="00E4401D">
        <w:rPr>
          <w:rFonts w:ascii="Times New Roman" w:hAnsi="Times New Roman" w:cs="Times New Roman"/>
          <w:sz w:val="28"/>
          <w:szCs w:val="28"/>
        </w:rPr>
        <w:t>Modifíquese el artículo 338 del texto propuesto para ponencia en segundo debate al proyecto de Ley 274 de 2023 Senado y 338 de 2023 Cámara “Por el cual se expide el Plan Nacional de Desarrollo 2022-2026 “Colombia Potencia Mundial de la Vida”, el cual queda</w:t>
      </w:r>
      <w:r w:rsidRPr="00E4401D">
        <w:rPr>
          <w:rFonts w:ascii="Times New Roman" w:hAnsi="Times New Roman" w:cs="Times New Roman"/>
          <w:sz w:val="28"/>
          <w:szCs w:val="28"/>
        </w:rPr>
        <w:t xml:space="preserve">rá así: </w:t>
      </w:r>
    </w:p>
    <w:p w:rsidR="0094006E" w:rsidRPr="00E4401D" w:rsidRDefault="00E4401D" w:rsidP="00CB04FA">
      <w:pPr>
        <w:tabs>
          <w:tab w:val="left" w:pos="540"/>
        </w:tabs>
        <w:mirrorIndents/>
        <w:jc w:val="both"/>
        <w:rPr>
          <w:rFonts w:ascii="Times New Roman" w:hAnsi="Times New Roman" w:cs="Times New Roman"/>
          <w:sz w:val="28"/>
          <w:szCs w:val="28"/>
        </w:rPr>
      </w:pPr>
    </w:p>
    <w:p w:rsidR="00CB04FA" w:rsidRPr="00E4401D" w:rsidRDefault="00E4401D" w:rsidP="00CB04FA">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b/>
          <w:bCs/>
          <w:i/>
          <w:iCs/>
          <w:sz w:val="28"/>
          <w:szCs w:val="28"/>
        </w:rPr>
        <w:t>ARTÍCULO 338° (NUEVO). AUTORIZACIÓN EXCEPCIONAL PARA EL OTORGAMIENTO DE</w:t>
      </w:r>
      <w:r w:rsidRPr="00E4401D">
        <w:rPr>
          <w:rFonts w:ascii="Times New Roman" w:hAnsi="Times New Roman" w:cs="Times New Roman"/>
          <w:b/>
          <w:bCs/>
          <w:i/>
          <w:iCs/>
          <w:sz w:val="28"/>
          <w:szCs w:val="28"/>
        </w:rPr>
        <w:t xml:space="preserve"> </w:t>
      </w:r>
      <w:r w:rsidRPr="00E4401D">
        <w:rPr>
          <w:rFonts w:ascii="Times New Roman" w:hAnsi="Times New Roman" w:cs="Times New Roman"/>
          <w:b/>
          <w:bCs/>
          <w:i/>
          <w:iCs/>
          <w:sz w:val="28"/>
          <w:szCs w:val="28"/>
        </w:rPr>
        <w:t xml:space="preserve">CRÉDITO DIRECTO </w:t>
      </w:r>
      <w:r w:rsidRPr="00E4401D">
        <w:rPr>
          <w:rFonts w:ascii="Times New Roman" w:hAnsi="Times New Roman" w:cs="Times New Roman"/>
          <w:b/>
          <w:bCs/>
          <w:i/>
          <w:iCs/>
          <w:sz w:val="28"/>
          <w:szCs w:val="28"/>
          <w:u w:val="single"/>
        </w:rPr>
        <w:t>A ORGANIZACIONES COMUNALES, Y</w:t>
      </w:r>
      <w:r w:rsidRPr="00E4401D">
        <w:rPr>
          <w:rFonts w:ascii="Times New Roman" w:hAnsi="Times New Roman" w:cs="Times New Roman"/>
          <w:b/>
          <w:bCs/>
          <w:i/>
          <w:iCs/>
          <w:sz w:val="28"/>
          <w:szCs w:val="28"/>
        </w:rPr>
        <w:t xml:space="preserve"> A LOS PATRIMONIOS</w:t>
      </w:r>
      <w:r w:rsidRPr="00E4401D">
        <w:rPr>
          <w:rFonts w:ascii="Times New Roman" w:hAnsi="Times New Roman" w:cs="Times New Roman"/>
          <w:b/>
          <w:bCs/>
          <w:i/>
          <w:iCs/>
          <w:sz w:val="28"/>
          <w:szCs w:val="28"/>
        </w:rPr>
        <w:t xml:space="preserve"> </w:t>
      </w:r>
      <w:r w:rsidRPr="00E4401D">
        <w:rPr>
          <w:rFonts w:ascii="Times New Roman" w:hAnsi="Times New Roman" w:cs="Times New Roman"/>
          <w:b/>
          <w:bCs/>
          <w:i/>
          <w:iCs/>
          <w:sz w:val="28"/>
          <w:szCs w:val="28"/>
        </w:rPr>
        <w:t>AUTÓNOMOS QUE CONSTITUYA LA FINANCIERA DE DESARROLLO TERRITORIAL S.A. -</w:t>
      </w:r>
      <w:r w:rsidRPr="00E4401D">
        <w:rPr>
          <w:rFonts w:ascii="Times New Roman" w:hAnsi="Times New Roman" w:cs="Times New Roman"/>
          <w:b/>
          <w:bCs/>
          <w:i/>
          <w:iCs/>
          <w:sz w:val="28"/>
          <w:szCs w:val="28"/>
        </w:rPr>
        <w:t xml:space="preserve"> </w:t>
      </w:r>
      <w:r w:rsidRPr="00E4401D">
        <w:rPr>
          <w:rFonts w:ascii="Times New Roman" w:hAnsi="Times New Roman" w:cs="Times New Roman"/>
          <w:b/>
          <w:bCs/>
          <w:i/>
          <w:iCs/>
          <w:sz w:val="28"/>
          <w:szCs w:val="28"/>
        </w:rPr>
        <w:t>FINDETER PARA EL DESARROLLO DE PROYECT</w:t>
      </w:r>
      <w:r w:rsidRPr="00E4401D">
        <w:rPr>
          <w:rFonts w:ascii="Times New Roman" w:hAnsi="Times New Roman" w:cs="Times New Roman"/>
          <w:b/>
          <w:bCs/>
          <w:i/>
          <w:iCs/>
          <w:sz w:val="28"/>
          <w:szCs w:val="28"/>
        </w:rPr>
        <w:t>OS DE INVERSIÓN EN INFRAESTRUCTURA</w:t>
      </w:r>
      <w:r w:rsidRPr="00E4401D">
        <w:rPr>
          <w:rFonts w:ascii="Times New Roman" w:hAnsi="Times New Roman" w:cs="Times New Roman"/>
          <w:b/>
          <w:bCs/>
          <w:i/>
          <w:iCs/>
          <w:sz w:val="28"/>
          <w:szCs w:val="28"/>
        </w:rPr>
        <w:t xml:space="preserve"> </w:t>
      </w:r>
      <w:r w:rsidRPr="00E4401D">
        <w:rPr>
          <w:rFonts w:ascii="Times New Roman" w:hAnsi="Times New Roman" w:cs="Times New Roman"/>
          <w:b/>
          <w:bCs/>
          <w:i/>
          <w:iCs/>
          <w:sz w:val="28"/>
          <w:szCs w:val="28"/>
        </w:rPr>
        <w:t>EN SUS SECTORES ELEGIBLES.</w:t>
      </w:r>
      <w:r w:rsidRPr="00E4401D">
        <w:rPr>
          <w:rFonts w:ascii="Times New Roman" w:hAnsi="Times New Roman" w:cs="Times New Roman"/>
          <w:i/>
          <w:iCs/>
          <w:sz w:val="28"/>
          <w:szCs w:val="28"/>
        </w:rPr>
        <w:t xml:space="preserve"> Previa verificación de la Superintendencia Financiera de Colombia</w:t>
      </w:r>
      <w:r w:rsidRPr="00E4401D">
        <w:rPr>
          <w:rFonts w:ascii="Times New Roman" w:hAnsi="Times New Roman" w:cs="Times New Roman"/>
          <w:i/>
          <w:iCs/>
          <w:sz w:val="28"/>
          <w:szCs w:val="28"/>
        </w:rPr>
        <w:t xml:space="preserve"> </w:t>
      </w:r>
      <w:r w:rsidRPr="00E4401D">
        <w:rPr>
          <w:rFonts w:ascii="Times New Roman" w:hAnsi="Times New Roman" w:cs="Times New Roman"/>
          <w:i/>
          <w:iCs/>
          <w:sz w:val="28"/>
          <w:szCs w:val="28"/>
        </w:rPr>
        <w:t>del cumplimiento de los requisitos para la administración y gestión de los sistemas integrales de gestión</w:t>
      </w:r>
      <w:r w:rsidRPr="00E4401D">
        <w:rPr>
          <w:rFonts w:ascii="Times New Roman" w:hAnsi="Times New Roman" w:cs="Times New Roman"/>
          <w:i/>
          <w:iCs/>
          <w:sz w:val="28"/>
          <w:szCs w:val="28"/>
        </w:rPr>
        <w:t xml:space="preserve"> </w:t>
      </w:r>
      <w:r w:rsidRPr="00E4401D">
        <w:rPr>
          <w:rFonts w:ascii="Times New Roman" w:hAnsi="Times New Roman" w:cs="Times New Roman"/>
          <w:i/>
          <w:iCs/>
          <w:sz w:val="28"/>
          <w:szCs w:val="28"/>
        </w:rPr>
        <w:t>de riesgos, se autoriz</w:t>
      </w:r>
      <w:r w:rsidRPr="00E4401D">
        <w:rPr>
          <w:rFonts w:ascii="Times New Roman" w:hAnsi="Times New Roman" w:cs="Times New Roman"/>
          <w:i/>
          <w:iCs/>
          <w:sz w:val="28"/>
          <w:szCs w:val="28"/>
        </w:rPr>
        <w:t>a a la Financiera de Desarrollo Territorial S.A. Findeter, para otorgar créditos</w:t>
      </w:r>
      <w:r w:rsidRPr="00E4401D">
        <w:rPr>
          <w:rFonts w:ascii="Times New Roman" w:hAnsi="Times New Roman" w:cs="Times New Roman"/>
          <w:i/>
          <w:iCs/>
          <w:sz w:val="28"/>
          <w:szCs w:val="28"/>
        </w:rPr>
        <w:t xml:space="preserve"> </w:t>
      </w:r>
      <w:r w:rsidRPr="00E4401D">
        <w:rPr>
          <w:rFonts w:ascii="Times New Roman" w:hAnsi="Times New Roman" w:cs="Times New Roman"/>
          <w:i/>
          <w:iCs/>
          <w:sz w:val="28"/>
          <w:szCs w:val="28"/>
        </w:rPr>
        <w:t xml:space="preserve">directos a </w:t>
      </w:r>
      <w:r w:rsidRPr="00E4401D">
        <w:rPr>
          <w:rFonts w:ascii="Times New Roman" w:hAnsi="Times New Roman" w:cs="Times New Roman"/>
          <w:i/>
          <w:iCs/>
          <w:sz w:val="28"/>
          <w:szCs w:val="28"/>
          <w:u w:val="single"/>
        </w:rPr>
        <w:t xml:space="preserve">organizaciones comunales de las que trata el </w:t>
      </w:r>
      <w:r w:rsidRPr="00E4401D">
        <w:rPr>
          <w:rFonts w:ascii="Times New Roman" w:hAnsi="Times New Roman" w:cs="Times New Roman"/>
          <w:i/>
          <w:iCs/>
          <w:sz w:val="28"/>
          <w:szCs w:val="28"/>
          <w:u w:val="single"/>
        </w:rPr>
        <w:t>artículo</w:t>
      </w:r>
      <w:r w:rsidRPr="00E4401D">
        <w:rPr>
          <w:rFonts w:ascii="Times New Roman" w:hAnsi="Times New Roman" w:cs="Times New Roman"/>
          <w:i/>
          <w:iCs/>
          <w:sz w:val="28"/>
          <w:szCs w:val="28"/>
          <w:u w:val="single"/>
        </w:rPr>
        <w:t xml:space="preserve"> 7 de la Ley 2166 de 2021, y</w:t>
      </w:r>
      <w:r w:rsidRPr="00E4401D">
        <w:rPr>
          <w:rFonts w:ascii="Times New Roman" w:hAnsi="Times New Roman" w:cs="Times New Roman"/>
          <w:i/>
          <w:iCs/>
          <w:sz w:val="28"/>
          <w:szCs w:val="28"/>
          <w:u w:val="single"/>
        </w:rPr>
        <w:t xml:space="preserve"> </w:t>
      </w:r>
      <w:r w:rsidRPr="00E4401D">
        <w:rPr>
          <w:rFonts w:ascii="Times New Roman" w:hAnsi="Times New Roman" w:cs="Times New Roman"/>
          <w:i/>
          <w:iCs/>
          <w:sz w:val="28"/>
          <w:szCs w:val="28"/>
        </w:rPr>
        <w:t>patrimonios autónomos creados por Findeter como fideicomitente dentro de un contra</w:t>
      </w:r>
      <w:r w:rsidRPr="00E4401D">
        <w:rPr>
          <w:rFonts w:ascii="Times New Roman" w:hAnsi="Times New Roman" w:cs="Times New Roman"/>
          <w:i/>
          <w:iCs/>
          <w:sz w:val="28"/>
          <w:szCs w:val="28"/>
        </w:rPr>
        <w:t>to de fiducia</w:t>
      </w:r>
      <w:r w:rsidRPr="00E4401D">
        <w:rPr>
          <w:rFonts w:ascii="Times New Roman" w:hAnsi="Times New Roman" w:cs="Times New Roman"/>
          <w:i/>
          <w:iCs/>
          <w:sz w:val="28"/>
          <w:szCs w:val="28"/>
        </w:rPr>
        <w:t xml:space="preserve"> </w:t>
      </w:r>
      <w:r w:rsidRPr="00E4401D">
        <w:rPr>
          <w:rFonts w:ascii="Times New Roman" w:hAnsi="Times New Roman" w:cs="Times New Roman"/>
          <w:i/>
          <w:iCs/>
          <w:sz w:val="28"/>
          <w:szCs w:val="28"/>
        </w:rPr>
        <w:t>mercantil en virtud de la autorización contenida en el artículo 270 del Estatuto Orgánico del Sistema</w:t>
      </w:r>
      <w:r w:rsidRPr="00E4401D">
        <w:rPr>
          <w:rFonts w:ascii="Times New Roman" w:hAnsi="Times New Roman" w:cs="Times New Roman"/>
          <w:i/>
          <w:iCs/>
          <w:sz w:val="28"/>
          <w:szCs w:val="28"/>
        </w:rPr>
        <w:t xml:space="preserve"> </w:t>
      </w:r>
      <w:r w:rsidRPr="00E4401D">
        <w:rPr>
          <w:rFonts w:ascii="Times New Roman" w:hAnsi="Times New Roman" w:cs="Times New Roman"/>
          <w:i/>
          <w:iCs/>
          <w:sz w:val="28"/>
          <w:szCs w:val="28"/>
        </w:rPr>
        <w:t>Financiero (Decreto Ley 663 de 1993), y cuyo objeto sea el desarrollo de proyectos de inversión en</w:t>
      </w:r>
      <w:r w:rsidRPr="00E4401D">
        <w:rPr>
          <w:rFonts w:ascii="Times New Roman" w:hAnsi="Times New Roman" w:cs="Times New Roman"/>
          <w:i/>
          <w:iCs/>
          <w:sz w:val="28"/>
          <w:szCs w:val="28"/>
        </w:rPr>
        <w:t xml:space="preserve"> </w:t>
      </w:r>
      <w:r w:rsidRPr="00E4401D">
        <w:rPr>
          <w:rFonts w:ascii="Times New Roman" w:hAnsi="Times New Roman" w:cs="Times New Roman"/>
          <w:i/>
          <w:iCs/>
          <w:sz w:val="28"/>
          <w:szCs w:val="28"/>
        </w:rPr>
        <w:t>infraestructura y los demás que se encuen</w:t>
      </w:r>
      <w:r w:rsidRPr="00E4401D">
        <w:rPr>
          <w:rFonts w:ascii="Times New Roman" w:hAnsi="Times New Roman" w:cs="Times New Roman"/>
          <w:i/>
          <w:iCs/>
          <w:sz w:val="28"/>
          <w:szCs w:val="28"/>
        </w:rPr>
        <w:t>tren dentro de los sectores elegibles de conformidad con las</w:t>
      </w:r>
      <w:r w:rsidRPr="00E4401D">
        <w:rPr>
          <w:rFonts w:ascii="Times New Roman" w:hAnsi="Times New Roman" w:cs="Times New Roman"/>
          <w:i/>
          <w:iCs/>
          <w:sz w:val="28"/>
          <w:szCs w:val="28"/>
        </w:rPr>
        <w:t xml:space="preserve"> </w:t>
      </w:r>
      <w:r w:rsidRPr="00E4401D">
        <w:rPr>
          <w:rFonts w:ascii="Times New Roman" w:hAnsi="Times New Roman" w:cs="Times New Roman"/>
          <w:i/>
          <w:iCs/>
          <w:sz w:val="28"/>
          <w:szCs w:val="28"/>
        </w:rPr>
        <w:t xml:space="preserve">normas vigentes. El otorgamiento de los créditos </w:t>
      </w:r>
      <w:r w:rsidRPr="00E4401D">
        <w:rPr>
          <w:rFonts w:ascii="Times New Roman" w:hAnsi="Times New Roman" w:cs="Times New Roman"/>
          <w:i/>
          <w:iCs/>
          <w:sz w:val="28"/>
          <w:szCs w:val="28"/>
          <w:u w:val="single"/>
        </w:rPr>
        <w:t>estará sujeto al cumplimiento de las condiciones definidas</w:t>
      </w:r>
      <w:r w:rsidRPr="00E4401D">
        <w:rPr>
          <w:rFonts w:ascii="Times New Roman" w:hAnsi="Times New Roman" w:cs="Times New Roman"/>
          <w:i/>
          <w:iCs/>
          <w:sz w:val="28"/>
          <w:szCs w:val="28"/>
          <w:u w:val="single"/>
        </w:rPr>
        <w:t xml:space="preserve"> </w:t>
      </w:r>
      <w:r w:rsidRPr="00E4401D">
        <w:rPr>
          <w:rFonts w:ascii="Times New Roman" w:hAnsi="Times New Roman" w:cs="Times New Roman"/>
          <w:i/>
          <w:iCs/>
          <w:sz w:val="28"/>
          <w:szCs w:val="28"/>
          <w:u w:val="single"/>
        </w:rPr>
        <w:t xml:space="preserve">en el literal k) del numeral 1 del artículo 270 del Estatuto Orgánico del Sistema </w:t>
      </w:r>
      <w:r w:rsidRPr="00E4401D">
        <w:rPr>
          <w:rFonts w:ascii="Times New Roman" w:hAnsi="Times New Roman" w:cs="Times New Roman"/>
          <w:i/>
          <w:iCs/>
          <w:sz w:val="28"/>
          <w:szCs w:val="28"/>
          <w:u w:val="single"/>
        </w:rPr>
        <w:t>Financiero</w:t>
      </w:r>
      <w:r w:rsidRPr="00E4401D">
        <w:rPr>
          <w:rFonts w:ascii="Times New Roman" w:hAnsi="Times New Roman" w:cs="Times New Roman"/>
          <w:i/>
          <w:iCs/>
          <w:sz w:val="28"/>
          <w:szCs w:val="28"/>
        </w:rPr>
        <w:t>, y provendrá</w:t>
      </w:r>
      <w:r w:rsidRPr="00E4401D">
        <w:rPr>
          <w:rFonts w:ascii="Times New Roman" w:hAnsi="Times New Roman" w:cs="Times New Roman"/>
          <w:i/>
          <w:iCs/>
          <w:sz w:val="28"/>
          <w:szCs w:val="28"/>
        </w:rPr>
        <w:t xml:space="preserve"> </w:t>
      </w:r>
      <w:r w:rsidRPr="00E4401D">
        <w:rPr>
          <w:rFonts w:ascii="Times New Roman" w:hAnsi="Times New Roman" w:cs="Times New Roman"/>
          <w:i/>
          <w:iCs/>
          <w:sz w:val="28"/>
          <w:szCs w:val="28"/>
        </w:rPr>
        <w:t>de los recursos propios disponibles de la Financiera de Desarrollo Territorial S.A. -Findeter</w:t>
      </w:r>
      <w:r w:rsidRPr="00E4401D">
        <w:rPr>
          <w:rFonts w:ascii="Times New Roman" w:hAnsi="Times New Roman" w:cs="Times New Roman"/>
          <w:i/>
          <w:iCs/>
          <w:sz w:val="28"/>
          <w:szCs w:val="28"/>
        </w:rPr>
        <w:t>.</w:t>
      </w:r>
    </w:p>
    <w:p w:rsidR="00CB04FA" w:rsidRPr="00E4401D" w:rsidRDefault="00E4401D" w:rsidP="00CB04FA">
      <w:pPr>
        <w:tabs>
          <w:tab w:val="left" w:pos="540"/>
        </w:tabs>
        <w:mirrorIndents/>
        <w:jc w:val="both"/>
        <w:rPr>
          <w:rFonts w:ascii="Times New Roman" w:hAnsi="Times New Roman" w:cs="Times New Roman"/>
          <w:i/>
          <w:iCs/>
          <w:sz w:val="28"/>
          <w:szCs w:val="28"/>
        </w:rPr>
      </w:pPr>
    </w:p>
    <w:p w:rsidR="00CB04FA" w:rsidRPr="00E4401D" w:rsidRDefault="00E4401D" w:rsidP="00CB04FA">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Lo dispuesto en este artículo, en ningún caso será aplicable a las operaciones de crédito público con cargo a la Asignación de Inversión</w:t>
      </w:r>
      <w:r w:rsidRPr="00E4401D">
        <w:rPr>
          <w:rFonts w:ascii="Times New Roman" w:hAnsi="Times New Roman" w:cs="Times New Roman"/>
          <w:i/>
          <w:iCs/>
          <w:sz w:val="28"/>
          <w:szCs w:val="28"/>
        </w:rPr>
        <w:t xml:space="preserve"> Regional del Sistema General de </w:t>
      </w:r>
      <w:r w:rsidRPr="00E4401D">
        <w:rPr>
          <w:rFonts w:ascii="Times New Roman" w:hAnsi="Times New Roman" w:cs="Times New Roman"/>
          <w:i/>
          <w:iCs/>
          <w:sz w:val="28"/>
          <w:szCs w:val="28"/>
        </w:rPr>
        <w:t>Regalías</w:t>
      </w:r>
      <w:r w:rsidRPr="00E4401D">
        <w:rPr>
          <w:rFonts w:ascii="Times New Roman" w:hAnsi="Times New Roman" w:cs="Times New Roman"/>
          <w:i/>
          <w:iCs/>
          <w:sz w:val="28"/>
          <w:szCs w:val="28"/>
        </w:rPr>
        <w:t>, consagradas en el artículo 25 de la Ley 2279 de 2022 o en las normas que lo modifiquen o sustituyan.</w:t>
      </w:r>
    </w:p>
    <w:p w:rsidR="00CB04FA" w:rsidRPr="00E4401D" w:rsidRDefault="00E4401D" w:rsidP="00CB04FA">
      <w:pPr>
        <w:tabs>
          <w:tab w:val="left" w:pos="540"/>
        </w:tabs>
        <w:mirrorIndents/>
        <w:jc w:val="both"/>
        <w:rPr>
          <w:rFonts w:ascii="Times New Roman" w:hAnsi="Times New Roman" w:cs="Times New Roman"/>
          <w:i/>
          <w:iCs/>
          <w:sz w:val="28"/>
          <w:szCs w:val="28"/>
        </w:rPr>
      </w:pPr>
    </w:p>
    <w:p w:rsidR="00CB04FA" w:rsidRPr="00E4401D" w:rsidRDefault="00E4401D" w:rsidP="00CB04FA">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La Financiera de Desarrollo Territorial S.A. -Findeter a través de sus reglamentos internos establecerá los mon</w:t>
      </w:r>
      <w:r w:rsidRPr="00E4401D">
        <w:rPr>
          <w:rFonts w:ascii="Times New Roman" w:hAnsi="Times New Roman" w:cs="Times New Roman"/>
          <w:i/>
          <w:iCs/>
          <w:sz w:val="28"/>
          <w:szCs w:val="28"/>
        </w:rPr>
        <w:t xml:space="preserve">tos máximos de recursos propios que se destinarán para apalancar esta modalidad de crédito, las condiciones financieras generales, especialmente sobre las fuentes de pago ciertas y las </w:t>
      </w:r>
      <w:r w:rsidRPr="00E4401D">
        <w:rPr>
          <w:rFonts w:ascii="Times New Roman" w:hAnsi="Times New Roman" w:cs="Times New Roman"/>
          <w:i/>
          <w:iCs/>
          <w:sz w:val="28"/>
          <w:szCs w:val="28"/>
        </w:rPr>
        <w:t>garantías</w:t>
      </w:r>
      <w:r w:rsidRPr="00E4401D">
        <w:rPr>
          <w:rFonts w:ascii="Times New Roman" w:hAnsi="Times New Roman" w:cs="Times New Roman"/>
          <w:i/>
          <w:iCs/>
          <w:sz w:val="28"/>
          <w:szCs w:val="28"/>
        </w:rPr>
        <w:t xml:space="preserve"> admisibles para este tipo de operaciones.</w:t>
      </w:r>
    </w:p>
    <w:p w:rsidR="00CB04FA" w:rsidRPr="00E4401D" w:rsidRDefault="00E4401D" w:rsidP="00CB04FA">
      <w:pPr>
        <w:tabs>
          <w:tab w:val="left" w:pos="540"/>
        </w:tabs>
        <w:mirrorIndents/>
        <w:jc w:val="both"/>
        <w:rPr>
          <w:rFonts w:ascii="Times New Roman" w:hAnsi="Times New Roman" w:cs="Times New Roman"/>
          <w:i/>
          <w:iCs/>
          <w:sz w:val="28"/>
          <w:szCs w:val="28"/>
        </w:rPr>
      </w:pPr>
    </w:p>
    <w:p w:rsidR="00CB04FA" w:rsidRPr="00E4401D" w:rsidRDefault="00E4401D" w:rsidP="00CB04FA">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La Financiera de D</w:t>
      </w:r>
      <w:r w:rsidRPr="00E4401D">
        <w:rPr>
          <w:rFonts w:ascii="Times New Roman" w:hAnsi="Times New Roman" w:cs="Times New Roman"/>
          <w:i/>
          <w:iCs/>
          <w:sz w:val="28"/>
          <w:szCs w:val="28"/>
        </w:rPr>
        <w:t>esarrollo Territorial S.A. -Findeter deberá cumplir en todo momento con las condiciones establecidas en las disposiciones legales y actos administrativos vigentes para realizar este tipo de operaciones en materia de otorgamiento, seguimiento y recuperación</w:t>
      </w:r>
      <w:r w:rsidRPr="00E4401D">
        <w:rPr>
          <w:rFonts w:ascii="Times New Roman" w:hAnsi="Times New Roman" w:cs="Times New Roman"/>
          <w:i/>
          <w:iCs/>
          <w:sz w:val="28"/>
          <w:szCs w:val="28"/>
        </w:rPr>
        <w:t xml:space="preserve"> de los créditos otorgados y conflictos de interés que puedan configurarse, </w:t>
      </w:r>
      <w:r w:rsidRPr="00E4401D">
        <w:rPr>
          <w:rFonts w:ascii="Times New Roman" w:hAnsi="Times New Roman" w:cs="Times New Roman"/>
          <w:i/>
          <w:iCs/>
          <w:sz w:val="28"/>
          <w:szCs w:val="28"/>
          <w:u w:val="single"/>
        </w:rPr>
        <w:t>esto sin perjuicio de las facultades de la</w:t>
      </w:r>
      <w:r w:rsidRPr="00E4401D">
        <w:rPr>
          <w:rFonts w:ascii="Times New Roman" w:hAnsi="Times New Roman" w:cs="Times New Roman"/>
          <w:i/>
          <w:iCs/>
          <w:sz w:val="28"/>
          <w:szCs w:val="28"/>
          <w:u w:val="single"/>
        </w:rPr>
        <w:t xml:space="preserve"> </w:t>
      </w:r>
      <w:r w:rsidRPr="00E4401D">
        <w:rPr>
          <w:rFonts w:ascii="Times New Roman" w:hAnsi="Times New Roman" w:cs="Times New Roman"/>
          <w:i/>
          <w:iCs/>
          <w:sz w:val="28"/>
          <w:szCs w:val="28"/>
          <w:u w:val="single"/>
        </w:rPr>
        <w:t>Superintendencia Financiera de Colombia respecto de la verificación del cumplimiento de los sistemas integrales de gestión de riesgos pro</w:t>
      </w:r>
      <w:r w:rsidRPr="00E4401D">
        <w:rPr>
          <w:rFonts w:ascii="Times New Roman" w:hAnsi="Times New Roman" w:cs="Times New Roman"/>
          <w:i/>
          <w:iCs/>
          <w:sz w:val="28"/>
          <w:szCs w:val="28"/>
          <w:u w:val="single"/>
        </w:rPr>
        <w:t>pios de las operaciones</w:t>
      </w:r>
      <w:r w:rsidRPr="00E4401D">
        <w:rPr>
          <w:rFonts w:ascii="Times New Roman" w:hAnsi="Times New Roman" w:cs="Times New Roman"/>
          <w:i/>
          <w:iCs/>
          <w:sz w:val="28"/>
          <w:szCs w:val="28"/>
        </w:rPr>
        <w:t>.</w:t>
      </w:r>
    </w:p>
    <w:p w:rsidR="00CB04FA" w:rsidRPr="00E4401D" w:rsidRDefault="00E4401D" w:rsidP="00CB04FA">
      <w:pPr>
        <w:tabs>
          <w:tab w:val="left" w:pos="540"/>
        </w:tabs>
        <w:mirrorIndents/>
        <w:jc w:val="both"/>
        <w:rPr>
          <w:rFonts w:ascii="Times New Roman" w:hAnsi="Times New Roman" w:cs="Times New Roman"/>
          <w:i/>
          <w:iCs/>
          <w:sz w:val="28"/>
          <w:szCs w:val="28"/>
        </w:rPr>
      </w:pPr>
    </w:p>
    <w:p w:rsidR="00CB04FA" w:rsidRPr="00E4401D" w:rsidRDefault="00E4401D" w:rsidP="00CB04FA">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PARAGRAFO PRIMERO. El presente </w:t>
      </w:r>
      <w:r w:rsidRPr="00E4401D">
        <w:rPr>
          <w:rFonts w:ascii="Times New Roman" w:hAnsi="Times New Roman" w:cs="Times New Roman"/>
          <w:i/>
          <w:iCs/>
          <w:sz w:val="28"/>
          <w:szCs w:val="28"/>
        </w:rPr>
        <w:t>artículo</w:t>
      </w:r>
      <w:r w:rsidRPr="00E4401D">
        <w:rPr>
          <w:rFonts w:ascii="Times New Roman" w:hAnsi="Times New Roman" w:cs="Times New Roman"/>
          <w:i/>
          <w:iCs/>
          <w:sz w:val="28"/>
          <w:szCs w:val="28"/>
        </w:rPr>
        <w:t xml:space="preserve"> no constituye una autorización general para la constitución de patrimonios autónomos por parte de las entidades públicas del nivel nacional, territorial ni para Findeter</w:t>
      </w:r>
    </w:p>
    <w:p w:rsidR="00CB04FA" w:rsidRPr="00E4401D" w:rsidRDefault="00E4401D" w:rsidP="00CB04FA">
      <w:pPr>
        <w:tabs>
          <w:tab w:val="left" w:pos="540"/>
        </w:tabs>
        <w:mirrorIndents/>
        <w:jc w:val="both"/>
        <w:rPr>
          <w:rFonts w:ascii="Times New Roman" w:hAnsi="Times New Roman" w:cs="Times New Roman"/>
          <w:i/>
          <w:iCs/>
          <w:sz w:val="28"/>
          <w:szCs w:val="28"/>
        </w:rPr>
      </w:pPr>
    </w:p>
    <w:p w:rsidR="004D4CDC" w:rsidRPr="00E4401D" w:rsidRDefault="00E4401D" w:rsidP="00CB04FA">
      <w:pPr>
        <w:tabs>
          <w:tab w:val="left" w:pos="540"/>
        </w:tabs>
        <w:mirrorIndents/>
        <w:jc w:val="both"/>
        <w:rPr>
          <w:rFonts w:ascii="Times New Roman" w:hAnsi="Times New Roman" w:cs="Times New Roman"/>
          <w:sz w:val="28"/>
          <w:szCs w:val="28"/>
        </w:rPr>
      </w:pPr>
      <w:r w:rsidRPr="00E4401D">
        <w:rPr>
          <w:rFonts w:ascii="Times New Roman" w:hAnsi="Times New Roman" w:cs="Times New Roman"/>
          <w:i/>
          <w:iCs/>
          <w:sz w:val="28"/>
          <w:szCs w:val="28"/>
        </w:rPr>
        <w:t xml:space="preserve">PARAGRAFO SEGUNDO. </w:t>
      </w:r>
      <w:r w:rsidRPr="00E4401D">
        <w:rPr>
          <w:rFonts w:ascii="Times New Roman" w:hAnsi="Times New Roman" w:cs="Times New Roman"/>
          <w:i/>
          <w:iCs/>
          <w:sz w:val="28"/>
          <w:szCs w:val="28"/>
        </w:rPr>
        <w:t xml:space="preserve">La operación de que trata este </w:t>
      </w:r>
      <w:r w:rsidRPr="00E4401D">
        <w:rPr>
          <w:rFonts w:ascii="Times New Roman" w:hAnsi="Times New Roman" w:cs="Times New Roman"/>
          <w:i/>
          <w:iCs/>
          <w:sz w:val="28"/>
          <w:szCs w:val="28"/>
        </w:rPr>
        <w:t>artículo</w:t>
      </w:r>
      <w:r w:rsidRPr="00E4401D">
        <w:rPr>
          <w:rFonts w:ascii="Times New Roman" w:hAnsi="Times New Roman" w:cs="Times New Roman"/>
          <w:i/>
          <w:iCs/>
          <w:sz w:val="28"/>
          <w:szCs w:val="28"/>
        </w:rPr>
        <w:t xml:space="preserve"> no corresponde a aquellas calificadas como operaciones de crédito público.</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72"/>
      </w:r>
    </w:p>
    <w:p w:rsidR="004D4CDC" w:rsidRPr="00E4401D" w:rsidRDefault="00E4401D" w:rsidP="004D4CDC">
      <w:pPr>
        <w:tabs>
          <w:tab w:val="left" w:pos="540"/>
        </w:tabs>
        <w:mirrorIndents/>
        <w:jc w:val="both"/>
        <w:rPr>
          <w:rFonts w:ascii="Times New Roman" w:hAnsi="Times New Roman" w:cs="Times New Roman"/>
          <w:sz w:val="28"/>
          <w:szCs w:val="28"/>
        </w:rPr>
      </w:pPr>
    </w:p>
    <w:p w:rsidR="004D4CDC" w:rsidRPr="00E4401D" w:rsidRDefault="00E4401D" w:rsidP="002775BE">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Durante la sesión plenaria del Senado de la República, celebrada el 2 de mayo de 2023, el presidente del Senado solicitó al equipo de </w:t>
      </w:r>
      <w:r w:rsidRPr="00E4401D">
        <w:rPr>
          <w:rFonts w:ascii="Times New Roman" w:hAnsi="Times New Roman" w:cs="Times New Roman"/>
          <w:sz w:val="28"/>
          <w:szCs w:val="28"/>
        </w:rPr>
        <w:t>Gobierno que presentara las proposiciones al proyecto de ley que contaran con su aval, con el fin de leerlas y posteriormente votarlas en bloque. Entre estas proposiciones se encontraba la modificatoria</w:t>
      </w:r>
      <w:r w:rsidRPr="00E4401D">
        <w:rPr>
          <w:rFonts w:ascii="Times New Roman" w:hAnsi="Times New Roman" w:cs="Times New Roman"/>
          <w:sz w:val="28"/>
          <w:szCs w:val="28"/>
        </w:rPr>
        <w:t xml:space="preserve"> al artículo 338 del proyecto de ley.</w:t>
      </w:r>
      <w:r w:rsidRPr="00E4401D">
        <w:rPr>
          <w:rStyle w:val="Refdenotaalpie"/>
          <w:rFonts w:ascii="Times New Roman" w:hAnsi="Times New Roman" w:cs="Times New Roman"/>
          <w:sz w:val="28"/>
          <w:szCs w:val="28"/>
        </w:rPr>
        <w:footnoteReference w:id="73"/>
      </w:r>
      <w:r w:rsidRPr="00E4401D">
        <w:rPr>
          <w:rFonts w:ascii="Times New Roman" w:hAnsi="Times New Roman" w:cs="Times New Roman"/>
          <w:sz w:val="28"/>
          <w:szCs w:val="28"/>
        </w:rPr>
        <w:t xml:space="preserve"> Sin embargo, so</w:t>
      </w:r>
      <w:r w:rsidRPr="00E4401D">
        <w:rPr>
          <w:rFonts w:ascii="Times New Roman" w:hAnsi="Times New Roman" w:cs="Times New Roman"/>
          <w:sz w:val="28"/>
          <w:szCs w:val="28"/>
        </w:rPr>
        <w:t xml:space="preserve">bre esta proposición no hubo lectura o </w:t>
      </w:r>
      <w:r w:rsidRPr="00E4401D">
        <w:rPr>
          <w:rFonts w:ascii="Times New Roman" w:hAnsi="Times New Roman" w:cs="Times New Roman"/>
          <w:sz w:val="28"/>
          <w:szCs w:val="28"/>
        </w:rPr>
        <w:t>explicación</w:t>
      </w:r>
      <w:r w:rsidRPr="00E4401D">
        <w:rPr>
          <w:rFonts w:ascii="Times New Roman" w:hAnsi="Times New Roman" w:cs="Times New Roman"/>
          <w:sz w:val="28"/>
          <w:szCs w:val="28"/>
        </w:rPr>
        <w:t xml:space="preserve"> alguna</w:t>
      </w:r>
      <w:r w:rsidRPr="00E4401D">
        <w:rPr>
          <w:rFonts w:ascii="Times New Roman" w:hAnsi="Times New Roman" w:cs="Times New Roman"/>
          <w:sz w:val="28"/>
          <w:szCs w:val="28"/>
        </w:rPr>
        <w:t>.</w:t>
      </w:r>
    </w:p>
    <w:p w:rsidR="001764A7" w:rsidRPr="00E4401D" w:rsidRDefault="00E4401D" w:rsidP="001764A7">
      <w:pPr>
        <w:pStyle w:val="Prrafodelista"/>
        <w:tabs>
          <w:tab w:val="left" w:pos="540"/>
        </w:tabs>
        <w:ind w:left="0"/>
        <w:mirrorIndents/>
        <w:jc w:val="both"/>
        <w:rPr>
          <w:rFonts w:ascii="Times New Roman" w:hAnsi="Times New Roman" w:cs="Times New Roman"/>
          <w:sz w:val="28"/>
          <w:szCs w:val="28"/>
        </w:rPr>
      </w:pPr>
    </w:p>
    <w:p w:rsidR="001764A7" w:rsidRPr="00E4401D" w:rsidRDefault="00E4401D" w:rsidP="001764A7">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Posteriormente, en la misma sesión, la disposición fue votada en bloque junto con las demás proposiciones modificativas o aditivas que tenían aval del Ministerio de Hacienda y Crédito Público. La </w:t>
      </w:r>
      <w:r w:rsidRPr="00E4401D">
        <w:rPr>
          <w:rFonts w:ascii="Times New Roman" w:hAnsi="Times New Roman" w:cs="Times New Roman"/>
          <w:sz w:val="28"/>
          <w:szCs w:val="28"/>
        </w:rPr>
        <w:t>votación quedó 60 por el sí y 14 por el no.</w:t>
      </w:r>
      <w:r w:rsidRPr="00E4401D">
        <w:rPr>
          <w:rStyle w:val="Refdenotaalpie"/>
          <w:rFonts w:ascii="Times New Roman" w:hAnsi="Times New Roman" w:cs="Times New Roman"/>
          <w:sz w:val="28"/>
          <w:szCs w:val="28"/>
        </w:rPr>
        <w:footnoteReference w:id="74"/>
      </w:r>
      <w:r w:rsidRPr="00E4401D">
        <w:rPr>
          <w:rFonts w:ascii="Times New Roman" w:hAnsi="Times New Roman" w:cs="Times New Roman"/>
          <w:sz w:val="28"/>
          <w:szCs w:val="28"/>
        </w:rPr>
        <w:t xml:space="preserve"> De este modo quedó aprobada la proposición.</w:t>
      </w:r>
    </w:p>
    <w:p w:rsidR="008E2DBD" w:rsidRPr="00E4401D" w:rsidRDefault="00E4401D" w:rsidP="008E2DBD">
      <w:pPr>
        <w:pStyle w:val="Prrafodelista"/>
        <w:tabs>
          <w:tab w:val="left" w:pos="540"/>
        </w:tabs>
        <w:ind w:left="0"/>
        <w:mirrorIndents/>
        <w:jc w:val="both"/>
        <w:rPr>
          <w:rFonts w:ascii="Times New Roman" w:hAnsi="Times New Roman" w:cs="Times New Roman"/>
          <w:sz w:val="28"/>
          <w:szCs w:val="28"/>
        </w:rPr>
      </w:pPr>
    </w:p>
    <w:p w:rsidR="008E2DBD" w:rsidRPr="00E4401D" w:rsidRDefault="00E4401D" w:rsidP="002775BE">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La revisión de la proposición modificatoria y su comparación con el texto publicado en la ponencia para debate en plenaria del Senado de la República, permite conclui</w:t>
      </w:r>
      <w:r w:rsidRPr="00E4401D">
        <w:rPr>
          <w:rFonts w:ascii="Times New Roman" w:hAnsi="Times New Roman" w:cs="Times New Roman"/>
          <w:sz w:val="28"/>
          <w:szCs w:val="28"/>
        </w:rPr>
        <w:t>r que la modificación propuesta consistía en la adición de las expresiones “</w:t>
      </w:r>
      <w:r w:rsidRPr="00E4401D">
        <w:rPr>
          <w:rFonts w:ascii="Times New Roman" w:hAnsi="Times New Roman" w:cs="Times New Roman"/>
          <w:b/>
          <w:bCs/>
          <w:i/>
          <w:iCs/>
          <w:sz w:val="28"/>
          <w:szCs w:val="28"/>
          <w:u w:val="single"/>
        </w:rPr>
        <w:t>A ORGANIZACIONES COMUNALES</w:t>
      </w:r>
      <w:r w:rsidRPr="00E4401D">
        <w:rPr>
          <w:rFonts w:ascii="Times New Roman" w:hAnsi="Times New Roman" w:cs="Times New Roman"/>
          <w:b/>
          <w:bCs/>
          <w:i/>
          <w:iCs/>
          <w:sz w:val="28"/>
          <w:szCs w:val="28"/>
          <w:u w:val="single"/>
        </w:rPr>
        <w:t xml:space="preserve"> Y</w:t>
      </w:r>
      <w:r w:rsidRPr="00E4401D">
        <w:rPr>
          <w:rFonts w:ascii="Times New Roman" w:hAnsi="Times New Roman" w:cs="Times New Roman"/>
          <w:b/>
          <w:bCs/>
          <w:i/>
          <w:iCs/>
          <w:sz w:val="28"/>
          <w:szCs w:val="28"/>
          <w:u w:val="single"/>
        </w:rPr>
        <w:t xml:space="preserve">” </w:t>
      </w:r>
      <w:r w:rsidRPr="00E4401D">
        <w:rPr>
          <w:rFonts w:ascii="Times New Roman" w:hAnsi="Times New Roman" w:cs="Times New Roman"/>
          <w:i/>
          <w:iCs/>
          <w:sz w:val="28"/>
          <w:szCs w:val="28"/>
          <w:u w:val="single"/>
        </w:rPr>
        <w:t>“organizaciones comunales de las que trata el artículo 7 de la Ley 2166 de 2021</w:t>
      </w:r>
      <w:r w:rsidRPr="00E4401D">
        <w:rPr>
          <w:rFonts w:ascii="Times New Roman" w:hAnsi="Times New Roman" w:cs="Times New Roman"/>
          <w:i/>
          <w:iCs/>
          <w:sz w:val="28"/>
          <w:szCs w:val="28"/>
          <w:u w:val="single"/>
        </w:rPr>
        <w:t>, y</w:t>
      </w:r>
      <w:r w:rsidRPr="00E4401D">
        <w:rPr>
          <w:rFonts w:ascii="Times New Roman" w:hAnsi="Times New Roman" w:cs="Times New Roman"/>
          <w:i/>
          <w:iCs/>
          <w:sz w:val="28"/>
          <w:szCs w:val="28"/>
          <w:u w:val="single"/>
        </w:rPr>
        <w:t>”, “estará sujeto al cumplimiento de las condiciones definidas en el</w:t>
      </w:r>
      <w:r w:rsidRPr="00E4401D">
        <w:rPr>
          <w:rFonts w:ascii="Times New Roman" w:hAnsi="Times New Roman" w:cs="Times New Roman"/>
          <w:i/>
          <w:iCs/>
          <w:sz w:val="28"/>
          <w:szCs w:val="28"/>
          <w:u w:val="single"/>
        </w:rPr>
        <w:t xml:space="preserve"> literal k) del numeral 1 del artículo 270 del Estatuto Orgánico del Sistema Financiero”</w:t>
      </w:r>
      <w:r w:rsidRPr="00E4401D">
        <w:rPr>
          <w:rFonts w:ascii="Times New Roman" w:hAnsi="Times New Roman" w:cs="Times New Roman"/>
          <w:i/>
          <w:iCs/>
          <w:sz w:val="28"/>
          <w:szCs w:val="28"/>
        </w:rPr>
        <w:t xml:space="preserve">, </w:t>
      </w:r>
      <w:r w:rsidRPr="00E4401D">
        <w:rPr>
          <w:rFonts w:ascii="Times New Roman" w:hAnsi="Times New Roman" w:cs="Times New Roman"/>
          <w:sz w:val="28"/>
          <w:szCs w:val="28"/>
        </w:rPr>
        <w:t xml:space="preserve">y </w:t>
      </w:r>
      <w:r w:rsidRPr="00E4401D">
        <w:rPr>
          <w:rFonts w:ascii="Times New Roman" w:hAnsi="Times New Roman" w:cs="Times New Roman"/>
          <w:i/>
          <w:iCs/>
          <w:sz w:val="28"/>
          <w:szCs w:val="28"/>
          <w:u w:val="single"/>
        </w:rPr>
        <w:t>“esto sin perjuicio de las facultades de la Superintendencia Financiera de Colombia respecto de la verificación del cumplimiento de los sistemas integrales de gesti</w:t>
      </w:r>
      <w:r w:rsidRPr="00E4401D">
        <w:rPr>
          <w:rFonts w:ascii="Times New Roman" w:hAnsi="Times New Roman" w:cs="Times New Roman"/>
          <w:i/>
          <w:iCs/>
          <w:sz w:val="28"/>
          <w:szCs w:val="28"/>
          <w:u w:val="single"/>
        </w:rPr>
        <w:t>ón de riesgos propios de las operaciones</w:t>
      </w:r>
      <w:r w:rsidRPr="00E4401D">
        <w:rPr>
          <w:rFonts w:ascii="Times New Roman" w:hAnsi="Times New Roman" w:cs="Times New Roman"/>
          <w:i/>
          <w:iCs/>
          <w:sz w:val="28"/>
          <w:szCs w:val="28"/>
        </w:rPr>
        <w:t xml:space="preserve">.”, </w:t>
      </w:r>
      <w:r w:rsidRPr="00E4401D">
        <w:rPr>
          <w:rFonts w:ascii="Times New Roman" w:hAnsi="Times New Roman" w:cs="Times New Roman"/>
          <w:sz w:val="28"/>
          <w:szCs w:val="28"/>
        </w:rPr>
        <w:t>incluidas en el título, el inciso primero y el inciso cuarto del artículo 338 propuesto.</w:t>
      </w:r>
    </w:p>
    <w:p w:rsidR="001764A7" w:rsidRPr="00E4401D" w:rsidRDefault="00E4401D" w:rsidP="001764A7">
      <w:pPr>
        <w:pStyle w:val="Prrafodelista"/>
        <w:rPr>
          <w:rFonts w:ascii="Times New Roman" w:hAnsi="Times New Roman" w:cs="Times New Roman"/>
          <w:sz w:val="28"/>
          <w:szCs w:val="28"/>
        </w:rPr>
      </w:pPr>
    </w:p>
    <w:p w:rsidR="001764A7" w:rsidRPr="00E4401D" w:rsidRDefault="00E4401D" w:rsidP="002775BE">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La Sala constata que el resto del texto del artículo sí fue debidamente publicitado de forma previa y suficiente a su apro</w:t>
      </w:r>
      <w:r w:rsidRPr="00E4401D">
        <w:rPr>
          <w:rFonts w:ascii="Times New Roman" w:hAnsi="Times New Roman" w:cs="Times New Roman"/>
          <w:sz w:val="28"/>
          <w:szCs w:val="28"/>
        </w:rPr>
        <w:t>bación en la plenaria del Senado. Esto, por cuanto fue incorporado en el informe de ponencia para segundo debate publicado en la Gaceta 386 del 26 de abril de 2023. Por lo tanto, se presume que los senadores convocados a la sesión plenaria conocían de form</w:t>
      </w:r>
      <w:r w:rsidRPr="00E4401D">
        <w:rPr>
          <w:rFonts w:ascii="Times New Roman" w:hAnsi="Times New Roman" w:cs="Times New Roman"/>
          <w:sz w:val="28"/>
          <w:szCs w:val="28"/>
        </w:rPr>
        <w:t>a completa el texto propuesto por los ponentes para su aprobación. Sin embargo, la modificación que incluía a las organizaciones comunales como destinatarias de la autorización para la celebración de operaciones de crédito directo de la que trata el artícu</w:t>
      </w:r>
      <w:r w:rsidRPr="00E4401D">
        <w:rPr>
          <w:rFonts w:ascii="Times New Roman" w:hAnsi="Times New Roman" w:cs="Times New Roman"/>
          <w:sz w:val="28"/>
          <w:szCs w:val="28"/>
        </w:rPr>
        <w:t xml:space="preserve">lo no fue conocida por los senadores en tanto no fue </w:t>
      </w:r>
      <w:r w:rsidRPr="00E4401D">
        <w:rPr>
          <w:rFonts w:ascii="Times New Roman" w:hAnsi="Times New Roman" w:cs="Times New Roman"/>
          <w:sz w:val="28"/>
          <w:szCs w:val="28"/>
        </w:rPr>
        <w:t>publicada por medios oficiales o alternativos, ni explicada o expuesta de forma suficiente a los miembros de la plenaria del Senado previo a su debate y aprobación.</w:t>
      </w:r>
    </w:p>
    <w:p w:rsidR="008E2DBD" w:rsidRPr="00E4401D" w:rsidRDefault="00E4401D" w:rsidP="008E2DBD">
      <w:pPr>
        <w:pStyle w:val="Prrafodelista"/>
        <w:rPr>
          <w:rFonts w:ascii="Times New Roman" w:hAnsi="Times New Roman" w:cs="Times New Roman"/>
          <w:sz w:val="28"/>
          <w:szCs w:val="28"/>
        </w:rPr>
      </w:pPr>
    </w:p>
    <w:p w:rsidR="00A83F1D" w:rsidRPr="00E4401D" w:rsidRDefault="00E4401D" w:rsidP="008E2DBD">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Vistos los antecedentes descritos, l</w:t>
      </w:r>
      <w:r w:rsidRPr="00E4401D">
        <w:rPr>
          <w:rFonts w:ascii="Times New Roman" w:hAnsi="Times New Roman" w:cs="Times New Roman"/>
          <w:sz w:val="28"/>
          <w:szCs w:val="28"/>
        </w:rPr>
        <w:t>a</w:t>
      </w:r>
      <w:r w:rsidRPr="00E4401D">
        <w:rPr>
          <w:rFonts w:ascii="Times New Roman" w:hAnsi="Times New Roman" w:cs="Times New Roman"/>
          <w:sz w:val="28"/>
          <w:szCs w:val="28"/>
        </w:rPr>
        <w:t xml:space="preserve"> Sala Plena concluye que el trámite legislativo que condujo a la aprobación de</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l</w:t>
      </w:r>
      <w:r w:rsidRPr="00E4401D">
        <w:rPr>
          <w:rFonts w:ascii="Times New Roman" w:hAnsi="Times New Roman" w:cs="Times New Roman"/>
          <w:sz w:val="28"/>
          <w:szCs w:val="28"/>
        </w:rPr>
        <w:t>as expresiones “</w:t>
      </w:r>
      <w:r w:rsidRPr="00E4401D">
        <w:rPr>
          <w:rFonts w:ascii="Times New Roman" w:hAnsi="Times New Roman" w:cs="Times New Roman"/>
          <w:b/>
          <w:bCs/>
          <w:i/>
          <w:iCs/>
          <w:sz w:val="28"/>
          <w:szCs w:val="28"/>
          <w:u w:val="single"/>
        </w:rPr>
        <w:t>A ORGANIZACIONES COMUNALES</w:t>
      </w:r>
      <w:r w:rsidRPr="00E4401D">
        <w:rPr>
          <w:rFonts w:ascii="Times New Roman" w:hAnsi="Times New Roman" w:cs="Times New Roman"/>
          <w:b/>
          <w:bCs/>
          <w:i/>
          <w:iCs/>
          <w:sz w:val="28"/>
          <w:szCs w:val="28"/>
          <w:u w:val="single"/>
        </w:rPr>
        <w:t xml:space="preserve"> Y</w:t>
      </w:r>
      <w:r w:rsidRPr="00E4401D">
        <w:rPr>
          <w:rFonts w:ascii="Times New Roman" w:hAnsi="Times New Roman" w:cs="Times New Roman"/>
          <w:b/>
          <w:bCs/>
          <w:i/>
          <w:iCs/>
          <w:sz w:val="28"/>
          <w:szCs w:val="28"/>
          <w:u w:val="single"/>
        </w:rPr>
        <w:t>” “</w:t>
      </w:r>
      <w:r w:rsidRPr="00E4401D">
        <w:rPr>
          <w:rFonts w:ascii="Times New Roman" w:hAnsi="Times New Roman" w:cs="Times New Roman"/>
          <w:i/>
          <w:iCs/>
          <w:sz w:val="28"/>
          <w:szCs w:val="28"/>
          <w:u w:val="single"/>
        </w:rPr>
        <w:t>organizaciones comunales de las que trata el artículo 7 de la Ley 2166 de 2021</w:t>
      </w:r>
      <w:r w:rsidRPr="00E4401D">
        <w:rPr>
          <w:rFonts w:ascii="Times New Roman" w:hAnsi="Times New Roman" w:cs="Times New Roman"/>
          <w:i/>
          <w:iCs/>
          <w:sz w:val="28"/>
          <w:szCs w:val="28"/>
          <w:u w:val="single"/>
        </w:rPr>
        <w:t>, y</w:t>
      </w:r>
      <w:r w:rsidRPr="00E4401D">
        <w:rPr>
          <w:rFonts w:ascii="Times New Roman" w:hAnsi="Times New Roman" w:cs="Times New Roman"/>
          <w:i/>
          <w:iCs/>
          <w:sz w:val="28"/>
          <w:szCs w:val="28"/>
          <w:u w:val="single"/>
        </w:rPr>
        <w:t>”, “estará sujeto al cumplimiento de las condici</w:t>
      </w:r>
      <w:r w:rsidRPr="00E4401D">
        <w:rPr>
          <w:rFonts w:ascii="Times New Roman" w:hAnsi="Times New Roman" w:cs="Times New Roman"/>
          <w:i/>
          <w:iCs/>
          <w:sz w:val="28"/>
          <w:szCs w:val="28"/>
          <w:u w:val="single"/>
        </w:rPr>
        <w:t>ones definidas en el literal k) del numeral 1 del artículo 270 del Estatuto Orgánico del Sistema Financiero”</w:t>
      </w:r>
      <w:r w:rsidRPr="00E4401D">
        <w:rPr>
          <w:rFonts w:ascii="Times New Roman" w:hAnsi="Times New Roman" w:cs="Times New Roman"/>
          <w:i/>
          <w:iCs/>
          <w:sz w:val="28"/>
          <w:szCs w:val="28"/>
        </w:rPr>
        <w:t xml:space="preserve">, </w:t>
      </w:r>
      <w:r w:rsidRPr="00E4401D">
        <w:rPr>
          <w:rFonts w:ascii="Times New Roman" w:hAnsi="Times New Roman" w:cs="Times New Roman"/>
          <w:sz w:val="28"/>
          <w:szCs w:val="28"/>
        </w:rPr>
        <w:t xml:space="preserve">y </w:t>
      </w:r>
      <w:r w:rsidRPr="00E4401D">
        <w:rPr>
          <w:rFonts w:ascii="Times New Roman" w:hAnsi="Times New Roman" w:cs="Times New Roman"/>
          <w:i/>
          <w:iCs/>
          <w:sz w:val="28"/>
          <w:szCs w:val="28"/>
          <w:u w:val="single"/>
        </w:rPr>
        <w:t>“esto sin perjuicio de las facultades de la Superintendencia Financiera de Colombia respecto de la verificación del cumplimiento de los sistemas</w:t>
      </w:r>
      <w:r w:rsidRPr="00E4401D">
        <w:rPr>
          <w:rFonts w:ascii="Times New Roman" w:hAnsi="Times New Roman" w:cs="Times New Roman"/>
          <w:i/>
          <w:iCs/>
          <w:sz w:val="28"/>
          <w:szCs w:val="28"/>
          <w:u w:val="single"/>
        </w:rPr>
        <w:t xml:space="preserve"> integrales de gestión de riesgos propios de las operaciones</w:t>
      </w:r>
      <w:r w:rsidRPr="00E4401D">
        <w:rPr>
          <w:rFonts w:ascii="Times New Roman" w:hAnsi="Times New Roman" w:cs="Times New Roman"/>
          <w:i/>
          <w:iCs/>
          <w:sz w:val="28"/>
          <w:szCs w:val="28"/>
        </w:rPr>
        <w:t xml:space="preserve">.”, </w:t>
      </w:r>
      <w:r w:rsidRPr="00E4401D">
        <w:rPr>
          <w:rFonts w:ascii="Times New Roman" w:hAnsi="Times New Roman" w:cs="Times New Roman"/>
          <w:sz w:val="28"/>
          <w:szCs w:val="28"/>
        </w:rPr>
        <w:t>incluidas en el título, el inciso primero y el inciso cuarto del artículo</w:t>
      </w:r>
      <w:r w:rsidRPr="00E4401D">
        <w:rPr>
          <w:rFonts w:ascii="Times New Roman" w:hAnsi="Times New Roman" w:cs="Times New Roman"/>
          <w:sz w:val="28"/>
          <w:szCs w:val="28"/>
        </w:rPr>
        <w:t xml:space="preserve"> 289 de la Ley 2294 de 2023 no cumplió con el principio de publicidad.</w:t>
      </w:r>
      <w:r w:rsidRPr="00E4401D">
        <w:rPr>
          <w:rFonts w:ascii="Times New Roman" w:hAnsi="Times New Roman" w:cs="Times New Roman"/>
          <w:sz w:val="28"/>
          <w:szCs w:val="28"/>
        </w:rPr>
        <w:t xml:space="preserve"> </w:t>
      </w:r>
    </w:p>
    <w:p w:rsidR="00A83F1D" w:rsidRPr="00E4401D" w:rsidRDefault="00E4401D" w:rsidP="00A83F1D">
      <w:pPr>
        <w:pStyle w:val="Prrafodelista"/>
        <w:rPr>
          <w:rFonts w:ascii="Times New Roman" w:hAnsi="Times New Roman" w:cs="Times New Roman"/>
          <w:sz w:val="28"/>
          <w:szCs w:val="28"/>
        </w:rPr>
      </w:pPr>
    </w:p>
    <w:p w:rsidR="00711DD7" w:rsidRPr="00E4401D" w:rsidRDefault="00E4401D" w:rsidP="00A83F1D">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Lo anterior </w:t>
      </w:r>
      <w:r w:rsidRPr="00E4401D">
        <w:rPr>
          <w:rFonts w:ascii="Times New Roman" w:hAnsi="Times New Roman" w:cs="Times New Roman"/>
          <w:sz w:val="28"/>
          <w:szCs w:val="28"/>
        </w:rPr>
        <w:t xml:space="preserve">por cuanto la proposición que fue </w:t>
      </w:r>
      <w:r w:rsidRPr="00E4401D">
        <w:rPr>
          <w:rFonts w:ascii="Times New Roman" w:hAnsi="Times New Roman" w:cs="Times New Roman"/>
          <w:sz w:val="28"/>
          <w:szCs w:val="28"/>
        </w:rPr>
        <w:t>sometida a votación y aprobada por la mayoría de la plenaria del Senado de la República no fue publicada por medios oficiales o alternativos previo a la apertura del debate y la votación. Si bien fue publicada e</w:t>
      </w:r>
      <w:r w:rsidRPr="00E4401D">
        <w:rPr>
          <w:rFonts w:ascii="Times New Roman" w:hAnsi="Times New Roman" w:cs="Times New Roman"/>
          <w:sz w:val="28"/>
          <w:szCs w:val="28"/>
        </w:rPr>
        <w:t>l 2 de mayo de 2023</w:t>
      </w:r>
      <w:r w:rsidRPr="00E4401D">
        <w:rPr>
          <w:rFonts w:ascii="Times New Roman" w:hAnsi="Times New Roman" w:cs="Times New Roman"/>
          <w:sz w:val="28"/>
          <w:szCs w:val="28"/>
        </w:rPr>
        <w:t xml:space="preserve"> en la página </w:t>
      </w:r>
      <w:r w:rsidRPr="00E4401D">
        <w:rPr>
          <w:rFonts w:ascii="Times New Roman" w:hAnsi="Times New Roman" w:cs="Times New Roman"/>
          <w:sz w:val="28"/>
          <w:szCs w:val="28"/>
        </w:rPr>
        <w:t>web del Sena</w:t>
      </w:r>
      <w:r w:rsidRPr="00E4401D">
        <w:rPr>
          <w:rFonts w:ascii="Times New Roman" w:hAnsi="Times New Roman" w:cs="Times New Roman"/>
          <w:sz w:val="28"/>
          <w:szCs w:val="28"/>
        </w:rPr>
        <w:t>do</w:t>
      </w:r>
      <w:r w:rsidRPr="00E4401D">
        <w:rPr>
          <w:rFonts w:ascii="Times New Roman" w:hAnsi="Times New Roman" w:cs="Times New Roman"/>
          <w:sz w:val="28"/>
          <w:szCs w:val="28"/>
        </w:rPr>
        <w:t xml:space="preserve"> de la República, esta publicación fue posterior a su aprobación y no fue anunciada antes de apertura del debate ni de las votaciones. La proposición tampoco fue expuesta o su contenido explicado a la plenaria antes de la votación. De modo que está demos</w:t>
      </w:r>
      <w:r w:rsidRPr="00E4401D">
        <w:rPr>
          <w:rFonts w:ascii="Times New Roman" w:hAnsi="Times New Roman" w:cs="Times New Roman"/>
          <w:sz w:val="28"/>
          <w:szCs w:val="28"/>
        </w:rPr>
        <w:t xml:space="preserve">trado que los senadores no tenían conocimiento previo y suficiente del texto que les fue propuesto a votación. </w:t>
      </w:r>
      <w:r w:rsidRPr="00E4401D">
        <w:rPr>
          <w:rFonts w:ascii="Times New Roman" w:hAnsi="Times New Roman" w:cs="Times New Roman"/>
          <w:sz w:val="28"/>
          <w:szCs w:val="28"/>
        </w:rPr>
        <w:t>La</w:t>
      </w:r>
      <w:r w:rsidRPr="00E4401D">
        <w:rPr>
          <w:rFonts w:ascii="Times New Roman" w:hAnsi="Times New Roman" w:cs="Times New Roman"/>
          <w:sz w:val="28"/>
          <w:szCs w:val="28"/>
          <w:lang w:val="es-ES"/>
        </w:rPr>
        <w:t xml:space="preserve"> Corte constata que la ausencia de un mecanismo que garantizara el conocimiento de los congresistas sobre la proposición afectó el principio de</w:t>
      </w:r>
      <w:r w:rsidRPr="00E4401D">
        <w:rPr>
          <w:rFonts w:ascii="Times New Roman" w:hAnsi="Times New Roman" w:cs="Times New Roman"/>
          <w:sz w:val="28"/>
          <w:szCs w:val="28"/>
          <w:lang w:val="es-ES"/>
        </w:rPr>
        <w:t xml:space="preserve"> publicidad como presupuesto para el debate y la adopción de una decisión democrática, pues los senadores no pudieron conocer el objeto sobre el que recayó su decisión</w:t>
      </w:r>
      <w:r w:rsidRPr="00E4401D">
        <w:rPr>
          <w:rFonts w:ascii="Times New Roman" w:hAnsi="Times New Roman" w:cs="Times New Roman"/>
          <w:sz w:val="28"/>
          <w:szCs w:val="28"/>
          <w:lang w:val="es-ES"/>
        </w:rPr>
        <w:t>.</w:t>
      </w:r>
    </w:p>
    <w:p w:rsidR="00A83F1D" w:rsidRPr="00E4401D" w:rsidRDefault="00E4401D" w:rsidP="00A83F1D">
      <w:pPr>
        <w:pStyle w:val="Prrafodelista"/>
        <w:rPr>
          <w:rFonts w:ascii="Times New Roman" w:hAnsi="Times New Roman" w:cs="Times New Roman"/>
          <w:sz w:val="28"/>
          <w:szCs w:val="28"/>
        </w:rPr>
      </w:pPr>
    </w:p>
    <w:p w:rsidR="00711DD7" w:rsidRPr="00E4401D" w:rsidRDefault="00E4401D" w:rsidP="00A83F1D">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En consecuencia, la Sala Plena declarará la inexequibilidad de las expresiones “</w:t>
      </w:r>
      <w:r w:rsidRPr="00E4401D">
        <w:rPr>
          <w:rFonts w:ascii="Times New Roman" w:hAnsi="Times New Roman" w:cs="Times New Roman"/>
          <w:b/>
          <w:bCs/>
          <w:i/>
          <w:iCs/>
          <w:sz w:val="28"/>
          <w:szCs w:val="28"/>
          <w:u w:val="single"/>
        </w:rPr>
        <w:t>A ORGA</w:t>
      </w:r>
      <w:r w:rsidRPr="00E4401D">
        <w:rPr>
          <w:rFonts w:ascii="Times New Roman" w:hAnsi="Times New Roman" w:cs="Times New Roman"/>
          <w:b/>
          <w:bCs/>
          <w:i/>
          <w:iCs/>
          <w:sz w:val="28"/>
          <w:szCs w:val="28"/>
          <w:u w:val="single"/>
        </w:rPr>
        <w:t>NIZACIONES COMUNALES</w:t>
      </w:r>
      <w:r w:rsidRPr="00E4401D">
        <w:rPr>
          <w:rFonts w:ascii="Times New Roman" w:hAnsi="Times New Roman" w:cs="Times New Roman"/>
          <w:b/>
          <w:bCs/>
          <w:i/>
          <w:iCs/>
          <w:sz w:val="28"/>
          <w:szCs w:val="28"/>
          <w:u w:val="single"/>
        </w:rPr>
        <w:t xml:space="preserve"> Y</w:t>
      </w:r>
      <w:r w:rsidRPr="00E4401D">
        <w:rPr>
          <w:rFonts w:ascii="Times New Roman" w:hAnsi="Times New Roman" w:cs="Times New Roman"/>
          <w:b/>
          <w:bCs/>
          <w:i/>
          <w:iCs/>
          <w:sz w:val="28"/>
          <w:szCs w:val="28"/>
          <w:u w:val="single"/>
        </w:rPr>
        <w:t>” “</w:t>
      </w:r>
      <w:r w:rsidRPr="00E4401D">
        <w:rPr>
          <w:rFonts w:ascii="Times New Roman" w:hAnsi="Times New Roman" w:cs="Times New Roman"/>
          <w:i/>
          <w:iCs/>
          <w:sz w:val="28"/>
          <w:szCs w:val="28"/>
          <w:u w:val="single"/>
        </w:rPr>
        <w:t>organizaciones comunales de las que trata el artículo 7 de la Ley 2166 de 2021</w:t>
      </w:r>
      <w:r w:rsidRPr="00E4401D">
        <w:rPr>
          <w:rFonts w:ascii="Times New Roman" w:hAnsi="Times New Roman" w:cs="Times New Roman"/>
          <w:i/>
          <w:iCs/>
          <w:sz w:val="28"/>
          <w:szCs w:val="28"/>
          <w:u w:val="single"/>
        </w:rPr>
        <w:t>, y</w:t>
      </w:r>
      <w:r w:rsidRPr="00E4401D">
        <w:rPr>
          <w:rFonts w:ascii="Times New Roman" w:hAnsi="Times New Roman" w:cs="Times New Roman"/>
          <w:i/>
          <w:iCs/>
          <w:sz w:val="28"/>
          <w:szCs w:val="28"/>
          <w:u w:val="single"/>
        </w:rPr>
        <w:t>”, “estará sujeto al cumplimiento de las condiciones definidas en el literal k) del numeral 1 del artículo 270 del Estatuto Orgánico del Sistema Finan</w:t>
      </w:r>
      <w:r w:rsidRPr="00E4401D">
        <w:rPr>
          <w:rFonts w:ascii="Times New Roman" w:hAnsi="Times New Roman" w:cs="Times New Roman"/>
          <w:i/>
          <w:iCs/>
          <w:sz w:val="28"/>
          <w:szCs w:val="28"/>
          <w:u w:val="single"/>
        </w:rPr>
        <w:t>ciero”</w:t>
      </w:r>
      <w:r w:rsidRPr="00E4401D">
        <w:rPr>
          <w:rFonts w:ascii="Times New Roman" w:hAnsi="Times New Roman" w:cs="Times New Roman"/>
          <w:i/>
          <w:iCs/>
          <w:sz w:val="28"/>
          <w:szCs w:val="28"/>
        </w:rPr>
        <w:t xml:space="preserve">, </w:t>
      </w:r>
      <w:r w:rsidRPr="00E4401D">
        <w:rPr>
          <w:rFonts w:ascii="Times New Roman" w:hAnsi="Times New Roman" w:cs="Times New Roman"/>
          <w:sz w:val="28"/>
          <w:szCs w:val="28"/>
        </w:rPr>
        <w:t xml:space="preserve">y </w:t>
      </w:r>
      <w:r w:rsidRPr="00E4401D">
        <w:rPr>
          <w:rFonts w:ascii="Times New Roman" w:hAnsi="Times New Roman" w:cs="Times New Roman"/>
          <w:i/>
          <w:iCs/>
          <w:sz w:val="28"/>
          <w:szCs w:val="28"/>
          <w:u w:val="single"/>
        </w:rPr>
        <w:t>“esto sin perjuicio de las facultades de la Superintendencia Financiera de Colombia respecto de la verificación del cumplimiento de los sistemas integrales de gestión de riesgos propios de las operaciones</w:t>
      </w:r>
      <w:r w:rsidRPr="00E4401D">
        <w:rPr>
          <w:rFonts w:ascii="Times New Roman" w:hAnsi="Times New Roman" w:cs="Times New Roman"/>
          <w:i/>
          <w:iCs/>
          <w:sz w:val="28"/>
          <w:szCs w:val="28"/>
        </w:rPr>
        <w:t xml:space="preserve">.”, </w:t>
      </w:r>
      <w:r w:rsidRPr="00E4401D">
        <w:rPr>
          <w:rFonts w:ascii="Times New Roman" w:hAnsi="Times New Roman" w:cs="Times New Roman"/>
          <w:sz w:val="28"/>
          <w:szCs w:val="28"/>
        </w:rPr>
        <w:t xml:space="preserve">incluidas en el título, el inciso </w:t>
      </w:r>
      <w:r w:rsidRPr="00E4401D">
        <w:rPr>
          <w:rFonts w:ascii="Times New Roman" w:hAnsi="Times New Roman" w:cs="Times New Roman"/>
          <w:sz w:val="28"/>
          <w:szCs w:val="28"/>
        </w:rPr>
        <w:t>primero y el inciso cuarto del artículo 289 de la Ley 2294 de 2023</w:t>
      </w:r>
      <w:r w:rsidRPr="00E4401D">
        <w:rPr>
          <w:rFonts w:ascii="Times New Roman" w:hAnsi="Times New Roman" w:cs="Times New Roman"/>
          <w:sz w:val="28"/>
          <w:szCs w:val="28"/>
        </w:rPr>
        <w:t xml:space="preserve"> por violación del principio de publicidad.</w:t>
      </w:r>
    </w:p>
    <w:p w:rsidR="004D4CDC" w:rsidRPr="00E4401D" w:rsidRDefault="00E4401D" w:rsidP="005B482D">
      <w:pPr>
        <w:jc w:val="both"/>
        <w:rPr>
          <w:rFonts w:ascii="Times New Roman" w:hAnsi="Times New Roman" w:cs="Times New Roman"/>
          <w:sz w:val="28"/>
          <w:szCs w:val="28"/>
        </w:rPr>
      </w:pPr>
    </w:p>
    <w:p w:rsidR="004D4CDC" w:rsidRPr="00E4401D" w:rsidRDefault="00E4401D" w:rsidP="005B482D">
      <w:pPr>
        <w:jc w:val="both"/>
        <w:rPr>
          <w:rFonts w:ascii="Times New Roman" w:hAnsi="Times New Roman" w:cs="Times New Roman"/>
          <w:sz w:val="28"/>
          <w:szCs w:val="28"/>
        </w:rPr>
      </w:pPr>
    </w:p>
    <w:p w:rsidR="00163389" w:rsidRPr="00E4401D" w:rsidRDefault="00E4401D" w:rsidP="00163389">
      <w:pPr>
        <w:pStyle w:val="Ttulo4"/>
        <w:jc w:val="both"/>
        <w:rPr>
          <w:rFonts w:ascii="Times New Roman" w:hAnsi="Times New Roman" w:cs="Times New Roman"/>
          <w:b/>
          <w:bCs/>
          <w:i w:val="0"/>
          <w:iCs w:val="0"/>
          <w:color w:val="auto"/>
          <w:sz w:val="28"/>
          <w:szCs w:val="28"/>
        </w:rPr>
      </w:pPr>
      <w:r w:rsidRPr="00E4401D">
        <w:rPr>
          <w:rFonts w:ascii="Times New Roman" w:hAnsi="Times New Roman" w:cs="Times New Roman"/>
          <w:b/>
          <w:bCs/>
          <w:color w:val="auto"/>
          <w:sz w:val="28"/>
          <w:szCs w:val="28"/>
        </w:rPr>
        <w:t>Trámite legislativo que condujo a la aprobación del artículo 297 de la Ley 2294 de 2023 en la sesión plenaria del Senado de la República</w:t>
      </w:r>
    </w:p>
    <w:p w:rsidR="004B455B" w:rsidRPr="00E4401D" w:rsidRDefault="00E4401D" w:rsidP="009249E8">
      <w:pPr>
        <w:rPr>
          <w:rFonts w:ascii="Times New Roman" w:hAnsi="Times New Roman" w:cs="Times New Roman"/>
          <w:sz w:val="28"/>
          <w:szCs w:val="28"/>
        </w:rPr>
      </w:pPr>
    </w:p>
    <w:p w:rsidR="004B455B" w:rsidRPr="00E4401D" w:rsidRDefault="00E4401D" w:rsidP="00E91CC0">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En el </w:t>
      </w:r>
      <w:r w:rsidRPr="00E4401D">
        <w:rPr>
          <w:rFonts w:ascii="Times New Roman" w:hAnsi="Times New Roman" w:cs="Times New Roman"/>
          <w:sz w:val="28"/>
          <w:szCs w:val="28"/>
        </w:rPr>
        <w:t>proyecto de ley radicado por el Gobierno nacional el 06 de febrero de 2023, esta disposición fue presentada como artículo 241</w:t>
      </w:r>
      <w:r w:rsidRPr="00E4401D">
        <w:rPr>
          <w:rStyle w:val="Refdenotaalpie"/>
          <w:rFonts w:ascii="Times New Roman" w:hAnsi="Times New Roman" w:cs="Times New Roman"/>
          <w:sz w:val="28"/>
          <w:szCs w:val="28"/>
        </w:rPr>
        <w:footnoteReference w:id="75"/>
      </w:r>
      <w:r w:rsidRPr="00E4401D">
        <w:rPr>
          <w:rFonts w:ascii="Times New Roman" w:hAnsi="Times New Roman" w:cs="Times New Roman"/>
          <w:sz w:val="28"/>
          <w:szCs w:val="28"/>
        </w:rPr>
        <w:t>. El texto de este artículo era el siguiente:</w:t>
      </w:r>
    </w:p>
    <w:p w:rsidR="00A16A9C" w:rsidRPr="00E4401D" w:rsidRDefault="00E4401D" w:rsidP="00A16A9C">
      <w:pPr>
        <w:pStyle w:val="Prrafodelista"/>
        <w:tabs>
          <w:tab w:val="left" w:pos="540"/>
        </w:tabs>
        <w:ind w:left="0"/>
        <w:mirrorIndents/>
        <w:jc w:val="both"/>
        <w:rPr>
          <w:rFonts w:ascii="Times New Roman" w:hAnsi="Times New Roman" w:cs="Times New Roman"/>
          <w:sz w:val="28"/>
          <w:szCs w:val="28"/>
        </w:rPr>
      </w:pPr>
    </w:p>
    <w:p w:rsidR="00A16A9C" w:rsidRPr="00E4401D" w:rsidRDefault="00E4401D" w:rsidP="00A16A9C">
      <w:pPr>
        <w:pStyle w:val="Prrafodelista"/>
        <w:tabs>
          <w:tab w:val="left" w:pos="540"/>
        </w:tabs>
        <w:ind w:left="0"/>
        <w:mirrorIndents/>
        <w:jc w:val="both"/>
        <w:rPr>
          <w:rFonts w:ascii="Times New Roman" w:hAnsi="Times New Roman" w:cs="Times New Roman"/>
          <w:i/>
          <w:iCs/>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ARTÍCULO 241. Adiciónese el inciso quinto al artículo 4 de la Ley 2079 de 2021, as</w:t>
      </w:r>
      <w:r w:rsidRPr="00E4401D">
        <w:rPr>
          <w:rFonts w:ascii="Times New Roman" w:hAnsi="Times New Roman" w:cs="Times New Roman"/>
          <w:i/>
          <w:iCs/>
          <w:sz w:val="28"/>
          <w:szCs w:val="28"/>
        </w:rPr>
        <w:t xml:space="preserve">í: </w:t>
      </w:r>
    </w:p>
    <w:p w:rsidR="00A16A9C" w:rsidRPr="00E4401D" w:rsidRDefault="00E4401D" w:rsidP="00A16A9C">
      <w:pPr>
        <w:pStyle w:val="Prrafodelista"/>
        <w:tabs>
          <w:tab w:val="left" w:pos="540"/>
        </w:tabs>
        <w:ind w:left="0"/>
        <w:mirrorIndents/>
        <w:jc w:val="both"/>
        <w:rPr>
          <w:rFonts w:ascii="Times New Roman" w:hAnsi="Times New Roman" w:cs="Times New Roman"/>
          <w:i/>
          <w:iCs/>
          <w:sz w:val="28"/>
          <w:szCs w:val="28"/>
        </w:rPr>
      </w:pPr>
    </w:p>
    <w:p w:rsidR="00A16A9C" w:rsidRPr="00E4401D" w:rsidRDefault="00E4401D" w:rsidP="00A16A9C">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i/>
          <w:iCs/>
          <w:sz w:val="28"/>
          <w:szCs w:val="28"/>
        </w:rPr>
        <w:t xml:space="preserve">La política de vivienda y hábitat, a cargo del Gobierno nacional, incluirá un enfoque diferencial que reconozca las condiciones socio económicas y culturales de los pueblos indígenas, de las comunidades negras, afrocolombianas, raizales y palenqueras </w:t>
      </w:r>
      <w:r w:rsidRPr="00E4401D">
        <w:rPr>
          <w:rFonts w:ascii="Times New Roman" w:hAnsi="Times New Roman" w:cs="Times New Roman"/>
          <w:i/>
          <w:iCs/>
          <w:sz w:val="28"/>
          <w:szCs w:val="28"/>
        </w:rPr>
        <w:t>y de grupos poblacionales específicos, especialmente de la población víctima del conflicto armado, incluyendo para esta última, el diseño de estrategias encaminadas a superar las barreras para la utilización de subsidios no aplicados en vigencias anteriore</w:t>
      </w:r>
      <w:r w:rsidRPr="00E4401D">
        <w:rPr>
          <w:rFonts w:ascii="Times New Roman" w:hAnsi="Times New Roman" w:cs="Times New Roman"/>
          <w:i/>
          <w:iCs/>
          <w:sz w:val="28"/>
          <w:szCs w:val="28"/>
        </w:rPr>
        <w:t>s.</w:t>
      </w:r>
      <w:r w:rsidRPr="00E4401D">
        <w:rPr>
          <w:rFonts w:ascii="Times New Roman" w:hAnsi="Times New Roman" w:cs="Times New Roman"/>
          <w:sz w:val="28"/>
          <w:szCs w:val="28"/>
        </w:rPr>
        <w:t>”.</w:t>
      </w:r>
    </w:p>
    <w:p w:rsidR="00AE258E" w:rsidRPr="00E4401D" w:rsidRDefault="00E4401D" w:rsidP="00AE258E">
      <w:pPr>
        <w:pStyle w:val="Prrafodelista"/>
        <w:rPr>
          <w:rFonts w:ascii="Times New Roman" w:hAnsi="Times New Roman" w:cs="Times New Roman"/>
          <w:sz w:val="28"/>
          <w:szCs w:val="28"/>
        </w:rPr>
      </w:pPr>
    </w:p>
    <w:p w:rsidR="00AE258E" w:rsidRPr="00E4401D" w:rsidRDefault="00E4401D" w:rsidP="00E91CC0">
      <w:pPr>
        <w:pStyle w:val="Prrafodelista"/>
        <w:numPr>
          <w:ilvl w:val="0"/>
          <w:numId w:val="3"/>
        </w:numPr>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En el texto aprobado por las comisiones económicas constitucionales permanentes, est</w:t>
      </w:r>
      <w:r w:rsidRPr="00E4401D">
        <w:rPr>
          <w:rFonts w:ascii="Times New Roman" w:hAnsi="Times New Roman" w:cs="Times New Roman"/>
          <w:sz w:val="28"/>
          <w:szCs w:val="28"/>
        </w:rPr>
        <w:t>a</w:t>
      </w:r>
      <w:r w:rsidRPr="00E4401D">
        <w:rPr>
          <w:rFonts w:ascii="Times New Roman" w:hAnsi="Times New Roman" w:cs="Times New Roman"/>
          <w:sz w:val="28"/>
          <w:szCs w:val="28"/>
        </w:rPr>
        <w:t xml:space="preserve"> disposición quedó como el artículo</w:t>
      </w:r>
      <w:r w:rsidRPr="00E4401D">
        <w:rPr>
          <w:rFonts w:ascii="Times New Roman" w:hAnsi="Times New Roman" w:cs="Times New Roman"/>
          <w:sz w:val="28"/>
          <w:szCs w:val="28"/>
        </w:rPr>
        <w:t xml:space="preserve"> 267</w:t>
      </w:r>
      <w:r w:rsidRPr="00E4401D">
        <w:rPr>
          <w:rFonts w:ascii="Times New Roman" w:hAnsi="Times New Roman" w:cs="Times New Roman"/>
          <w:sz w:val="28"/>
          <w:szCs w:val="28"/>
        </w:rPr>
        <w:t xml:space="preserve"> y </w:t>
      </w:r>
      <w:r w:rsidRPr="00E4401D">
        <w:rPr>
          <w:rFonts w:ascii="Times New Roman" w:hAnsi="Times New Roman" w:cs="Times New Roman"/>
          <w:sz w:val="28"/>
          <w:szCs w:val="28"/>
        </w:rPr>
        <w:t>solo se modificó para efectos de incluir a las comunidades campesinas</w:t>
      </w:r>
      <w:r w:rsidRPr="00E4401D">
        <w:rPr>
          <w:rFonts w:ascii="Times New Roman" w:hAnsi="Times New Roman" w:cs="Times New Roman"/>
          <w:sz w:val="28"/>
          <w:szCs w:val="28"/>
        </w:rPr>
        <w:t xml:space="preserve"> dentro de las poblaciones a quienes beneficiaría el enfoque diferencial de la política de vivienda</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76"/>
      </w:r>
      <w:r w:rsidRPr="00E4401D">
        <w:rPr>
          <w:rFonts w:ascii="Times New Roman" w:hAnsi="Times New Roman" w:cs="Times New Roman"/>
          <w:sz w:val="28"/>
          <w:szCs w:val="28"/>
        </w:rPr>
        <w:t xml:space="preserve"> El texto aprobado fue el siguiente:</w:t>
      </w:r>
    </w:p>
    <w:p w:rsidR="002F72E4" w:rsidRPr="00E4401D" w:rsidRDefault="00E4401D" w:rsidP="002F72E4">
      <w:pPr>
        <w:pStyle w:val="Prrafodelista"/>
        <w:ind w:left="0"/>
        <w:mirrorIndents/>
        <w:jc w:val="both"/>
        <w:rPr>
          <w:rFonts w:ascii="Times New Roman" w:hAnsi="Times New Roman" w:cs="Times New Roman"/>
          <w:sz w:val="28"/>
          <w:szCs w:val="28"/>
        </w:rPr>
      </w:pPr>
    </w:p>
    <w:p w:rsidR="002F72E4" w:rsidRPr="00E4401D" w:rsidRDefault="00E4401D" w:rsidP="002F72E4">
      <w:pPr>
        <w:pStyle w:val="Prrafodelista"/>
        <w:tabs>
          <w:tab w:val="left" w:pos="540"/>
        </w:tabs>
        <w:ind w:left="0"/>
        <w:mirrorIndents/>
        <w:jc w:val="both"/>
        <w:rPr>
          <w:rFonts w:ascii="Times New Roman" w:hAnsi="Times New Roman" w:cs="Times New Roman"/>
          <w:i/>
          <w:iCs/>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 xml:space="preserve">ARTÍCULO 267°. Adiciónese el inciso quinto al artículo 4 de la Ley 2079 de 2021, así: </w:t>
      </w:r>
    </w:p>
    <w:p w:rsidR="002F72E4" w:rsidRPr="00E4401D" w:rsidRDefault="00E4401D" w:rsidP="002F72E4">
      <w:pPr>
        <w:pStyle w:val="Prrafodelista"/>
        <w:tabs>
          <w:tab w:val="left" w:pos="540"/>
        </w:tabs>
        <w:ind w:left="0"/>
        <w:mirrorIndents/>
        <w:jc w:val="both"/>
        <w:rPr>
          <w:rFonts w:ascii="Times New Roman" w:hAnsi="Times New Roman" w:cs="Times New Roman"/>
          <w:i/>
          <w:iCs/>
          <w:sz w:val="28"/>
          <w:szCs w:val="28"/>
        </w:rPr>
      </w:pPr>
    </w:p>
    <w:p w:rsidR="002F72E4" w:rsidRPr="00E4401D" w:rsidRDefault="00E4401D" w:rsidP="002F72E4">
      <w:pPr>
        <w:pStyle w:val="Prrafodelista"/>
        <w:tabs>
          <w:tab w:val="left" w:pos="540"/>
        </w:tabs>
        <w:ind w:left="0"/>
        <w:mirrorIndents/>
        <w:jc w:val="both"/>
        <w:rPr>
          <w:rFonts w:ascii="Times New Roman" w:hAnsi="Times New Roman" w:cs="Times New Roman"/>
          <w:sz w:val="28"/>
          <w:szCs w:val="28"/>
        </w:rPr>
      </w:pPr>
      <w:r w:rsidRPr="00E4401D">
        <w:rPr>
          <w:rFonts w:ascii="Times New Roman" w:hAnsi="Times New Roman" w:cs="Times New Roman"/>
          <w:i/>
          <w:iCs/>
          <w:sz w:val="28"/>
          <w:szCs w:val="28"/>
        </w:rPr>
        <w:t>La política de vivienda y há</w:t>
      </w:r>
      <w:r w:rsidRPr="00E4401D">
        <w:rPr>
          <w:rFonts w:ascii="Times New Roman" w:hAnsi="Times New Roman" w:cs="Times New Roman"/>
          <w:i/>
          <w:iCs/>
          <w:sz w:val="28"/>
          <w:szCs w:val="28"/>
        </w:rPr>
        <w:t>bitat, a cargo del Gobierno nacional, incluirá un enfoque diferencial que reconozca las condiciones socio económicas y culturales de los pueblos indígenas, de las comunidades negras, afrocolombianas, raizales y palenqueras</w:t>
      </w:r>
      <w:r w:rsidRPr="00E4401D">
        <w:rPr>
          <w:rFonts w:ascii="Times New Roman" w:hAnsi="Times New Roman" w:cs="Times New Roman"/>
          <w:i/>
          <w:iCs/>
          <w:sz w:val="28"/>
          <w:szCs w:val="28"/>
        </w:rPr>
        <w:t>, campesinas</w:t>
      </w:r>
      <w:r w:rsidRPr="00E4401D">
        <w:rPr>
          <w:rFonts w:ascii="Times New Roman" w:hAnsi="Times New Roman" w:cs="Times New Roman"/>
          <w:i/>
          <w:iCs/>
          <w:sz w:val="28"/>
          <w:szCs w:val="28"/>
        </w:rPr>
        <w:t xml:space="preserve"> y de grupos poblacion</w:t>
      </w:r>
      <w:r w:rsidRPr="00E4401D">
        <w:rPr>
          <w:rFonts w:ascii="Times New Roman" w:hAnsi="Times New Roman" w:cs="Times New Roman"/>
          <w:i/>
          <w:iCs/>
          <w:sz w:val="28"/>
          <w:szCs w:val="28"/>
        </w:rPr>
        <w:t>ales específicos, especialmente de la población víctima del conflicto armado, incluyendo para esta última, el diseño de estrategias encaminadas a superar las barreras para la utilización de subsidios no aplicados en vigencias anteriores.</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77"/>
      </w:r>
    </w:p>
    <w:p w:rsidR="002F72E4" w:rsidRPr="00E4401D" w:rsidRDefault="00E4401D" w:rsidP="002F72E4">
      <w:pPr>
        <w:pStyle w:val="Prrafodelista"/>
        <w:ind w:left="0"/>
        <w:mirrorIndents/>
        <w:jc w:val="both"/>
        <w:rPr>
          <w:rFonts w:ascii="Times New Roman" w:hAnsi="Times New Roman" w:cs="Times New Roman"/>
          <w:i/>
          <w:iCs/>
          <w:sz w:val="28"/>
          <w:szCs w:val="28"/>
        </w:rPr>
      </w:pPr>
    </w:p>
    <w:p w:rsidR="00D3658E" w:rsidRPr="00E4401D" w:rsidRDefault="00E4401D" w:rsidP="00D3658E">
      <w:pPr>
        <w:pStyle w:val="Prrafodelista"/>
        <w:ind w:left="0"/>
        <w:mirrorIndents/>
        <w:jc w:val="both"/>
        <w:rPr>
          <w:rFonts w:ascii="Times New Roman" w:hAnsi="Times New Roman" w:cs="Times New Roman"/>
          <w:sz w:val="28"/>
          <w:szCs w:val="28"/>
        </w:rPr>
      </w:pPr>
    </w:p>
    <w:p w:rsidR="00554859" w:rsidRPr="00E4401D" w:rsidRDefault="00E4401D" w:rsidP="00554859">
      <w:pPr>
        <w:pStyle w:val="Prrafodelista"/>
        <w:numPr>
          <w:ilvl w:val="0"/>
          <w:numId w:val="3"/>
        </w:numPr>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El texto de </w:t>
      </w:r>
      <w:r w:rsidRPr="00E4401D">
        <w:rPr>
          <w:rFonts w:ascii="Times New Roman" w:hAnsi="Times New Roman" w:cs="Times New Roman"/>
          <w:sz w:val="28"/>
          <w:szCs w:val="28"/>
        </w:rPr>
        <w:t>esta</w:t>
      </w:r>
      <w:r w:rsidRPr="00E4401D">
        <w:rPr>
          <w:rFonts w:ascii="Times New Roman" w:hAnsi="Times New Roman" w:cs="Times New Roman"/>
          <w:sz w:val="28"/>
          <w:szCs w:val="28"/>
        </w:rPr>
        <w:t xml:space="preserve"> disposición presentado </w:t>
      </w:r>
      <w:r w:rsidRPr="00E4401D">
        <w:rPr>
          <w:rFonts w:ascii="Times New Roman" w:hAnsi="Times New Roman" w:cs="Times New Roman"/>
          <w:sz w:val="28"/>
          <w:szCs w:val="28"/>
        </w:rPr>
        <w:t>en el informe de ponencia para el debat</w:t>
      </w:r>
      <w:r w:rsidRPr="00E4401D">
        <w:rPr>
          <w:rFonts w:ascii="Times New Roman" w:hAnsi="Times New Roman" w:cs="Times New Roman"/>
          <w:sz w:val="28"/>
          <w:szCs w:val="28"/>
        </w:rPr>
        <w:t>e</w:t>
      </w:r>
      <w:r w:rsidRPr="00E4401D">
        <w:rPr>
          <w:rFonts w:ascii="Times New Roman" w:hAnsi="Times New Roman" w:cs="Times New Roman"/>
          <w:sz w:val="28"/>
          <w:szCs w:val="28"/>
        </w:rPr>
        <w:t xml:space="preserve"> en la sesión plenaria del Senado de la Rep</w:t>
      </w:r>
      <w:r w:rsidRPr="00E4401D">
        <w:rPr>
          <w:rFonts w:ascii="Times New Roman" w:hAnsi="Times New Roman" w:cs="Times New Roman"/>
          <w:sz w:val="28"/>
          <w:szCs w:val="28"/>
        </w:rPr>
        <w:t>ú</w:t>
      </w:r>
      <w:r w:rsidRPr="00E4401D">
        <w:rPr>
          <w:rFonts w:ascii="Times New Roman" w:hAnsi="Times New Roman" w:cs="Times New Roman"/>
          <w:sz w:val="28"/>
          <w:szCs w:val="28"/>
        </w:rPr>
        <w:t>blica tampoco tuvo modifi</w:t>
      </w:r>
      <w:r w:rsidRPr="00E4401D">
        <w:rPr>
          <w:rFonts w:ascii="Times New Roman" w:hAnsi="Times New Roman" w:cs="Times New Roman"/>
          <w:sz w:val="28"/>
          <w:szCs w:val="28"/>
        </w:rPr>
        <w:t>caciones.</w:t>
      </w:r>
      <w:r w:rsidRPr="00E4401D">
        <w:rPr>
          <w:rStyle w:val="Refdenotaalpie"/>
          <w:rFonts w:ascii="Times New Roman" w:hAnsi="Times New Roman" w:cs="Times New Roman"/>
          <w:sz w:val="28"/>
          <w:szCs w:val="28"/>
        </w:rPr>
        <w:footnoteReference w:id="78"/>
      </w:r>
    </w:p>
    <w:p w:rsidR="00554859" w:rsidRPr="00E4401D" w:rsidRDefault="00E4401D" w:rsidP="00554859">
      <w:pPr>
        <w:pStyle w:val="Prrafodelista"/>
        <w:rPr>
          <w:rFonts w:ascii="Times New Roman" w:hAnsi="Times New Roman" w:cs="Times New Roman"/>
          <w:sz w:val="28"/>
          <w:szCs w:val="28"/>
        </w:rPr>
      </w:pPr>
    </w:p>
    <w:p w:rsidR="00E21132" w:rsidRPr="00E4401D" w:rsidRDefault="00E4401D" w:rsidP="00554859">
      <w:pPr>
        <w:pStyle w:val="Prrafodelista"/>
        <w:numPr>
          <w:ilvl w:val="0"/>
          <w:numId w:val="3"/>
        </w:numPr>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 xml:space="preserve">Según la información disponible en el micrositio web del Senado de la República, el 2 de mayo de 2023 se publicó en esa página una proposición modificatoria al artículo </w:t>
      </w:r>
      <w:r w:rsidRPr="00E4401D">
        <w:rPr>
          <w:rFonts w:ascii="Times New Roman" w:hAnsi="Times New Roman" w:cs="Times New Roman"/>
          <w:sz w:val="28"/>
          <w:szCs w:val="28"/>
        </w:rPr>
        <w:t>267</w:t>
      </w:r>
      <w:r w:rsidRPr="00E4401D">
        <w:rPr>
          <w:rFonts w:ascii="Times New Roman" w:hAnsi="Times New Roman" w:cs="Times New Roman"/>
          <w:sz w:val="28"/>
          <w:szCs w:val="28"/>
        </w:rPr>
        <w:t xml:space="preserve"> del proyecto de ley</w:t>
      </w:r>
      <w:r w:rsidRPr="00E4401D">
        <w:rPr>
          <w:rFonts w:ascii="Times New Roman" w:hAnsi="Times New Roman" w:cs="Times New Roman"/>
          <w:sz w:val="28"/>
          <w:szCs w:val="28"/>
        </w:rPr>
        <w:t xml:space="preserve"> bajo la denominación </w:t>
      </w:r>
      <w:r w:rsidRPr="00E4401D">
        <w:rPr>
          <w:rFonts w:ascii="Times New Roman" w:hAnsi="Times New Roman" w:cs="Times New Roman"/>
          <w:i/>
          <w:iCs/>
          <w:sz w:val="28"/>
          <w:szCs w:val="28"/>
        </w:rPr>
        <w:t>“P 303 PAQUETE AVALADAS APROBADAS VARIOS A</w:t>
      </w:r>
      <w:r w:rsidRPr="00E4401D">
        <w:rPr>
          <w:rFonts w:ascii="Times New Roman" w:hAnsi="Times New Roman" w:cs="Times New Roman"/>
          <w:i/>
          <w:iCs/>
          <w:sz w:val="28"/>
          <w:szCs w:val="28"/>
        </w:rPr>
        <w:t>RTS PL 232 DE 2023 SENADO PL 338 DE 2023 CAMARA VARIOS H.S.”</w:t>
      </w:r>
      <w:r w:rsidRPr="00E4401D">
        <w:rPr>
          <w:rStyle w:val="Refdenotaalpie"/>
          <w:rFonts w:ascii="Times New Roman" w:hAnsi="Times New Roman" w:cs="Times New Roman"/>
          <w:i/>
          <w:iCs/>
          <w:sz w:val="28"/>
          <w:szCs w:val="28"/>
        </w:rPr>
        <w:footnoteReference w:id="79"/>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La proposición se presentó y recibió aval </w:t>
      </w:r>
      <w:r w:rsidRPr="00E4401D">
        <w:rPr>
          <w:rFonts w:ascii="Times New Roman" w:hAnsi="Times New Roman" w:cs="Times New Roman"/>
          <w:sz w:val="28"/>
          <w:szCs w:val="28"/>
        </w:rPr>
        <w:t xml:space="preserve">del Gobierno </w:t>
      </w:r>
      <w:r w:rsidRPr="00E4401D">
        <w:rPr>
          <w:rFonts w:ascii="Times New Roman" w:hAnsi="Times New Roman" w:cs="Times New Roman"/>
          <w:sz w:val="28"/>
          <w:szCs w:val="28"/>
        </w:rPr>
        <w:t>el 2 de mayo de 2023. El contenido de la proposición es el siguiente:</w:t>
      </w:r>
    </w:p>
    <w:p w:rsidR="00E21132" w:rsidRPr="00E4401D" w:rsidRDefault="00E4401D" w:rsidP="00E21132">
      <w:pPr>
        <w:pStyle w:val="Prrafodelista"/>
        <w:tabs>
          <w:tab w:val="left" w:pos="540"/>
        </w:tabs>
        <w:ind w:left="0"/>
        <w:mirrorIndents/>
        <w:jc w:val="both"/>
        <w:rPr>
          <w:rFonts w:ascii="Times New Roman" w:hAnsi="Times New Roman" w:cs="Times New Roman"/>
          <w:sz w:val="28"/>
          <w:szCs w:val="28"/>
        </w:rPr>
      </w:pPr>
    </w:p>
    <w:p w:rsidR="00554859" w:rsidRPr="00E4401D" w:rsidRDefault="00E4401D" w:rsidP="00E25557">
      <w:pPr>
        <w:tabs>
          <w:tab w:val="left" w:pos="540"/>
        </w:tabs>
        <w:mirrorIndents/>
        <w:jc w:val="both"/>
        <w:rPr>
          <w:rFonts w:ascii="Times New Roman" w:hAnsi="Times New Roman" w:cs="Times New Roman"/>
          <w:sz w:val="28"/>
          <w:szCs w:val="28"/>
        </w:rPr>
      </w:pPr>
      <w:r w:rsidRPr="00E4401D">
        <w:rPr>
          <w:rFonts w:ascii="Times New Roman" w:hAnsi="Times New Roman" w:cs="Times New Roman"/>
          <w:sz w:val="28"/>
          <w:szCs w:val="28"/>
        </w:rPr>
        <w:t>“</w:t>
      </w:r>
      <w:r w:rsidRPr="00E4401D">
        <w:rPr>
          <w:rFonts w:ascii="Times New Roman" w:hAnsi="Times New Roman" w:cs="Times New Roman"/>
          <w:sz w:val="28"/>
          <w:szCs w:val="28"/>
        </w:rPr>
        <w:t>PROPOSICIÓN DE ADICIÓN</w:t>
      </w:r>
    </w:p>
    <w:p w:rsidR="00554859" w:rsidRPr="00E4401D" w:rsidRDefault="00E4401D" w:rsidP="00E25557">
      <w:pPr>
        <w:tabs>
          <w:tab w:val="left" w:pos="540"/>
        </w:tabs>
        <w:mirrorIndents/>
        <w:jc w:val="both"/>
        <w:rPr>
          <w:rFonts w:ascii="Times New Roman" w:hAnsi="Times New Roman" w:cs="Times New Roman"/>
          <w:sz w:val="28"/>
          <w:szCs w:val="28"/>
        </w:rPr>
      </w:pPr>
    </w:p>
    <w:p w:rsidR="00E25557" w:rsidRPr="00E4401D" w:rsidRDefault="00E4401D" w:rsidP="00E25557">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Artículo 267</w:t>
      </w:r>
      <w:r w:rsidRPr="00E4401D">
        <w:rPr>
          <w:rFonts w:ascii="Times New Roman" w:hAnsi="Times New Roman" w:cs="Times New Roman"/>
          <w:i/>
          <w:iCs/>
          <w:sz w:val="28"/>
          <w:szCs w:val="28"/>
        </w:rPr>
        <w:t>°</w:t>
      </w:r>
      <w:r w:rsidRPr="00E4401D">
        <w:rPr>
          <w:rFonts w:ascii="Times New Roman" w:hAnsi="Times New Roman" w:cs="Times New Roman"/>
          <w:i/>
          <w:iCs/>
          <w:sz w:val="28"/>
          <w:szCs w:val="28"/>
        </w:rPr>
        <w:t xml:space="preserve">. Adiciónese el inciso quinto </w:t>
      </w:r>
      <w:r w:rsidRPr="00E4401D">
        <w:rPr>
          <w:rFonts w:ascii="Times New Roman" w:hAnsi="Times New Roman" w:cs="Times New Roman"/>
          <w:i/>
          <w:iCs/>
          <w:sz w:val="28"/>
          <w:szCs w:val="28"/>
        </w:rPr>
        <w:t>y dos parágrafos al artículo 4 de la Ley 2079 de 2021:</w:t>
      </w:r>
    </w:p>
    <w:p w:rsidR="00E25557" w:rsidRPr="00E4401D" w:rsidRDefault="00E4401D" w:rsidP="00E25557">
      <w:pPr>
        <w:tabs>
          <w:tab w:val="left" w:pos="540"/>
        </w:tabs>
        <w:mirrorIndents/>
        <w:jc w:val="both"/>
        <w:rPr>
          <w:rFonts w:ascii="Times New Roman" w:hAnsi="Times New Roman" w:cs="Times New Roman"/>
          <w:i/>
          <w:iCs/>
          <w:sz w:val="28"/>
          <w:szCs w:val="28"/>
        </w:rPr>
      </w:pPr>
    </w:p>
    <w:p w:rsidR="00E25557" w:rsidRPr="00E4401D" w:rsidRDefault="00E4401D" w:rsidP="00E25557">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La política de vivienda y hábitat, a cargo del Gobierno nacional, incluirá un enfoque diferencial que reconozca las condiciones socio económicas y culturales de los pueblos </w:t>
      </w:r>
      <w:r w:rsidRPr="00E4401D">
        <w:rPr>
          <w:rFonts w:ascii="Times New Roman" w:hAnsi="Times New Roman" w:cs="Times New Roman"/>
          <w:i/>
          <w:iCs/>
          <w:sz w:val="28"/>
          <w:szCs w:val="28"/>
        </w:rPr>
        <w:t>indígenas</w:t>
      </w:r>
      <w:r w:rsidRPr="00E4401D">
        <w:rPr>
          <w:rFonts w:ascii="Times New Roman" w:hAnsi="Times New Roman" w:cs="Times New Roman"/>
          <w:i/>
          <w:iCs/>
          <w:sz w:val="28"/>
          <w:szCs w:val="28"/>
        </w:rPr>
        <w:t>, de las comunidad</w:t>
      </w:r>
      <w:r w:rsidRPr="00E4401D">
        <w:rPr>
          <w:rFonts w:ascii="Times New Roman" w:hAnsi="Times New Roman" w:cs="Times New Roman"/>
          <w:i/>
          <w:iCs/>
          <w:sz w:val="28"/>
          <w:szCs w:val="28"/>
        </w:rPr>
        <w:t>es negras, afrocolombianas, raizales, palenqueras, campesinas y de grupos poblacionales específicos, especialmente de la población víctima del conflicto armado, incluyendo para esta última, el diseño de estrategias encaminadas a superar las barreras para l</w:t>
      </w:r>
      <w:r w:rsidRPr="00E4401D">
        <w:rPr>
          <w:rFonts w:ascii="Times New Roman" w:hAnsi="Times New Roman" w:cs="Times New Roman"/>
          <w:i/>
          <w:iCs/>
          <w:sz w:val="28"/>
          <w:szCs w:val="28"/>
        </w:rPr>
        <w:t>a utilización de subsidios no aplicados en vigencias anteriores"</w:t>
      </w:r>
    </w:p>
    <w:p w:rsidR="00E25557" w:rsidRPr="00E4401D" w:rsidRDefault="00E4401D" w:rsidP="00E25557">
      <w:pPr>
        <w:tabs>
          <w:tab w:val="left" w:pos="540"/>
        </w:tabs>
        <w:mirrorIndents/>
        <w:jc w:val="both"/>
        <w:rPr>
          <w:rFonts w:ascii="Times New Roman" w:hAnsi="Times New Roman" w:cs="Times New Roman"/>
          <w:i/>
          <w:iCs/>
          <w:sz w:val="28"/>
          <w:szCs w:val="28"/>
        </w:rPr>
      </w:pPr>
    </w:p>
    <w:p w:rsidR="00E25557" w:rsidRPr="00E4401D" w:rsidRDefault="00E4401D" w:rsidP="00E25557">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Parágrafo 1. Para todos los efectos legales, se entiende que los negocios jurídicos celebrados por los patrimonios autónomos constituidos por FONVIVIENDA, para efectos de la ejecución de los</w:t>
      </w:r>
      <w:r w:rsidRPr="00E4401D">
        <w:rPr>
          <w:rFonts w:ascii="Times New Roman" w:hAnsi="Times New Roman" w:cs="Times New Roman"/>
          <w:i/>
          <w:iCs/>
          <w:sz w:val="28"/>
          <w:szCs w:val="28"/>
        </w:rPr>
        <w:t xml:space="preserve"> subsidios familiares de vivienda otorgados por el Gobierno Nacional en el marco de la política de vivienda y hábitat urbana y rural, son de naturaleza jurídica privada.</w:t>
      </w:r>
    </w:p>
    <w:p w:rsidR="00E25557" w:rsidRPr="00E4401D" w:rsidRDefault="00E4401D" w:rsidP="00E25557">
      <w:pPr>
        <w:tabs>
          <w:tab w:val="left" w:pos="540"/>
        </w:tabs>
        <w:mirrorIndents/>
        <w:jc w:val="both"/>
        <w:rPr>
          <w:rFonts w:ascii="Times New Roman" w:hAnsi="Times New Roman" w:cs="Times New Roman"/>
          <w:i/>
          <w:iCs/>
          <w:sz w:val="28"/>
          <w:szCs w:val="28"/>
        </w:rPr>
      </w:pPr>
    </w:p>
    <w:p w:rsidR="00E25557" w:rsidRPr="00E4401D" w:rsidRDefault="00E4401D" w:rsidP="00E25557">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Parágrafo 2. Con el fin de generar cohesión y articulación en la ejecución de la polí</w:t>
      </w:r>
      <w:r w:rsidRPr="00E4401D">
        <w:rPr>
          <w:rFonts w:ascii="Times New Roman" w:hAnsi="Times New Roman" w:cs="Times New Roman"/>
          <w:i/>
          <w:iCs/>
          <w:sz w:val="28"/>
          <w:szCs w:val="28"/>
        </w:rPr>
        <w:t>tica de vivienda y hábitat, el Fondo Nacional de Vivienda «Fonvivienda» tendrá como objetivos consolidar el Sistema Nacional de Información de Vivienda y ejecutar las políticas del Gobierno Nacional en materia de vivienda de interés social, agua y saneamie</w:t>
      </w:r>
      <w:r w:rsidRPr="00E4401D">
        <w:rPr>
          <w:rFonts w:ascii="Times New Roman" w:hAnsi="Times New Roman" w:cs="Times New Roman"/>
          <w:i/>
          <w:iCs/>
          <w:sz w:val="28"/>
          <w:szCs w:val="28"/>
        </w:rPr>
        <w:t>nto básico, en particular aquellas orientadas a la descentralización territorial de la inversión de los recursos destinados a estas actividades, administrando: Los recursos asignados en el Presupuesto General de la Nación en inversión para vivienda de inte</w:t>
      </w:r>
      <w:r w:rsidRPr="00E4401D">
        <w:rPr>
          <w:rFonts w:ascii="Times New Roman" w:hAnsi="Times New Roman" w:cs="Times New Roman"/>
          <w:i/>
          <w:iCs/>
          <w:sz w:val="28"/>
          <w:szCs w:val="28"/>
        </w:rPr>
        <w:t>rés social, agua y saneamiento básico; los recursos que se apropien para la formulación, organización, promoción, desarrollo, mantenimiento y consolidación del Sistema Nacional de Información de Vivienda y en general los bienes y recursos de que trata el p</w:t>
      </w:r>
      <w:r w:rsidRPr="00E4401D">
        <w:rPr>
          <w:rFonts w:ascii="Times New Roman" w:hAnsi="Times New Roman" w:cs="Times New Roman"/>
          <w:i/>
          <w:iCs/>
          <w:sz w:val="28"/>
          <w:szCs w:val="28"/>
        </w:rPr>
        <w:t>resente decreto, para lo cual podrá constituir patrimonios autónomos a través de la suscripción de contratos de fiducia mercantil.</w:t>
      </w:r>
    </w:p>
    <w:p w:rsidR="00E25557" w:rsidRPr="00E4401D" w:rsidRDefault="00E4401D" w:rsidP="00E25557">
      <w:pPr>
        <w:tabs>
          <w:tab w:val="left" w:pos="540"/>
        </w:tabs>
        <w:mirrorIndents/>
        <w:jc w:val="both"/>
        <w:rPr>
          <w:rFonts w:ascii="Times New Roman" w:hAnsi="Times New Roman" w:cs="Times New Roman"/>
          <w:i/>
          <w:iCs/>
          <w:sz w:val="28"/>
          <w:szCs w:val="28"/>
        </w:rPr>
      </w:pPr>
    </w:p>
    <w:p w:rsidR="00E21132" w:rsidRPr="00E4401D" w:rsidRDefault="00E4401D" w:rsidP="00E25557">
      <w:pPr>
        <w:tabs>
          <w:tab w:val="left" w:pos="540"/>
        </w:tabs>
        <w:mirrorIndents/>
        <w:jc w:val="both"/>
        <w:rPr>
          <w:rFonts w:ascii="Times New Roman" w:hAnsi="Times New Roman" w:cs="Times New Roman"/>
          <w:i/>
          <w:iCs/>
          <w:sz w:val="28"/>
          <w:szCs w:val="28"/>
        </w:rPr>
      </w:pPr>
      <w:r w:rsidRPr="00E4401D">
        <w:rPr>
          <w:rFonts w:ascii="Times New Roman" w:hAnsi="Times New Roman" w:cs="Times New Roman"/>
          <w:i/>
          <w:iCs/>
          <w:sz w:val="28"/>
          <w:szCs w:val="28"/>
        </w:rPr>
        <w:t xml:space="preserve">Parágrafo 3. El Fondo Nacional de Vivienda podrá estructurar y ejecutar proyectos y programas para el sector de agua y saneamiento básico, que permitan garantizar las condiciones de acceso y </w:t>
      </w:r>
      <w:r w:rsidRPr="00E4401D">
        <w:rPr>
          <w:rFonts w:ascii="Times New Roman" w:hAnsi="Times New Roman" w:cs="Times New Roman"/>
          <w:i/>
          <w:iCs/>
          <w:sz w:val="28"/>
          <w:szCs w:val="28"/>
        </w:rPr>
        <w:t>mínimo</w:t>
      </w:r>
      <w:r w:rsidRPr="00E4401D">
        <w:rPr>
          <w:rFonts w:ascii="Times New Roman" w:hAnsi="Times New Roman" w:cs="Times New Roman"/>
          <w:i/>
          <w:iCs/>
          <w:sz w:val="28"/>
          <w:szCs w:val="28"/>
        </w:rPr>
        <w:t xml:space="preserve"> vital de la población</w:t>
      </w:r>
      <w:r w:rsidRPr="00E4401D">
        <w:rPr>
          <w:rFonts w:ascii="Times New Roman" w:hAnsi="Times New Roman" w:cs="Times New Roman"/>
          <w:i/>
          <w:iCs/>
          <w:sz w:val="28"/>
          <w:szCs w:val="28"/>
        </w:rPr>
        <w:t>.</w:t>
      </w:r>
      <w:r w:rsidRPr="00E4401D">
        <w:rPr>
          <w:rFonts w:ascii="Times New Roman" w:hAnsi="Times New Roman" w:cs="Times New Roman"/>
          <w:sz w:val="28"/>
          <w:szCs w:val="28"/>
        </w:rPr>
        <w:t>”.</w:t>
      </w:r>
    </w:p>
    <w:p w:rsidR="00E21132" w:rsidRPr="00E4401D" w:rsidRDefault="00E4401D" w:rsidP="00E21132">
      <w:pPr>
        <w:tabs>
          <w:tab w:val="left" w:pos="540"/>
        </w:tabs>
        <w:mirrorIndents/>
        <w:jc w:val="both"/>
        <w:rPr>
          <w:rFonts w:ascii="Times New Roman" w:hAnsi="Times New Roman" w:cs="Times New Roman"/>
          <w:sz w:val="28"/>
          <w:szCs w:val="28"/>
        </w:rPr>
      </w:pPr>
    </w:p>
    <w:p w:rsidR="00E21132" w:rsidRPr="00E4401D" w:rsidRDefault="00E4401D" w:rsidP="00E21132">
      <w:pPr>
        <w:pStyle w:val="Prrafodelista"/>
        <w:numPr>
          <w:ilvl w:val="0"/>
          <w:numId w:val="3"/>
        </w:numPr>
        <w:tabs>
          <w:tab w:val="left" w:pos="540"/>
        </w:tabs>
        <w:ind w:left="0" w:firstLine="0"/>
        <w:mirrorIndents/>
        <w:jc w:val="both"/>
        <w:rPr>
          <w:rFonts w:ascii="Times New Roman" w:hAnsi="Times New Roman" w:cs="Times New Roman"/>
          <w:sz w:val="28"/>
          <w:szCs w:val="28"/>
        </w:rPr>
      </w:pPr>
      <w:r w:rsidRPr="00E4401D">
        <w:rPr>
          <w:rFonts w:ascii="Times New Roman" w:hAnsi="Times New Roman" w:cs="Times New Roman"/>
          <w:sz w:val="28"/>
          <w:szCs w:val="28"/>
        </w:rPr>
        <w:t>Durante la sesión plenaria del S</w:t>
      </w:r>
      <w:r w:rsidRPr="00E4401D">
        <w:rPr>
          <w:rFonts w:ascii="Times New Roman" w:hAnsi="Times New Roman" w:cs="Times New Roman"/>
          <w:sz w:val="28"/>
          <w:szCs w:val="28"/>
        </w:rPr>
        <w:t>enado de la República, celebrada el 2 de mayo de 2023, el presidente del Senado solicitó al equipo de Gobierno que presentara las proposiciones al proyecto de ley que contaran con su aval, con el fin de leerlas y posteriormente votarlas en bloque. Entre es</w:t>
      </w:r>
      <w:r w:rsidRPr="00E4401D">
        <w:rPr>
          <w:rFonts w:ascii="Times New Roman" w:hAnsi="Times New Roman" w:cs="Times New Roman"/>
          <w:sz w:val="28"/>
          <w:szCs w:val="28"/>
        </w:rPr>
        <w:t xml:space="preserve">tas proposiciones se encontraba la modificatoria al artículo </w:t>
      </w:r>
      <w:r w:rsidRPr="00E4401D">
        <w:rPr>
          <w:rFonts w:ascii="Times New Roman" w:hAnsi="Times New Roman" w:cs="Times New Roman"/>
          <w:sz w:val="28"/>
          <w:szCs w:val="28"/>
        </w:rPr>
        <w:t xml:space="preserve">267 </w:t>
      </w:r>
      <w:r w:rsidRPr="00E4401D">
        <w:rPr>
          <w:rFonts w:ascii="Times New Roman" w:hAnsi="Times New Roman" w:cs="Times New Roman"/>
          <w:sz w:val="28"/>
          <w:szCs w:val="28"/>
        </w:rPr>
        <w:t>del proyecto.</w:t>
      </w:r>
      <w:r w:rsidRPr="00E4401D">
        <w:rPr>
          <w:rStyle w:val="Refdenotaalpie"/>
          <w:rFonts w:ascii="Times New Roman" w:hAnsi="Times New Roman" w:cs="Times New Roman"/>
          <w:sz w:val="28"/>
          <w:szCs w:val="28"/>
        </w:rPr>
        <w:footnoteReference w:id="80"/>
      </w:r>
    </w:p>
    <w:p w:rsidR="00456C6E" w:rsidRPr="00E4401D" w:rsidRDefault="00E4401D" w:rsidP="00BA5B06">
      <w:pPr>
        <w:pStyle w:val="Prrafodelista"/>
        <w:tabs>
          <w:tab w:val="left" w:pos="540"/>
        </w:tabs>
        <w:ind w:left="0"/>
        <w:mirrorIndents/>
        <w:jc w:val="both"/>
        <w:rPr>
          <w:rFonts w:ascii="Times New Roman" w:hAnsi="Times New Roman" w:cs="Times New Roman"/>
          <w:sz w:val="28"/>
          <w:szCs w:val="28"/>
        </w:rPr>
      </w:pPr>
    </w:p>
    <w:p w:rsidR="00E21132" w:rsidRPr="00E4401D" w:rsidRDefault="00E4401D" w:rsidP="00E21132">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Aunque la proposición modificatoria incorporaba tres nuevos parágrafos al artículo 267 del proyecto, la explicación de su a</w:t>
      </w:r>
      <w:r w:rsidRPr="00E4401D">
        <w:rPr>
          <w:rFonts w:ascii="Times New Roman" w:hAnsi="Times New Roman" w:cs="Times New Roman"/>
          <w:sz w:val="28"/>
          <w:szCs w:val="28"/>
        </w:rPr>
        <w:t xml:space="preserve">lcance </w:t>
      </w:r>
      <w:r w:rsidRPr="00E4401D">
        <w:rPr>
          <w:rFonts w:ascii="Times New Roman" w:hAnsi="Times New Roman" w:cs="Times New Roman"/>
          <w:sz w:val="28"/>
          <w:szCs w:val="28"/>
        </w:rPr>
        <w:t>ofrecida</w:t>
      </w:r>
      <w:r w:rsidRPr="00E4401D">
        <w:rPr>
          <w:rFonts w:ascii="Times New Roman" w:hAnsi="Times New Roman" w:cs="Times New Roman"/>
          <w:sz w:val="28"/>
          <w:szCs w:val="28"/>
        </w:rPr>
        <w:t xml:space="preserve"> por el entonces presidente del Senado </w:t>
      </w:r>
      <w:r w:rsidRPr="00E4401D">
        <w:rPr>
          <w:rFonts w:ascii="Times New Roman" w:hAnsi="Times New Roman" w:cs="Times New Roman"/>
          <w:sz w:val="28"/>
          <w:szCs w:val="28"/>
        </w:rPr>
        <w:t>se limitó al contenido del tercer parágrafo propuesto, así</w:t>
      </w:r>
      <w:r w:rsidRPr="00E4401D">
        <w:rPr>
          <w:rFonts w:ascii="Times New Roman" w:hAnsi="Times New Roman" w:cs="Times New Roman"/>
          <w:sz w:val="28"/>
          <w:szCs w:val="28"/>
        </w:rPr>
        <w:t xml:space="preserve">: </w:t>
      </w:r>
    </w:p>
    <w:p w:rsidR="00E21132" w:rsidRPr="00E4401D" w:rsidRDefault="00E4401D" w:rsidP="00E21132">
      <w:pPr>
        <w:pStyle w:val="Prrafodelista"/>
        <w:ind w:left="0"/>
        <w:jc w:val="both"/>
        <w:rPr>
          <w:rFonts w:ascii="Times New Roman" w:hAnsi="Times New Roman" w:cs="Times New Roman"/>
          <w:sz w:val="28"/>
          <w:szCs w:val="28"/>
        </w:rPr>
      </w:pPr>
    </w:p>
    <w:p w:rsidR="00E21132" w:rsidRPr="00E4401D" w:rsidRDefault="00E4401D" w:rsidP="00E21132">
      <w:pPr>
        <w:pStyle w:val="Prrafodelista"/>
        <w:ind w:left="0"/>
        <w:jc w:val="both"/>
        <w:rPr>
          <w:rFonts w:ascii="Times New Roman" w:hAnsi="Times New Roman" w:cs="Times New Roman"/>
          <w:sz w:val="28"/>
          <w:szCs w:val="28"/>
        </w:rPr>
      </w:pPr>
      <w:r w:rsidRPr="00E4401D">
        <w:rPr>
          <w:rFonts w:ascii="Times New Roman" w:hAnsi="Times New Roman" w:cs="Times New Roman"/>
          <w:sz w:val="28"/>
          <w:szCs w:val="28"/>
        </w:rPr>
        <w:t>“</w:t>
      </w:r>
      <w:r w:rsidRPr="00E4401D">
        <w:rPr>
          <w:rFonts w:ascii="Times New Roman" w:hAnsi="Times New Roman" w:cs="Times New Roman"/>
          <w:i/>
          <w:iCs/>
          <w:sz w:val="28"/>
          <w:szCs w:val="28"/>
        </w:rPr>
        <w:t>La proposición avalada, también, firmada N firmas ilegibles y se refiere al artículo 267, esa proposición lo que agrega es, un parágrafo, el Fondo Naciona</w:t>
      </w:r>
      <w:r w:rsidRPr="00E4401D">
        <w:rPr>
          <w:rFonts w:ascii="Times New Roman" w:hAnsi="Times New Roman" w:cs="Times New Roman"/>
          <w:i/>
          <w:iCs/>
          <w:sz w:val="28"/>
          <w:szCs w:val="28"/>
        </w:rPr>
        <w:t xml:space="preserve">l de Vivienda podrá estructurar y ejecutar proyectos y, programas, para el sector de Aguas y Saneamiento Básico que permitan garantizar las condiciones de acceso y mínimo vital de la población, avalado por el Gobierno por el Ministerio de Vivienda y con N </w:t>
      </w:r>
      <w:r w:rsidRPr="00E4401D">
        <w:rPr>
          <w:rFonts w:ascii="Times New Roman" w:hAnsi="Times New Roman" w:cs="Times New Roman"/>
          <w:i/>
          <w:iCs/>
          <w:sz w:val="28"/>
          <w:szCs w:val="28"/>
        </w:rPr>
        <w:t>firmas ilegibles de varios Senadores.</w:t>
      </w:r>
      <w:r w:rsidRPr="00E4401D">
        <w:rPr>
          <w:rFonts w:ascii="Times New Roman" w:hAnsi="Times New Roman" w:cs="Times New Roman"/>
          <w:sz w:val="28"/>
          <w:szCs w:val="28"/>
        </w:rPr>
        <w:t>”.</w:t>
      </w:r>
      <w:r w:rsidRPr="00E4401D">
        <w:rPr>
          <w:rStyle w:val="Refdenotaalpie"/>
          <w:rFonts w:ascii="Times New Roman" w:hAnsi="Times New Roman" w:cs="Times New Roman"/>
          <w:sz w:val="28"/>
          <w:szCs w:val="28"/>
        </w:rPr>
        <w:footnoteReference w:id="81"/>
      </w:r>
    </w:p>
    <w:p w:rsidR="00D27240" w:rsidRPr="00E4401D" w:rsidRDefault="00E4401D" w:rsidP="00E21132">
      <w:pPr>
        <w:pStyle w:val="Prrafodelista"/>
        <w:ind w:left="0"/>
        <w:jc w:val="both"/>
        <w:rPr>
          <w:rFonts w:ascii="Times New Roman" w:hAnsi="Times New Roman" w:cs="Times New Roman"/>
          <w:sz w:val="28"/>
          <w:szCs w:val="28"/>
        </w:rPr>
      </w:pPr>
    </w:p>
    <w:p w:rsidR="00E21132" w:rsidRPr="00E4401D" w:rsidRDefault="00E4401D" w:rsidP="00E21132">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Posteriormente, en la misma sesión, la disposición fue votada en bloque junto con las demás proposiciones modificativas o aditivas que tenían aval del Ministerio de Hacienda y Crédito Público. La votación quedó 60 </w:t>
      </w:r>
      <w:r w:rsidRPr="00E4401D">
        <w:rPr>
          <w:rFonts w:ascii="Times New Roman" w:hAnsi="Times New Roman" w:cs="Times New Roman"/>
          <w:sz w:val="28"/>
          <w:szCs w:val="28"/>
        </w:rPr>
        <w:t>por el sí y 14 por el no. De este modo quedó aprobada la proposición.</w:t>
      </w:r>
      <w:r w:rsidRPr="00E4401D">
        <w:rPr>
          <w:rStyle w:val="Refdenotaalpie"/>
          <w:rFonts w:ascii="Times New Roman" w:hAnsi="Times New Roman" w:cs="Times New Roman"/>
          <w:sz w:val="28"/>
          <w:szCs w:val="28"/>
        </w:rPr>
        <w:footnoteReference w:id="82"/>
      </w:r>
    </w:p>
    <w:p w:rsidR="00A77904" w:rsidRPr="00E4401D" w:rsidRDefault="00E4401D" w:rsidP="00A77904">
      <w:pPr>
        <w:pStyle w:val="Prrafodelista"/>
        <w:ind w:left="0"/>
        <w:jc w:val="both"/>
        <w:rPr>
          <w:rFonts w:ascii="Times New Roman" w:hAnsi="Times New Roman" w:cs="Times New Roman"/>
          <w:sz w:val="28"/>
          <w:szCs w:val="28"/>
        </w:rPr>
      </w:pPr>
    </w:p>
    <w:p w:rsidR="00D453D8" w:rsidRPr="00E4401D" w:rsidRDefault="00E4401D" w:rsidP="008A3C27">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Vistos los antecedentes del proceso legislativo, </w:t>
      </w:r>
      <w:r w:rsidRPr="00E4401D">
        <w:rPr>
          <w:rFonts w:ascii="Times New Roman" w:hAnsi="Times New Roman" w:cs="Times New Roman"/>
          <w:sz w:val="28"/>
          <w:szCs w:val="28"/>
        </w:rPr>
        <w:t>la Sala Plena concluye que el trámite legislativo que condujo a la aprobación de</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l</w:t>
      </w:r>
      <w:r w:rsidRPr="00E4401D">
        <w:rPr>
          <w:rFonts w:ascii="Times New Roman" w:hAnsi="Times New Roman" w:cs="Times New Roman"/>
          <w:sz w:val="28"/>
          <w:szCs w:val="28"/>
        </w:rPr>
        <w:t>os</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parágrafos primero y segundo del </w:t>
      </w:r>
      <w:r w:rsidRPr="00E4401D">
        <w:rPr>
          <w:rFonts w:ascii="Times New Roman" w:hAnsi="Times New Roman" w:cs="Times New Roman"/>
          <w:sz w:val="28"/>
          <w:szCs w:val="28"/>
        </w:rPr>
        <w:t>artículo 2</w:t>
      </w:r>
      <w:r w:rsidRPr="00E4401D">
        <w:rPr>
          <w:rFonts w:ascii="Times New Roman" w:hAnsi="Times New Roman" w:cs="Times New Roman"/>
          <w:sz w:val="28"/>
          <w:szCs w:val="28"/>
        </w:rPr>
        <w:t>97</w:t>
      </w:r>
      <w:r w:rsidRPr="00E4401D">
        <w:rPr>
          <w:rFonts w:ascii="Times New Roman" w:hAnsi="Times New Roman" w:cs="Times New Roman"/>
          <w:sz w:val="28"/>
          <w:szCs w:val="28"/>
        </w:rPr>
        <w:t xml:space="preserve"> de l</w:t>
      </w:r>
      <w:r w:rsidRPr="00E4401D">
        <w:rPr>
          <w:rFonts w:ascii="Times New Roman" w:hAnsi="Times New Roman" w:cs="Times New Roman"/>
          <w:sz w:val="28"/>
          <w:szCs w:val="28"/>
        </w:rPr>
        <w:t xml:space="preserve">a Ley 2294 de 2023 </w:t>
      </w:r>
      <w:r w:rsidRPr="00E4401D">
        <w:rPr>
          <w:rFonts w:ascii="Times New Roman" w:hAnsi="Times New Roman" w:cs="Times New Roman"/>
          <w:sz w:val="28"/>
          <w:szCs w:val="28"/>
        </w:rPr>
        <w:t>in</w:t>
      </w:r>
      <w:r w:rsidRPr="00E4401D">
        <w:rPr>
          <w:rFonts w:ascii="Times New Roman" w:hAnsi="Times New Roman" w:cs="Times New Roman"/>
          <w:sz w:val="28"/>
          <w:szCs w:val="28"/>
        </w:rPr>
        <w:t>cumplió el principio de publicidad.</w:t>
      </w:r>
      <w:r w:rsidRPr="00E4401D">
        <w:rPr>
          <w:rFonts w:ascii="Times New Roman" w:hAnsi="Times New Roman" w:cs="Times New Roman"/>
          <w:sz w:val="28"/>
          <w:szCs w:val="28"/>
        </w:rPr>
        <w:t xml:space="preserve"> Es claro que la proposición presentada el 2 de mayo de 2023, que incorporaba tres parágrafos al artículo 267 del texto del proyecto de ley contenido en el informe de ponencia para segundo debate, no </w:t>
      </w:r>
      <w:r w:rsidRPr="00E4401D">
        <w:rPr>
          <w:rFonts w:ascii="Times New Roman" w:hAnsi="Times New Roman" w:cs="Times New Roman"/>
          <w:sz w:val="28"/>
          <w:szCs w:val="28"/>
        </w:rPr>
        <w:t xml:space="preserve">fue publicada por medios oficiales o alternativos de forma previa a la apertura del debate y la votación. La Sala observa que, para cumplir el principio de publicidad, </w:t>
      </w:r>
      <w:r w:rsidRPr="00E4401D">
        <w:rPr>
          <w:rFonts w:ascii="Times New Roman" w:hAnsi="Times New Roman" w:cs="Times New Roman"/>
          <w:sz w:val="28"/>
          <w:szCs w:val="28"/>
        </w:rPr>
        <w:t>el entonces presidente de</w:t>
      </w:r>
      <w:r w:rsidRPr="00E4401D">
        <w:rPr>
          <w:rFonts w:ascii="Times New Roman" w:hAnsi="Times New Roman" w:cs="Times New Roman"/>
          <w:sz w:val="28"/>
          <w:szCs w:val="28"/>
        </w:rPr>
        <w:t xml:space="preserve">l Senado </w:t>
      </w:r>
      <w:r w:rsidRPr="00E4401D">
        <w:rPr>
          <w:rFonts w:ascii="Times New Roman" w:hAnsi="Times New Roman" w:cs="Times New Roman"/>
          <w:sz w:val="28"/>
          <w:szCs w:val="28"/>
        </w:rPr>
        <w:t>dio lectura textual al contenido del parágrafo tercero</w:t>
      </w:r>
      <w:r w:rsidRPr="00E4401D">
        <w:rPr>
          <w:rFonts w:ascii="Times New Roman" w:hAnsi="Times New Roman" w:cs="Times New Roman"/>
          <w:sz w:val="28"/>
          <w:szCs w:val="28"/>
        </w:rPr>
        <w:t xml:space="preserve"> propuesto</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Sin embargo, omitió </w:t>
      </w:r>
      <w:r w:rsidRPr="00E4401D">
        <w:rPr>
          <w:rFonts w:ascii="Times New Roman" w:hAnsi="Times New Roman" w:cs="Times New Roman"/>
          <w:sz w:val="28"/>
          <w:szCs w:val="28"/>
        </w:rPr>
        <w:t xml:space="preserve">dar lectura </w:t>
      </w:r>
      <w:r w:rsidRPr="00E4401D">
        <w:rPr>
          <w:rFonts w:ascii="Times New Roman" w:hAnsi="Times New Roman" w:cs="Times New Roman"/>
          <w:sz w:val="28"/>
          <w:szCs w:val="28"/>
        </w:rPr>
        <w:t xml:space="preserve">u ofrecer </w:t>
      </w:r>
      <w:r w:rsidRPr="00E4401D">
        <w:rPr>
          <w:rFonts w:ascii="Times New Roman" w:hAnsi="Times New Roman" w:cs="Times New Roman"/>
          <w:sz w:val="28"/>
          <w:szCs w:val="28"/>
        </w:rPr>
        <w:t xml:space="preserve">alguna explicación sobre </w:t>
      </w:r>
      <w:r w:rsidRPr="00E4401D">
        <w:rPr>
          <w:rFonts w:ascii="Times New Roman" w:hAnsi="Times New Roman" w:cs="Times New Roman"/>
          <w:sz w:val="28"/>
          <w:szCs w:val="28"/>
        </w:rPr>
        <w:t>el</w:t>
      </w:r>
      <w:r w:rsidRPr="00E4401D">
        <w:rPr>
          <w:rFonts w:ascii="Times New Roman" w:hAnsi="Times New Roman" w:cs="Times New Roman"/>
          <w:sz w:val="28"/>
          <w:szCs w:val="28"/>
        </w:rPr>
        <w:t xml:space="preserve"> contenido</w:t>
      </w:r>
      <w:r w:rsidRPr="00E4401D">
        <w:rPr>
          <w:rFonts w:ascii="Times New Roman" w:hAnsi="Times New Roman" w:cs="Times New Roman"/>
          <w:sz w:val="28"/>
          <w:szCs w:val="28"/>
        </w:rPr>
        <w:t xml:space="preserve"> de los otros dos parágrafos cuya adición se proponía</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E</w:t>
      </w:r>
      <w:r w:rsidRPr="00E4401D">
        <w:rPr>
          <w:rFonts w:ascii="Times New Roman" w:hAnsi="Times New Roman" w:cs="Times New Roman"/>
          <w:sz w:val="28"/>
          <w:szCs w:val="28"/>
        </w:rPr>
        <w:t>stos parágrafos adicionales</w:t>
      </w:r>
      <w:r w:rsidRPr="00E4401D">
        <w:rPr>
          <w:rFonts w:ascii="Times New Roman" w:hAnsi="Times New Roman" w:cs="Times New Roman"/>
          <w:sz w:val="28"/>
          <w:szCs w:val="28"/>
        </w:rPr>
        <w:t xml:space="preserve"> se refieren a asuntos diferentes al regulado en el parágrafo tercero que sí fue l</w:t>
      </w:r>
      <w:r w:rsidRPr="00E4401D">
        <w:rPr>
          <w:rFonts w:ascii="Times New Roman" w:hAnsi="Times New Roman" w:cs="Times New Roman"/>
          <w:sz w:val="28"/>
          <w:szCs w:val="28"/>
        </w:rPr>
        <w:t>eído previo al debate y la votación. Esto por cuanto determinan la naturaleza jurídica de los negocios celebrados por los patrimonios autónomos constituidos por FONVIVIENDA para la ejecución de los subsidios familiares de vivienda, fijan objetivos a FONVIV</w:t>
      </w:r>
      <w:r w:rsidRPr="00E4401D">
        <w:rPr>
          <w:rFonts w:ascii="Times New Roman" w:hAnsi="Times New Roman" w:cs="Times New Roman"/>
          <w:sz w:val="28"/>
          <w:szCs w:val="28"/>
        </w:rPr>
        <w:t>IENDA como actor de la política de vivienda y hábitat</w:t>
      </w:r>
      <w:r w:rsidRPr="00E4401D">
        <w:rPr>
          <w:rFonts w:ascii="Times New Roman" w:hAnsi="Times New Roman" w:cs="Times New Roman"/>
          <w:sz w:val="28"/>
          <w:szCs w:val="28"/>
        </w:rPr>
        <w:t xml:space="preserve"> y le conceden autorizaciones para la constitución de patrimonios autónomos</w:t>
      </w:r>
      <w:r w:rsidRPr="00E4401D">
        <w:rPr>
          <w:rFonts w:ascii="Times New Roman" w:hAnsi="Times New Roman" w:cs="Times New Roman"/>
          <w:sz w:val="28"/>
          <w:szCs w:val="28"/>
        </w:rPr>
        <w:t xml:space="preserve">. </w:t>
      </w:r>
    </w:p>
    <w:p w:rsidR="00D453D8" w:rsidRPr="00E4401D" w:rsidRDefault="00E4401D" w:rsidP="00D453D8">
      <w:pPr>
        <w:pStyle w:val="Prrafodelista"/>
        <w:ind w:left="0"/>
        <w:jc w:val="both"/>
        <w:rPr>
          <w:rFonts w:ascii="Times New Roman" w:hAnsi="Times New Roman" w:cs="Times New Roman"/>
          <w:sz w:val="28"/>
          <w:szCs w:val="28"/>
        </w:rPr>
      </w:pPr>
    </w:p>
    <w:p w:rsidR="00A8085C" w:rsidRPr="00E4401D" w:rsidRDefault="00E4401D" w:rsidP="00A8085C">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En consecuencia, la Corte tiene por demostrado que los senadores no tuvieron conocimiento suficiente del contenido de los pa</w:t>
      </w:r>
      <w:r w:rsidRPr="00E4401D">
        <w:rPr>
          <w:rFonts w:ascii="Times New Roman" w:hAnsi="Times New Roman" w:cs="Times New Roman"/>
          <w:sz w:val="28"/>
          <w:szCs w:val="28"/>
        </w:rPr>
        <w:t>rágrafos 1</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y 2 del artículo 297 de la Ley 2294 de 2023 antes de su debate o votación en la plenaria del Senado de la República. </w:t>
      </w:r>
      <w:r w:rsidRPr="00E4401D">
        <w:rPr>
          <w:rFonts w:ascii="Times New Roman" w:hAnsi="Times New Roman" w:cs="Times New Roman"/>
          <w:sz w:val="28"/>
          <w:szCs w:val="28"/>
          <w:lang w:val="es-ES"/>
        </w:rPr>
        <w:t>La ausencia de un mecanismo que garantizara el conocimiento de los congresistas sobre la proposición afectó el principio de publ</w:t>
      </w:r>
      <w:r w:rsidRPr="00E4401D">
        <w:rPr>
          <w:rFonts w:ascii="Times New Roman" w:hAnsi="Times New Roman" w:cs="Times New Roman"/>
          <w:sz w:val="28"/>
          <w:szCs w:val="28"/>
          <w:lang w:val="es-ES"/>
        </w:rPr>
        <w:t>icidad como presupuesto para el debate y la adopción de una decisión democrática, pues los senadores no pudieron conocer el objeto sobre el que recayó su decisión. </w:t>
      </w:r>
    </w:p>
    <w:p w:rsidR="00A8085C" w:rsidRPr="00E4401D" w:rsidRDefault="00E4401D" w:rsidP="00A8085C">
      <w:pPr>
        <w:rPr>
          <w:rFonts w:ascii="Times New Roman" w:hAnsi="Times New Roman" w:cs="Times New Roman"/>
          <w:sz w:val="28"/>
          <w:szCs w:val="28"/>
        </w:rPr>
      </w:pPr>
    </w:p>
    <w:p w:rsidR="00A8085C" w:rsidRPr="00E4401D" w:rsidRDefault="00E4401D" w:rsidP="00A8085C">
      <w:pPr>
        <w:pStyle w:val="Ttulo4"/>
        <w:jc w:val="both"/>
        <w:rPr>
          <w:rFonts w:ascii="Times New Roman" w:hAnsi="Times New Roman" w:cs="Times New Roman"/>
          <w:b/>
          <w:bCs/>
          <w:i w:val="0"/>
          <w:iCs w:val="0"/>
          <w:color w:val="auto"/>
          <w:sz w:val="28"/>
          <w:szCs w:val="28"/>
        </w:rPr>
      </w:pPr>
      <w:r w:rsidRPr="00E4401D">
        <w:rPr>
          <w:rFonts w:ascii="Times New Roman" w:hAnsi="Times New Roman" w:cs="Times New Roman"/>
          <w:b/>
          <w:bCs/>
          <w:color w:val="auto"/>
          <w:sz w:val="28"/>
          <w:szCs w:val="28"/>
        </w:rPr>
        <w:t>Insubsanabilidad de los vicios en la promulgación de las normas objeto de demanda</w:t>
      </w:r>
    </w:p>
    <w:p w:rsidR="00A8085C" w:rsidRPr="00E4401D" w:rsidRDefault="00E4401D" w:rsidP="00A8085C">
      <w:pPr>
        <w:rPr>
          <w:rFonts w:ascii="Times New Roman" w:hAnsi="Times New Roman" w:cs="Times New Roman"/>
          <w:color w:val="2D2D2D"/>
          <w:sz w:val="28"/>
          <w:szCs w:val="28"/>
          <w:bdr w:val="none" w:sz="0" w:space="0" w:color="auto" w:frame="1"/>
          <w:shd w:val="clear" w:color="auto" w:fill="FFFFFF"/>
        </w:rPr>
      </w:pPr>
    </w:p>
    <w:p w:rsidR="00365B88" w:rsidRPr="00E4401D" w:rsidRDefault="00E4401D" w:rsidP="00365B88">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bdr w:val="none" w:sz="0" w:space="0" w:color="auto" w:frame="1"/>
          <w:shd w:val="clear" w:color="auto" w:fill="FFFFFF"/>
        </w:rPr>
        <w:t xml:space="preserve"> El parágrafo del artículo 241 de la Constitución establece que, al encontrar un vicio de procedimiento subsanable, la Corte debe devolver la norma a la autoridad que la expidió para que corrija el error, tras lo cual decidirá sobre su exequibilidad.</w:t>
      </w:r>
    </w:p>
    <w:p w:rsidR="001270C3" w:rsidRPr="00E4401D" w:rsidRDefault="00E4401D" w:rsidP="001270C3">
      <w:pPr>
        <w:pStyle w:val="Prrafodelista"/>
        <w:ind w:left="0"/>
        <w:jc w:val="both"/>
        <w:rPr>
          <w:rFonts w:ascii="Times New Roman" w:hAnsi="Times New Roman" w:cs="Times New Roman"/>
          <w:sz w:val="28"/>
          <w:szCs w:val="28"/>
        </w:rPr>
      </w:pPr>
    </w:p>
    <w:p w:rsidR="009D7212" w:rsidRPr="00E4401D" w:rsidRDefault="00E4401D" w:rsidP="006628B5">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Para determinar si un vicio es subsanable, la Corte evalúa si se cumplieron las etapas básicas del proceso legislativo, la gravedad del vicio, su impacto en los derechos de las minorías </w:t>
      </w:r>
      <w:r w:rsidRPr="00E4401D">
        <w:rPr>
          <w:rFonts w:ascii="Times New Roman" w:hAnsi="Times New Roman" w:cs="Times New Roman"/>
          <w:sz w:val="28"/>
          <w:szCs w:val="28"/>
        </w:rPr>
        <w:t>en el Congreso de la República</w:t>
      </w:r>
      <w:r w:rsidRPr="00E4401D">
        <w:rPr>
          <w:rFonts w:ascii="Times New Roman" w:hAnsi="Times New Roman" w:cs="Times New Roman"/>
          <w:sz w:val="28"/>
          <w:szCs w:val="28"/>
        </w:rPr>
        <w:t xml:space="preserve"> y el tipo de ley involucrada.</w:t>
      </w:r>
      <w:r w:rsidRPr="00E4401D">
        <w:rPr>
          <w:rStyle w:val="Refdenotaalpie"/>
          <w:rFonts w:ascii="Times New Roman" w:hAnsi="Times New Roman" w:cs="Times New Roman"/>
          <w:sz w:val="28"/>
          <w:szCs w:val="28"/>
        </w:rPr>
        <w:footnoteReference w:id="83"/>
      </w:r>
      <w:r w:rsidRPr="00E4401D">
        <w:rPr>
          <w:rFonts w:ascii="Times New Roman" w:hAnsi="Times New Roman" w:cs="Times New Roman"/>
          <w:sz w:val="28"/>
          <w:szCs w:val="28"/>
        </w:rPr>
        <w:t xml:space="preserve"> En leyes</w:t>
      </w:r>
      <w:r w:rsidRPr="00E4401D">
        <w:rPr>
          <w:rFonts w:ascii="Times New Roman" w:hAnsi="Times New Roman" w:cs="Times New Roman"/>
          <w:sz w:val="28"/>
          <w:szCs w:val="28"/>
        </w:rPr>
        <w:t xml:space="preserve"> aprobatorias del </w:t>
      </w:r>
      <w:r w:rsidRPr="00E4401D">
        <w:rPr>
          <w:rFonts w:ascii="Times New Roman" w:hAnsi="Times New Roman" w:cs="Times New Roman"/>
          <w:sz w:val="28"/>
          <w:szCs w:val="28"/>
        </w:rPr>
        <w:t>P</w:t>
      </w:r>
      <w:r w:rsidRPr="00E4401D">
        <w:rPr>
          <w:rFonts w:ascii="Times New Roman" w:hAnsi="Times New Roman" w:cs="Times New Roman"/>
          <w:sz w:val="28"/>
          <w:szCs w:val="28"/>
        </w:rPr>
        <w:t xml:space="preserve">lan </w:t>
      </w:r>
      <w:r w:rsidRPr="00E4401D">
        <w:rPr>
          <w:rFonts w:ascii="Times New Roman" w:hAnsi="Times New Roman" w:cs="Times New Roman"/>
          <w:sz w:val="28"/>
          <w:szCs w:val="28"/>
        </w:rPr>
        <w:t>N</w:t>
      </w:r>
      <w:r w:rsidRPr="00E4401D">
        <w:rPr>
          <w:rFonts w:ascii="Times New Roman" w:hAnsi="Times New Roman" w:cs="Times New Roman"/>
          <w:sz w:val="28"/>
          <w:szCs w:val="28"/>
        </w:rPr>
        <w:t xml:space="preserve">acional de </w:t>
      </w:r>
      <w:r w:rsidRPr="00E4401D">
        <w:rPr>
          <w:rFonts w:ascii="Times New Roman" w:hAnsi="Times New Roman" w:cs="Times New Roman"/>
          <w:sz w:val="28"/>
          <w:szCs w:val="28"/>
        </w:rPr>
        <w:t>I</w:t>
      </w:r>
      <w:r w:rsidRPr="00E4401D">
        <w:rPr>
          <w:rFonts w:ascii="Times New Roman" w:hAnsi="Times New Roman" w:cs="Times New Roman"/>
          <w:sz w:val="28"/>
          <w:szCs w:val="28"/>
        </w:rPr>
        <w:t xml:space="preserve">nversiones y </w:t>
      </w:r>
      <w:r w:rsidRPr="00E4401D">
        <w:rPr>
          <w:rFonts w:ascii="Times New Roman" w:hAnsi="Times New Roman" w:cs="Times New Roman"/>
          <w:sz w:val="28"/>
          <w:szCs w:val="28"/>
        </w:rPr>
        <w:t>P</w:t>
      </w:r>
      <w:r w:rsidRPr="00E4401D">
        <w:rPr>
          <w:rFonts w:ascii="Times New Roman" w:hAnsi="Times New Roman" w:cs="Times New Roman"/>
          <w:sz w:val="28"/>
          <w:szCs w:val="28"/>
        </w:rPr>
        <w:t xml:space="preserve">lan </w:t>
      </w:r>
      <w:r w:rsidRPr="00E4401D">
        <w:rPr>
          <w:rFonts w:ascii="Times New Roman" w:hAnsi="Times New Roman" w:cs="Times New Roman"/>
          <w:sz w:val="28"/>
          <w:szCs w:val="28"/>
        </w:rPr>
        <w:t>N</w:t>
      </w:r>
      <w:r w:rsidRPr="00E4401D">
        <w:rPr>
          <w:rFonts w:ascii="Times New Roman" w:hAnsi="Times New Roman" w:cs="Times New Roman"/>
          <w:sz w:val="28"/>
          <w:szCs w:val="28"/>
        </w:rPr>
        <w:t xml:space="preserve">acional de </w:t>
      </w:r>
      <w:r w:rsidRPr="00E4401D">
        <w:rPr>
          <w:rFonts w:ascii="Times New Roman" w:hAnsi="Times New Roman" w:cs="Times New Roman"/>
          <w:sz w:val="28"/>
          <w:szCs w:val="28"/>
        </w:rPr>
        <w:t>D</w:t>
      </w:r>
      <w:r w:rsidRPr="00E4401D">
        <w:rPr>
          <w:rFonts w:ascii="Times New Roman" w:hAnsi="Times New Roman" w:cs="Times New Roman"/>
          <w:sz w:val="28"/>
          <w:szCs w:val="28"/>
        </w:rPr>
        <w:t>esarrollo</w:t>
      </w:r>
      <w:r w:rsidRPr="00E4401D">
        <w:rPr>
          <w:rFonts w:ascii="Times New Roman" w:hAnsi="Times New Roman" w:cs="Times New Roman"/>
          <w:sz w:val="28"/>
          <w:szCs w:val="28"/>
        </w:rPr>
        <w:t>, la posibilidad de subsanación exige que el vicio sea corregible, que existan razones extraordinarias para su saneamiento y que no se afecten principios como el democrático o la s</w:t>
      </w:r>
      <w:r w:rsidRPr="00E4401D">
        <w:rPr>
          <w:rFonts w:ascii="Times New Roman" w:hAnsi="Times New Roman" w:cs="Times New Roman"/>
          <w:sz w:val="28"/>
          <w:szCs w:val="28"/>
        </w:rPr>
        <w:t>upremacía constitucional.</w:t>
      </w:r>
      <w:r w:rsidRPr="00E4401D">
        <w:rPr>
          <w:rStyle w:val="Refdenotaalpie"/>
          <w:rFonts w:ascii="Times New Roman" w:hAnsi="Times New Roman" w:cs="Times New Roman"/>
          <w:sz w:val="28"/>
          <w:szCs w:val="28"/>
        </w:rPr>
        <w:footnoteReference w:id="84"/>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 xml:space="preserve">Para </w:t>
      </w:r>
      <w:r w:rsidRPr="00E4401D">
        <w:rPr>
          <w:rFonts w:ascii="Times New Roman" w:hAnsi="Times New Roman" w:cs="Times New Roman"/>
          <w:sz w:val="28"/>
          <w:szCs w:val="28"/>
        </w:rPr>
        <w:t>la Corte los vicios insubsanables son aquellos que, aun corregidos, implican la omisión de etapas esenciales del procedimiento legislativo, el desconocimiento absoluto de requisitos formales, o que requieran rehacer el proce</w:t>
      </w:r>
      <w:r w:rsidRPr="00E4401D">
        <w:rPr>
          <w:rFonts w:ascii="Times New Roman" w:hAnsi="Times New Roman" w:cs="Times New Roman"/>
          <w:sz w:val="28"/>
          <w:szCs w:val="28"/>
        </w:rPr>
        <w:t>so legislativo o modificar el objeto del proyecto de ley.</w:t>
      </w:r>
    </w:p>
    <w:p w:rsidR="006628B5" w:rsidRPr="00E4401D" w:rsidRDefault="00E4401D" w:rsidP="006628B5">
      <w:pPr>
        <w:pStyle w:val="Prrafodelista"/>
        <w:rPr>
          <w:rFonts w:ascii="Times New Roman" w:hAnsi="Times New Roman" w:cs="Times New Roman"/>
          <w:sz w:val="28"/>
          <w:szCs w:val="28"/>
        </w:rPr>
      </w:pPr>
    </w:p>
    <w:p w:rsidR="006628B5" w:rsidRPr="00E4401D" w:rsidRDefault="00E4401D" w:rsidP="006628B5">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 xml:space="preserve">Para el caso </w:t>
      </w:r>
      <w:r w:rsidRPr="00E4401D">
        <w:rPr>
          <w:rFonts w:ascii="Times New Roman" w:hAnsi="Times New Roman" w:cs="Times New Roman"/>
          <w:i/>
          <w:iCs/>
          <w:sz w:val="28"/>
          <w:szCs w:val="28"/>
        </w:rPr>
        <w:t>sub judice</w:t>
      </w:r>
      <w:r w:rsidRPr="00E4401D">
        <w:rPr>
          <w:rFonts w:ascii="Times New Roman" w:hAnsi="Times New Roman" w:cs="Times New Roman"/>
          <w:sz w:val="28"/>
          <w:szCs w:val="28"/>
        </w:rPr>
        <w:t xml:space="preserve">, la Sala considera </w:t>
      </w:r>
      <w:r w:rsidRPr="00E4401D">
        <w:rPr>
          <w:rFonts w:ascii="Times New Roman" w:hAnsi="Times New Roman" w:cs="Times New Roman"/>
          <w:sz w:val="28"/>
          <w:szCs w:val="28"/>
        </w:rPr>
        <w:t xml:space="preserve">que los vicios encontrados </w:t>
      </w:r>
      <w:r w:rsidRPr="00E4401D">
        <w:rPr>
          <w:rFonts w:ascii="Times New Roman" w:hAnsi="Times New Roman" w:cs="Times New Roman"/>
          <w:sz w:val="28"/>
          <w:szCs w:val="28"/>
        </w:rPr>
        <w:t>relativos a la falta de publicidad afectaron el principio democrático y la supremacía constitucional</w:t>
      </w:r>
      <w:r w:rsidRPr="00E4401D">
        <w:rPr>
          <w:rFonts w:ascii="Times New Roman" w:hAnsi="Times New Roman" w:cs="Times New Roman"/>
          <w:sz w:val="28"/>
          <w:szCs w:val="28"/>
        </w:rPr>
        <w:t>, toda vez que implicaron l</w:t>
      </w:r>
      <w:r w:rsidRPr="00E4401D">
        <w:rPr>
          <w:rFonts w:ascii="Times New Roman" w:hAnsi="Times New Roman" w:cs="Times New Roman"/>
          <w:sz w:val="28"/>
          <w:szCs w:val="28"/>
        </w:rPr>
        <w:t xml:space="preserve">a elusión del debate </w:t>
      </w:r>
      <w:r w:rsidRPr="00E4401D">
        <w:rPr>
          <w:rFonts w:ascii="Times New Roman" w:hAnsi="Times New Roman" w:cs="Times New Roman"/>
          <w:sz w:val="28"/>
          <w:szCs w:val="28"/>
        </w:rPr>
        <w:t xml:space="preserve">de esas proposiciones en la sesión plenaria del Senado de la </w:t>
      </w:r>
      <w:r w:rsidRPr="00E4401D">
        <w:rPr>
          <w:rFonts w:ascii="Times New Roman" w:hAnsi="Times New Roman" w:cs="Times New Roman"/>
          <w:sz w:val="28"/>
          <w:szCs w:val="28"/>
        </w:rPr>
        <w:t>República</w:t>
      </w:r>
      <w:r w:rsidRPr="00E4401D">
        <w:rPr>
          <w:rFonts w:ascii="Times New Roman" w:hAnsi="Times New Roman" w:cs="Times New Roman"/>
          <w:sz w:val="28"/>
          <w:szCs w:val="28"/>
        </w:rPr>
        <w:t>.</w:t>
      </w:r>
      <w:r w:rsidRPr="00E4401D">
        <w:rPr>
          <w:rFonts w:ascii="Times New Roman" w:hAnsi="Times New Roman" w:cs="Times New Roman"/>
          <w:sz w:val="28"/>
          <w:szCs w:val="28"/>
        </w:rPr>
        <w:t xml:space="preserve"> Devolver la ley al Congreso para corregir los errores implicaría retrotraer el proceso legislativo hasta esa etapa y rehacer el debate respecto de las proposiciones objeto de análisis</w:t>
      </w:r>
      <w:r w:rsidRPr="00E4401D">
        <w:rPr>
          <w:rFonts w:ascii="Times New Roman" w:hAnsi="Times New Roman" w:cs="Times New Roman"/>
          <w:sz w:val="28"/>
          <w:szCs w:val="28"/>
        </w:rPr>
        <w:t xml:space="preserve">. </w:t>
      </w:r>
      <w:r w:rsidRPr="00E4401D">
        <w:rPr>
          <w:rFonts w:ascii="Times New Roman" w:hAnsi="Times New Roman" w:cs="Times New Roman"/>
          <w:sz w:val="28"/>
          <w:szCs w:val="28"/>
        </w:rPr>
        <w:t>Aquello no</w:t>
      </w:r>
      <w:r w:rsidRPr="00E4401D">
        <w:rPr>
          <w:rFonts w:ascii="Times New Roman" w:hAnsi="Times New Roman" w:cs="Times New Roman"/>
          <w:sz w:val="28"/>
          <w:szCs w:val="28"/>
        </w:rPr>
        <w:t xml:space="preserve"> es compatible con la figura de la subsanación, que no prevé</w:t>
      </w:r>
      <w:r w:rsidRPr="00E4401D">
        <w:rPr>
          <w:rFonts w:ascii="Times New Roman" w:hAnsi="Times New Roman" w:cs="Times New Roman"/>
          <w:sz w:val="28"/>
          <w:szCs w:val="28"/>
        </w:rPr>
        <w:t xml:space="preserve"> la repetición de gran parte del trámite. Por tanto, se trata de vicios insubsanables.</w:t>
      </w:r>
    </w:p>
    <w:p w:rsidR="001F198A" w:rsidRPr="00E4401D" w:rsidRDefault="00E4401D" w:rsidP="001F198A">
      <w:pPr>
        <w:pStyle w:val="Prrafodelista"/>
        <w:rPr>
          <w:rFonts w:ascii="Times New Roman" w:hAnsi="Times New Roman" w:cs="Times New Roman"/>
          <w:sz w:val="28"/>
          <w:szCs w:val="28"/>
        </w:rPr>
      </w:pPr>
    </w:p>
    <w:p w:rsidR="00DA376C" w:rsidRPr="00E4401D" w:rsidRDefault="00E4401D" w:rsidP="008A3C27">
      <w:pPr>
        <w:pStyle w:val="Prrafodelista"/>
        <w:numPr>
          <w:ilvl w:val="0"/>
          <w:numId w:val="3"/>
        </w:numPr>
        <w:ind w:left="0" w:firstLine="0"/>
        <w:jc w:val="both"/>
        <w:rPr>
          <w:rFonts w:ascii="Times New Roman" w:hAnsi="Times New Roman" w:cs="Times New Roman"/>
          <w:sz w:val="28"/>
          <w:szCs w:val="28"/>
        </w:rPr>
      </w:pPr>
      <w:r w:rsidRPr="00E4401D">
        <w:rPr>
          <w:rFonts w:ascii="Times New Roman" w:hAnsi="Times New Roman" w:cs="Times New Roman"/>
          <w:sz w:val="28"/>
          <w:szCs w:val="28"/>
        </w:rPr>
        <w:t>Con base en lo anterior, la Corte declarará la inexequibilidad de aquellas disposiciones que presentan un vicio insubsanable en su formación, derivado de la falta de pu</w:t>
      </w:r>
      <w:r w:rsidRPr="00E4401D">
        <w:rPr>
          <w:rFonts w:ascii="Times New Roman" w:hAnsi="Times New Roman" w:cs="Times New Roman"/>
          <w:sz w:val="28"/>
          <w:szCs w:val="28"/>
        </w:rPr>
        <w:t xml:space="preserve">blicidad en el trámite de aprobación de las normas durante el debate en la sesión plenaria del Senado de la República. </w:t>
      </w:r>
    </w:p>
    <w:p w:rsidR="003A2FA4" w:rsidRPr="00E4401D" w:rsidRDefault="00E4401D" w:rsidP="003A2FA4">
      <w:pPr>
        <w:pStyle w:val="Prrafodelista"/>
        <w:rPr>
          <w:rFonts w:ascii="Times New Roman" w:hAnsi="Times New Roman" w:cs="Times New Roman"/>
          <w:sz w:val="28"/>
          <w:szCs w:val="28"/>
        </w:rPr>
      </w:pPr>
    </w:p>
    <w:p w:rsidR="003A2FA4" w:rsidRPr="00E4401D" w:rsidRDefault="00E4401D" w:rsidP="003A2FA4">
      <w:pPr>
        <w:pStyle w:val="Prrafodelista"/>
        <w:ind w:left="0"/>
        <w:jc w:val="both"/>
        <w:rPr>
          <w:rFonts w:ascii="Times New Roman" w:hAnsi="Times New Roman" w:cs="Times New Roman"/>
          <w:sz w:val="28"/>
          <w:szCs w:val="28"/>
        </w:rPr>
      </w:pPr>
    </w:p>
    <w:p w:rsidR="003A2FA4" w:rsidRPr="00E4401D" w:rsidRDefault="00E4401D" w:rsidP="003A2FA4">
      <w:pPr>
        <w:pStyle w:val="Ttulo1"/>
        <w:numPr>
          <w:ilvl w:val="0"/>
          <w:numId w:val="2"/>
        </w:numPr>
        <w:spacing w:before="0"/>
        <w:ind w:left="0" w:firstLine="0"/>
        <w:jc w:val="both"/>
        <w:rPr>
          <w:rFonts w:ascii="Times New Roman" w:eastAsiaTheme="minorHAnsi" w:hAnsi="Times New Roman" w:cs="Times New Roman"/>
          <w:b/>
          <w:bCs/>
          <w:color w:val="auto"/>
          <w:sz w:val="28"/>
          <w:szCs w:val="28"/>
          <w:lang w:val="es-ES" w:eastAsia="en-US"/>
        </w:rPr>
      </w:pPr>
      <w:r w:rsidRPr="00E4401D">
        <w:rPr>
          <w:rFonts w:ascii="Times New Roman" w:eastAsiaTheme="minorHAnsi" w:hAnsi="Times New Roman" w:cs="Times New Roman"/>
          <w:b/>
          <w:bCs/>
          <w:color w:val="auto"/>
          <w:sz w:val="28"/>
          <w:szCs w:val="28"/>
          <w:lang w:val="es-ES" w:eastAsia="en-US"/>
        </w:rPr>
        <w:t>DECISIÓN</w:t>
      </w:r>
    </w:p>
    <w:p w:rsidR="003A2FA4" w:rsidRPr="00E4401D" w:rsidRDefault="00E4401D" w:rsidP="003A2FA4">
      <w:pPr>
        <w:jc w:val="both"/>
        <w:rPr>
          <w:rFonts w:ascii="Times New Roman" w:eastAsiaTheme="minorHAnsi" w:hAnsi="Times New Roman" w:cs="Times New Roman"/>
          <w:sz w:val="28"/>
          <w:szCs w:val="28"/>
          <w:lang w:val="es-ES" w:eastAsia="en-US"/>
        </w:rPr>
      </w:pPr>
    </w:p>
    <w:p w:rsidR="003A2FA4" w:rsidRPr="00E4401D" w:rsidRDefault="00E4401D" w:rsidP="003A2FA4">
      <w:pPr>
        <w:shd w:val="clear" w:color="auto" w:fill="FFFFFF"/>
        <w:jc w:val="both"/>
        <w:rPr>
          <w:rFonts w:ascii="Times New Roman" w:hAnsi="Times New Roman" w:cs="Times New Roman"/>
          <w:sz w:val="28"/>
          <w:szCs w:val="28"/>
        </w:rPr>
      </w:pPr>
      <w:r w:rsidRPr="00E4401D">
        <w:rPr>
          <w:rFonts w:ascii="Times New Roman" w:hAnsi="Times New Roman" w:cs="Times New Roman"/>
          <w:sz w:val="28"/>
          <w:szCs w:val="28"/>
        </w:rPr>
        <w:t>En mérito de lo expuesto, la Sala Plena de la Corte Constitucional, administrando justicia en nombre del pueblo y por mandat</w:t>
      </w:r>
      <w:r w:rsidRPr="00E4401D">
        <w:rPr>
          <w:rFonts w:ascii="Times New Roman" w:hAnsi="Times New Roman" w:cs="Times New Roman"/>
          <w:sz w:val="28"/>
          <w:szCs w:val="28"/>
        </w:rPr>
        <w:t>o de la Constitución,</w:t>
      </w:r>
    </w:p>
    <w:p w:rsidR="003A2FA4" w:rsidRPr="00E4401D" w:rsidRDefault="00E4401D" w:rsidP="003A2FA4">
      <w:pPr>
        <w:rPr>
          <w:rFonts w:ascii="Times New Roman" w:eastAsiaTheme="minorHAnsi" w:hAnsi="Times New Roman" w:cs="Times New Roman"/>
          <w:sz w:val="28"/>
          <w:szCs w:val="28"/>
          <w:lang w:eastAsia="en-US"/>
        </w:rPr>
      </w:pPr>
    </w:p>
    <w:p w:rsidR="003A2FA4" w:rsidRPr="00E4401D" w:rsidRDefault="00E4401D" w:rsidP="003A2FA4">
      <w:pPr>
        <w:rPr>
          <w:rFonts w:ascii="Times New Roman" w:eastAsiaTheme="minorHAnsi" w:hAnsi="Times New Roman" w:cs="Times New Roman"/>
          <w:sz w:val="28"/>
          <w:szCs w:val="28"/>
          <w:lang w:eastAsia="en-US"/>
        </w:rPr>
      </w:pPr>
    </w:p>
    <w:p w:rsidR="003A2FA4" w:rsidRPr="00E4401D" w:rsidRDefault="00E4401D" w:rsidP="003A2FA4">
      <w:pPr>
        <w:pStyle w:val="Ttulo1"/>
        <w:spacing w:before="0"/>
        <w:jc w:val="center"/>
        <w:rPr>
          <w:rFonts w:ascii="Times New Roman" w:eastAsiaTheme="minorHAnsi" w:hAnsi="Times New Roman" w:cs="Times New Roman"/>
          <w:b/>
          <w:bCs/>
          <w:color w:val="auto"/>
          <w:sz w:val="28"/>
          <w:szCs w:val="28"/>
          <w:lang w:val="es-ES" w:eastAsia="en-US"/>
        </w:rPr>
      </w:pPr>
      <w:r w:rsidRPr="00E4401D">
        <w:rPr>
          <w:rFonts w:ascii="Times New Roman" w:eastAsiaTheme="minorHAnsi" w:hAnsi="Times New Roman" w:cs="Times New Roman"/>
          <w:b/>
          <w:bCs/>
          <w:color w:val="auto"/>
          <w:sz w:val="28"/>
          <w:szCs w:val="28"/>
          <w:lang w:val="es-ES" w:eastAsia="en-US"/>
        </w:rPr>
        <w:t>RESUELVE</w:t>
      </w:r>
    </w:p>
    <w:p w:rsidR="003A2FA4" w:rsidRPr="00E4401D" w:rsidRDefault="00E4401D" w:rsidP="003A2FA4">
      <w:pPr>
        <w:pStyle w:val="Prrafodelista"/>
        <w:autoSpaceDE w:val="0"/>
        <w:autoSpaceDN w:val="0"/>
        <w:adjustRightInd w:val="0"/>
        <w:jc w:val="both"/>
        <w:rPr>
          <w:rFonts w:ascii="Times New Roman" w:eastAsiaTheme="minorHAnsi" w:hAnsi="Times New Roman" w:cs="Times New Roman"/>
          <w:sz w:val="28"/>
          <w:szCs w:val="28"/>
          <w:lang w:val="es-ES" w:eastAsia="en-US"/>
        </w:rPr>
      </w:pPr>
    </w:p>
    <w:p w:rsidR="003A2FA4" w:rsidRPr="00E4401D" w:rsidRDefault="00E4401D" w:rsidP="003A2FA4">
      <w:pPr>
        <w:pStyle w:val="Prrafodelista"/>
        <w:autoSpaceDE w:val="0"/>
        <w:autoSpaceDN w:val="0"/>
        <w:adjustRightInd w:val="0"/>
        <w:jc w:val="both"/>
        <w:rPr>
          <w:rFonts w:ascii="Times New Roman" w:eastAsiaTheme="minorHAnsi" w:hAnsi="Times New Roman" w:cs="Times New Roman"/>
          <w:sz w:val="28"/>
          <w:szCs w:val="28"/>
          <w:lang w:val="es-ES" w:eastAsia="en-US"/>
        </w:rPr>
      </w:pPr>
    </w:p>
    <w:p w:rsidR="00780B37" w:rsidRPr="00E4401D" w:rsidRDefault="00E4401D" w:rsidP="00780B37">
      <w:pPr>
        <w:pStyle w:val="Prrafodelista"/>
        <w:autoSpaceDE w:val="0"/>
        <w:autoSpaceDN w:val="0"/>
        <w:adjustRightInd w:val="0"/>
        <w:jc w:val="both"/>
        <w:rPr>
          <w:rFonts w:ascii="Times New Roman" w:eastAsiaTheme="minorHAnsi" w:hAnsi="Times New Roman" w:cs="Times New Roman"/>
          <w:sz w:val="28"/>
          <w:szCs w:val="28"/>
          <w:lang w:val="es-ES" w:eastAsia="en-US"/>
        </w:rPr>
      </w:pPr>
    </w:p>
    <w:p w:rsidR="00F67099" w:rsidRPr="00E4401D" w:rsidRDefault="00E4401D" w:rsidP="00CF6FD4">
      <w:pPr>
        <w:jc w:val="both"/>
        <w:rPr>
          <w:rFonts w:ascii="Times New Roman" w:hAnsi="Times New Roman" w:cs="Times New Roman"/>
          <w:sz w:val="28"/>
          <w:szCs w:val="28"/>
        </w:rPr>
      </w:pPr>
      <w:r w:rsidRPr="00E4401D">
        <w:rPr>
          <w:rFonts w:ascii="Times New Roman" w:eastAsiaTheme="minorHAnsi" w:hAnsi="Times New Roman" w:cs="Times New Roman"/>
          <w:b/>
          <w:bCs/>
          <w:sz w:val="28"/>
          <w:szCs w:val="28"/>
          <w:lang w:val="es-ES" w:eastAsia="en-US"/>
        </w:rPr>
        <w:t>PRIMERO</w:t>
      </w:r>
      <w:r w:rsidRPr="00E4401D">
        <w:rPr>
          <w:rFonts w:ascii="Times New Roman" w:eastAsiaTheme="minorHAnsi" w:hAnsi="Times New Roman" w:cs="Times New Roman"/>
          <w:b/>
          <w:bCs/>
          <w:sz w:val="28"/>
          <w:szCs w:val="28"/>
          <w:lang w:val="es-ES" w:eastAsia="en-US"/>
        </w:rPr>
        <w:t>.-</w:t>
      </w:r>
      <w:r w:rsidRPr="00E4401D">
        <w:rPr>
          <w:rFonts w:ascii="Times New Roman" w:eastAsiaTheme="minorHAnsi" w:hAnsi="Times New Roman" w:cs="Times New Roman"/>
          <w:sz w:val="28"/>
          <w:szCs w:val="28"/>
          <w:lang w:val="es-ES" w:eastAsia="en-US"/>
        </w:rPr>
        <w:t xml:space="preserve"> </w:t>
      </w:r>
      <w:r w:rsidRPr="00E4401D">
        <w:rPr>
          <w:rFonts w:ascii="Times New Roman" w:eastAsiaTheme="minorHAnsi" w:hAnsi="Times New Roman" w:cs="Times New Roman"/>
          <w:b/>
          <w:bCs/>
          <w:sz w:val="28"/>
          <w:szCs w:val="28"/>
          <w:lang w:val="es-ES" w:eastAsia="en-US"/>
        </w:rPr>
        <w:t xml:space="preserve">ESTARSE A LO RESUELTO </w:t>
      </w:r>
      <w:r w:rsidRPr="00E4401D">
        <w:rPr>
          <w:rFonts w:ascii="Times New Roman" w:eastAsiaTheme="minorHAnsi" w:hAnsi="Times New Roman" w:cs="Times New Roman"/>
          <w:sz w:val="28"/>
          <w:szCs w:val="28"/>
          <w:lang w:val="es-ES" w:eastAsia="en-US"/>
        </w:rPr>
        <w:t>en la Sentencia C-</w:t>
      </w:r>
      <w:r w:rsidRPr="00E4401D">
        <w:rPr>
          <w:rFonts w:ascii="Times New Roman" w:eastAsiaTheme="minorHAnsi" w:hAnsi="Times New Roman" w:cs="Times New Roman"/>
          <w:sz w:val="28"/>
          <w:szCs w:val="28"/>
          <w:lang w:val="es-ES" w:eastAsia="en-US"/>
        </w:rPr>
        <w:t>2</w:t>
      </w:r>
      <w:r w:rsidRPr="00E4401D">
        <w:rPr>
          <w:rFonts w:ascii="Times New Roman" w:eastAsiaTheme="minorHAnsi" w:hAnsi="Times New Roman" w:cs="Times New Roman"/>
          <w:sz w:val="28"/>
          <w:szCs w:val="28"/>
          <w:lang w:val="es-ES" w:eastAsia="en-US"/>
        </w:rPr>
        <w:t>9</w:t>
      </w:r>
      <w:r w:rsidRPr="00E4401D">
        <w:rPr>
          <w:rFonts w:ascii="Times New Roman" w:eastAsiaTheme="minorHAnsi" w:hAnsi="Times New Roman" w:cs="Times New Roman"/>
          <w:sz w:val="28"/>
          <w:szCs w:val="28"/>
          <w:lang w:val="es-ES" w:eastAsia="en-US"/>
        </w:rPr>
        <w:t>4</w:t>
      </w:r>
      <w:r w:rsidRPr="00E4401D">
        <w:rPr>
          <w:rFonts w:ascii="Times New Roman" w:eastAsiaTheme="minorHAnsi" w:hAnsi="Times New Roman" w:cs="Times New Roman"/>
          <w:sz w:val="28"/>
          <w:szCs w:val="28"/>
          <w:lang w:val="es-ES" w:eastAsia="en-US"/>
        </w:rPr>
        <w:t xml:space="preserve"> de 202</w:t>
      </w:r>
      <w:r w:rsidRPr="00E4401D">
        <w:rPr>
          <w:rFonts w:ascii="Times New Roman" w:eastAsiaTheme="minorHAnsi" w:hAnsi="Times New Roman" w:cs="Times New Roman"/>
          <w:sz w:val="28"/>
          <w:szCs w:val="28"/>
          <w:lang w:val="es-ES" w:eastAsia="en-US"/>
        </w:rPr>
        <w:t>4</w:t>
      </w:r>
      <w:r w:rsidRPr="00E4401D">
        <w:rPr>
          <w:rFonts w:ascii="Times New Roman" w:eastAsiaTheme="minorHAnsi" w:hAnsi="Times New Roman" w:cs="Times New Roman"/>
          <w:sz w:val="28"/>
          <w:szCs w:val="28"/>
          <w:lang w:val="es-ES" w:eastAsia="en-US"/>
        </w:rPr>
        <w:t>, que declaró “</w:t>
      </w:r>
      <w:r w:rsidRPr="00E4401D">
        <w:rPr>
          <w:rFonts w:ascii="Times New Roman" w:hAnsi="Times New Roman" w:cs="Times New Roman"/>
          <w:b/>
          <w:bCs/>
          <w:i/>
          <w:iCs/>
          <w:sz w:val="28"/>
          <w:szCs w:val="28"/>
        </w:rPr>
        <w:t>INEXEQUIBLES</w:t>
      </w:r>
      <w:r w:rsidRPr="00E4401D">
        <w:rPr>
          <w:rFonts w:ascii="Times New Roman" w:hAnsi="Times New Roman" w:cs="Times New Roman"/>
          <w:i/>
          <w:iCs/>
          <w:sz w:val="28"/>
          <w:szCs w:val="28"/>
        </w:rPr>
        <w:t xml:space="preserve"> el </w:t>
      </w:r>
      <w:r w:rsidRPr="00E4401D">
        <w:rPr>
          <w:rFonts w:ascii="Times New Roman" w:hAnsi="Times New Roman" w:cs="Times New Roman"/>
          <w:bCs/>
          <w:i/>
          <w:iCs/>
          <w:sz w:val="28"/>
          <w:szCs w:val="28"/>
        </w:rPr>
        <w:t xml:space="preserve">numeral 6° y el parágrafo 3° del artículo 61 de la Ley 2294 de 2023, </w:t>
      </w:r>
      <w:r w:rsidRPr="00E4401D">
        <w:rPr>
          <w:rFonts w:ascii="Times New Roman" w:hAnsi="Times New Roman" w:cs="Times New Roman"/>
          <w:i/>
          <w:iCs/>
          <w:sz w:val="28"/>
          <w:szCs w:val="28"/>
        </w:rPr>
        <w:t>“[p]or</w:t>
      </w:r>
      <w:r w:rsidRPr="00E4401D">
        <w:rPr>
          <w:rFonts w:ascii="Times New Roman" w:hAnsi="Times New Roman" w:cs="Times New Roman"/>
          <w:i/>
          <w:iCs/>
          <w:sz w:val="28"/>
          <w:szCs w:val="28"/>
        </w:rPr>
        <w:t xml:space="preserve"> [la] cual se expide el Plan Nacional de Desarrollo 2022-2026 ‘Colombia Potencia Mundial de la Vida’”.</w:t>
      </w:r>
      <w:r w:rsidRPr="00E4401D">
        <w:rPr>
          <w:rFonts w:ascii="Times New Roman" w:hAnsi="Times New Roman" w:cs="Times New Roman"/>
          <w:sz w:val="28"/>
          <w:szCs w:val="28"/>
        </w:rPr>
        <w:t>”</w:t>
      </w:r>
    </w:p>
    <w:p w:rsidR="00436FF6" w:rsidRPr="00E4401D" w:rsidRDefault="00E4401D" w:rsidP="003A2FA4">
      <w:pPr>
        <w:autoSpaceDE w:val="0"/>
        <w:autoSpaceDN w:val="0"/>
        <w:adjustRightInd w:val="0"/>
        <w:jc w:val="both"/>
        <w:rPr>
          <w:rFonts w:ascii="Times New Roman" w:eastAsiaTheme="minorHAnsi" w:hAnsi="Times New Roman" w:cs="Times New Roman"/>
          <w:sz w:val="28"/>
          <w:szCs w:val="28"/>
          <w:lang w:val="es-ES" w:eastAsia="en-US"/>
        </w:rPr>
      </w:pPr>
    </w:p>
    <w:p w:rsidR="006316DE" w:rsidRPr="00E4401D" w:rsidRDefault="00E4401D" w:rsidP="006316DE">
      <w:pPr>
        <w:autoSpaceDE w:val="0"/>
        <w:autoSpaceDN w:val="0"/>
        <w:adjustRightInd w:val="0"/>
        <w:jc w:val="both"/>
        <w:rPr>
          <w:rFonts w:ascii="Times New Roman" w:eastAsiaTheme="minorHAnsi" w:hAnsi="Times New Roman" w:cs="Times New Roman"/>
          <w:sz w:val="28"/>
          <w:szCs w:val="28"/>
          <w:lang w:eastAsia="en-US"/>
        </w:rPr>
      </w:pPr>
      <w:r w:rsidRPr="00E4401D">
        <w:rPr>
          <w:rFonts w:ascii="Times New Roman" w:eastAsiaTheme="minorHAnsi" w:hAnsi="Times New Roman" w:cs="Times New Roman"/>
          <w:b/>
          <w:bCs/>
          <w:sz w:val="28"/>
          <w:szCs w:val="28"/>
          <w:lang w:val="es-ES" w:eastAsia="en-US"/>
        </w:rPr>
        <w:t>SEGUNDO.-</w:t>
      </w:r>
      <w:r w:rsidRPr="00E4401D">
        <w:rPr>
          <w:rFonts w:ascii="Times New Roman" w:eastAsiaTheme="minorHAnsi" w:hAnsi="Times New Roman" w:cs="Times New Roman"/>
          <w:sz w:val="28"/>
          <w:szCs w:val="28"/>
          <w:lang w:val="es-ES" w:eastAsia="en-US"/>
        </w:rPr>
        <w:t xml:space="preserve"> Declarar </w:t>
      </w:r>
      <w:r w:rsidRPr="00E4401D">
        <w:rPr>
          <w:rFonts w:ascii="Times New Roman" w:eastAsiaTheme="minorHAnsi" w:hAnsi="Times New Roman" w:cs="Times New Roman"/>
          <w:b/>
          <w:bCs/>
          <w:sz w:val="28"/>
          <w:szCs w:val="28"/>
          <w:lang w:val="es-ES" w:eastAsia="en-US"/>
        </w:rPr>
        <w:t xml:space="preserve">INEXEQUIBLE </w:t>
      </w:r>
      <w:r w:rsidRPr="00E4401D">
        <w:rPr>
          <w:rFonts w:ascii="Times New Roman" w:eastAsiaTheme="minorHAnsi" w:hAnsi="Times New Roman" w:cs="Times New Roman"/>
          <w:sz w:val="28"/>
          <w:szCs w:val="28"/>
          <w:lang w:val="es-ES" w:eastAsia="en-US"/>
        </w:rPr>
        <w:t xml:space="preserve">la expresión </w:t>
      </w:r>
      <w:r w:rsidRPr="00E4401D">
        <w:rPr>
          <w:rFonts w:ascii="Times New Roman" w:eastAsiaTheme="minorHAnsi" w:hAnsi="Times New Roman" w:cs="Times New Roman"/>
          <w:iCs/>
          <w:sz w:val="28"/>
          <w:szCs w:val="28"/>
          <w:lang w:eastAsia="en-US"/>
        </w:rPr>
        <w:t>“</w:t>
      </w:r>
      <w:r w:rsidRPr="00E4401D">
        <w:rPr>
          <w:rFonts w:ascii="Times New Roman" w:eastAsiaTheme="minorHAnsi" w:hAnsi="Times New Roman" w:cs="Times New Roman"/>
          <w:i/>
          <w:sz w:val="28"/>
          <w:szCs w:val="28"/>
          <w:u w:val="single"/>
          <w:lang w:eastAsia="en-US"/>
        </w:rPr>
        <w:t>veintinueve (29,265) billones de pesos, que incluye todos los recursos del Presupuesto General de la Nació</w:t>
      </w:r>
      <w:r w:rsidRPr="00E4401D">
        <w:rPr>
          <w:rFonts w:ascii="Times New Roman" w:eastAsiaTheme="minorHAnsi" w:hAnsi="Times New Roman" w:cs="Times New Roman"/>
          <w:i/>
          <w:sz w:val="28"/>
          <w:szCs w:val="28"/>
          <w:u w:val="single"/>
          <w:lang w:eastAsia="en-US"/>
        </w:rPr>
        <w:t>n, el Sistema General de Participaciones y el Sistema General de Regalías, de los cuales cinco, nueve</w:t>
      </w:r>
      <w:r w:rsidRPr="00E4401D">
        <w:rPr>
          <w:rFonts w:ascii="Times New Roman" w:eastAsiaTheme="minorHAnsi" w:hAnsi="Times New Roman" w:cs="Times New Roman"/>
          <w:sz w:val="28"/>
          <w:szCs w:val="28"/>
          <w:lang w:eastAsia="en-US"/>
        </w:rPr>
        <w:t>”</w:t>
      </w:r>
      <w:r w:rsidRPr="00E4401D">
        <w:rPr>
          <w:rFonts w:ascii="Times New Roman" w:eastAsiaTheme="minorHAnsi" w:hAnsi="Times New Roman" w:cs="Times New Roman"/>
          <w:i/>
          <w:iCs/>
          <w:sz w:val="28"/>
          <w:szCs w:val="28"/>
          <w:lang w:eastAsia="en-US"/>
        </w:rPr>
        <w:t xml:space="preserve"> </w:t>
      </w:r>
      <w:r w:rsidRPr="00E4401D">
        <w:rPr>
          <w:rFonts w:ascii="Times New Roman" w:eastAsiaTheme="minorHAnsi" w:hAnsi="Times New Roman" w:cs="Times New Roman"/>
          <w:sz w:val="28"/>
          <w:szCs w:val="28"/>
          <w:lang w:eastAsia="en-US"/>
        </w:rPr>
        <w:t xml:space="preserve">incluida en el parágrafo tercero del artículo 5 de </w:t>
      </w:r>
      <w:r w:rsidRPr="00E4401D">
        <w:rPr>
          <w:rFonts w:ascii="Times New Roman" w:eastAsiaTheme="minorHAnsi" w:hAnsi="Times New Roman" w:cs="Times New Roman"/>
          <w:sz w:val="28"/>
          <w:szCs w:val="28"/>
          <w:lang w:val="es-ES" w:eastAsia="en-US"/>
        </w:rPr>
        <w:t>la Ley 2294 de 2023 “</w:t>
      </w:r>
      <w:r w:rsidRPr="00E4401D">
        <w:rPr>
          <w:rFonts w:ascii="Times New Roman" w:eastAsiaTheme="minorHAnsi" w:hAnsi="Times New Roman" w:cs="Times New Roman"/>
          <w:i/>
          <w:iCs/>
          <w:sz w:val="28"/>
          <w:szCs w:val="28"/>
          <w:lang w:val="es-ES" w:eastAsia="en-US"/>
        </w:rPr>
        <w:t>por el cual se expide el Plan Nacional de Desarrollo 2022-2026 “Colombia Potencia</w:t>
      </w:r>
      <w:r w:rsidRPr="00E4401D">
        <w:rPr>
          <w:rFonts w:ascii="Times New Roman" w:eastAsiaTheme="minorHAnsi" w:hAnsi="Times New Roman" w:cs="Times New Roman"/>
          <w:i/>
          <w:iCs/>
          <w:sz w:val="28"/>
          <w:szCs w:val="28"/>
          <w:lang w:val="es-ES" w:eastAsia="en-US"/>
        </w:rPr>
        <w:t xml:space="preserve"> Mundial de la Vida”.</w:t>
      </w:r>
      <w:r w:rsidRPr="00E4401D">
        <w:rPr>
          <w:rFonts w:ascii="Times New Roman" w:eastAsiaTheme="minorHAnsi" w:hAnsi="Times New Roman" w:cs="Times New Roman"/>
          <w:sz w:val="28"/>
          <w:szCs w:val="28"/>
          <w:lang w:val="es-ES" w:eastAsia="en-US"/>
        </w:rPr>
        <w:t xml:space="preserve">” por la violación del principio de publicidad previsto en el artículo 157 de la Constitución Política, y </w:t>
      </w:r>
      <w:r w:rsidRPr="00E4401D">
        <w:rPr>
          <w:rFonts w:ascii="Times New Roman" w:eastAsiaTheme="minorHAnsi" w:hAnsi="Times New Roman" w:cs="Times New Roman"/>
          <w:b/>
          <w:bCs/>
          <w:sz w:val="28"/>
          <w:szCs w:val="28"/>
          <w:lang w:val="es-ES" w:eastAsia="en-US"/>
        </w:rPr>
        <w:t>SUSTITUIRLA</w:t>
      </w:r>
      <w:r w:rsidRPr="00E4401D">
        <w:rPr>
          <w:rFonts w:ascii="Times New Roman" w:eastAsiaTheme="minorHAnsi" w:hAnsi="Times New Roman" w:cs="Times New Roman"/>
          <w:sz w:val="28"/>
          <w:szCs w:val="28"/>
          <w:lang w:val="es-ES" w:eastAsia="en-US"/>
        </w:rPr>
        <w:t xml:space="preserve"> por la expresión “por un monto de cinco coma nueve (5,9) billones que corresponden”. En consecuencia, el parágrafo me</w:t>
      </w:r>
      <w:r w:rsidRPr="00E4401D">
        <w:rPr>
          <w:rFonts w:ascii="Times New Roman" w:eastAsiaTheme="minorHAnsi" w:hAnsi="Times New Roman" w:cs="Times New Roman"/>
          <w:sz w:val="28"/>
          <w:szCs w:val="28"/>
          <w:lang w:val="es-ES" w:eastAsia="en-US"/>
        </w:rPr>
        <w:t>ncionado tendrá la siguiente redacción:</w:t>
      </w:r>
    </w:p>
    <w:p w:rsidR="006316DE" w:rsidRPr="00E4401D" w:rsidRDefault="00E4401D" w:rsidP="006316DE">
      <w:pPr>
        <w:autoSpaceDE w:val="0"/>
        <w:autoSpaceDN w:val="0"/>
        <w:adjustRightInd w:val="0"/>
        <w:jc w:val="both"/>
        <w:rPr>
          <w:rFonts w:ascii="Times New Roman" w:eastAsiaTheme="minorHAnsi" w:hAnsi="Times New Roman" w:cs="Times New Roman"/>
          <w:sz w:val="28"/>
          <w:szCs w:val="28"/>
          <w:lang w:eastAsia="en-US"/>
        </w:rPr>
      </w:pPr>
    </w:p>
    <w:p w:rsidR="006316DE" w:rsidRPr="00E4401D" w:rsidRDefault="00E4401D" w:rsidP="006316DE">
      <w:pPr>
        <w:autoSpaceDE w:val="0"/>
        <w:autoSpaceDN w:val="0"/>
        <w:adjustRightInd w:val="0"/>
        <w:ind w:left="907"/>
        <w:jc w:val="both"/>
        <w:rPr>
          <w:rFonts w:ascii="Times New Roman" w:eastAsiaTheme="minorHAnsi" w:hAnsi="Times New Roman" w:cs="Times New Roman"/>
          <w:sz w:val="28"/>
          <w:szCs w:val="28"/>
          <w:lang w:val="es-ES" w:eastAsia="en-US"/>
        </w:rPr>
      </w:pPr>
      <w:r w:rsidRPr="00E4401D">
        <w:rPr>
          <w:rFonts w:ascii="Times New Roman" w:eastAsiaTheme="minorHAnsi" w:hAnsi="Times New Roman" w:cs="Times New Roman"/>
          <w:sz w:val="28"/>
          <w:szCs w:val="28"/>
          <w:lang w:val="es-ES" w:eastAsia="en-US"/>
        </w:rPr>
        <w:t>“Como parte integral del Plan Plurianual de Inversiones se incluye una proyección indicativa para las comunidades Negras, Afrocolombianas, Raizales y Palanqueras por un monto de cinco coma</w:t>
      </w:r>
      <w:r w:rsidRPr="00E4401D">
        <w:rPr>
          <w:rFonts w:ascii="Times New Roman" w:eastAsiaTheme="minorHAnsi" w:hAnsi="Times New Roman" w:cs="Times New Roman"/>
          <w:sz w:val="28"/>
          <w:szCs w:val="28"/>
          <w:lang w:val="es-ES" w:eastAsia="en-US"/>
        </w:rPr>
        <w:t xml:space="preserve"> nueve (5,9) billones que corresponden a la proyección indicativa de los recursos del Presupuesto General de la Nación para el cumplimiento de los acuerdos de la consulta previa con estas comunidades étnicas. Estos recursos se proyectan respetando el Marco</w:t>
      </w:r>
      <w:r w:rsidRPr="00E4401D">
        <w:rPr>
          <w:rFonts w:ascii="Times New Roman" w:eastAsiaTheme="minorHAnsi" w:hAnsi="Times New Roman" w:cs="Times New Roman"/>
          <w:sz w:val="28"/>
          <w:szCs w:val="28"/>
          <w:lang w:val="es-ES" w:eastAsia="en-US"/>
        </w:rPr>
        <w:t xml:space="preserve"> de Gasto de Mediano Plazo y el Marco Fiscal de Mediano Plazo”. </w:t>
      </w:r>
    </w:p>
    <w:p w:rsidR="006316DE" w:rsidRPr="00E4401D" w:rsidRDefault="00E4401D" w:rsidP="003A2FA4">
      <w:pPr>
        <w:autoSpaceDE w:val="0"/>
        <w:autoSpaceDN w:val="0"/>
        <w:adjustRightInd w:val="0"/>
        <w:jc w:val="both"/>
        <w:rPr>
          <w:rFonts w:ascii="Times New Roman" w:eastAsiaTheme="minorHAnsi" w:hAnsi="Times New Roman" w:cs="Times New Roman"/>
          <w:sz w:val="28"/>
          <w:szCs w:val="28"/>
          <w:lang w:val="es-ES" w:eastAsia="en-US"/>
        </w:rPr>
      </w:pPr>
    </w:p>
    <w:p w:rsidR="003C768C" w:rsidRPr="00E4401D" w:rsidRDefault="00E4401D" w:rsidP="003C768C">
      <w:pPr>
        <w:autoSpaceDE w:val="0"/>
        <w:autoSpaceDN w:val="0"/>
        <w:adjustRightInd w:val="0"/>
        <w:jc w:val="both"/>
        <w:rPr>
          <w:rFonts w:ascii="Times New Roman" w:eastAsiaTheme="minorHAnsi" w:hAnsi="Times New Roman" w:cs="Times New Roman"/>
          <w:sz w:val="28"/>
          <w:szCs w:val="28"/>
          <w:lang w:val="es-ES" w:eastAsia="en-US"/>
        </w:rPr>
      </w:pPr>
      <w:r w:rsidRPr="00E4401D">
        <w:rPr>
          <w:rFonts w:ascii="Times New Roman" w:eastAsiaTheme="minorHAnsi" w:hAnsi="Times New Roman" w:cs="Times New Roman"/>
          <w:b/>
          <w:bCs/>
          <w:sz w:val="28"/>
          <w:szCs w:val="28"/>
          <w:lang w:val="es-ES" w:eastAsia="en-US"/>
        </w:rPr>
        <w:t>TERCERO</w:t>
      </w:r>
      <w:r w:rsidRPr="00E4401D">
        <w:rPr>
          <w:rFonts w:ascii="Times New Roman" w:eastAsiaTheme="minorHAnsi" w:hAnsi="Times New Roman" w:cs="Times New Roman"/>
          <w:b/>
          <w:bCs/>
          <w:sz w:val="28"/>
          <w:szCs w:val="28"/>
          <w:lang w:val="es-ES" w:eastAsia="en-US"/>
        </w:rPr>
        <w:t>.-</w:t>
      </w:r>
      <w:r w:rsidRPr="00E4401D">
        <w:rPr>
          <w:rFonts w:ascii="Times New Roman" w:eastAsiaTheme="minorHAnsi" w:hAnsi="Times New Roman" w:cs="Times New Roman"/>
          <w:sz w:val="28"/>
          <w:szCs w:val="28"/>
          <w:lang w:val="es-ES" w:eastAsia="en-US"/>
        </w:rPr>
        <w:t xml:space="preserve"> Declarar </w:t>
      </w:r>
      <w:r w:rsidRPr="00E4401D">
        <w:rPr>
          <w:rFonts w:ascii="Times New Roman" w:eastAsiaTheme="minorHAnsi" w:hAnsi="Times New Roman" w:cs="Times New Roman"/>
          <w:b/>
          <w:bCs/>
          <w:sz w:val="28"/>
          <w:szCs w:val="28"/>
          <w:lang w:val="es-ES" w:eastAsia="en-US"/>
        </w:rPr>
        <w:t>INE</w:t>
      </w:r>
      <w:r w:rsidRPr="00E4401D">
        <w:rPr>
          <w:rFonts w:ascii="Times New Roman" w:eastAsiaTheme="minorHAnsi" w:hAnsi="Times New Roman" w:cs="Times New Roman"/>
          <w:b/>
          <w:bCs/>
          <w:sz w:val="28"/>
          <w:szCs w:val="28"/>
          <w:lang w:val="es-ES" w:eastAsia="en-US"/>
        </w:rPr>
        <w:t xml:space="preserve">XEQUIBLES </w:t>
      </w:r>
      <w:r w:rsidRPr="00E4401D">
        <w:rPr>
          <w:rFonts w:ascii="Times New Roman" w:hAnsi="Times New Roman" w:cs="Times New Roman"/>
          <w:sz w:val="28"/>
          <w:szCs w:val="28"/>
        </w:rPr>
        <w:t>la expresión “</w:t>
      </w:r>
      <w:r w:rsidRPr="00E4401D">
        <w:rPr>
          <w:rFonts w:ascii="Times New Roman" w:hAnsi="Times New Roman" w:cs="Times New Roman"/>
          <w:i/>
          <w:iCs/>
          <w:sz w:val="28"/>
          <w:szCs w:val="28"/>
        </w:rPr>
        <w:t>de que trata el artículo 54 de la Ley 975 de 2005</w:t>
      </w:r>
      <w:r w:rsidRPr="00E4401D">
        <w:rPr>
          <w:rFonts w:ascii="Times New Roman" w:hAnsi="Times New Roman" w:cs="Times New Roman"/>
          <w:sz w:val="28"/>
          <w:szCs w:val="28"/>
        </w:rPr>
        <w:t>”, el inciso segundo, y los literales a, b y c del numeral 3</w:t>
      </w:r>
      <w:r w:rsidRPr="00E4401D">
        <w:rPr>
          <w:rFonts w:ascii="Times New Roman" w:hAnsi="Times New Roman" w:cs="Times New Roman"/>
          <w:sz w:val="28"/>
          <w:szCs w:val="28"/>
        </w:rPr>
        <w:t xml:space="preserve">, el numeral 5 y el parágrafo 1 </w:t>
      </w:r>
      <w:r w:rsidRPr="00E4401D">
        <w:rPr>
          <w:rFonts w:ascii="Times New Roman" w:hAnsi="Times New Roman" w:cs="Times New Roman"/>
          <w:sz w:val="28"/>
          <w:szCs w:val="28"/>
        </w:rPr>
        <w:t>del</w:t>
      </w:r>
      <w:r w:rsidRPr="00E4401D">
        <w:rPr>
          <w:rFonts w:ascii="Times New Roman" w:hAnsi="Times New Roman" w:cs="Times New Roman"/>
          <w:sz w:val="28"/>
          <w:szCs w:val="28"/>
        </w:rPr>
        <w:t xml:space="preserve"> artículo 61 de </w:t>
      </w:r>
      <w:r w:rsidRPr="00E4401D">
        <w:rPr>
          <w:rFonts w:ascii="Times New Roman" w:eastAsiaTheme="minorHAnsi" w:hAnsi="Times New Roman" w:cs="Times New Roman"/>
          <w:sz w:val="28"/>
          <w:szCs w:val="28"/>
          <w:lang w:val="es-ES" w:eastAsia="en-US"/>
        </w:rPr>
        <w:t>la Ley 2294 de 2023 “</w:t>
      </w:r>
      <w:r w:rsidRPr="00E4401D">
        <w:rPr>
          <w:rFonts w:ascii="Times New Roman" w:eastAsiaTheme="minorHAnsi" w:hAnsi="Times New Roman" w:cs="Times New Roman"/>
          <w:i/>
          <w:iCs/>
          <w:sz w:val="28"/>
          <w:szCs w:val="28"/>
          <w:lang w:val="es-ES" w:eastAsia="en-US"/>
        </w:rPr>
        <w:t>por el cual se expide el Plan Nacional de Desarrollo 2022-2026 “Colombia Potencia Mundial de la Vida”.</w:t>
      </w:r>
      <w:r w:rsidRPr="00E4401D">
        <w:rPr>
          <w:rFonts w:ascii="Times New Roman" w:eastAsiaTheme="minorHAnsi" w:hAnsi="Times New Roman" w:cs="Times New Roman"/>
          <w:sz w:val="28"/>
          <w:szCs w:val="28"/>
          <w:lang w:val="es-ES" w:eastAsia="en-US"/>
        </w:rPr>
        <w:t>” por la violación del principio de publicidad previsto en el artículo 157 de la Constitución Política.</w:t>
      </w:r>
    </w:p>
    <w:p w:rsidR="00A1694D" w:rsidRPr="00E4401D" w:rsidRDefault="00E4401D" w:rsidP="003C768C">
      <w:pPr>
        <w:autoSpaceDE w:val="0"/>
        <w:autoSpaceDN w:val="0"/>
        <w:adjustRightInd w:val="0"/>
        <w:jc w:val="both"/>
        <w:rPr>
          <w:rFonts w:ascii="Times New Roman" w:eastAsiaTheme="minorHAnsi" w:hAnsi="Times New Roman" w:cs="Times New Roman"/>
          <w:sz w:val="28"/>
          <w:szCs w:val="28"/>
          <w:lang w:val="es-ES" w:eastAsia="en-US"/>
        </w:rPr>
      </w:pPr>
    </w:p>
    <w:p w:rsidR="00A1694D" w:rsidRPr="00E4401D" w:rsidRDefault="00E4401D" w:rsidP="003C768C">
      <w:pPr>
        <w:autoSpaceDE w:val="0"/>
        <w:autoSpaceDN w:val="0"/>
        <w:adjustRightInd w:val="0"/>
        <w:jc w:val="both"/>
        <w:rPr>
          <w:rFonts w:ascii="Times New Roman" w:eastAsiaTheme="minorHAnsi" w:hAnsi="Times New Roman" w:cs="Times New Roman"/>
          <w:sz w:val="28"/>
          <w:szCs w:val="28"/>
          <w:lang w:val="es-ES" w:eastAsia="en-US"/>
        </w:rPr>
      </w:pPr>
      <w:r w:rsidRPr="00E4401D">
        <w:rPr>
          <w:rFonts w:ascii="Times New Roman" w:eastAsiaTheme="minorHAnsi" w:hAnsi="Times New Roman" w:cs="Times New Roman"/>
          <w:b/>
          <w:bCs/>
          <w:sz w:val="28"/>
          <w:szCs w:val="28"/>
          <w:lang w:val="es-ES" w:eastAsia="en-US"/>
        </w:rPr>
        <w:t xml:space="preserve">CUARTO.-  </w:t>
      </w:r>
      <w:r w:rsidRPr="00E4401D">
        <w:rPr>
          <w:rFonts w:ascii="Times New Roman" w:eastAsiaTheme="minorHAnsi" w:hAnsi="Times New Roman" w:cs="Times New Roman"/>
          <w:sz w:val="28"/>
          <w:szCs w:val="28"/>
          <w:lang w:val="es-ES" w:eastAsia="en-US"/>
        </w:rPr>
        <w:t xml:space="preserve">Declarar </w:t>
      </w:r>
      <w:r w:rsidRPr="00E4401D">
        <w:rPr>
          <w:rFonts w:ascii="Times New Roman" w:eastAsiaTheme="minorHAnsi" w:hAnsi="Times New Roman" w:cs="Times New Roman"/>
          <w:b/>
          <w:bCs/>
          <w:sz w:val="28"/>
          <w:szCs w:val="28"/>
          <w:lang w:val="es-ES" w:eastAsia="en-US"/>
        </w:rPr>
        <w:t xml:space="preserve">EXEQUIBLE </w:t>
      </w:r>
      <w:r w:rsidRPr="00E4401D">
        <w:rPr>
          <w:rFonts w:ascii="Times New Roman" w:eastAsiaTheme="minorHAnsi" w:hAnsi="Times New Roman" w:cs="Times New Roman"/>
          <w:sz w:val="28"/>
          <w:szCs w:val="28"/>
          <w:lang w:val="es-ES" w:eastAsia="en-US"/>
        </w:rPr>
        <w:t>el literal a. del numeral 2, los parágrafos 2 y 4 del artículo 61 de la Ley 2294 de 2023 “</w:t>
      </w:r>
      <w:r w:rsidRPr="00E4401D">
        <w:rPr>
          <w:rFonts w:ascii="Times New Roman" w:eastAsiaTheme="minorHAnsi" w:hAnsi="Times New Roman" w:cs="Times New Roman"/>
          <w:i/>
          <w:iCs/>
          <w:sz w:val="28"/>
          <w:szCs w:val="28"/>
          <w:lang w:val="es-ES" w:eastAsia="en-US"/>
        </w:rPr>
        <w:t>por el cual se expide el Plan Nacional de Desarrollo 2022-2026 “Colombia Potencia Mundial de la Vida”.</w:t>
      </w:r>
      <w:r w:rsidRPr="00E4401D">
        <w:rPr>
          <w:rFonts w:ascii="Times New Roman" w:eastAsiaTheme="minorHAnsi" w:hAnsi="Times New Roman" w:cs="Times New Roman"/>
          <w:sz w:val="28"/>
          <w:szCs w:val="28"/>
          <w:lang w:val="es-ES" w:eastAsia="en-US"/>
        </w:rPr>
        <w:t xml:space="preserve">” por el cargo de violación del principio de </w:t>
      </w:r>
      <w:r w:rsidRPr="00E4401D">
        <w:rPr>
          <w:rFonts w:ascii="Times New Roman" w:eastAsiaTheme="minorHAnsi" w:hAnsi="Times New Roman" w:cs="Times New Roman"/>
          <w:sz w:val="28"/>
          <w:szCs w:val="28"/>
          <w:lang w:val="es-ES" w:eastAsia="en-US"/>
        </w:rPr>
        <w:t>publicidad previsto en el artículo 157 de la Constitución Política.</w:t>
      </w:r>
    </w:p>
    <w:p w:rsidR="002B1F38" w:rsidRPr="00E4401D" w:rsidRDefault="00E4401D" w:rsidP="00CA6C43">
      <w:pPr>
        <w:autoSpaceDE w:val="0"/>
        <w:autoSpaceDN w:val="0"/>
        <w:adjustRightInd w:val="0"/>
        <w:jc w:val="both"/>
        <w:rPr>
          <w:rFonts w:ascii="Times New Roman" w:hAnsi="Times New Roman" w:cs="Times New Roman"/>
          <w:sz w:val="28"/>
          <w:szCs w:val="28"/>
        </w:rPr>
      </w:pPr>
    </w:p>
    <w:p w:rsidR="003C768C" w:rsidRPr="00E4401D" w:rsidRDefault="00E4401D" w:rsidP="003C768C">
      <w:pPr>
        <w:autoSpaceDE w:val="0"/>
        <w:autoSpaceDN w:val="0"/>
        <w:adjustRightInd w:val="0"/>
        <w:jc w:val="both"/>
        <w:rPr>
          <w:rFonts w:ascii="Times New Roman" w:eastAsiaTheme="minorHAnsi" w:hAnsi="Times New Roman" w:cs="Times New Roman"/>
          <w:sz w:val="28"/>
          <w:szCs w:val="28"/>
          <w:lang w:val="es-ES" w:eastAsia="en-US"/>
        </w:rPr>
      </w:pPr>
      <w:r w:rsidRPr="00E4401D">
        <w:rPr>
          <w:rFonts w:ascii="Times New Roman" w:hAnsi="Times New Roman" w:cs="Times New Roman"/>
          <w:b/>
          <w:bCs/>
          <w:sz w:val="28"/>
          <w:szCs w:val="28"/>
        </w:rPr>
        <w:t>QUINTO</w:t>
      </w:r>
      <w:r w:rsidRPr="00E4401D">
        <w:rPr>
          <w:rFonts w:ascii="Times New Roman" w:hAnsi="Times New Roman" w:cs="Times New Roman"/>
          <w:b/>
          <w:bCs/>
          <w:sz w:val="28"/>
          <w:szCs w:val="28"/>
        </w:rPr>
        <w:t xml:space="preserve">.- </w:t>
      </w:r>
      <w:r w:rsidRPr="00E4401D">
        <w:rPr>
          <w:rFonts w:ascii="Times New Roman" w:eastAsiaTheme="minorHAnsi" w:hAnsi="Times New Roman" w:cs="Times New Roman"/>
          <w:sz w:val="28"/>
          <w:szCs w:val="28"/>
          <w:lang w:val="es-ES" w:eastAsia="en-US"/>
        </w:rPr>
        <w:t xml:space="preserve">Declarar </w:t>
      </w:r>
      <w:r w:rsidRPr="00E4401D">
        <w:rPr>
          <w:rFonts w:ascii="Times New Roman" w:eastAsiaTheme="minorHAnsi" w:hAnsi="Times New Roman" w:cs="Times New Roman"/>
          <w:b/>
          <w:bCs/>
          <w:sz w:val="28"/>
          <w:szCs w:val="28"/>
          <w:lang w:val="es-ES" w:eastAsia="en-US"/>
        </w:rPr>
        <w:t xml:space="preserve">INEXEQUIBLES </w:t>
      </w:r>
      <w:r w:rsidRPr="00E4401D">
        <w:rPr>
          <w:rFonts w:ascii="Times New Roman" w:hAnsi="Times New Roman" w:cs="Times New Roman"/>
          <w:sz w:val="28"/>
          <w:szCs w:val="28"/>
        </w:rPr>
        <w:t>las expresiones “</w:t>
      </w:r>
      <w:r w:rsidRPr="00E4401D">
        <w:rPr>
          <w:rFonts w:ascii="Times New Roman" w:hAnsi="Times New Roman" w:cs="Times New Roman"/>
          <w:b/>
          <w:bCs/>
          <w:i/>
          <w:iCs/>
          <w:sz w:val="28"/>
          <w:szCs w:val="28"/>
          <w:u w:val="single"/>
        </w:rPr>
        <w:t>A ORGANIZACIONES COMUNALES</w:t>
      </w:r>
      <w:r w:rsidRPr="00E4401D">
        <w:rPr>
          <w:rFonts w:ascii="Times New Roman" w:hAnsi="Times New Roman" w:cs="Times New Roman"/>
          <w:b/>
          <w:bCs/>
          <w:i/>
          <w:iCs/>
          <w:sz w:val="28"/>
          <w:szCs w:val="28"/>
          <w:u w:val="single"/>
        </w:rPr>
        <w:t xml:space="preserve"> Y</w:t>
      </w:r>
      <w:r w:rsidRPr="00E4401D">
        <w:rPr>
          <w:rFonts w:ascii="Times New Roman" w:hAnsi="Times New Roman" w:cs="Times New Roman"/>
          <w:b/>
          <w:bCs/>
          <w:i/>
          <w:iCs/>
          <w:sz w:val="28"/>
          <w:szCs w:val="28"/>
          <w:u w:val="single"/>
        </w:rPr>
        <w:t>” “</w:t>
      </w:r>
      <w:r w:rsidRPr="00E4401D">
        <w:rPr>
          <w:rFonts w:ascii="Times New Roman" w:hAnsi="Times New Roman" w:cs="Times New Roman"/>
          <w:i/>
          <w:iCs/>
          <w:sz w:val="28"/>
          <w:szCs w:val="28"/>
          <w:u w:val="single"/>
        </w:rPr>
        <w:t>organizaciones comunales de las que trata el artículo 7 de la Ley 2166 de 2021</w:t>
      </w:r>
      <w:r w:rsidRPr="00E4401D">
        <w:rPr>
          <w:rFonts w:ascii="Times New Roman" w:hAnsi="Times New Roman" w:cs="Times New Roman"/>
          <w:i/>
          <w:iCs/>
          <w:sz w:val="28"/>
          <w:szCs w:val="28"/>
          <w:u w:val="single"/>
        </w:rPr>
        <w:t>, y</w:t>
      </w:r>
      <w:r w:rsidRPr="00E4401D">
        <w:rPr>
          <w:rFonts w:ascii="Times New Roman" w:hAnsi="Times New Roman" w:cs="Times New Roman"/>
          <w:i/>
          <w:iCs/>
          <w:sz w:val="28"/>
          <w:szCs w:val="28"/>
          <w:u w:val="single"/>
        </w:rPr>
        <w:t xml:space="preserve">”, “estará sujeto al </w:t>
      </w:r>
      <w:r w:rsidRPr="00E4401D">
        <w:rPr>
          <w:rFonts w:ascii="Times New Roman" w:hAnsi="Times New Roman" w:cs="Times New Roman"/>
          <w:i/>
          <w:iCs/>
          <w:sz w:val="28"/>
          <w:szCs w:val="28"/>
          <w:u w:val="single"/>
        </w:rPr>
        <w:t>cumplimiento de las condiciones definidas en el literal k) del numeral 1 del artículo 270 del Estatuto Orgánico del Sistema Financiero”</w:t>
      </w:r>
      <w:r w:rsidRPr="00E4401D">
        <w:rPr>
          <w:rFonts w:ascii="Times New Roman" w:hAnsi="Times New Roman" w:cs="Times New Roman"/>
          <w:i/>
          <w:iCs/>
          <w:sz w:val="28"/>
          <w:szCs w:val="28"/>
        </w:rPr>
        <w:t xml:space="preserve">, </w:t>
      </w:r>
      <w:r w:rsidRPr="00E4401D">
        <w:rPr>
          <w:rFonts w:ascii="Times New Roman" w:hAnsi="Times New Roman" w:cs="Times New Roman"/>
          <w:sz w:val="28"/>
          <w:szCs w:val="28"/>
        </w:rPr>
        <w:t xml:space="preserve">y </w:t>
      </w:r>
      <w:r w:rsidRPr="00E4401D">
        <w:rPr>
          <w:rFonts w:ascii="Times New Roman" w:hAnsi="Times New Roman" w:cs="Times New Roman"/>
          <w:i/>
          <w:iCs/>
          <w:sz w:val="28"/>
          <w:szCs w:val="28"/>
          <w:u w:val="single"/>
        </w:rPr>
        <w:t>“esto sin perjuicio de las facultades de la Superintendencia Financiera de Colombia respecto de la verificación del c</w:t>
      </w:r>
      <w:r w:rsidRPr="00E4401D">
        <w:rPr>
          <w:rFonts w:ascii="Times New Roman" w:hAnsi="Times New Roman" w:cs="Times New Roman"/>
          <w:i/>
          <w:iCs/>
          <w:sz w:val="28"/>
          <w:szCs w:val="28"/>
          <w:u w:val="single"/>
        </w:rPr>
        <w:t>umplimiento de los sistemas integrales de gestión de riesgos propios de las operaciones</w:t>
      </w:r>
      <w:r w:rsidRPr="00E4401D">
        <w:rPr>
          <w:rFonts w:ascii="Times New Roman" w:hAnsi="Times New Roman" w:cs="Times New Roman"/>
          <w:i/>
          <w:iCs/>
          <w:sz w:val="28"/>
          <w:szCs w:val="28"/>
        </w:rPr>
        <w:t xml:space="preserve">.”, </w:t>
      </w:r>
      <w:r w:rsidRPr="00E4401D">
        <w:rPr>
          <w:rFonts w:ascii="Times New Roman" w:hAnsi="Times New Roman" w:cs="Times New Roman"/>
          <w:sz w:val="28"/>
          <w:szCs w:val="28"/>
        </w:rPr>
        <w:t xml:space="preserve">incluidas en el título, el inciso primero y el inciso cuarto del artículo 289 de </w:t>
      </w:r>
      <w:r w:rsidRPr="00E4401D">
        <w:rPr>
          <w:rFonts w:ascii="Times New Roman" w:eastAsiaTheme="minorHAnsi" w:hAnsi="Times New Roman" w:cs="Times New Roman"/>
          <w:sz w:val="28"/>
          <w:szCs w:val="28"/>
          <w:lang w:val="es-ES" w:eastAsia="en-US"/>
        </w:rPr>
        <w:t>la Ley 2294 de 2023 “</w:t>
      </w:r>
      <w:r w:rsidRPr="00E4401D">
        <w:rPr>
          <w:rFonts w:ascii="Times New Roman" w:eastAsiaTheme="minorHAnsi" w:hAnsi="Times New Roman" w:cs="Times New Roman"/>
          <w:i/>
          <w:iCs/>
          <w:sz w:val="28"/>
          <w:szCs w:val="28"/>
          <w:lang w:val="es-ES" w:eastAsia="en-US"/>
        </w:rPr>
        <w:t xml:space="preserve">por el cual se expide el Plan Nacional de Desarrollo 2022-2026 </w:t>
      </w:r>
      <w:r w:rsidRPr="00E4401D">
        <w:rPr>
          <w:rFonts w:ascii="Times New Roman" w:eastAsiaTheme="minorHAnsi" w:hAnsi="Times New Roman" w:cs="Times New Roman"/>
          <w:i/>
          <w:iCs/>
          <w:sz w:val="28"/>
          <w:szCs w:val="28"/>
          <w:lang w:val="es-ES" w:eastAsia="en-US"/>
        </w:rPr>
        <w:t>“Colombia Potencia Mundial de la Vida”.</w:t>
      </w:r>
      <w:r w:rsidRPr="00E4401D">
        <w:rPr>
          <w:rFonts w:ascii="Times New Roman" w:eastAsiaTheme="minorHAnsi" w:hAnsi="Times New Roman" w:cs="Times New Roman"/>
          <w:sz w:val="28"/>
          <w:szCs w:val="28"/>
          <w:lang w:val="es-ES" w:eastAsia="en-US"/>
        </w:rPr>
        <w:t>” por la violación del principio de publicidad previsto en el artículo 157 de la Constitución Política.</w:t>
      </w:r>
    </w:p>
    <w:p w:rsidR="003C768C" w:rsidRPr="00E4401D" w:rsidRDefault="00E4401D" w:rsidP="003C768C">
      <w:pPr>
        <w:autoSpaceDE w:val="0"/>
        <w:autoSpaceDN w:val="0"/>
        <w:adjustRightInd w:val="0"/>
        <w:jc w:val="both"/>
        <w:rPr>
          <w:rFonts w:ascii="Times New Roman" w:eastAsiaTheme="minorHAnsi" w:hAnsi="Times New Roman" w:cs="Times New Roman"/>
          <w:sz w:val="28"/>
          <w:szCs w:val="28"/>
          <w:lang w:val="es-ES" w:eastAsia="en-US"/>
        </w:rPr>
      </w:pPr>
    </w:p>
    <w:p w:rsidR="003C768C" w:rsidRPr="00E4401D" w:rsidRDefault="00E4401D" w:rsidP="003C768C">
      <w:pPr>
        <w:autoSpaceDE w:val="0"/>
        <w:autoSpaceDN w:val="0"/>
        <w:adjustRightInd w:val="0"/>
        <w:jc w:val="both"/>
        <w:rPr>
          <w:rFonts w:ascii="Times New Roman" w:eastAsiaTheme="minorHAnsi" w:hAnsi="Times New Roman" w:cs="Times New Roman"/>
          <w:sz w:val="28"/>
          <w:szCs w:val="28"/>
          <w:lang w:val="es-ES" w:eastAsia="en-US"/>
        </w:rPr>
      </w:pPr>
      <w:r w:rsidRPr="00E4401D">
        <w:rPr>
          <w:rFonts w:ascii="Times New Roman" w:eastAsiaTheme="minorHAnsi" w:hAnsi="Times New Roman" w:cs="Times New Roman"/>
          <w:b/>
          <w:bCs/>
          <w:sz w:val="28"/>
          <w:szCs w:val="28"/>
          <w:lang w:val="es-ES" w:eastAsia="en-US"/>
        </w:rPr>
        <w:t>SEXTO</w:t>
      </w:r>
      <w:r w:rsidRPr="00E4401D">
        <w:rPr>
          <w:rFonts w:ascii="Times New Roman" w:eastAsiaTheme="minorHAnsi" w:hAnsi="Times New Roman" w:cs="Times New Roman"/>
          <w:b/>
          <w:bCs/>
          <w:sz w:val="28"/>
          <w:szCs w:val="28"/>
          <w:lang w:val="es-ES" w:eastAsia="en-US"/>
        </w:rPr>
        <w:t xml:space="preserve">.- </w:t>
      </w:r>
      <w:r w:rsidRPr="00E4401D">
        <w:rPr>
          <w:rFonts w:ascii="Times New Roman" w:eastAsiaTheme="minorHAnsi" w:hAnsi="Times New Roman" w:cs="Times New Roman"/>
          <w:sz w:val="28"/>
          <w:szCs w:val="28"/>
          <w:lang w:val="es-ES" w:eastAsia="en-US"/>
        </w:rPr>
        <w:t xml:space="preserve">Declarar </w:t>
      </w:r>
      <w:r w:rsidRPr="00E4401D">
        <w:rPr>
          <w:rFonts w:ascii="Times New Roman" w:eastAsiaTheme="minorHAnsi" w:hAnsi="Times New Roman" w:cs="Times New Roman"/>
          <w:b/>
          <w:bCs/>
          <w:sz w:val="28"/>
          <w:szCs w:val="28"/>
          <w:lang w:val="es-ES" w:eastAsia="en-US"/>
        </w:rPr>
        <w:t xml:space="preserve">INEXEQUIBLES </w:t>
      </w:r>
      <w:r w:rsidRPr="00E4401D">
        <w:rPr>
          <w:rFonts w:ascii="Times New Roman" w:hAnsi="Times New Roman" w:cs="Times New Roman"/>
          <w:sz w:val="28"/>
          <w:szCs w:val="28"/>
        </w:rPr>
        <w:t xml:space="preserve">los parágrafos 1 y 2 del artículo 297 de </w:t>
      </w:r>
      <w:r w:rsidRPr="00E4401D">
        <w:rPr>
          <w:rFonts w:ascii="Times New Roman" w:eastAsiaTheme="minorHAnsi" w:hAnsi="Times New Roman" w:cs="Times New Roman"/>
          <w:sz w:val="28"/>
          <w:szCs w:val="28"/>
          <w:lang w:val="es-ES" w:eastAsia="en-US"/>
        </w:rPr>
        <w:t>la Ley 2294 de 2023 “</w:t>
      </w:r>
      <w:r w:rsidRPr="00E4401D">
        <w:rPr>
          <w:rFonts w:ascii="Times New Roman" w:eastAsiaTheme="minorHAnsi" w:hAnsi="Times New Roman" w:cs="Times New Roman"/>
          <w:i/>
          <w:iCs/>
          <w:sz w:val="28"/>
          <w:szCs w:val="28"/>
          <w:lang w:val="es-ES" w:eastAsia="en-US"/>
        </w:rPr>
        <w:t>por el cual se expid</w:t>
      </w:r>
      <w:r w:rsidRPr="00E4401D">
        <w:rPr>
          <w:rFonts w:ascii="Times New Roman" w:eastAsiaTheme="minorHAnsi" w:hAnsi="Times New Roman" w:cs="Times New Roman"/>
          <w:i/>
          <w:iCs/>
          <w:sz w:val="28"/>
          <w:szCs w:val="28"/>
          <w:lang w:val="es-ES" w:eastAsia="en-US"/>
        </w:rPr>
        <w:t>e el Plan Nacional de Desarrollo 2022-2026 “Colombia Potencia Mundial de la Vida”.</w:t>
      </w:r>
      <w:r w:rsidRPr="00E4401D">
        <w:rPr>
          <w:rFonts w:ascii="Times New Roman" w:eastAsiaTheme="minorHAnsi" w:hAnsi="Times New Roman" w:cs="Times New Roman"/>
          <w:sz w:val="28"/>
          <w:szCs w:val="28"/>
          <w:lang w:val="es-ES" w:eastAsia="en-US"/>
        </w:rPr>
        <w:t>” por la violación del principio de publicidad previsto en el artículo 157 de la Constitución Política.</w:t>
      </w:r>
    </w:p>
    <w:p w:rsidR="003C768C" w:rsidRPr="00E4401D" w:rsidRDefault="00E4401D" w:rsidP="003C768C">
      <w:pPr>
        <w:autoSpaceDE w:val="0"/>
        <w:autoSpaceDN w:val="0"/>
        <w:adjustRightInd w:val="0"/>
        <w:jc w:val="both"/>
        <w:rPr>
          <w:rFonts w:ascii="Times New Roman" w:eastAsiaTheme="minorHAnsi" w:hAnsi="Times New Roman" w:cs="Times New Roman"/>
          <w:sz w:val="28"/>
          <w:szCs w:val="28"/>
          <w:lang w:val="es-ES" w:eastAsia="en-US"/>
        </w:rPr>
      </w:pPr>
    </w:p>
    <w:p w:rsidR="00DC30E6" w:rsidRPr="00E4401D" w:rsidRDefault="00E4401D" w:rsidP="00DC30E6">
      <w:pPr>
        <w:autoSpaceDE w:val="0"/>
        <w:autoSpaceDN w:val="0"/>
        <w:adjustRightInd w:val="0"/>
        <w:jc w:val="both"/>
        <w:rPr>
          <w:rFonts w:ascii="Times New Roman" w:eastAsiaTheme="minorHAnsi" w:hAnsi="Times New Roman" w:cs="Times New Roman"/>
          <w:sz w:val="28"/>
          <w:szCs w:val="28"/>
          <w:lang w:val="es-ES" w:eastAsia="en-US"/>
        </w:rPr>
      </w:pPr>
      <w:r w:rsidRPr="00E4401D">
        <w:rPr>
          <w:rFonts w:ascii="Times New Roman" w:eastAsiaTheme="minorHAnsi" w:hAnsi="Times New Roman" w:cs="Times New Roman"/>
          <w:b/>
          <w:bCs/>
          <w:sz w:val="28"/>
          <w:szCs w:val="28"/>
          <w:lang w:val="es-ES" w:eastAsia="en-US"/>
        </w:rPr>
        <w:t>SE</w:t>
      </w:r>
      <w:r w:rsidRPr="00E4401D">
        <w:rPr>
          <w:rFonts w:ascii="Times New Roman" w:eastAsiaTheme="minorHAnsi" w:hAnsi="Times New Roman" w:cs="Times New Roman"/>
          <w:b/>
          <w:bCs/>
          <w:sz w:val="28"/>
          <w:szCs w:val="28"/>
          <w:lang w:val="es-ES" w:eastAsia="en-US"/>
        </w:rPr>
        <w:t>PTIMO</w:t>
      </w:r>
      <w:r w:rsidRPr="00E4401D">
        <w:rPr>
          <w:rFonts w:ascii="Times New Roman" w:eastAsiaTheme="minorHAnsi" w:hAnsi="Times New Roman" w:cs="Times New Roman"/>
          <w:b/>
          <w:bCs/>
          <w:sz w:val="28"/>
          <w:szCs w:val="28"/>
          <w:lang w:val="es-ES" w:eastAsia="en-US"/>
        </w:rPr>
        <w:t xml:space="preserve">.- </w:t>
      </w:r>
      <w:r w:rsidRPr="00E4401D">
        <w:rPr>
          <w:rFonts w:ascii="Times New Roman" w:eastAsiaTheme="minorHAnsi" w:hAnsi="Times New Roman" w:cs="Times New Roman"/>
          <w:sz w:val="28"/>
          <w:szCs w:val="28"/>
          <w:lang w:val="es-ES" w:eastAsia="en-US"/>
        </w:rPr>
        <w:t xml:space="preserve">Declarar </w:t>
      </w:r>
      <w:r w:rsidRPr="00E4401D">
        <w:rPr>
          <w:rFonts w:ascii="Times New Roman" w:eastAsiaTheme="minorHAnsi" w:hAnsi="Times New Roman" w:cs="Times New Roman"/>
          <w:b/>
          <w:bCs/>
          <w:sz w:val="28"/>
          <w:szCs w:val="28"/>
          <w:lang w:val="es-ES" w:eastAsia="en-US"/>
        </w:rPr>
        <w:t xml:space="preserve">EXEQUIBLE </w:t>
      </w:r>
      <w:r w:rsidRPr="00E4401D">
        <w:rPr>
          <w:rFonts w:ascii="Times New Roman" w:eastAsiaTheme="minorHAnsi" w:hAnsi="Times New Roman" w:cs="Times New Roman"/>
          <w:sz w:val="28"/>
          <w:szCs w:val="28"/>
          <w:lang w:val="es-ES" w:eastAsia="en-US"/>
        </w:rPr>
        <w:t xml:space="preserve">el parágrafo 3° del artículo 297 de la </w:t>
      </w:r>
      <w:r w:rsidRPr="00E4401D">
        <w:rPr>
          <w:rFonts w:ascii="Times New Roman" w:eastAsiaTheme="minorHAnsi" w:hAnsi="Times New Roman" w:cs="Times New Roman"/>
          <w:sz w:val="28"/>
          <w:szCs w:val="28"/>
          <w:lang w:val="es-ES" w:eastAsia="en-US"/>
        </w:rPr>
        <w:t>Ley 2294 de 2023 “</w:t>
      </w:r>
      <w:r w:rsidRPr="00E4401D">
        <w:rPr>
          <w:rFonts w:ascii="Times New Roman" w:eastAsiaTheme="minorHAnsi" w:hAnsi="Times New Roman" w:cs="Times New Roman"/>
          <w:i/>
          <w:iCs/>
          <w:sz w:val="28"/>
          <w:szCs w:val="28"/>
          <w:lang w:val="es-ES" w:eastAsia="en-US"/>
        </w:rPr>
        <w:t>por el cual se expide el Plan Nacional de Desarrollo 2022-2026 “Colombia Potencia Mundial de la Vida”.</w:t>
      </w:r>
      <w:r w:rsidRPr="00E4401D">
        <w:rPr>
          <w:rFonts w:ascii="Times New Roman" w:eastAsiaTheme="minorHAnsi" w:hAnsi="Times New Roman" w:cs="Times New Roman"/>
          <w:sz w:val="28"/>
          <w:szCs w:val="28"/>
          <w:lang w:val="es-ES" w:eastAsia="en-US"/>
        </w:rPr>
        <w:t>” por el cargo de violación del principio de publicidad previsto en el artículo 157 de la Constitución Política.</w:t>
      </w:r>
    </w:p>
    <w:p w:rsidR="00436FF6" w:rsidRPr="00E4401D" w:rsidRDefault="00E4401D" w:rsidP="003A2FA4">
      <w:pPr>
        <w:autoSpaceDE w:val="0"/>
        <w:autoSpaceDN w:val="0"/>
        <w:adjustRightInd w:val="0"/>
        <w:jc w:val="both"/>
        <w:rPr>
          <w:rFonts w:ascii="Times New Roman" w:eastAsiaTheme="minorHAnsi" w:hAnsi="Times New Roman" w:cs="Times New Roman"/>
          <w:sz w:val="28"/>
          <w:szCs w:val="28"/>
          <w:lang w:val="es-ES" w:eastAsia="en-US"/>
        </w:rPr>
      </w:pPr>
    </w:p>
    <w:p w:rsidR="003A2FA4" w:rsidRPr="00E4401D" w:rsidRDefault="00E4401D" w:rsidP="003A2FA4">
      <w:pPr>
        <w:jc w:val="both"/>
        <w:rPr>
          <w:rFonts w:ascii="Times New Roman" w:hAnsi="Times New Roman" w:cs="Times New Roman"/>
          <w:sz w:val="28"/>
          <w:szCs w:val="28"/>
          <w:lang w:val="es-ES"/>
        </w:rPr>
      </w:pPr>
    </w:p>
    <w:p w:rsidR="003A2FA4" w:rsidRPr="00E4401D" w:rsidRDefault="00E4401D" w:rsidP="003A2FA4">
      <w:pPr>
        <w:contextualSpacing/>
        <w:jc w:val="both"/>
        <w:rPr>
          <w:rFonts w:ascii="Times New Roman" w:eastAsiaTheme="minorHAnsi" w:hAnsi="Times New Roman" w:cs="Times New Roman"/>
          <w:sz w:val="28"/>
          <w:szCs w:val="28"/>
          <w:lang w:val="es-ES" w:eastAsia="en-US"/>
        </w:rPr>
      </w:pPr>
      <w:r w:rsidRPr="00E4401D">
        <w:rPr>
          <w:rFonts w:ascii="Times New Roman" w:eastAsiaTheme="minorHAnsi" w:hAnsi="Times New Roman" w:cs="Times New Roman"/>
          <w:sz w:val="28"/>
          <w:szCs w:val="28"/>
          <w:lang w:val="es-ES" w:eastAsia="en-US"/>
        </w:rPr>
        <w:t>Notifíquese, comuníqu</w:t>
      </w:r>
      <w:r w:rsidRPr="00E4401D">
        <w:rPr>
          <w:rFonts w:ascii="Times New Roman" w:eastAsiaTheme="minorHAnsi" w:hAnsi="Times New Roman" w:cs="Times New Roman"/>
          <w:sz w:val="28"/>
          <w:szCs w:val="28"/>
          <w:lang w:val="es-ES" w:eastAsia="en-US"/>
        </w:rPr>
        <w:t>ese y cúmplase.</w:t>
      </w:r>
    </w:p>
    <w:p w:rsidR="003A2FA4" w:rsidRPr="00E4401D" w:rsidRDefault="00E4401D" w:rsidP="003A2FA4">
      <w:pPr>
        <w:contextualSpacing/>
        <w:jc w:val="both"/>
        <w:rPr>
          <w:rFonts w:ascii="Times New Roman" w:eastAsiaTheme="minorHAnsi" w:hAnsi="Times New Roman" w:cs="Times New Roman"/>
          <w:sz w:val="28"/>
          <w:szCs w:val="28"/>
          <w:lang w:val="es-ES" w:eastAsia="en-US"/>
        </w:rPr>
      </w:pPr>
    </w:p>
    <w:p w:rsidR="003A2FA4" w:rsidRPr="00E4401D" w:rsidRDefault="00E4401D" w:rsidP="003A2FA4">
      <w:pPr>
        <w:contextualSpacing/>
        <w:jc w:val="both"/>
        <w:rPr>
          <w:rFonts w:ascii="Times New Roman" w:eastAsiaTheme="minorHAnsi" w:hAnsi="Times New Roman" w:cs="Times New Roman"/>
          <w:sz w:val="28"/>
          <w:szCs w:val="28"/>
          <w:lang w:val="es-ES" w:eastAsia="en-US"/>
        </w:rPr>
      </w:pPr>
    </w:p>
    <w:p w:rsidR="00DD38F4" w:rsidRPr="00E4401D" w:rsidRDefault="00E4401D" w:rsidP="003A2FA4">
      <w:pPr>
        <w:contextualSpacing/>
        <w:jc w:val="both"/>
        <w:rPr>
          <w:rFonts w:ascii="Times New Roman" w:eastAsiaTheme="minorHAnsi" w:hAnsi="Times New Roman" w:cs="Times New Roman"/>
          <w:sz w:val="28"/>
          <w:szCs w:val="28"/>
          <w:lang w:val="es-ES" w:eastAsia="en-US"/>
        </w:rPr>
      </w:pP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JORGE ENRIQUE IBÁÑEZ NAJAR</w:t>
      </w: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Presidente</w:t>
      </w: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NATALIA ÁNGEL CABO</w:t>
      </w: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Magistrada</w:t>
      </w: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Con aclaración de voto</w:t>
      </w: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JUAN CARLOS CORTÉS GONZÁLEZ</w:t>
      </w: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 xml:space="preserve">Magistrado </w:t>
      </w: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 xml:space="preserve">Con Aclaración de voto </w:t>
      </w: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VLADIMIR FERNÁNDEZ ANDRADE</w:t>
      </w: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Magistrado</w:t>
      </w: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Con impedimento aceptado</w:t>
      </w: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 xml:space="preserve">PAOLA </w:t>
      </w:r>
      <w:r w:rsidRPr="00E4401D">
        <w:rPr>
          <w:rFonts w:ascii="Times New Roman" w:hAnsi="Times New Roman" w:cs="Times New Roman"/>
          <w:sz w:val="28"/>
          <w:szCs w:val="28"/>
        </w:rPr>
        <w:t>ANDREA MENESES MOSQUERA</w:t>
      </w: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Magistrada</w:t>
      </w: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MIGUEL POLO ROSERO</w:t>
      </w: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Magistrado</w:t>
      </w: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Salvamento parcial de voto</w:t>
      </w: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JOSE FERNANDO REYES CUARTAS</w:t>
      </w: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Magistrado</w:t>
      </w: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CRISTINA PARDO SCHLESINGER</w:t>
      </w: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Magistrada</w:t>
      </w: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DIANA FAJARDO RIVERA</w:t>
      </w: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Magistrada</w:t>
      </w: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DD38F4" w:rsidRPr="00E4401D" w:rsidRDefault="00E4401D" w:rsidP="00A101A9">
      <w:pPr>
        <w:pStyle w:val="Prrafodelista"/>
        <w:ind w:left="0"/>
        <w:mirrorIndents/>
        <w:jc w:val="center"/>
        <w:rPr>
          <w:rFonts w:ascii="Times New Roman" w:hAnsi="Times New Roman" w:cs="Times New Roman"/>
          <w:sz w:val="28"/>
          <w:szCs w:val="28"/>
        </w:rPr>
      </w:pP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ANDREA LILIANA ROMERO LOPEZ</w:t>
      </w:r>
    </w:p>
    <w:p w:rsidR="00A101A9" w:rsidRPr="00E4401D" w:rsidRDefault="00E4401D" w:rsidP="00A101A9">
      <w:pPr>
        <w:pStyle w:val="Prrafodelista"/>
        <w:ind w:left="0"/>
        <w:mirrorIndents/>
        <w:jc w:val="center"/>
        <w:rPr>
          <w:rFonts w:ascii="Times New Roman" w:hAnsi="Times New Roman" w:cs="Times New Roman"/>
          <w:sz w:val="28"/>
          <w:szCs w:val="28"/>
        </w:rPr>
      </w:pPr>
      <w:r w:rsidRPr="00E4401D">
        <w:rPr>
          <w:rFonts w:ascii="Times New Roman" w:hAnsi="Times New Roman" w:cs="Times New Roman"/>
          <w:sz w:val="28"/>
          <w:szCs w:val="28"/>
        </w:rPr>
        <w:t xml:space="preserve">Secretaria </w:t>
      </w:r>
      <w:r w:rsidRPr="00E4401D">
        <w:rPr>
          <w:rFonts w:ascii="Times New Roman" w:hAnsi="Times New Roman" w:cs="Times New Roman"/>
          <w:sz w:val="28"/>
          <w:szCs w:val="28"/>
        </w:rPr>
        <w:t>General</w:t>
      </w:r>
    </w:p>
    <w:p w:rsidR="00CD3E25" w:rsidRPr="00E4401D" w:rsidRDefault="00E4401D" w:rsidP="00DC7B5C">
      <w:pPr>
        <w:jc w:val="center"/>
        <w:rPr>
          <w:rFonts w:ascii="Times New Roman" w:hAnsi="Times New Roman" w:cs="Times New Roman"/>
          <w:b/>
          <w:bCs/>
          <w:color w:val="000000" w:themeColor="text1"/>
          <w:sz w:val="28"/>
          <w:szCs w:val="28"/>
        </w:rPr>
      </w:pPr>
    </w:p>
    <w:p w:rsidR="00CD3E25" w:rsidRPr="00E4401D" w:rsidRDefault="00E4401D" w:rsidP="00DC7B5C">
      <w:pPr>
        <w:jc w:val="center"/>
        <w:rPr>
          <w:rFonts w:ascii="Times New Roman" w:hAnsi="Times New Roman" w:cs="Times New Roman"/>
          <w:b/>
          <w:bCs/>
          <w:color w:val="000000" w:themeColor="text1"/>
          <w:sz w:val="28"/>
          <w:szCs w:val="28"/>
        </w:rPr>
      </w:pPr>
    </w:p>
    <w:p w:rsidR="002920B5" w:rsidRPr="00E4401D" w:rsidRDefault="00E4401D" w:rsidP="00DC7B5C">
      <w:pPr>
        <w:jc w:val="center"/>
        <w:rPr>
          <w:rFonts w:ascii="Times New Roman" w:hAnsi="Times New Roman" w:cs="Times New Roman"/>
          <w:b/>
          <w:bCs/>
          <w:color w:val="000000" w:themeColor="text1"/>
          <w:sz w:val="28"/>
          <w:szCs w:val="28"/>
        </w:rPr>
      </w:pPr>
      <w:r w:rsidRPr="00E4401D">
        <w:rPr>
          <w:rFonts w:ascii="Times New Roman" w:hAnsi="Times New Roman" w:cs="Times New Roman"/>
          <w:b/>
          <w:bCs/>
          <w:color w:val="000000" w:themeColor="text1"/>
          <w:sz w:val="28"/>
          <w:szCs w:val="28"/>
        </w:rPr>
        <w:t>ACLARACIÓN</w:t>
      </w:r>
      <w:r w:rsidRPr="00E4401D">
        <w:rPr>
          <w:rFonts w:ascii="Times New Roman" w:hAnsi="Times New Roman" w:cs="Times New Roman"/>
          <w:b/>
          <w:bCs/>
          <w:color w:val="000000" w:themeColor="text1"/>
          <w:sz w:val="28"/>
          <w:szCs w:val="28"/>
        </w:rPr>
        <w:t xml:space="preserve"> DE VOTO </w:t>
      </w:r>
      <w:r w:rsidRPr="00E4401D">
        <w:rPr>
          <w:rFonts w:ascii="Times New Roman" w:hAnsi="Times New Roman" w:cs="Times New Roman"/>
          <w:b/>
          <w:bCs/>
          <w:color w:val="000000" w:themeColor="text1"/>
          <w:sz w:val="28"/>
          <w:szCs w:val="28"/>
        </w:rPr>
        <w:t xml:space="preserve">DE LA MAGISTRADA </w:t>
      </w:r>
    </w:p>
    <w:p w:rsidR="002920B5" w:rsidRPr="00E4401D" w:rsidRDefault="00E4401D" w:rsidP="00DC7B5C">
      <w:pPr>
        <w:jc w:val="center"/>
        <w:rPr>
          <w:rFonts w:ascii="Times New Roman" w:hAnsi="Times New Roman" w:cs="Times New Roman"/>
          <w:b/>
          <w:bCs/>
          <w:color w:val="000000" w:themeColor="text1"/>
          <w:sz w:val="28"/>
          <w:szCs w:val="28"/>
        </w:rPr>
      </w:pPr>
      <w:r w:rsidRPr="00E4401D">
        <w:rPr>
          <w:rFonts w:ascii="Times New Roman" w:hAnsi="Times New Roman" w:cs="Times New Roman"/>
          <w:b/>
          <w:bCs/>
          <w:color w:val="000000" w:themeColor="text1"/>
          <w:sz w:val="28"/>
          <w:szCs w:val="28"/>
        </w:rPr>
        <w:t>NATALIA ÁNGEL CABO</w:t>
      </w:r>
      <w:r w:rsidRPr="00E4401D">
        <w:rPr>
          <w:rFonts w:ascii="Times New Roman" w:hAnsi="Times New Roman" w:cs="Times New Roman"/>
          <w:b/>
          <w:bCs/>
          <w:color w:val="000000" w:themeColor="text1"/>
          <w:sz w:val="28"/>
          <w:szCs w:val="28"/>
        </w:rPr>
        <w:t xml:space="preserve"> Y EL</w:t>
      </w:r>
      <w:r w:rsidRPr="00E4401D">
        <w:rPr>
          <w:rFonts w:ascii="Times New Roman" w:hAnsi="Times New Roman" w:cs="Times New Roman"/>
          <w:b/>
          <w:bCs/>
          <w:color w:val="000000" w:themeColor="text1"/>
          <w:sz w:val="28"/>
          <w:szCs w:val="28"/>
        </w:rPr>
        <w:t xml:space="preserve"> </w:t>
      </w:r>
      <w:r w:rsidRPr="00E4401D">
        <w:rPr>
          <w:rFonts w:ascii="Times New Roman" w:hAnsi="Times New Roman" w:cs="Times New Roman"/>
          <w:b/>
          <w:bCs/>
          <w:color w:val="000000" w:themeColor="text1"/>
          <w:sz w:val="28"/>
          <w:szCs w:val="28"/>
        </w:rPr>
        <w:t>MAGISTRADO</w:t>
      </w:r>
      <w:r w:rsidRPr="00E4401D">
        <w:rPr>
          <w:rFonts w:ascii="Times New Roman" w:hAnsi="Times New Roman" w:cs="Times New Roman"/>
          <w:b/>
          <w:bCs/>
          <w:color w:val="000000" w:themeColor="text1"/>
          <w:sz w:val="28"/>
          <w:szCs w:val="28"/>
        </w:rPr>
        <w:t xml:space="preserve"> </w:t>
      </w:r>
    </w:p>
    <w:p w:rsidR="00473767" w:rsidRPr="00E4401D" w:rsidRDefault="00E4401D" w:rsidP="00DC7B5C">
      <w:pPr>
        <w:jc w:val="center"/>
        <w:rPr>
          <w:rFonts w:ascii="Times New Roman" w:hAnsi="Times New Roman" w:cs="Times New Roman"/>
          <w:b/>
          <w:bCs/>
          <w:color w:val="000000" w:themeColor="text1"/>
          <w:sz w:val="28"/>
          <w:szCs w:val="28"/>
        </w:rPr>
      </w:pPr>
      <w:r w:rsidRPr="00E4401D">
        <w:rPr>
          <w:rFonts w:ascii="Times New Roman" w:hAnsi="Times New Roman" w:cs="Times New Roman"/>
          <w:b/>
          <w:bCs/>
          <w:color w:val="000000" w:themeColor="text1"/>
          <w:sz w:val="28"/>
          <w:szCs w:val="28"/>
        </w:rPr>
        <w:t>JUAN CARLOS CORTÉS GONZÁLEZ</w:t>
      </w:r>
      <w:r w:rsidRPr="00E4401D">
        <w:rPr>
          <w:rFonts w:ascii="Times New Roman" w:hAnsi="Times New Roman" w:cs="Times New Roman"/>
          <w:b/>
          <w:bCs/>
          <w:color w:val="000000" w:themeColor="text1"/>
          <w:sz w:val="28"/>
          <w:szCs w:val="28"/>
        </w:rPr>
        <w:t xml:space="preserve"> </w:t>
      </w:r>
    </w:p>
    <w:p w:rsidR="005C3FEA" w:rsidRPr="00E4401D" w:rsidRDefault="00E4401D" w:rsidP="00DC7B5C">
      <w:pPr>
        <w:jc w:val="center"/>
        <w:rPr>
          <w:rFonts w:ascii="Times New Roman" w:hAnsi="Times New Roman" w:cs="Times New Roman"/>
          <w:b/>
          <w:bCs/>
          <w:color w:val="000000" w:themeColor="text1"/>
          <w:sz w:val="28"/>
          <w:szCs w:val="28"/>
        </w:rPr>
      </w:pPr>
      <w:r w:rsidRPr="00E4401D">
        <w:rPr>
          <w:rFonts w:ascii="Times New Roman" w:hAnsi="Times New Roman" w:cs="Times New Roman"/>
          <w:b/>
          <w:bCs/>
          <w:color w:val="000000" w:themeColor="text1"/>
          <w:sz w:val="28"/>
          <w:szCs w:val="28"/>
        </w:rPr>
        <w:t>A</w:t>
      </w:r>
      <w:r w:rsidRPr="00E4401D">
        <w:rPr>
          <w:rFonts w:ascii="Times New Roman" w:hAnsi="Times New Roman" w:cs="Times New Roman"/>
          <w:b/>
          <w:bCs/>
          <w:color w:val="000000" w:themeColor="text1"/>
          <w:sz w:val="28"/>
          <w:szCs w:val="28"/>
        </w:rPr>
        <w:t xml:space="preserve"> LA</w:t>
      </w:r>
      <w:r w:rsidRPr="00E4401D">
        <w:rPr>
          <w:rFonts w:ascii="Times New Roman" w:hAnsi="Times New Roman" w:cs="Times New Roman"/>
          <w:b/>
          <w:bCs/>
          <w:color w:val="000000" w:themeColor="text1"/>
          <w:sz w:val="28"/>
          <w:szCs w:val="28"/>
        </w:rPr>
        <w:t xml:space="preserve"> </w:t>
      </w:r>
      <w:r w:rsidRPr="00E4401D">
        <w:rPr>
          <w:rFonts w:ascii="Times New Roman" w:hAnsi="Times New Roman" w:cs="Times New Roman"/>
          <w:b/>
          <w:bCs/>
          <w:color w:val="000000" w:themeColor="text1"/>
          <w:sz w:val="28"/>
          <w:szCs w:val="28"/>
          <w:lang w:val="es-ES"/>
        </w:rPr>
        <w:t>SENTENCIA</w:t>
      </w:r>
      <w:r w:rsidRPr="00E4401D">
        <w:rPr>
          <w:rFonts w:ascii="Times New Roman" w:hAnsi="Times New Roman" w:cs="Times New Roman"/>
          <w:b/>
          <w:bCs/>
          <w:color w:val="000000" w:themeColor="text1"/>
          <w:sz w:val="28"/>
          <w:szCs w:val="28"/>
          <w:lang w:val="es-ES"/>
        </w:rPr>
        <w:t xml:space="preserve"> </w:t>
      </w:r>
      <w:r w:rsidRPr="00E4401D">
        <w:rPr>
          <w:rFonts w:ascii="Times New Roman" w:hAnsi="Times New Roman" w:cs="Times New Roman"/>
          <w:b/>
          <w:bCs/>
          <w:color w:val="000000" w:themeColor="text1"/>
          <w:sz w:val="28"/>
          <w:szCs w:val="28"/>
          <w:lang w:val="es-ES"/>
        </w:rPr>
        <w:t>C-142</w:t>
      </w:r>
      <w:r w:rsidRPr="00E4401D">
        <w:rPr>
          <w:rFonts w:ascii="Times New Roman" w:hAnsi="Times New Roman" w:cs="Times New Roman"/>
          <w:b/>
          <w:bCs/>
          <w:color w:val="000000" w:themeColor="text1"/>
          <w:sz w:val="28"/>
          <w:szCs w:val="28"/>
          <w:lang w:val="es-ES"/>
        </w:rPr>
        <w:t>/</w:t>
      </w:r>
      <w:r w:rsidRPr="00E4401D">
        <w:rPr>
          <w:rFonts w:ascii="Times New Roman" w:hAnsi="Times New Roman" w:cs="Times New Roman"/>
          <w:b/>
          <w:bCs/>
          <w:color w:val="000000" w:themeColor="text1"/>
          <w:sz w:val="28"/>
          <w:szCs w:val="28"/>
          <w:lang w:val="es-ES"/>
        </w:rPr>
        <w:t>25</w:t>
      </w:r>
    </w:p>
    <w:p w:rsidR="00E13AD0" w:rsidRPr="00E4401D" w:rsidRDefault="00E4401D" w:rsidP="09D80D31">
      <w:pPr>
        <w:rPr>
          <w:rFonts w:ascii="Times New Roman" w:hAnsi="Times New Roman" w:cs="Times New Roman"/>
          <w:color w:val="000000" w:themeColor="text1"/>
          <w:sz w:val="28"/>
          <w:szCs w:val="28"/>
        </w:rPr>
      </w:pPr>
    </w:p>
    <w:p w:rsidR="003C602E" w:rsidRPr="00E4401D" w:rsidRDefault="00E4401D" w:rsidP="09D80D31">
      <w:pPr>
        <w:rPr>
          <w:rFonts w:ascii="Times New Roman" w:hAnsi="Times New Roman" w:cs="Times New Roman"/>
          <w:color w:val="000000" w:themeColor="text1"/>
          <w:sz w:val="28"/>
          <w:szCs w:val="28"/>
        </w:rPr>
      </w:pPr>
    </w:p>
    <w:p w:rsidR="005C3FEA" w:rsidRPr="00E4401D" w:rsidRDefault="00E4401D" w:rsidP="00473767">
      <w:pPr>
        <w:ind w:left="3969"/>
        <w:rPr>
          <w:rFonts w:ascii="Times New Roman" w:hAnsi="Times New Roman" w:cs="Times New Roman"/>
          <w:sz w:val="28"/>
          <w:szCs w:val="28"/>
        </w:rPr>
      </w:pPr>
      <w:r w:rsidRPr="00E4401D">
        <w:rPr>
          <w:rFonts w:ascii="Times New Roman" w:hAnsi="Times New Roman" w:cs="Times New Roman"/>
          <w:sz w:val="28"/>
          <w:szCs w:val="28"/>
        </w:rPr>
        <w:t xml:space="preserve">Referencia: expediente </w:t>
      </w:r>
      <w:r w:rsidRPr="00E4401D">
        <w:rPr>
          <w:rFonts w:ascii="Times New Roman" w:hAnsi="Times New Roman" w:cs="Times New Roman"/>
          <w:sz w:val="28"/>
          <w:szCs w:val="28"/>
        </w:rPr>
        <w:t>D-15345</w:t>
      </w:r>
    </w:p>
    <w:p w:rsidR="005C3FEA" w:rsidRPr="00E4401D" w:rsidRDefault="00E4401D" w:rsidP="00473767">
      <w:pPr>
        <w:ind w:left="3969"/>
        <w:rPr>
          <w:rFonts w:ascii="Times New Roman" w:hAnsi="Times New Roman" w:cs="Times New Roman"/>
          <w:sz w:val="28"/>
          <w:szCs w:val="28"/>
        </w:rPr>
      </w:pPr>
    </w:p>
    <w:p w:rsidR="005C3FEA" w:rsidRPr="00E4401D" w:rsidRDefault="00E4401D" w:rsidP="00473767">
      <w:pPr>
        <w:ind w:left="3969"/>
        <w:jc w:val="both"/>
        <w:rPr>
          <w:rFonts w:ascii="Times New Roman" w:hAnsi="Times New Roman" w:cs="Times New Roman"/>
          <w:sz w:val="28"/>
          <w:szCs w:val="28"/>
        </w:rPr>
      </w:pPr>
      <w:r w:rsidRPr="00E4401D">
        <w:rPr>
          <w:rFonts w:ascii="Times New Roman" w:hAnsi="Times New Roman" w:cs="Times New Roman"/>
          <w:sz w:val="28"/>
          <w:szCs w:val="28"/>
        </w:rPr>
        <w:t>Demanda de inconstitucionalidad contra la Ley 2294 de 2023, “</w:t>
      </w:r>
      <w:r w:rsidRPr="00E4401D">
        <w:rPr>
          <w:rFonts w:ascii="Times New Roman" w:hAnsi="Times New Roman" w:cs="Times New Roman"/>
          <w:i/>
          <w:iCs/>
          <w:sz w:val="28"/>
          <w:szCs w:val="28"/>
        </w:rPr>
        <w:t xml:space="preserve">por el cual se expide el </w:t>
      </w:r>
      <w:r w:rsidRPr="00E4401D">
        <w:rPr>
          <w:rFonts w:ascii="Times New Roman" w:hAnsi="Times New Roman" w:cs="Times New Roman"/>
          <w:i/>
          <w:iCs/>
          <w:sz w:val="28"/>
          <w:szCs w:val="28"/>
        </w:rPr>
        <w:t>Plan Nacional de Desarrollo 2022-2026” “Colombia Potencia Mundial de la Vida”</w:t>
      </w:r>
      <w:r w:rsidRPr="00E4401D">
        <w:rPr>
          <w:rFonts w:ascii="Times New Roman" w:hAnsi="Times New Roman" w:cs="Times New Roman"/>
          <w:sz w:val="28"/>
          <w:szCs w:val="28"/>
        </w:rPr>
        <w:t>.</w:t>
      </w:r>
      <w:r w:rsidRPr="00E4401D">
        <w:rPr>
          <w:rFonts w:ascii="Times New Roman" w:hAnsi="Times New Roman" w:cs="Times New Roman"/>
          <w:sz w:val="28"/>
          <w:szCs w:val="28"/>
        </w:rPr>
        <w:t>”</w:t>
      </w:r>
    </w:p>
    <w:p w:rsidR="005C3FEA" w:rsidRPr="00E4401D" w:rsidRDefault="00E4401D" w:rsidP="00473767">
      <w:pPr>
        <w:ind w:left="3969"/>
        <w:rPr>
          <w:rFonts w:ascii="Times New Roman" w:hAnsi="Times New Roman" w:cs="Times New Roman"/>
          <w:sz w:val="28"/>
          <w:szCs w:val="28"/>
        </w:rPr>
      </w:pPr>
    </w:p>
    <w:p w:rsidR="005C3FEA" w:rsidRPr="00E4401D" w:rsidRDefault="00E4401D" w:rsidP="00473767">
      <w:pPr>
        <w:ind w:left="3969"/>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Magistrad</w:t>
      </w:r>
      <w:r w:rsidRPr="00E4401D">
        <w:rPr>
          <w:rFonts w:ascii="Times New Roman" w:hAnsi="Times New Roman" w:cs="Times New Roman"/>
          <w:color w:val="000000" w:themeColor="text1"/>
          <w:sz w:val="28"/>
          <w:szCs w:val="28"/>
        </w:rPr>
        <w:t>o</w:t>
      </w:r>
      <w:r w:rsidRPr="00E4401D">
        <w:rPr>
          <w:rFonts w:ascii="Times New Roman" w:hAnsi="Times New Roman" w:cs="Times New Roman"/>
          <w:color w:val="000000" w:themeColor="text1"/>
          <w:sz w:val="28"/>
          <w:szCs w:val="28"/>
        </w:rPr>
        <w:t xml:space="preserve"> ponente: </w:t>
      </w:r>
    </w:p>
    <w:p w:rsidR="005C3FEA" w:rsidRPr="00E4401D" w:rsidRDefault="00E4401D" w:rsidP="00473767">
      <w:pPr>
        <w:ind w:left="3969"/>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Jorge Enrique Ibáñez Najar</w:t>
      </w:r>
      <w:r w:rsidRPr="00E4401D">
        <w:rPr>
          <w:rFonts w:ascii="Times New Roman" w:hAnsi="Times New Roman" w:cs="Times New Roman"/>
          <w:color w:val="000000" w:themeColor="text1"/>
          <w:sz w:val="28"/>
          <w:szCs w:val="28"/>
        </w:rPr>
        <w:t xml:space="preserve"> </w:t>
      </w:r>
    </w:p>
    <w:p w:rsidR="003E6FE7" w:rsidRPr="00E4401D" w:rsidRDefault="00E4401D" w:rsidP="005C3FEA">
      <w:pPr>
        <w:ind w:left="4248"/>
        <w:rPr>
          <w:rFonts w:ascii="Times New Roman" w:hAnsi="Times New Roman" w:cs="Times New Roman"/>
          <w:color w:val="000000" w:themeColor="text1"/>
          <w:sz w:val="28"/>
          <w:szCs w:val="28"/>
        </w:rPr>
      </w:pPr>
    </w:p>
    <w:p w:rsidR="003E6FE7" w:rsidRPr="00E4401D" w:rsidRDefault="00E4401D" w:rsidP="003E6FE7">
      <w:pPr>
        <w:rPr>
          <w:rFonts w:ascii="Times New Roman" w:hAnsi="Times New Roman" w:cs="Times New Roman"/>
          <w:color w:val="000000" w:themeColor="text1"/>
          <w:sz w:val="28"/>
          <w:szCs w:val="28"/>
        </w:rPr>
      </w:pPr>
    </w:p>
    <w:p w:rsidR="00D90D4F" w:rsidRPr="00E4401D" w:rsidRDefault="00E4401D" w:rsidP="003E6FE7">
      <w:pPr>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 xml:space="preserve">Con el acostumbrado respeto por las decisiones </w:t>
      </w:r>
      <w:r w:rsidRPr="00E4401D">
        <w:rPr>
          <w:rFonts w:ascii="Times New Roman" w:hAnsi="Times New Roman" w:cs="Times New Roman"/>
          <w:color w:val="000000" w:themeColor="text1"/>
          <w:sz w:val="28"/>
          <w:szCs w:val="28"/>
        </w:rPr>
        <w:t>de</w:t>
      </w:r>
      <w:r w:rsidRPr="00E4401D">
        <w:rPr>
          <w:rFonts w:ascii="Times New Roman" w:hAnsi="Times New Roman" w:cs="Times New Roman"/>
          <w:color w:val="000000" w:themeColor="text1"/>
          <w:sz w:val="28"/>
          <w:szCs w:val="28"/>
        </w:rPr>
        <w:t xml:space="preserve"> la Corte Constitucional, </w:t>
      </w:r>
      <w:r w:rsidRPr="00E4401D">
        <w:rPr>
          <w:rFonts w:ascii="Times New Roman" w:hAnsi="Times New Roman" w:cs="Times New Roman"/>
          <w:color w:val="000000" w:themeColor="text1"/>
          <w:sz w:val="28"/>
          <w:szCs w:val="28"/>
        </w:rPr>
        <w:t>a</w:t>
      </w:r>
      <w:r w:rsidRPr="00E4401D">
        <w:rPr>
          <w:rFonts w:ascii="Times New Roman" w:hAnsi="Times New Roman" w:cs="Times New Roman"/>
          <w:color w:val="000000" w:themeColor="text1"/>
          <w:sz w:val="28"/>
          <w:szCs w:val="28"/>
        </w:rPr>
        <w:t xml:space="preserve">claramos nuestro voto </w:t>
      </w:r>
      <w:r w:rsidRPr="00E4401D">
        <w:rPr>
          <w:rFonts w:ascii="Times New Roman" w:hAnsi="Times New Roman" w:cs="Times New Roman"/>
          <w:color w:val="000000" w:themeColor="text1"/>
          <w:sz w:val="28"/>
          <w:szCs w:val="28"/>
        </w:rPr>
        <w:t>frente a</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 xml:space="preserve">la decisión de declarar inexequibles los apartes demandados del numeral 3 y del parágrafo 1 del artículo 61 de la Ley 2294 de 2023, </w:t>
      </w:r>
      <w:r w:rsidRPr="00E4401D">
        <w:rPr>
          <w:rFonts w:ascii="Times New Roman" w:hAnsi="Times New Roman" w:cs="Times New Roman"/>
          <w:color w:val="000000" w:themeColor="text1"/>
          <w:sz w:val="28"/>
          <w:szCs w:val="28"/>
        </w:rPr>
        <w:t>a través de la</w:t>
      </w:r>
      <w:r w:rsidRPr="00E4401D">
        <w:rPr>
          <w:rFonts w:ascii="Times New Roman" w:hAnsi="Times New Roman" w:cs="Times New Roman"/>
          <w:color w:val="000000" w:themeColor="text1"/>
          <w:sz w:val="28"/>
          <w:szCs w:val="28"/>
        </w:rPr>
        <w:t xml:space="preserve"> cual se expide el Plan Nacional de Desarrollo 2022-2026 </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Colombia Potencia Mundial de la Vida”</w:t>
      </w:r>
      <w:r w:rsidRPr="00E4401D">
        <w:rPr>
          <w:rFonts w:ascii="Times New Roman" w:hAnsi="Times New Roman" w:cs="Times New Roman"/>
          <w:color w:val="000000" w:themeColor="text1"/>
          <w:sz w:val="28"/>
          <w:szCs w:val="28"/>
        </w:rPr>
        <w:t>. La Corte adop</w:t>
      </w:r>
      <w:r w:rsidRPr="00E4401D">
        <w:rPr>
          <w:rFonts w:ascii="Times New Roman" w:hAnsi="Times New Roman" w:cs="Times New Roman"/>
          <w:color w:val="000000" w:themeColor="text1"/>
          <w:sz w:val="28"/>
          <w:szCs w:val="28"/>
        </w:rPr>
        <w:t>tó esta decisión</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por vicios de procedimi</w:t>
      </w:r>
      <w:r w:rsidRPr="00E4401D">
        <w:rPr>
          <w:rFonts w:ascii="Times New Roman" w:hAnsi="Times New Roman" w:cs="Times New Roman"/>
          <w:color w:val="000000" w:themeColor="text1"/>
          <w:sz w:val="28"/>
          <w:szCs w:val="28"/>
        </w:rPr>
        <w:t>e</w:t>
      </w:r>
      <w:r w:rsidRPr="00E4401D">
        <w:rPr>
          <w:rFonts w:ascii="Times New Roman" w:hAnsi="Times New Roman" w:cs="Times New Roman"/>
          <w:color w:val="000000" w:themeColor="text1"/>
          <w:sz w:val="28"/>
          <w:szCs w:val="28"/>
        </w:rPr>
        <w:t xml:space="preserve">nto </w:t>
      </w:r>
      <w:r w:rsidRPr="00E4401D">
        <w:rPr>
          <w:rFonts w:ascii="Times New Roman" w:hAnsi="Times New Roman" w:cs="Times New Roman"/>
          <w:color w:val="000000" w:themeColor="text1"/>
          <w:sz w:val="28"/>
          <w:szCs w:val="28"/>
        </w:rPr>
        <w:t>durante el trámite de la norma</w:t>
      </w:r>
      <w:r w:rsidRPr="00E4401D">
        <w:rPr>
          <w:rFonts w:ascii="Times New Roman" w:hAnsi="Times New Roman" w:cs="Times New Roman"/>
          <w:color w:val="000000" w:themeColor="text1"/>
          <w:sz w:val="28"/>
          <w:szCs w:val="28"/>
        </w:rPr>
        <w:t xml:space="preserve"> en el Congreso</w:t>
      </w:r>
      <w:r w:rsidRPr="00E4401D">
        <w:rPr>
          <w:rFonts w:ascii="Times New Roman" w:hAnsi="Times New Roman" w:cs="Times New Roman"/>
          <w:color w:val="000000" w:themeColor="text1"/>
          <w:sz w:val="28"/>
          <w:szCs w:val="28"/>
        </w:rPr>
        <w:t xml:space="preserve">. </w:t>
      </w:r>
    </w:p>
    <w:p w:rsidR="00D90D4F" w:rsidRPr="00E4401D" w:rsidRDefault="00E4401D" w:rsidP="003E6FE7">
      <w:pPr>
        <w:jc w:val="both"/>
        <w:rPr>
          <w:rFonts w:ascii="Times New Roman" w:hAnsi="Times New Roman" w:cs="Times New Roman"/>
          <w:color w:val="000000" w:themeColor="text1"/>
          <w:sz w:val="28"/>
          <w:szCs w:val="28"/>
        </w:rPr>
      </w:pPr>
    </w:p>
    <w:p w:rsidR="000E4738" w:rsidRPr="00E4401D" w:rsidRDefault="00E4401D" w:rsidP="003E6FE7">
      <w:pPr>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 xml:space="preserve">Las disposiciones declaradas inexequibles buscaban </w:t>
      </w:r>
      <w:r w:rsidRPr="00E4401D">
        <w:rPr>
          <w:rFonts w:ascii="Times New Roman" w:hAnsi="Times New Roman" w:cs="Times New Roman"/>
          <w:color w:val="000000" w:themeColor="text1"/>
          <w:sz w:val="28"/>
          <w:szCs w:val="28"/>
        </w:rPr>
        <w:t>facilitar la comercialización de los bienes del Fondo para la Reparación a las</w:t>
      </w:r>
      <w:r w:rsidRPr="00E4401D">
        <w:rPr>
          <w:rFonts w:ascii="Times New Roman" w:hAnsi="Times New Roman" w:cs="Times New Roman"/>
          <w:color w:val="000000" w:themeColor="text1"/>
          <w:sz w:val="28"/>
          <w:szCs w:val="28"/>
        </w:rPr>
        <w:t xml:space="preserve"> Víctimas </w:t>
      </w:r>
      <w:r w:rsidRPr="00E4401D">
        <w:rPr>
          <w:rFonts w:ascii="Times New Roman" w:hAnsi="Times New Roman" w:cs="Times New Roman"/>
          <w:color w:val="000000" w:themeColor="text1"/>
          <w:sz w:val="28"/>
          <w:szCs w:val="28"/>
        </w:rPr>
        <w:t xml:space="preserve">mediante </w:t>
      </w:r>
      <w:r w:rsidRPr="00E4401D">
        <w:rPr>
          <w:rFonts w:ascii="Times New Roman" w:hAnsi="Times New Roman" w:cs="Times New Roman"/>
          <w:color w:val="000000" w:themeColor="text1"/>
          <w:sz w:val="28"/>
          <w:szCs w:val="28"/>
        </w:rPr>
        <w:t>la adquisición</w:t>
      </w:r>
      <w:r w:rsidRPr="00E4401D">
        <w:rPr>
          <w:rFonts w:ascii="Times New Roman" w:hAnsi="Times New Roman" w:cs="Times New Roman"/>
          <w:color w:val="000000" w:themeColor="text1"/>
          <w:sz w:val="28"/>
          <w:szCs w:val="28"/>
        </w:rPr>
        <w:t xml:space="preserve"> temprana de inmuebles rurales vinculados a acciones de extinción del derecho de dominio</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al igual que</w:t>
      </w:r>
      <w:r w:rsidRPr="00E4401D">
        <w:rPr>
          <w:rFonts w:ascii="Times New Roman" w:hAnsi="Times New Roman" w:cs="Times New Roman"/>
          <w:color w:val="000000" w:themeColor="text1"/>
          <w:sz w:val="28"/>
          <w:szCs w:val="28"/>
        </w:rPr>
        <w:t xml:space="preserve"> la</w:t>
      </w:r>
      <w:r w:rsidRPr="00E4401D">
        <w:rPr>
          <w:rFonts w:ascii="Times New Roman" w:hAnsi="Times New Roman" w:cs="Times New Roman"/>
          <w:color w:val="000000" w:themeColor="text1"/>
          <w:sz w:val="28"/>
          <w:szCs w:val="28"/>
        </w:rPr>
        <w:t xml:space="preserve"> compra directa de tierras. El objetivo era dotar al Fondo de</w:t>
      </w:r>
      <w:r w:rsidRPr="00E4401D">
        <w:rPr>
          <w:rFonts w:ascii="Times New Roman" w:hAnsi="Times New Roman" w:cs="Times New Roman"/>
          <w:color w:val="000000" w:themeColor="text1"/>
          <w:sz w:val="28"/>
          <w:szCs w:val="28"/>
        </w:rPr>
        <w:t xml:space="preserve"> recursos para el pago de reparaciones a víctimas del conflicto armado</w:t>
      </w:r>
      <w:r w:rsidRPr="00E4401D">
        <w:rPr>
          <w:rFonts w:ascii="Times New Roman" w:hAnsi="Times New Roman" w:cs="Times New Roman"/>
          <w:color w:val="000000" w:themeColor="text1"/>
          <w:sz w:val="28"/>
          <w:szCs w:val="28"/>
        </w:rPr>
        <w:t xml:space="preserve"> en el marco de la L</w:t>
      </w:r>
      <w:r w:rsidRPr="00E4401D">
        <w:rPr>
          <w:rFonts w:ascii="Times New Roman" w:hAnsi="Times New Roman" w:cs="Times New Roman"/>
          <w:color w:val="000000" w:themeColor="text1"/>
          <w:sz w:val="28"/>
          <w:szCs w:val="28"/>
        </w:rPr>
        <w:t>ey de Justicia y Paz</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w:t>
      </w:r>
    </w:p>
    <w:p w:rsidR="000E4738" w:rsidRPr="00E4401D" w:rsidRDefault="00E4401D" w:rsidP="003E6FE7">
      <w:pPr>
        <w:jc w:val="both"/>
        <w:rPr>
          <w:rFonts w:ascii="Times New Roman" w:hAnsi="Times New Roman" w:cs="Times New Roman"/>
          <w:color w:val="000000" w:themeColor="text1"/>
          <w:sz w:val="28"/>
          <w:szCs w:val="28"/>
        </w:rPr>
      </w:pPr>
    </w:p>
    <w:p w:rsidR="00D90D4F" w:rsidRPr="00E4401D" w:rsidRDefault="00E4401D" w:rsidP="003E6FE7">
      <w:pPr>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Aunque estamos</w:t>
      </w:r>
      <w:r w:rsidRPr="00E4401D">
        <w:rPr>
          <w:rFonts w:ascii="Times New Roman" w:hAnsi="Times New Roman" w:cs="Times New Roman"/>
          <w:color w:val="000000" w:themeColor="text1"/>
          <w:sz w:val="28"/>
          <w:szCs w:val="28"/>
        </w:rPr>
        <w:t xml:space="preserve"> de acuerdo con la declaratoria de </w:t>
      </w:r>
      <w:r w:rsidRPr="00E4401D">
        <w:rPr>
          <w:rFonts w:ascii="Times New Roman" w:hAnsi="Times New Roman" w:cs="Times New Roman"/>
          <w:color w:val="000000" w:themeColor="text1"/>
          <w:sz w:val="28"/>
          <w:szCs w:val="28"/>
        </w:rPr>
        <w:t>inconstitucionalidad</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c</w:t>
      </w:r>
      <w:r w:rsidRPr="00E4401D">
        <w:rPr>
          <w:rFonts w:ascii="Times New Roman" w:hAnsi="Times New Roman" w:cs="Times New Roman"/>
          <w:color w:val="000000" w:themeColor="text1"/>
          <w:sz w:val="28"/>
          <w:szCs w:val="28"/>
        </w:rPr>
        <w:t xml:space="preserve">onsideramos que </w:t>
      </w:r>
      <w:r w:rsidRPr="00E4401D">
        <w:rPr>
          <w:rFonts w:ascii="Times New Roman" w:hAnsi="Times New Roman" w:cs="Times New Roman"/>
          <w:color w:val="000000" w:themeColor="text1"/>
          <w:sz w:val="28"/>
          <w:szCs w:val="28"/>
        </w:rPr>
        <w:t>sus efectos</w:t>
      </w:r>
      <w:r w:rsidRPr="00E4401D">
        <w:rPr>
          <w:rFonts w:ascii="Times New Roman" w:hAnsi="Times New Roman" w:cs="Times New Roman"/>
          <w:color w:val="000000" w:themeColor="text1"/>
          <w:sz w:val="28"/>
          <w:szCs w:val="28"/>
        </w:rPr>
        <w:t xml:space="preserve"> debieron diferirse en el tiempo</w:t>
      </w:r>
      <w:r w:rsidRPr="00E4401D">
        <w:rPr>
          <w:rFonts w:ascii="Times New Roman" w:hAnsi="Times New Roman" w:cs="Times New Roman"/>
          <w:color w:val="000000" w:themeColor="text1"/>
          <w:sz w:val="28"/>
          <w:szCs w:val="28"/>
        </w:rPr>
        <w:t>. Esto habría permitido mitigar el impacto directo y desproporcionado que la eliminación inmediata de</w:t>
      </w:r>
      <w:r w:rsidRPr="00E4401D">
        <w:rPr>
          <w:rFonts w:ascii="Times New Roman" w:hAnsi="Times New Roman" w:cs="Times New Roman"/>
          <w:color w:val="000000" w:themeColor="text1"/>
          <w:sz w:val="28"/>
          <w:szCs w:val="28"/>
        </w:rPr>
        <w:t xml:space="preserve"> la norma puede generar en el derecho de las víctimas a la reparación. </w:t>
      </w:r>
    </w:p>
    <w:p w:rsidR="00D90D4F" w:rsidRPr="00E4401D" w:rsidRDefault="00E4401D" w:rsidP="003E6FE7">
      <w:pPr>
        <w:jc w:val="both"/>
        <w:rPr>
          <w:rFonts w:ascii="Times New Roman" w:hAnsi="Times New Roman" w:cs="Times New Roman"/>
          <w:color w:val="000000" w:themeColor="text1"/>
          <w:sz w:val="28"/>
          <w:szCs w:val="28"/>
        </w:rPr>
      </w:pPr>
    </w:p>
    <w:p w:rsidR="000E4738" w:rsidRPr="00E4401D" w:rsidRDefault="00E4401D" w:rsidP="003E6FE7">
      <w:pPr>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Diferir</w:t>
      </w:r>
      <w:r w:rsidRPr="00E4401D">
        <w:rPr>
          <w:rFonts w:ascii="Times New Roman" w:hAnsi="Times New Roman" w:cs="Times New Roman"/>
          <w:color w:val="000000" w:themeColor="text1"/>
          <w:sz w:val="28"/>
          <w:szCs w:val="28"/>
        </w:rPr>
        <w:t xml:space="preserve"> los efectos de la decisión</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n</w:t>
      </w:r>
      <w:r w:rsidRPr="00E4401D">
        <w:rPr>
          <w:rFonts w:ascii="Times New Roman" w:hAnsi="Times New Roman" w:cs="Times New Roman"/>
          <w:color w:val="000000" w:themeColor="text1"/>
          <w:sz w:val="28"/>
          <w:szCs w:val="28"/>
        </w:rPr>
        <w:t xml:space="preserve">o </w:t>
      </w:r>
      <w:r w:rsidRPr="00E4401D">
        <w:rPr>
          <w:rFonts w:ascii="Times New Roman" w:hAnsi="Times New Roman" w:cs="Times New Roman"/>
          <w:color w:val="000000" w:themeColor="text1"/>
          <w:sz w:val="28"/>
          <w:szCs w:val="28"/>
        </w:rPr>
        <w:t xml:space="preserve">habría </w:t>
      </w:r>
      <w:r w:rsidRPr="00E4401D">
        <w:rPr>
          <w:rFonts w:ascii="Times New Roman" w:hAnsi="Times New Roman" w:cs="Times New Roman"/>
          <w:color w:val="000000" w:themeColor="text1"/>
          <w:sz w:val="28"/>
          <w:szCs w:val="28"/>
        </w:rPr>
        <w:t>significado desconocer</w:t>
      </w:r>
      <w:r w:rsidRPr="00E4401D">
        <w:rPr>
          <w:rFonts w:ascii="Times New Roman" w:hAnsi="Times New Roman" w:cs="Times New Roman"/>
          <w:color w:val="000000" w:themeColor="text1"/>
          <w:sz w:val="28"/>
          <w:szCs w:val="28"/>
        </w:rPr>
        <w:t xml:space="preserve"> los principios constitucionales que rigen la promulgación de las leyes</w:t>
      </w:r>
      <w:r w:rsidRPr="00E4401D">
        <w:rPr>
          <w:rFonts w:ascii="Times New Roman" w:hAnsi="Times New Roman" w:cs="Times New Roman"/>
          <w:color w:val="000000" w:themeColor="text1"/>
          <w:sz w:val="28"/>
          <w:szCs w:val="28"/>
        </w:rPr>
        <w:t xml:space="preserve">, pero sí habría permitido al Congreso adoptar, </w:t>
      </w:r>
      <w:r w:rsidRPr="00E4401D">
        <w:rPr>
          <w:rFonts w:ascii="Times New Roman" w:hAnsi="Times New Roman" w:cs="Times New Roman"/>
          <w:color w:val="000000" w:themeColor="text1"/>
          <w:sz w:val="28"/>
          <w:szCs w:val="28"/>
        </w:rPr>
        <w:t>con el respeto de</w:t>
      </w:r>
      <w:r w:rsidRPr="00E4401D">
        <w:rPr>
          <w:rFonts w:ascii="Times New Roman" w:hAnsi="Times New Roman" w:cs="Times New Roman"/>
          <w:color w:val="000000" w:themeColor="text1"/>
          <w:sz w:val="28"/>
          <w:szCs w:val="28"/>
        </w:rPr>
        <w:t xml:space="preserve"> las formalidades propias del trámite legislativo</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 xml:space="preserve">las herramientas necesarias </w:t>
      </w:r>
      <w:r w:rsidRPr="00E4401D">
        <w:rPr>
          <w:rFonts w:ascii="Times New Roman" w:hAnsi="Times New Roman" w:cs="Times New Roman"/>
          <w:color w:val="000000" w:themeColor="text1"/>
          <w:sz w:val="28"/>
          <w:szCs w:val="28"/>
        </w:rPr>
        <w:t xml:space="preserve">para resolver los problemas que enfrenta el Fondo para monetizar sus bienes y reparar a </w:t>
      </w:r>
      <w:r w:rsidRPr="00E4401D">
        <w:rPr>
          <w:rFonts w:ascii="Times New Roman" w:hAnsi="Times New Roman" w:cs="Times New Roman"/>
          <w:color w:val="000000" w:themeColor="text1"/>
          <w:sz w:val="28"/>
          <w:szCs w:val="28"/>
        </w:rPr>
        <w:t>la</w:t>
      </w:r>
      <w:r w:rsidRPr="00E4401D">
        <w:rPr>
          <w:rFonts w:ascii="Times New Roman" w:hAnsi="Times New Roman" w:cs="Times New Roman"/>
          <w:color w:val="000000" w:themeColor="text1"/>
          <w:sz w:val="28"/>
          <w:szCs w:val="28"/>
        </w:rPr>
        <w:t xml:space="preserve">s víctimas. </w:t>
      </w:r>
    </w:p>
    <w:p w:rsidR="00D90D4F" w:rsidRPr="00E4401D" w:rsidRDefault="00E4401D" w:rsidP="003E6FE7">
      <w:pPr>
        <w:jc w:val="both"/>
        <w:rPr>
          <w:rFonts w:ascii="Times New Roman" w:hAnsi="Times New Roman" w:cs="Times New Roman"/>
          <w:color w:val="000000" w:themeColor="text1"/>
          <w:sz w:val="28"/>
          <w:szCs w:val="28"/>
        </w:rPr>
      </w:pPr>
    </w:p>
    <w:p w:rsidR="000E4738" w:rsidRPr="00E4401D" w:rsidRDefault="00E4401D" w:rsidP="003E6FE7">
      <w:pPr>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Para ilu</w:t>
      </w:r>
      <w:r w:rsidRPr="00E4401D">
        <w:rPr>
          <w:rFonts w:ascii="Times New Roman" w:hAnsi="Times New Roman" w:cs="Times New Roman"/>
          <w:color w:val="000000" w:themeColor="text1"/>
          <w:sz w:val="28"/>
          <w:szCs w:val="28"/>
        </w:rPr>
        <w:t>strar cuáles son esos problemas y por qué se hubiera justificado el diferimiento, a</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continuación,</w:t>
      </w:r>
      <w:r w:rsidRPr="00E4401D">
        <w:rPr>
          <w:rFonts w:ascii="Times New Roman" w:hAnsi="Times New Roman" w:cs="Times New Roman"/>
          <w:color w:val="000000" w:themeColor="text1"/>
          <w:sz w:val="28"/>
          <w:szCs w:val="28"/>
        </w:rPr>
        <w:t xml:space="preserve"> ilustraremos los obstáculos para la </w:t>
      </w:r>
      <w:r w:rsidRPr="00E4401D">
        <w:rPr>
          <w:rFonts w:ascii="Times New Roman" w:hAnsi="Times New Roman" w:cs="Times New Roman"/>
          <w:color w:val="000000" w:themeColor="text1"/>
          <w:sz w:val="28"/>
          <w:szCs w:val="28"/>
        </w:rPr>
        <w:t xml:space="preserve"> comercialización y monetización de los bienes del Fondo para la Reparación a las Víctimas</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a partir de los datos de un re</w:t>
      </w:r>
      <w:r w:rsidRPr="00E4401D">
        <w:rPr>
          <w:rFonts w:ascii="Times New Roman" w:hAnsi="Times New Roman" w:cs="Times New Roman"/>
          <w:color w:val="000000" w:themeColor="text1"/>
          <w:sz w:val="28"/>
          <w:szCs w:val="28"/>
        </w:rPr>
        <w:t>ciente informe publicado por la Contraloría General de la República</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a propósito de los veinte años de la </w:t>
      </w:r>
      <w:r w:rsidRPr="00E4401D">
        <w:rPr>
          <w:rFonts w:ascii="Times New Roman" w:hAnsi="Times New Roman" w:cs="Times New Roman"/>
          <w:color w:val="000000" w:themeColor="text1"/>
          <w:sz w:val="28"/>
          <w:szCs w:val="28"/>
        </w:rPr>
        <w:t>L</w:t>
      </w:r>
      <w:r w:rsidRPr="00E4401D">
        <w:rPr>
          <w:rFonts w:ascii="Times New Roman" w:hAnsi="Times New Roman" w:cs="Times New Roman"/>
          <w:color w:val="000000" w:themeColor="text1"/>
          <w:sz w:val="28"/>
          <w:szCs w:val="28"/>
        </w:rPr>
        <w:t xml:space="preserve">ey de Justicia y Paz. </w:t>
      </w:r>
      <w:r w:rsidRPr="00E4401D">
        <w:rPr>
          <w:rFonts w:ascii="Times New Roman" w:hAnsi="Times New Roman" w:cs="Times New Roman"/>
          <w:color w:val="000000" w:themeColor="text1"/>
          <w:sz w:val="28"/>
          <w:szCs w:val="28"/>
        </w:rPr>
        <w:t>A renglón seguido, explicaremos por qué</w:t>
      </w:r>
      <w:r w:rsidRPr="00E4401D">
        <w:rPr>
          <w:rFonts w:ascii="Times New Roman" w:hAnsi="Times New Roman" w:cs="Times New Roman"/>
          <w:color w:val="000000" w:themeColor="text1"/>
          <w:sz w:val="28"/>
          <w:szCs w:val="28"/>
        </w:rPr>
        <w:t xml:space="preserve"> dicha problemática </w:t>
      </w:r>
      <w:r w:rsidRPr="00E4401D">
        <w:rPr>
          <w:rFonts w:ascii="Times New Roman" w:hAnsi="Times New Roman" w:cs="Times New Roman"/>
          <w:color w:val="000000" w:themeColor="text1"/>
          <w:sz w:val="28"/>
          <w:szCs w:val="28"/>
        </w:rPr>
        <w:t>impacta directamente</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los</w:t>
      </w:r>
      <w:r w:rsidRPr="00E4401D">
        <w:rPr>
          <w:rFonts w:ascii="Times New Roman" w:hAnsi="Times New Roman" w:cs="Times New Roman"/>
          <w:color w:val="000000" w:themeColor="text1"/>
          <w:sz w:val="28"/>
          <w:szCs w:val="28"/>
        </w:rPr>
        <w:t xml:space="preserve"> derechos fundamentales de las personas que han sido víctimas del conflicto armado, </w:t>
      </w:r>
      <w:r w:rsidRPr="00E4401D">
        <w:rPr>
          <w:rFonts w:ascii="Times New Roman" w:hAnsi="Times New Roman" w:cs="Times New Roman"/>
          <w:color w:val="000000" w:themeColor="text1"/>
          <w:sz w:val="28"/>
          <w:szCs w:val="28"/>
        </w:rPr>
        <w:t>y por qué</w:t>
      </w:r>
      <w:r w:rsidRPr="00E4401D">
        <w:rPr>
          <w:rFonts w:ascii="Times New Roman" w:hAnsi="Times New Roman" w:cs="Times New Roman"/>
          <w:color w:val="000000" w:themeColor="text1"/>
          <w:sz w:val="28"/>
          <w:szCs w:val="28"/>
        </w:rPr>
        <w:t xml:space="preserve"> una declaración de inexequibilidad inmediata de los mecanismos para facilitar la comercialización de los bienes de los exparamilitares</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termina siendo desproporcio</w:t>
      </w:r>
      <w:r w:rsidRPr="00E4401D">
        <w:rPr>
          <w:rFonts w:ascii="Times New Roman" w:hAnsi="Times New Roman" w:cs="Times New Roman"/>
          <w:color w:val="000000" w:themeColor="text1"/>
          <w:sz w:val="28"/>
          <w:szCs w:val="28"/>
        </w:rPr>
        <w:t>nada</w:t>
      </w:r>
      <w:r w:rsidRPr="00E4401D">
        <w:rPr>
          <w:rFonts w:ascii="Times New Roman" w:hAnsi="Times New Roman" w:cs="Times New Roman"/>
          <w:color w:val="000000" w:themeColor="text1"/>
          <w:sz w:val="28"/>
          <w:szCs w:val="28"/>
        </w:rPr>
        <w:t xml:space="preserve"> para</w:t>
      </w:r>
      <w:r w:rsidRPr="00E4401D">
        <w:rPr>
          <w:rFonts w:ascii="Times New Roman" w:hAnsi="Times New Roman" w:cs="Times New Roman"/>
          <w:color w:val="000000" w:themeColor="text1"/>
          <w:sz w:val="28"/>
          <w:szCs w:val="28"/>
        </w:rPr>
        <w:t xml:space="preserve"> quienes han </w:t>
      </w:r>
      <w:r w:rsidRPr="00E4401D">
        <w:rPr>
          <w:rFonts w:ascii="Times New Roman" w:hAnsi="Times New Roman" w:cs="Times New Roman"/>
          <w:color w:val="000000" w:themeColor="text1"/>
          <w:sz w:val="28"/>
          <w:szCs w:val="28"/>
        </w:rPr>
        <w:t xml:space="preserve">sufrido </w:t>
      </w:r>
      <w:r w:rsidRPr="00E4401D">
        <w:rPr>
          <w:rFonts w:ascii="Times New Roman" w:hAnsi="Times New Roman" w:cs="Times New Roman"/>
          <w:color w:val="000000" w:themeColor="text1"/>
          <w:sz w:val="28"/>
          <w:szCs w:val="28"/>
        </w:rPr>
        <w:t xml:space="preserve">directamente </w:t>
      </w:r>
      <w:r w:rsidRPr="00E4401D">
        <w:rPr>
          <w:rFonts w:ascii="Times New Roman" w:hAnsi="Times New Roman" w:cs="Times New Roman"/>
          <w:color w:val="000000" w:themeColor="text1"/>
          <w:sz w:val="28"/>
          <w:szCs w:val="28"/>
        </w:rPr>
        <w:t xml:space="preserve">la guerra en el país. </w:t>
      </w:r>
    </w:p>
    <w:p w:rsidR="003E6FE7" w:rsidRPr="00E4401D" w:rsidRDefault="00E4401D" w:rsidP="003E6FE7">
      <w:pPr>
        <w:jc w:val="both"/>
        <w:rPr>
          <w:rFonts w:ascii="Times New Roman" w:hAnsi="Times New Roman" w:cs="Times New Roman"/>
          <w:color w:val="000000" w:themeColor="text1"/>
          <w:sz w:val="28"/>
          <w:szCs w:val="28"/>
        </w:rPr>
      </w:pPr>
    </w:p>
    <w:p w:rsidR="00364DBD" w:rsidRPr="00E4401D" w:rsidRDefault="00E4401D" w:rsidP="003E6FE7">
      <w:pPr>
        <w:jc w:val="both"/>
        <w:rPr>
          <w:rFonts w:ascii="Times New Roman" w:hAnsi="Times New Roman" w:cs="Times New Roman"/>
          <w:color w:val="000000" w:themeColor="text1"/>
          <w:sz w:val="28"/>
          <w:szCs w:val="28"/>
        </w:rPr>
      </w:pPr>
    </w:p>
    <w:p w:rsidR="003E6FE7" w:rsidRPr="00E4401D" w:rsidRDefault="00E4401D" w:rsidP="003E6FE7">
      <w:pPr>
        <w:pStyle w:val="Prrafodelista"/>
        <w:numPr>
          <w:ilvl w:val="0"/>
          <w:numId w:val="10"/>
        </w:numPr>
        <w:jc w:val="both"/>
        <w:rPr>
          <w:rFonts w:ascii="Times New Roman" w:hAnsi="Times New Roman" w:cs="Times New Roman"/>
          <w:b/>
          <w:bCs/>
          <w:color w:val="000000" w:themeColor="text1"/>
          <w:sz w:val="28"/>
          <w:szCs w:val="28"/>
        </w:rPr>
      </w:pPr>
      <w:r w:rsidRPr="00E4401D">
        <w:rPr>
          <w:rFonts w:ascii="Times New Roman" w:hAnsi="Times New Roman" w:cs="Times New Roman"/>
          <w:b/>
          <w:bCs/>
          <w:color w:val="000000" w:themeColor="text1"/>
          <w:sz w:val="28"/>
          <w:szCs w:val="28"/>
        </w:rPr>
        <w:t>Veinte años de incertidumbre: sobre las dificultades</w:t>
      </w:r>
      <w:r w:rsidRPr="00E4401D">
        <w:rPr>
          <w:rFonts w:ascii="Times New Roman" w:hAnsi="Times New Roman" w:cs="Times New Roman"/>
          <w:b/>
          <w:bCs/>
          <w:color w:val="000000" w:themeColor="text1"/>
          <w:sz w:val="28"/>
          <w:szCs w:val="28"/>
        </w:rPr>
        <w:t xml:space="preserve"> de</w:t>
      </w:r>
      <w:r w:rsidRPr="00E4401D">
        <w:rPr>
          <w:rFonts w:ascii="Times New Roman" w:hAnsi="Times New Roman" w:cs="Times New Roman"/>
          <w:b/>
          <w:bCs/>
          <w:color w:val="000000" w:themeColor="text1"/>
          <w:sz w:val="28"/>
          <w:szCs w:val="28"/>
        </w:rPr>
        <w:t xml:space="preserve"> la comercialización de los bienes del Fondo </w:t>
      </w:r>
      <w:r w:rsidRPr="00E4401D">
        <w:rPr>
          <w:rFonts w:ascii="Times New Roman" w:hAnsi="Times New Roman" w:cs="Times New Roman"/>
          <w:b/>
          <w:bCs/>
          <w:color w:val="000000" w:themeColor="text1"/>
          <w:sz w:val="28"/>
          <w:szCs w:val="28"/>
        </w:rPr>
        <w:t>para la</w:t>
      </w:r>
      <w:r w:rsidRPr="00E4401D">
        <w:rPr>
          <w:rFonts w:ascii="Times New Roman" w:hAnsi="Times New Roman" w:cs="Times New Roman"/>
          <w:b/>
          <w:bCs/>
          <w:color w:val="000000" w:themeColor="text1"/>
          <w:sz w:val="28"/>
          <w:szCs w:val="28"/>
        </w:rPr>
        <w:t xml:space="preserve"> Reparación </w:t>
      </w:r>
      <w:r w:rsidRPr="00E4401D">
        <w:rPr>
          <w:rFonts w:ascii="Times New Roman" w:hAnsi="Times New Roman" w:cs="Times New Roman"/>
          <w:b/>
          <w:bCs/>
          <w:color w:val="000000" w:themeColor="text1"/>
          <w:sz w:val="28"/>
          <w:szCs w:val="28"/>
        </w:rPr>
        <w:t>a las</w:t>
      </w:r>
      <w:r w:rsidRPr="00E4401D">
        <w:rPr>
          <w:rFonts w:ascii="Times New Roman" w:hAnsi="Times New Roman" w:cs="Times New Roman"/>
          <w:b/>
          <w:bCs/>
          <w:color w:val="000000" w:themeColor="text1"/>
          <w:sz w:val="28"/>
          <w:szCs w:val="28"/>
        </w:rPr>
        <w:t xml:space="preserve"> Víctimas </w:t>
      </w:r>
    </w:p>
    <w:p w:rsidR="003E6FE7" w:rsidRPr="00E4401D" w:rsidRDefault="00E4401D" w:rsidP="003E6FE7">
      <w:pPr>
        <w:jc w:val="both"/>
        <w:rPr>
          <w:rFonts w:ascii="Times New Roman" w:hAnsi="Times New Roman" w:cs="Times New Roman"/>
          <w:b/>
          <w:bCs/>
          <w:color w:val="000000" w:themeColor="text1"/>
          <w:sz w:val="28"/>
          <w:szCs w:val="28"/>
        </w:rPr>
      </w:pPr>
    </w:p>
    <w:p w:rsidR="003E6FE7" w:rsidRPr="00E4401D" w:rsidRDefault="00E4401D" w:rsidP="003E6FE7">
      <w:pPr>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 xml:space="preserve">El Fondo para la Reparación a las Víctimas </w:t>
      </w:r>
      <w:r w:rsidRPr="00E4401D">
        <w:rPr>
          <w:rFonts w:ascii="Times New Roman" w:hAnsi="Times New Roman" w:cs="Times New Roman"/>
          <w:color w:val="000000" w:themeColor="text1"/>
          <w:sz w:val="28"/>
          <w:szCs w:val="28"/>
        </w:rPr>
        <w:t xml:space="preserve">tiene la </w:t>
      </w:r>
      <w:r w:rsidRPr="00E4401D">
        <w:rPr>
          <w:rFonts w:ascii="Times New Roman" w:hAnsi="Times New Roman" w:cs="Times New Roman"/>
          <w:color w:val="000000" w:themeColor="text1"/>
          <w:sz w:val="28"/>
          <w:szCs w:val="28"/>
        </w:rPr>
        <w:t>función</w:t>
      </w:r>
      <w:r w:rsidRPr="00E4401D">
        <w:rPr>
          <w:rFonts w:ascii="Times New Roman" w:hAnsi="Times New Roman" w:cs="Times New Roman"/>
          <w:color w:val="000000" w:themeColor="text1"/>
          <w:sz w:val="28"/>
          <w:szCs w:val="28"/>
        </w:rPr>
        <w:t xml:space="preserve"> de </w:t>
      </w:r>
      <w:r w:rsidRPr="00E4401D">
        <w:rPr>
          <w:rFonts w:ascii="Times New Roman" w:hAnsi="Times New Roman" w:cs="Times New Roman"/>
          <w:color w:val="000000" w:themeColor="text1"/>
          <w:sz w:val="28"/>
          <w:szCs w:val="28"/>
        </w:rPr>
        <w:t xml:space="preserve">pagar las indemnizaciones reconocidas a las víctimas </w:t>
      </w:r>
      <w:r w:rsidRPr="00E4401D">
        <w:rPr>
          <w:rFonts w:ascii="Times New Roman" w:hAnsi="Times New Roman" w:cs="Times New Roman"/>
          <w:color w:val="000000" w:themeColor="text1"/>
          <w:sz w:val="28"/>
          <w:szCs w:val="28"/>
        </w:rPr>
        <w:t>en</w:t>
      </w:r>
      <w:r w:rsidRPr="00E4401D">
        <w:rPr>
          <w:rFonts w:ascii="Times New Roman" w:hAnsi="Times New Roman" w:cs="Times New Roman"/>
          <w:color w:val="000000" w:themeColor="text1"/>
          <w:sz w:val="28"/>
          <w:szCs w:val="28"/>
        </w:rPr>
        <w:t xml:space="preserve"> los procesos de reparación surtidos en el marco de la Ley Justicia y Paz, así como los gastos requeridos para efectuar otras medidas como </w:t>
      </w:r>
      <w:r w:rsidRPr="00E4401D">
        <w:rPr>
          <w:rFonts w:ascii="Times New Roman" w:hAnsi="Times New Roman" w:cs="Times New Roman"/>
          <w:color w:val="000000" w:themeColor="text1"/>
          <w:sz w:val="28"/>
          <w:szCs w:val="28"/>
        </w:rPr>
        <w:t>aquellas</w:t>
      </w:r>
      <w:r w:rsidRPr="00E4401D">
        <w:rPr>
          <w:rFonts w:ascii="Times New Roman" w:hAnsi="Times New Roman" w:cs="Times New Roman"/>
          <w:color w:val="000000" w:themeColor="text1"/>
          <w:sz w:val="28"/>
          <w:szCs w:val="28"/>
        </w:rPr>
        <w:t xml:space="preserve"> de satisfacción</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rehabilitación, restituci</w:t>
      </w:r>
      <w:r w:rsidRPr="00E4401D">
        <w:rPr>
          <w:rFonts w:ascii="Times New Roman" w:hAnsi="Times New Roman" w:cs="Times New Roman"/>
          <w:color w:val="000000" w:themeColor="text1"/>
          <w:sz w:val="28"/>
          <w:szCs w:val="28"/>
        </w:rPr>
        <w:t>ón de inmuebles y garantías de no repetición</w:t>
      </w:r>
      <w:r w:rsidRPr="00E4401D">
        <w:rPr>
          <w:rStyle w:val="Refdenotaalpie"/>
          <w:rFonts w:ascii="Times New Roman" w:hAnsi="Times New Roman" w:cs="Times New Roman"/>
          <w:color w:val="000000" w:themeColor="text1"/>
          <w:sz w:val="28"/>
          <w:szCs w:val="28"/>
        </w:rPr>
        <w:footnoteReference w:id="85"/>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S</w:t>
      </w:r>
      <w:r w:rsidRPr="00E4401D">
        <w:rPr>
          <w:rFonts w:ascii="Times New Roman" w:hAnsi="Times New Roman" w:cs="Times New Roman"/>
          <w:color w:val="000000" w:themeColor="text1"/>
          <w:sz w:val="28"/>
          <w:szCs w:val="28"/>
        </w:rPr>
        <w:t>e alimenta de diversas fuentes, dentro de las que se destaca</w:t>
      </w:r>
      <w:r w:rsidRPr="00E4401D">
        <w:rPr>
          <w:rFonts w:ascii="Times New Roman" w:hAnsi="Times New Roman" w:cs="Times New Roman"/>
          <w:color w:val="000000" w:themeColor="text1"/>
          <w:sz w:val="28"/>
          <w:szCs w:val="28"/>
        </w:rPr>
        <w:t>n</w:t>
      </w:r>
      <w:r w:rsidRPr="00E4401D">
        <w:rPr>
          <w:rFonts w:ascii="Times New Roman" w:hAnsi="Times New Roman" w:cs="Times New Roman"/>
          <w:color w:val="000000" w:themeColor="text1"/>
          <w:sz w:val="28"/>
          <w:szCs w:val="28"/>
        </w:rPr>
        <w:t xml:space="preserve">: el producto de la </w:t>
      </w:r>
      <w:r w:rsidRPr="00E4401D">
        <w:rPr>
          <w:rFonts w:ascii="Times New Roman" w:hAnsi="Times New Roman" w:cs="Times New Roman"/>
          <w:color w:val="000000" w:themeColor="text1"/>
          <w:sz w:val="28"/>
          <w:szCs w:val="28"/>
        </w:rPr>
        <w:t xml:space="preserve">administración y </w:t>
      </w:r>
      <w:r w:rsidRPr="00E4401D">
        <w:rPr>
          <w:rFonts w:ascii="Times New Roman" w:hAnsi="Times New Roman" w:cs="Times New Roman"/>
          <w:color w:val="000000" w:themeColor="text1"/>
          <w:sz w:val="28"/>
          <w:szCs w:val="28"/>
        </w:rPr>
        <w:t>comercialización de los bienes entregados por los postula</w:t>
      </w:r>
      <w:r w:rsidRPr="00E4401D">
        <w:rPr>
          <w:rFonts w:ascii="Times New Roman" w:hAnsi="Times New Roman" w:cs="Times New Roman"/>
          <w:color w:val="000000" w:themeColor="text1"/>
          <w:sz w:val="28"/>
          <w:szCs w:val="28"/>
        </w:rPr>
        <w:t>dos a</w:t>
      </w:r>
      <w:r w:rsidRPr="00E4401D">
        <w:rPr>
          <w:rFonts w:ascii="Times New Roman" w:hAnsi="Times New Roman" w:cs="Times New Roman"/>
          <w:color w:val="000000" w:themeColor="text1"/>
          <w:sz w:val="28"/>
          <w:szCs w:val="28"/>
        </w:rPr>
        <w:t xml:space="preserve"> Justicia y Paz, los recursos del Presupuesto General de la Nación y los recursos provenientes de los procesos de extinción de dominio que se surtan en virtud de la Ley 793 de 2002. Inicialmente, el Fondo </w:t>
      </w:r>
      <w:r w:rsidRPr="00E4401D">
        <w:rPr>
          <w:rFonts w:ascii="Times New Roman" w:hAnsi="Times New Roman" w:cs="Times New Roman"/>
          <w:color w:val="000000" w:themeColor="text1"/>
          <w:sz w:val="28"/>
          <w:szCs w:val="28"/>
        </w:rPr>
        <w:t>fue</w:t>
      </w:r>
      <w:r w:rsidRPr="00E4401D">
        <w:rPr>
          <w:rFonts w:ascii="Times New Roman" w:hAnsi="Times New Roman" w:cs="Times New Roman"/>
          <w:color w:val="000000" w:themeColor="text1"/>
          <w:sz w:val="28"/>
          <w:szCs w:val="28"/>
        </w:rPr>
        <w:t xml:space="preserve"> administrado por</w:t>
      </w:r>
      <w:r w:rsidRPr="00E4401D">
        <w:rPr>
          <w:rFonts w:ascii="Times New Roman" w:hAnsi="Times New Roman" w:cs="Times New Roman"/>
          <w:color w:val="000000" w:themeColor="text1"/>
          <w:sz w:val="28"/>
          <w:szCs w:val="28"/>
        </w:rPr>
        <w:t xml:space="preserve"> el Departamento Administrativo</w:t>
      </w:r>
      <w:r w:rsidRPr="00E4401D">
        <w:rPr>
          <w:rFonts w:ascii="Times New Roman" w:hAnsi="Times New Roman" w:cs="Times New Roman"/>
          <w:color w:val="000000" w:themeColor="text1"/>
          <w:sz w:val="28"/>
          <w:szCs w:val="28"/>
        </w:rPr>
        <w:t xml:space="preserve"> de </w:t>
      </w:r>
      <w:r w:rsidRPr="00E4401D">
        <w:rPr>
          <w:rFonts w:ascii="Times New Roman" w:hAnsi="Times New Roman" w:cs="Times New Roman"/>
          <w:color w:val="000000" w:themeColor="text1"/>
          <w:sz w:val="28"/>
          <w:szCs w:val="28"/>
        </w:rPr>
        <w:t>Acción Social y en la actualidad está a cargo de la Unidad para la</w:t>
      </w:r>
      <w:r w:rsidRPr="00E4401D">
        <w:rPr>
          <w:rFonts w:ascii="Times New Roman" w:hAnsi="Times New Roman" w:cs="Times New Roman"/>
          <w:color w:val="000000" w:themeColor="text1"/>
          <w:sz w:val="28"/>
          <w:szCs w:val="28"/>
        </w:rPr>
        <w:t xml:space="preserve"> Atención y Reparación Integral a las</w:t>
      </w:r>
      <w:r w:rsidRPr="00E4401D">
        <w:rPr>
          <w:rFonts w:ascii="Times New Roman" w:hAnsi="Times New Roman" w:cs="Times New Roman"/>
          <w:color w:val="000000" w:themeColor="text1"/>
          <w:sz w:val="28"/>
          <w:szCs w:val="28"/>
        </w:rPr>
        <w:t xml:space="preserve"> Víctimas</w:t>
      </w:r>
      <w:r w:rsidRPr="00E4401D">
        <w:rPr>
          <w:rFonts w:ascii="Times New Roman" w:hAnsi="Times New Roman" w:cs="Times New Roman"/>
          <w:color w:val="000000" w:themeColor="text1"/>
          <w:sz w:val="28"/>
          <w:szCs w:val="28"/>
        </w:rPr>
        <w:t xml:space="preserve"> (UARIV)</w:t>
      </w:r>
      <w:r w:rsidRPr="00E4401D">
        <w:rPr>
          <w:rFonts w:ascii="Times New Roman" w:hAnsi="Times New Roman" w:cs="Times New Roman"/>
          <w:color w:val="000000" w:themeColor="text1"/>
          <w:sz w:val="28"/>
          <w:szCs w:val="28"/>
        </w:rPr>
        <w:t>.</w:t>
      </w:r>
    </w:p>
    <w:p w:rsidR="003E6FE7" w:rsidRPr="00E4401D" w:rsidRDefault="00E4401D" w:rsidP="003E6FE7">
      <w:pPr>
        <w:jc w:val="both"/>
        <w:rPr>
          <w:rFonts w:ascii="Times New Roman" w:hAnsi="Times New Roman" w:cs="Times New Roman"/>
          <w:sz w:val="28"/>
          <w:szCs w:val="28"/>
        </w:rPr>
      </w:pPr>
      <w:r w:rsidRPr="00E4401D">
        <w:rPr>
          <w:rFonts w:ascii="Times New Roman" w:hAnsi="Times New Roman" w:cs="Times New Roman"/>
          <w:color w:val="000000" w:themeColor="text1"/>
          <w:sz w:val="28"/>
          <w:szCs w:val="28"/>
        </w:rPr>
        <w:t xml:space="preserve"> </w:t>
      </w:r>
    </w:p>
    <w:p w:rsidR="003E6FE7" w:rsidRPr="00E4401D" w:rsidRDefault="00E4401D" w:rsidP="003E6FE7">
      <w:pPr>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 xml:space="preserve">A través del Decreto 4760 de 2005 el </w:t>
      </w:r>
      <w:r w:rsidRPr="00E4401D">
        <w:rPr>
          <w:rFonts w:ascii="Times New Roman" w:hAnsi="Times New Roman" w:cs="Times New Roman"/>
          <w:color w:val="000000" w:themeColor="text1"/>
          <w:sz w:val="28"/>
          <w:szCs w:val="28"/>
        </w:rPr>
        <w:t>G</w:t>
      </w:r>
      <w:r w:rsidRPr="00E4401D">
        <w:rPr>
          <w:rFonts w:ascii="Times New Roman" w:hAnsi="Times New Roman" w:cs="Times New Roman"/>
          <w:color w:val="000000" w:themeColor="text1"/>
          <w:sz w:val="28"/>
          <w:szCs w:val="28"/>
        </w:rPr>
        <w:t xml:space="preserve">obierno </w:t>
      </w:r>
      <w:r w:rsidRPr="00E4401D">
        <w:rPr>
          <w:rFonts w:ascii="Times New Roman" w:hAnsi="Times New Roman" w:cs="Times New Roman"/>
          <w:color w:val="000000" w:themeColor="text1"/>
          <w:sz w:val="28"/>
          <w:szCs w:val="28"/>
        </w:rPr>
        <w:t xml:space="preserve">nacional </w:t>
      </w:r>
      <w:r w:rsidRPr="00E4401D">
        <w:rPr>
          <w:rFonts w:ascii="Times New Roman" w:hAnsi="Times New Roman" w:cs="Times New Roman"/>
          <w:color w:val="000000" w:themeColor="text1"/>
          <w:sz w:val="28"/>
          <w:szCs w:val="28"/>
        </w:rPr>
        <w:t>estableció algunos mecanismos para la correcta disposición, mantenimiento</w:t>
      </w:r>
      <w:r w:rsidRPr="00E4401D">
        <w:rPr>
          <w:rFonts w:ascii="Times New Roman" w:hAnsi="Times New Roman" w:cs="Times New Roman"/>
          <w:color w:val="000000" w:themeColor="text1"/>
          <w:sz w:val="28"/>
          <w:szCs w:val="28"/>
        </w:rPr>
        <w:t>, conservación y administración de los bienes entregados al Fondo. Por esta razón, le otorgó</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facultades para realizar encargos fiduciarios, contratos con fondos de fiducia,</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contratos de administración</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arrendamiento</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entre otros</w:t>
      </w:r>
      <w:r w:rsidRPr="00E4401D">
        <w:rPr>
          <w:rFonts w:ascii="Times New Roman" w:hAnsi="Times New Roman" w:cs="Times New Roman"/>
          <w:color w:val="000000" w:themeColor="text1"/>
          <w:sz w:val="28"/>
          <w:szCs w:val="28"/>
        </w:rPr>
        <w:t xml:space="preserve"> negocios jurídicos, conforme con las normas de derecho privado</w:t>
      </w:r>
      <w:r w:rsidRPr="00E4401D">
        <w:rPr>
          <w:rStyle w:val="Refdenotaalpie"/>
          <w:rFonts w:ascii="Times New Roman" w:hAnsi="Times New Roman" w:cs="Times New Roman"/>
          <w:color w:val="000000" w:themeColor="text1"/>
          <w:sz w:val="28"/>
          <w:szCs w:val="28"/>
        </w:rPr>
        <w:footnoteReference w:id="86"/>
      </w:r>
      <w:r w:rsidRPr="00E4401D">
        <w:rPr>
          <w:rFonts w:ascii="Times New Roman" w:hAnsi="Times New Roman" w:cs="Times New Roman"/>
          <w:color w:val="000000" w:themeColor="text1"/>
          <w:sz w:val="28"/>
          <w:szCs w:val="28"/>
        </w:rPr>
        <w:t xml:space="preserve">. Sin embargo, según el </w:t>
      </w:r>
      <w:r w:rsidRPr="00E4401D">
        <w:rPr>
          <w:rFonts w:ascii="Times New Roman" w:hAnsi="Times New Roman" w:cs="Times New Roman"/>
          <w:color w:val="000000" w:themeColor="text1"/>
          <w:sz w:val="28"/>
          <w:szCs w:val="28"/>
        </w:rPr>
        <w:t xml:space="preserve">informe </w:t>
      </w:r>
      <w:r w:rsidRPr="00E4401D">
        <w:rPr>
          <w:rFonts w:ascii="Times New Roman" w:hAnsi="Times New Roman" w:cs="Times New Roman"/>
          <w:color w:val="000000" w:themeColor="text1"/>
          <w:sz w:val="28"/>
          <w:szCs w:val="28"/>
        </w:rPr>
        <w:t>de la Contraloría General de la República presentado el 20 de marzo de</w:t>
      </w:r>
      <w:r w:rsidRPr="00E4401D">
        <w:rPr>
          <w:rFonts w:ascii="Times New Roman" w:hAnsi="Times New Roman" w:cs="Times New Roman"/>
          <w:color w:val="000000" w:themeColor="text1"/>
          <w:sz w:val="28"/>
          <w:szCs w:val="28"/>
        </w:rPr>
        <w:t xml:space="preserve"> 2025</w:t>
      </w:r>
      <w:r w:rsidRPr="00E4401D">
        <w:rPr>
          <w:rStyle w:val="Refdenotaalpie"/>
          <w:rFonts w:ascii="Times New Roman" w:hAnsi="Times New Roman" w:cs="Times New Roman"/>
          <w:color w:val="000000" w:themeColor="text1"/>
          <w:sz w:val="28"/>
          <w:szCs w:val="28"/>
        </w:rPr>
        <w:footnoteReference w:id="87"/>
      </w:r>
      <w:r w:rsidRPr="00E4401D">
        <w:rPr>
          <w:rFonts w:ascii="Times New Roman" w:hAnsi="Times New Roman" w:cs="Times New Roman"/>
          <w:color w:val="000000" w:themeColor="text1"/>
          <w:sz w:val="28"/>
          <w:szCs w:val="28"/>
        </w:rPr>
        <w:t>, la comercialización de los bienes de los exparamilitares no se ha materializado de</w:t>
      </w:r>
      <w:r w:rsidRPr="00E4401D">
        <w:rPr>
          <w:rFonts w:ascii="Times New Roman" w:hAnsi="Times New Roman" w:cs="Times New Roman"/>
          <w:color w:val="000000" w:themeColor="text1"/>
          <w:sz w:val="28"/>
          <w:szCs w:val="28"/>
        </w:rPr>
        <w:t xml:space="preserve"> manera efectiva</w:t>
      </w:r>
      <w:r w:rsidRPr="00E4401D">
        <w:rPr>
          <w:rFonts w:ascii="Times New Roman" w:hAnsi="Times New Roman" w:cs="Times New Roman"/>
          <w:color w:val="000000" w:themeColor="text1"/>
          <w:sz w:val="28"/>
          <w:szCs w:val="28"/>
        </w:rPr>
        <w:t xml:space="preserve">, lo </w:t>
      </w:r>
      <w:r w:rsidRPr="00E4401D">
        <w:rPr>
          <w:rFonts w:ascii="Times New Roman" w:hAnsi="Times New Roman" w:cs="Times New Roman"/>
          <w:color w:val="000000" w:themeColor="text1"/>
          <w:sz w:val="28"/>
          <w:szCs w:val="28"/>
        </w:rPr>
        <w:t>que</w:t>
      </w:r>
      <w:r w:rsidRPr="00E4401D">
        <w:rPr>
          <w:rFonts w:ascii="Times New Roman" w:hAnsi="Times New Roman" w:cs="Times New Roman"/>
          <w:color w:val="000000" w:themeColor="text1"/>
          <w:sz w:val="28"/>
          <w:szCs w:val="28"/>
        </w:rPr>
        <w:t xml:space="preserve"> se traduce en la ausencia de recursos suficientes para reparar a las víctimas ya reconocidas en las 83 sentencias ejecutoriadas promulgadas por </w:t>
      </w:r>
      <w:r w:rsidRPr="00E4401D">
        <w:rPr>
          <w:rFonts w:ascii="Times New Roman" w:hAnsi="Times New Roman" w:cs="Times New Roman"/>
          <w:color w:val="000000" w:themeColor="text1"/>
          <w:sz w:val="28"/>
          <w:szCs w:val="28"/>
        </w:rPr>
        <w:t xml:space="preserve">los jueces de </w:t>
      </w:r>
      <w:r w:rsidRPr="00E4401D">
        <w:rPr>
          <w:rFonts w:ascii="Times New Roman" w:hAnsi="Times New Roman" w:cs="Times New Roman"/>
          <w:color w:val="000000" w:themeColor="text1"/>
          <w:sz w:val="28"/>
          <w:szCs w:val="28"/>
        </w:rPr>
        <w:t>Justicia y Paz</w:t>
      </w:r>
      <w:r w:rsidRPr="00E4401D">
        <w:rPr>
          <w:rFonts w:ascii="Times New Roman" w:hAnsi="Times New Roman" w:cs="Times New Roman"/>
          <w:color w:val="000000" w:themeColor="text1"/>
          <w:sz w:val="28"/>
          <w:szCs w:val="28"/>
        </w:rPr>
        <w:t xml:space="preserve">. </w:t>
      </w:r>
    </w:p>
    <w:p w:rsidR="003E6FE7" w:rsidRPr="00E4401D" w:rsidRDefault="00E4401D" w:rsidP="003E6FE7">
      <w:pPr>
        <w:jc w:val="both"/>
        <w:rPr>
          <w:rFonts w:ascii="Times New Roman" w:hAnsi="Times New Roman" w:cs="Times New Roman"/>
          <w:b/>
          <w:bCs/>
          <w:color w:val="000000" w:themeColor="text1"/>
          <w:sz w:val="28"/>
          <w:szCs w:val="28"/>
        </w:rPr>
      </w:pPr>
    </w:p>
    <w:p w:rsidR="003E6FE7" w:rsidRPr="00E4401D" w:rsidRDefault="00E4401D" w:rsidP="003E6FE7">
      <w:pPr>
        <w:ind w:left="-44"/>
        <w:jc w:val="both"/>
        <w:rPr>
          <w:rFonts w:ascii="Times New Roman" w:hAnsi="Times New Roman" w:cs="Times New Roman"/>
          <w:color w:val="000000" w:themeColor="text1"/>
          <w:sz w:val="28"/>
          <w:szCs w:val="28"/>
        </w:rPr>
      </w:pPr>
      <w:r w:rsidRPr="00E4401D">
        <w:rPr>
          <w:rFonts w:ascii="Times New Roman" w:hAnsi="Times New Roman" w:cs="Times New Roman"/>
          <w:i/>
          <w:iCs/>
          <w:color w:val="000000" w:themeColor="text1"/>
          <w:sz w:val="28"/>
          <w:szCs w:val="28"/>
        </w:rPr>
        <w:t>El problema en cifras.</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Según la Contraloría, d</w:t>
      </w:r>
      <w:r w:rsidRPr="00E4401D">
        <w:rPr>
          <w:rFonts w:ascii="Times New Roman" w:hAnsi="Times New Roman" w:cs="Times New Roman"/>
          <w:color w:val="000000" w:themeColor="text1"/>
          <w:sz w:val="28"/>
          <w:szCs w:val="28"/>
        </w:rPr>
        <w:t xml:space="preserve">e los 3.755 bienes registrados por los postulados a Justicia y Paz en el Fondo de Reparación </w:t>
      </w:r>
      <w:r w:rsidRPr="00E4401D">
        <w:rPr>
          <w:rFonts w:ascii="Times New Roman" w:hAnsi="Times New Roman" w:cs="Times New Roman"/>
          <w:color w:val="000000" w:themeColor="text1"/>
          <w:sz w:val="28"/>
          <w:szCs w:val="28"/>
        </w:rPr>
        <w:t>para las</w:t>
      </w:r>
      <w:r w:rsidRPr="00E4401D">
        <w:rPr>
          <w:rFonts w:ascii="Times New Roman" w:hAnsi="Times New Roman" w:cs="Times New Roman"/>
          <w:color w:val="000000" w:themeColor="text1"/>
          <w:sz w:val="28"/>
          <w:szCs w:val="28"/>
        </w:rPr>
        <w:t xml:space="preserve"> Víctimas, </w:t>
      </w:r>
      <w:r w:rsidRPr="00E4401D">
        <w:rPr>
          <w:rFonts w:ascii="Times New Roman" w:hAnsi="Times New Roman" w:cs="Times New Roman"/>
          <w:color w:val="000000" w:themeColor="text1"/>
          <w:sz w:val="28"/>
          <w:szCs w:val="28"/>
        </w:rPr>
        <w:t>por un valor de $24,37 billones constantes de 2024</w:t>
      </w:r>
      <w:r w:rsidRPr="00E4401D">
        <w:rPr>
          <w:rStyle w:val="Refdenotaalpie"/>
          <w:rFonts w:ascii="Times New Roman" w:hAnsi="Times New Roman" w:cs="Times New Roman"/>
          <w:color w:val="000000" w:themeColor="text1"/>
          <w:sz w:val="28"/>
          <w:szCs w:val="28"/>
        </w:rPr>
        <w:footnoteReference w:id="88"/>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solamente 4</w:t>
      </w:r>
      <w:r w:rsidRPr="00E4401D">
        <w:rPr>
          <w:rFonts w:ascii="Times New Roman" w:hAnsi="Times New Roman" w:cs="Times New Roman"/>
          <w:color w:val="000000" w:themeColor="text1"/>
          <w:sz w:val="28"/>
          <w:szCs w:val="28"/>
        </w:rPr>
        <w:t>2</w:t>
      </w:r>
      <w:r w:rsidRPr="00E4401D">
        <w:rPr>
          <w:rFonts w:ascii="Times New Roman" w:hAnsi="Times New Roman" w:cs="Times New Roman"/>
          <w:color w:val="000000" w:themeColor="text1"/>
          <w:sz w:val="28"/>
          <w:szCs w:val="28"/>
        </w:rPr>
        <w:t xml:space="preserve"> han sido monetizados</w:t>
      </w:r>
      <w:r w:rsidRPr="00E4401D">
        <w:rPr>
          <w:rFonts w:ascii="Times New Roman" w:hAnsi="Times New Roman" w:cs="Times New Roman"/>
          <w:color w:val="000000" w:themeColor="text1"/>
          <w:sz w:val="28"/>
          <w:szCs w:val="28"/>
        </w:rPr>
        <w:t>. E</w:t>
      </w:r>
      <w:r w:rsidRPr="00E4401D">
        <w:rPr>
          <w:rFonts w:ascii="Times New Roman" w:hAnsi="Times New Roman" w:cs="Times New Roman"/>
          <w:color w:val="000000" w:themeColor="text1"/>
          <w:sz w:val="28"/>
          <w:szCs w:val="28"/>
        </w:rPr>
        <w:t>sto corresponde al 1,2% de</w:t>
      </w:r>
      <w:r w:rsidRPr="00E4401D">
        <w:rPr>
          <w:rFonts w:ascii="Times New Roman" w:hAnsi="Times New Roman" w:cs="Times New Roman"/>
          <w:color w:val="000000" w:themeColor="text1"/>
          <w:sz w:val="28"/>
          <w:szCs w:val="28"/>
        </w:rPr>
        <w:t>l total de los</w:t>
      </w:r>
      <w:r w:rsidRPr="00E4401D">
        <w:rPr>
          <w:rFonts w:ascii="Times New Roman" w:hAnsi="Times New Roman" w:cs="Times New Roman"/>
          <w:color w:val="000000" w:themeColor="text1"/>
          <w:sz w:val="28"/>
          <w:szCs w:val="28"/>
        </w:rPr>
        <w:t xml:space="preserve"> bienes</w:t>
      </w:r>
      <w:r w:rsidRPr="00E4401D">
        <w:rPr>
          <w:rFonts w:ascii="Times New Roman" w:hAnsi="Times New Roman" w:cs="Times New Roman"/>
          <w:color w:val="000000" w:themeColor="text1"/>
          <w:sz w:val="28"/>
          <w:szCs w:val="28"/>
        </w:rPr>
        <w:t xml:space="preserve"> inmuebl</w:t>
      </w:r>
      <w:r w:rsidRPr="00E4401D">
        <w:rPr>
          <w:rFonts w:ascii="Times New Roman" w:hAnsi="Times New Roman" w:cs="Times New Roman"/>
          <w:color w:val="000000" w:themeColor="text1"/>
          <w:sz w:val="28"/>
          <w:szCs w:val="28"/>
        </w:rPr>
        <w:t>es urbanos y rurales</w:t>
      </w:r>
      <w:r w:rsidRPr="00E4401D">
        <w:rPr>
          <w:rFonts w:ascii="Times New Roman" w:hAnsi="Times New Roman" w:cs="Times New Roman"/>
          <w:color w:val="000000" w:themeColor="text1"/>
          <w:sz w:val="28"/>
          <w:szCs w:val="28"/>
        </w:rPr>
        <w:t xml:space="preserve"> registrados. De acuerdo con el informe, con la comercialización de los bienes solamente se han recaudado $24.114 millones de pesos, cifra que contrasta con las 256.000 víctimas que deberían ser reparadas con estos recursos</w:t>
      </w:r>
      <w:r w:rsidRPr="00E4401D">
        <w:rPr>
          <w:rStyle w:val="Refdenotaalpie"/>
          <w:rFonts w:ascii="Times New Roman" w:hAnsi="Times New Roman" w:cs="Times New Roman"/>
          <w:color w:val="000000" w:themeColor="text1"/>
          <w:sz w:val="28"/>
          <w:szCs w:val="28"/>
        </w:rPr>
        <w:footnoteReference w:id="89"/>
      </w:r>
      <w:r w:rsidRPr="00E4401D">
        <w:rPr>
          <w:rFonts w:ascii="Times New Roman" w:hAnsi="Times New Roman" w:cs="Times New Roman"/>
          <w:color w:val="000000" w:themeColor="text1"/>
          <w:sz w:val="28"/>
          <w:szCs w:val="28"/>
        </w:rPr>
        <w:t xml:space="preserve">. </w:t>
      </w:r>
    </w:p>
    <w:p w:rsidR="003E6FE7" w:rsidRPr="00E4401D" w:rsidRDefault="00E4401D" w:rsidP="003E6FE7">
      <w:pPr>
        <w:ind w:left="-44"/>
        <w:jc w:val="both"/>
        <w:rPr>
          <w:rFonts w:ascii="Times New Roman" w:hAnsi="Times New Roman" w:cs="Times New Roman"/>
          <w:sz w:val="28"/>
          <w:szCs w:val="28"/>
        </w:rPr>
      </w:pPr>
      <w:r w:rsidRPr="00E4401D">
        <w:rPr>
          <w:rFonts w:ascii="Times New Roman" w:hAnsi="Times New Roman" w:cs="Times New Roman"/>
          <w:color w:val="000000" w:themeColor="text1"/>
          <w:sz w:val="28"/>
          <w:szCs w:val="28"/>
        </w:rPr>
        <w:t xml:space="preserve"> </w:t>
      </w:r>
    </w:p>
    <w:p w:rsidR="003E6FE7" w:rsidRPr="00E4401D" w:rsidRDefault="00E4401D" w:rsidP="003E6FE7">
      <w:pPr>
        <w:ind w:left="-44"/>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 xml:space="preserve">El bajo nivel de comercialización de los bienes registrados </w:t>
      </w:r>
      <w:r w:rsidRPr="00E4401D">
        <w:rPr>
          <w:rFonts w:ascii="Times New Roman" w:hAnsi="Times New Roman" w:cs="Times New Roman"/>
          <w:color w:val="000000" w:themeColor="text1"/>
          <w:sz w:val="28"/>
          <w:szCs w:val="28"/>
        </w:rPr>
        <w:t xml:space="preserve">se ha traducido en la desfinanciación del Fondo </w:t>
      </w:r>
      <w:r w:rsidRPr="00E4401D">
        <w:rPr>
          <w:rFonts w:ascii="Times New Roman" w:hAnsi="Times New Roman" w:cs="Times New Roman"/>
          <w:color w:val="000000" w:themeColor="text1"/>
          <w:sz w:val="28"/>
          <w:szCs w:val="28"/>
        </w:rPr>
        <w:t xml:space="preserve">y </w:t>
      </w:r>
      <w:r w:rsidRPr="00E4401D">
        <w:rPr>
          <w:rFonts w:ascii="Times New Roman" w:hAnsi="Times New Roman" w:cs="Times New Roman"/>
          <w:color w:val="000000" w:themeColor="text1"/>
          <w:sz w:val="28"/>
          <w:szCs w:val="28"/>
        </w:rPr>
        <w:t xml:space="preserve">ha significado que </w:t>
      </w:r>
      <w:r w:rsidRPr="00E4401D">
        <w:rPr>
          <w:rFonts w:ascii="Times New Roman" w:hAnsi="Times New Roman" w:cs="Times New Roman"/>
          <w:color w:val="000000" w:themeColor="text1"/>
          <w:sz w:val="28"/>
          <w:szCs w:val="28"/>
        </w:rPr>
        <w:t xml:space="preserve">se </w:t>
      </w:r>
      <w:r w:rsidRPr="00E4401D">
        <w:rPr>
          <w:rFonts w:ascii="Times New Roman" w:hAnsi="Times New Roman" w:cs="Times New Roman"/>
          <w:color w:val="000000" w:themeColor="text1"/>
          <w:sz w:val="28"/>
          <w:szCs w:val="28"/>
        </w:rPr>
        <w:t>acud</w:t>
      </w:r>
      <w:r w:rsidRPr="00E4401D">
        <w:rPr>
          <w:rFonts w:ascii="Times New Roman" w:hAnsi="Times New Roman" w:cs="Times New Roman"/>
          <w:color w:val="000000" w:themeColor="text1"/>
          <w:sz w:val="28"/>
          <w:szCs w:val="28"/>
        </w:rPr>
        <w:t>a</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principalmente</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a recursos del Presupuesto General de la Nación para pagar </w:t>
      </w:r>
      <w:r w:rsidRPr="00E4401D">
        <w:rPr>
          <w:rFonts w:ascii="Times New Roman" w:hAnsi="Times New Roman" w:cs="Times New Roman"/>
          <w:color w:val="000000" w:themeColor="text1"/>
          <w:sz w:val="28"/>
          <w:szCs w:val="28"/>
        </w:rPr>
        <w:t>algunas</w:t>
      </w:r>
      <w:r w:rsidRPr="00E4401D">
        <w:rPr>
          <w:rFonts w:ascii="Times New Roman" w:hAnsi="Times New Roman" w:cs="Times New Roman"/>
          <w:color w:val="000000" w:themeColor="text1"/>
          <w:sz w:val="28"/>
          <w:szCs w:val="28"/>
        </w:rPr>
        <w:t xml:space="preserve"> reparaciones. </w:t>
      </w:r>
      <w:r w:rsidRPr="00E4401D">
        <w:rPr>
          <w:rFonts w:ascii="Times New Roman" w:hAnsi="Times New Roman" w:cs="Times New Roman"/>
          <w:color w:val="000000" w:themeColor="text1"/>
          <w:sz w:val="28"/>
          <w:szCs w:val="28"/>
        </w:rPr>
        <w:t>Según</w:t>
      </w:r>
      <w:r w:rsidRPr="00E4401D">
        <w:rPr>
          <w:rFonts w:ascii="Times New Roman" w:hAnsi="Times New Roman" w:cs="Times New Roman"/>
          <w:color w:val="000000" w:themeColor="text1"/>
          <w:sz w:val="28"/>
          <w:szCs w:val="28"/>
        </w:rPr>
        <w:t xml:space="preserve"> la Contraloría, en el periodo </w:t>
      </w:r>
      <w:r w:rsidRPr="00E4401D">
        <w:rPr>
          <w:rFonts w:ascii="Times New Roman" w:hAnsi="Times New Roman" w:cs="Times New Roman"/>
          <w:color w:val="000000" w:themeColor="text1"/>
          <w:sz w:val="28"/>
          <w:szCs w:val="28"/>
        </w:rPr>
        <w:t xml:space="preserve">comprendido entre </w:t>
      </w:r>
      <w:r w:rsidRPr="00E4401D">
        <w:rPr>
          <w:rFonts w:ascii="Times New Roman" w:hAnsi="Times New Roman" w:cs="Times New Roman"/>
          <w:color w:val="000000" w:themeColor="text1"/>
          <w:sz w:val="28"/>
          <w:szCs w:val="28"/>
        </w:rPr>
        <w:t xml:space="preserve">2012 </w:t>
      </w:r>
      <w:r w:rsidRPr="00E4401D">
        <w:rPr>
          <w:rFonts w:ascii="Times New Roman" w:hAnsi="Times New Roman" w:cs="Times New Roman"/>
          <w:color w:val="000000" w:themeColor="text1"/>
          <w:sz w:val="28"/>
          <w:szCs w:val="28"/>
        </w:rPr>
        <w:t>y</w:t>
      </w:r>
      <w:r w:rsidRPr="00E4401D">
        <w:rPr>
          <w:rFonts w:ascii="Times New Roman" w:hAnsi="Times New Roman" w:cs="Times New Roman"/>
          <w:color w:val="000000" w:themeColor="text1"/>
          <w:sz w:val="28"/>
          <w:szCs w:val="28"/>
        </w:rPr>
        <w:t xml:space="preserve"> junio de 2024, el </w:t>
      </w:r>
      <w:r w:rsidRPr="00E4401D">
        <w:rPr>
          <w:rFonts w:ascii="Times New Roman" w:hAnsi="Times New Roman" w:cs="Times New Roman"/>
          <w:color w:val="000000" w:themeColor="text1"/>
          <w:sz w:val="28"/>
          <w:szCs w:val="28"/>
        </w:rPr>
        <w:t>F</w:t>
      </w:r>
      <w:r w:rsidRPr="00E4401D">
        <w:rPr>
          <w:rFonts w:ascii="Times New Roman" w:hAnsi="Times New Roman" w:cs="Times New Roman"/>
          <w:color w:val="000000" w:themeColor="text1"/>
          <w:sz w:val="28"/>
          <w:szCs w:val="28"/>
        </w:rPr>
        <w:t xml:space="preserve">ondo realizó 48.131 pagos de indemnización por órdenes </w:t>
      </w:r>
      <w:r w:rsidRPr="00E4401D">
        <w:rPr>
          <w:rFonts w:ascii="Times New Roman" w:hAnsi="Times New Roman" w:cs="Times New Roman"/>
          <w:color w:val="000000" w:themeColor="text1"/>
          <w:sz w:val="28"/>
          <w:szCs w:val="28"/>
        </w:rPr>
        <w:t>j</w:t>
      </w:r>
      <w:r w:rsidRPr="00E4401D">
        <w:rPr>
          <w:rFonts w:ascii="Times New Roman" w:hAnsi="Times New Roman" w:cs="Times New Roman"/>
          <w:color w:val="000000" w:themeColor="text1"/>
          <w:sz w:val="28"/>
          <w:szCs w:val="28"/>
        </w:rPr>
        <w:t>udiciales, que beneficiaron a 29.862 víctimas</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por valor de $1,19 billones constantes a junio de 2024</w:t>
      </w:r>
      <w:r w:rsidRPr="00E4401D">
        <w:rPr>
          <w:rFonts w:ascii="Times New Roman" w:hAnsi="Times New Roman" w:cs="Times New Roman"/>
          <w:color w:val="000000" w:themeColor="text1"/>
          <w:sz w:val="28"/>
          <w:szCs w:val="28"/>
        </w:rPr>
        <w:t>. E</w:t>
      </w:r>
      <w:r w:rsidRPr="00E4401D">
        <w:rPr>
          <w:rFonts w:ascii="Times New Roman" w:hAnsi="Times New Roman" w:cs="Times New Roman"/>
          <w:color w:val="000000" w:themeColor="text1"/>
          <w:sz w:val="28"/>
          <w:szCs w:val="28"/>
        </w:rPr>
        <w:t>l 95,53% corresponden</w:t>
      </w:r>
      <w:r w:rsidRPr="00E4401D">
        <w:rPr>
          <w:rFonts w:ascii="Times New Roman" w:hAnsi="Times New Roman" w:cs="Times New Roman"/>
          <w:color w:val="000000" w:themeColor="text1"/>
          <w:sz w:val="28"/>
          <w:szCs w:val="28"/>
        </w:rPr>
        <w:t xml:space="preserve"> a pagos realizados con recursos del Presupuesto General de la Nación, 4,02% a recursos propios (que se derivan de la administración y enajenación de los bienes</w:t>
      </w:r>
      <w:r w:rsidRPr="00E4401D">
        <w:rPr>
          <w:rFonts w:ascii="Times New Roman" w:hAnsi="Times New Roman" w:cs="Times New Roman"/>
          <w:color w:val="000000" w:themeColor="text1"/>
          <w:sz w:val="28"/>
          <w:szCs w:val="28"/>
        </w:rPr>
        <w:t xml:space="preserve"> de los postulados</w:t>
      </w:r>
      <w:r w:rsidRPr="00E4401D">
        <w:rPr>
          <w:rFonts w:ascii="Times New Roman" w:hAnsi="Times New Roman" w:cs="Times New Roman"/>
          <w:color w:val="000000" w:themeColor="text1"/>
          <w:sz w:val="28"/>
          <w:szCs w:val="28"/>
        </w:rPr>
        <w:t xml:space="preserve">) y el 0,44% a pagos con recursos del Fondo Para </w:t>
      </w:r>
      <w:r w:rsidRPr="00E4401D">
        <w:rPr>
          <w:rFonts w:ascii="Times New Roman" w:hAnsi="Times New Roman" w:cs="Times New Roman"/>
          <w:color w:val="000000" w:themeColor="text1"/>
          <w:sz w:val="28"/>
          <w:szCs w:val="28"/>
        </w:rPr>
        <w:t>l</w:t>
      </w:r>
      <w:r w:rsidRPr="00E4401D">
        <w:rPr>
          <w:rFonts w:ascii="Times New Roman" w:hAnsi="Times New Roman" w:cs="Times New Roman"/>
          <w:color w:val="000000" w:themeColor="text1"/>
          <w:sz w:val="28"/>
          <w:szCs w:val="28"/>
        </w:rPr>
        <w:t xml:space="preserve">a Rehabilitación, Inversión </w:t>
      </w:r>
      <w:r w:rsidRPr="00E4401D">
        <w:rPr>
          <w:rFonts w:ascii="Times New Roman" w:hAnsi="Times New Roman" w:cs="Times New Roman"/>
          <w:color w:val="000000" w:themeColor="text1"/>
          <w:sz w:val="28"/>
          <w:szCs w:val="28"/>
        </w:rPr>
        <w:t>Social y Lucha Contra el Crimen Organizado – FRISCO</w:t>
      </w:r>
      <w:r w:rsidRPr="00E4401D">
        <w:rPr>
          <w:rStyle w:val="Refdenotaalpie"/>
          <w:rFonts w:ascii="Times New Roman" w:hAnsi="Times New Roman" w:cs="Times New Roman"/>
          <w:color w:val="000000" w:themeColor="text1"/>
          <w:sz w:val="28"/>
          <w:szCs w:val="28"/>
        </w:rPr>
        <w:footnoteReference w:id="90"/>
      </w:r>
      <w:r w:rsidRPr="00E4401D">
        <w:rPr>
          <w:rFonts w:ascii="Times New Roman" w:hAnsi="Times New Roman" w:cs="Times New Roman"/>
          <w:color w:val="000000" w:themeColor="text1"/>
          <w:sz w:val="28"/>
          <w:szCs w:val="28"/>
        </w:rPr>
        <w:t xml:space="preserve">. Es importante anotar que la idea detrás de la creación del </w:t>
      </w:r>
      <w:r w:rsidRPr="00E4401D">
        <w:rPr>
          <w:rFonts w:ascii="Times New Roman" w:hAnsi="Times New Roman" w:cs="Times New Roman"/>
          <w:color w:val="000000" w:themeColor="text1"/>
          <w:sz w:val="28"/>
          <w:szCs w:val="28"/>
        </w:rPr>
        <w:t xml:space="preserve">aludido </w:t>
      </w:r>
      <w:r w:rsidRPr="00E4401D">
        <w:rPr>
          <w:rFonts w:ascii="Times New Roman" w:hAnsi="Times New Roman" w:cs="Times New Roman"/>
          <w:color w:val="000000" w:themeColor="text1"/>
          <w:sz w:val="28"/>
          <w:szCs w:val="28"/>
        </w:rPr>
        <w:t>Fondo era que las indemnizaciones se pagaran con cargo a la monetización de bienes y, subsidiariamente, con recursos del Presupuesto Ge</w:t>
      </w:r>
      <w:r w:rsidRPr="00E4401D">
        <w:rPr>
          <w:rFonts w:ascii="Times New Roman" w:hAnsi="Times New Roman" w:cs="Times New Roman"/>
          <w:color w:val="000000" w:themeColor="text1"/>
          <w:sz w:val="28"/>
          <w:szCs w:val="28"/>
        </w:rPr>
        <w:t xml:space="preserve">neral de la Nación, lo que no está ocurriendo debido a las dificultades que existen para </w:t>
      </w:r>
      <w:r w:rsidRPr="00E4401D">
        <w:rPr>
          <w:rFonts w:ascii="Times New Roman" w:hAnsi="Times New Roman" w:cs="Times New Roman"/>
          <w:color w:val="000000" w:themeColor="text1"/>
          <w:sz w:val="28"/>
          <w:szCs w:val="28"/>
        </w:rPr>
        <w:t>la</w:t>
      </w:r>
      <w:r w:rsidRPr="00E4401D">
        <w:rPr>
          <w:rFonts w:ascii="Times New Roman" w:hAnsi="Times New Roman" w:cs="Times New Roman"/>
          <w:color w:val="000000" w:themeColor="text1"/>
          <w:sz w:val="28"/>
          <w:szCs w:val="28"/>
        </w:rPr>
        <w:t xml:space="preserve"> comercialización</w:t>
      </w:r>
      <w:r w:rsidRPr="00E4401D">
        <w:rPr>
          <w:rFonts w:ascii="Times New Roman" w:hAnsi="Times New Roman" w:cs="Times New Roman"/>
          <w:color w:val="000000" w:themeColor="text1"/>
          <w:sz w:val="28"/>
          <w:szCs w:val="28"/>
        </w:rPr>
        <w:t xml:space="preserve"> de </w:t>
      </w:r>
      <w:r w:rsidRPr="00E4401D">
        <w:rPr>
          <w:rFonts w:ascii="Times New Roman" w:hAnsi="Times New Roman" w:cs="Times New Roman"/>
          <w:color w:val="000000" w:themeColor="text1"/>
          <w:sz w:val="28"/>
          <w:szCs w:val="28"/>
        </w:rPr>
        <w:t>aquellos</w:t>
      </w:r>
      <w:r w:rsidRPr="00E4401D">
        <w:rPr>
          <w:rFonts w:ascii="Times New Roman" w:hAnsi="Times New Roman" w:cs="Times New Roman"/>
          <w:color w:val="000000" w:themeColor="text1"/>
          <w:sz w:val="28"/>
          <w:szCs w:val="28"/>
        </w:rPr>
        <w:t>.</w:t>
      </w:r>
    </w:p>
    <w:p w:rsidR="003E6FE7" w:rsidRPr="00E4401D" w:rsidRDefault="00E4401D" w:rsidP="003E6FE7">
      <w:pPr>
        <w:jc w:val="both"/>
        <w:rPr>
          <w:rFonts w:ascii="Times New Roman" w:hAnsi="Times New Roman" w:cs="Times New Roman"/>
          <w:color w:val="000000" w:themeColor="text1"/>
          <w:sz w:val="28"/>
          <w:szCs w:val="28"/>
        </w:rPr>
      </w:pPr>
    </w:p>
    <w:p w:rsidR="003E6FE7" w:rsidRPr="00E4401D" w:rsidRDefault="00E4401D" w:rsidP="003E6FE7">
      <w:pPr>
        <w:ind w:left="-44"/>
        <w:jc w:val="both"/>
        <w:rPr>
          <w:rFonts w:ascii="Times New Roman" w:hAnsi="Times New Roman" w:cs="Times New Roman"/>
          <w:color w:val="000000" w:themeColor="text1"/>
          <w:sz w:val="28"/>
          <w:szCs w:val="28"/>
        </w:rPr>
      </w:pPr>
      <w:r w:rsidRPr="00E4401D">
        <w:rPr>
          <w:rFonts w:ascii="Times New Roman" w:hAnsi="Times New Roman" w:cs="Times New Roman"/>
          <w:i/>
          <w:iCs/>
          <w:color w:val="000000" w:themeColor="text1"/>
          <w:sz w:val="28"/>
          <w:szCs w:val="28"/>
        </w:rPr>
        <w:t>Las causas de la problemática</w:t>
      </w:r>
      <w:r w:rsidRPr="00E4401D">
        <w:rPr>
          <w:rFonts w:ascii="Times New Roman" w:hAnsi="Times New Roman" w:cs="Times New Roman"/>
          <w:b/>
          <w:bCs/>
          <w:color w:val="000000" w:themeColor="text1"/>
          <w:sz w:val="28"/>
          <w:szCs w:val="28"/>
        </w:rPr>
        <w:t xml:space="preserve">. </w:t>
      </w:r>
      <w:r w:rsidRPr="00E4401D">
        <w:rPr>
          <w:rFonts w:ascii="Times New Roman" w:hAnsi="Times New Roman" w:cs="Times New Roman"/>
          <w:color w:val="000000" w:themeColor="text1"/>
          <w:sz w:val="28"/>
          <w:szCs w:val="28"/>
        </w:rPr>
        <w:t xml:space="preserve">Una barrera importante para la comercialización de los bienes es la imposibilidad de proceder a </w:t>
      </w:r>
      <w:r w:rsidRPr="00E4401D">
        <w:rPr>
          <w:rFonts w:ascii="Times New Roman" w:hAnsi="Times New Roman" w:cs="Times New Roman"/>
          <w:color w:val="000000" w:themeColor="text1"/>
          <w:sz w:val="28"/>
          <w:szCs w:val="28"/>
        </w:rPr>
        <w:t>su</w:t>
      </w:r>
      <w:r w:rsidRPr="00E4401D">
        <w:rPr>
          <w:rFonts w:ascii="Times New Roman" w:hAnsi="Times New Roman" w:cs="Times New Roman"/>
          <w:color w:val="000000" w:themeColor="text1"/>
          <w:sz w:val="28"/>
          <w:szCs w:val="28"/>
        </w:rPr>
        <w:t xml:space="preserve"> venta hasta tanto se profiera sentencia condenatoria y se extinga el dominio. Esto se fundamenta en el artículo 24 de la Ley 9</w:t>
      </w:r>
      <w:r w:rsidRPr="00E4401D">
        <w:rPr>
          <w:rFonts w:ascii="Times New Roman" w:hAnsi="Times New Roman" w:cs="Times New Roman"/>
          <w:color w:val="000000" w:themeColor="text1"/>
          <w:sz w:val="28"/>
          <w:szCs w:val="28"/>
        </w:rPr>
        <w:t>7</w:t>
      </w:r>
      <w:r w:rsidRPr="00E4401D">
        <w:rPr>
          <w:rFonts w:ascii="Times New Roman" w:hAnsi="Times New Roman" w:cs="Times New Roman"/>
          <w:color w:val="000000" w:themeColor="text1"/>
          <w:sz w:val="28"/>
          <w:szCs w:val="28"/>
        </w:rPr>
        <w:t>5</w:t>
      </w:r>
      <w:r w:rsidRPr="00E4401D">
        <w:rPr>
          <w:rFonts w:ascii="Times New Roman" w:hAnsi="Times New Roman" w:cs="Times New Roman"/>
          <w:color w:val="000000" w:themeColor="text1"/>
          <w:sz w:val="28"/>
          <w:szCs w:val="28"/>
        </w:rPr>
        <w:t xml:space="preserve"> de 2005</w:t>
      </w:r>
      <w:r w:rsidRPr="00E4401D">
        <w:rPr>
          <w:rFonts w:ascii="Times New Roman" w:hAnsi="Times New Roman" w:cs="Times New Roman"/>
          <w:color w:val="000000" w:themeColor="text1"/>
          <w:sz w:val="28"/>
          <w:szCs w:val="28"/>
        </w:rPr>
        <w:t xml:space="preserve"> según el cual la sentencia condenatoria en los procesos de Justicia y Paz debe, además de fijar las penas principales,</w:t>
      </w:r>
      <w:r w:rsidRPr="00E4401D">
        <w:rPr>
          <w:rFonts w:ascii="Times New Roman" w:hAnsi="Times New Roman" w:cs="Times New Roman"/>
          <w:color w:val="000000" w:themeColor="text1"/>
          <w:sz w:val="28"/>
          <w:szCs w:val="28"/>
        </w:rPr>
        <w:t xml:space="preserve"> accesorias y alternativas, definir “</w:t>
      </w:r>
      <w:r w:rsidRPr="00E4401D">
        <w:rPr>
          <w:rFonts w:ascii="Times New Roman" w:hAnsi="Times New Roman" w:cs="Times New Roman"/>
          <w:sz w:val="28"/>
          <w:szCs w:val="28"/>
        </w:rPr>
        <w:t>las obligaciones de reparación moral y económica a las víctimas y la extinción del dominio de los bienes que se destinarán a la reparación”.</w:t>
      </w:r>
      <w:r w:rsidRPr="00E4401D">
        <w:rPr>
          <w:rFonts w:ascii="Times New Roman" w:hAnsi="Times New Roman" w:cs="Times New Roman"/>
          <w:color w:val="000000" w:themeColor="text1"/>
          <w:sz w:val="28"/>
          <w:szCs w:val="28"/>
        </w:rPr>
        <w:t xml:space="preserve"> Dada la larga duración de estos procesos</w:t>
      </w:r>
      <w:r w:rsidRPr="00E4401D">
        <w:rPr>
          <w:rFonts w:ascii="Times New Roman" w:hAnsi="Times New Roman" w:cs="Times New Roman"/>
          <w:color w:val="000000" w:themeColor="text1"/>
          <w:sz w:val="28"/>
          <w:szCs w:val="28"/>
        </w:rPr>
        <w:t xml:space="preserve"> y </w:t>
      </w:r>
      <w:r w:rsidRPr="00E4401D">
        <w:rPr>
          <w:rFonts w:ascii="Times New Roman" w:hAnsi="Times New Roman" w:cs="Times New Roman"/>
          <w:color w:val="000000" w:themeColor="text1"/>
          <w:sz w:val="28"/>
          <w:szCs w:val="28"/>
        </w:rPr>
        <w:t>el</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alto</w:t>
      </w:r>
      <w:r w:rsidRPr="00E4401D">
        <w:rPr>
          <w:rFonts w:ascii="Times New Roman" w:hAnsi="Times New Roman" w:cs="Times New Roman"/>
          <w:color w:val="000000" w:themeColor="text1"/>
          <w:sz w:val="28"/>
          <w:szCs w:val="28"/>
        </w:rPr>
        <w:t xml:space="preserve"> índice de congestión</w:t>
      </w:r>
      <w:r w:rsidRPr="00E4401D">
        <w:rPr>
          <w:rFonts w:ascii="Times New Roman" w:hAnsi="Times New Roman" w:cs="Times New Roman"/>
          <w:color w:val="000000" w:themeColor="text1"/>
          <w:sz w:val="28"/>
          <w:szCs w:val="28"/>
        </w:rPr>
        <w:t xml:space="preserve"> judici</w:t>
      </w:r>
      <w:r w:rsidRPr="00E4401D">
        <w:rPr>
          <w:rFonts w:ascii="Times New Roman" w:hAnsi="Times New Roman" w:cs="Times New Roman"/>
          <w:color w:val="000000" w:themeColor="text1"/>
          <w:sz w:val="28"/>
          <w:szCs w:val="28"/>
        </w:rPr>
        <w:t>al</w:t>
      </w:r>
      <w:r w:rsidRPr="00E4401D">
        <w:rPr>
          <w:rFonts w:ascii="Times New Roman" w:hAnsi="Times New Roman" w:cs="Times New Roman"/>
          <w:color w:val="000000" w:themeColor="text1"/>
          <w:sz w:val="28"/>
          <w:szCs w:val="28"/>
        </w:rPr>
        <w:t xml:space="preserve"> efectiva</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el cual para 2023 fue de</w:t>
      </w:r>
      <w:r w:rsidRPr="00E4401D">
        <w:rPr>
          <w:rFonts w:ascii="Times New Roman" w:hAnsi="Times New Roman" w:cs="Times New Roman"/>
          <w:color w:val="000000" w:themeColor="text1"/>
          <w:sz w:val="28"/>
          <w:szCs w:val="28"/>
        </w:rPr>
        <w:t>l</w:t>
      </w:r>
      <w:r w:rsidRPr="00E4401D">
        <w:rPr>
          <w:rFonts w:ascii="Times New Roman" w:hAnsi="Times New Roman" w:cs="Times New Roman"/>
          <w:color w:val="000000" w:themeColor="text1"/>
          <w:sz w:val="28"/>
          <w:szCs w:val="28"/>
        </w:rPr>
        <w:t xml:space="preserve"> 54,91%</w:t>
      </w:r>
      <w:r w:rsidRPr="00E4401D">
        <w:rPr>
          <w:rStyle w:val="Refdenotaalpie"/>
          <w:rFonts w:ascii="Times New Roman" w:hAnsi="Times New Roman" w:cs="Times New Roman"/>
          <w:color w:val="000000" w:themeColor="text1"/>
          <w:sz w:val="28"/>
          <w:szCs w:val="28"/>
        </w:rPr>
        <w:footnoteReference w:id="91"/>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en la práctica son pocos los bienes que pueden monetizarse</w:t>
      </w:r>
      <w:r w:rsidRPr="00E4401D">
        <w:rPr>
          <w:rStyle w:val="Refdenotaalpie"/>
          <w:rFonts w:ascii="Times New Roman" w:hAnsi="Times New Roman" w:cs="Times New Roman"/>
          <w:color w:val="000000" w:themeColor="text1"/>
          <w:sz w:val="28"/>
          <w:szCs w:val="28"/>
        </w:rPr>
        <w:footnoteReference w:id="92"/>
      </w:r>
      <w:r w:rsidRPr="00E4401D">
        <w:rPr>
          <w:rFonts w:ascii="Times New Roman" w:hAnsi="Times New Roman" w:cs="Times New Roman"/>
          <w:color w:val="000000" w:themeColor="text1"/>
          <w:sz w:val="28"/>
          <w:szCs w:val="28"/>
        </w:rPr>
        <w:t xml:space="preserve">. </w:t>
      </w:r>
    </w:p>
    <w:p w:rsidR="006D386A" w:rsidRPr="00E4401D" w:rsidRDefault="00E4401D" w:rsidP="003E6FE7">
      <w:pPr>
        <w:ind w:left="-44"/>
        <w:jc w:val="both"/>
        <w:rPr>
          <w:rFonts w:ascii="Times New Roman" w:hAnsi="Times New Roman" w:cs="Times New Roman"/>
          <w:color w:val="000000" w:themeColor="text1"/>
          <w:sz w:val="28"/>
          <w:szCs w:val="28"/>
        </w:rPr>
      </w:pPr>
    </w:p>
    <w:p w:rsidR="006D386A" w:rsidRPr="00E4401D" w:rsidRDefault="00E4401D" w:rsidP="003E6FE7">
      <w:pPr>
        <w:ind w:left="-44"/>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 xml:space="preserve">Además, existe incertidumbre sobre la posibilidad de enajenar tempranamente los bienes. Es decir, no hay una normativa clara que establezca que el Fondo </w:t>
      </w:r>
      <w:r w:rsidRPr="00E4401D">
        <w:rPr>
          <w:rFonts w:ascii="Times New Roman" w:hAnsi="Times New Roman" w:cs="Times New Roman"/>
          <w:color w:val="000000" w:themeColor="text1"/>
          <w:sz w:val="28"/>
          <w:szCs w:val="28"/>
        </w:rPr>
        <w:t>puede</w:t>
      </w:r>
      <w:r w:rsidRPr="00E4401D">
        <w:rPr>
          <w:rFonts w:ascii="Times New Roman" w:hAnsi="Times New Roman" w:cs="Times New Roman"/>
          <w:color w:val="000000" w:themeColor="text1"/>
          <w:sz w:val="28"/>
          <w:szCs w:val="28"/>
        </w:rPr>
        <w:t xml:space="preserve"> llevar a cabo</w:t>
      </w:r>
      <w:r w:rsidRPr="00E4401D">
        <w:rPr>
          <w:rFonts w:ascii="Times New Roman" w:hAnsi="Times New Roman" w:cs="Times New Roman"/>
          <w:color w:val="000000" w:themeColor="text1"/>
          <w:sz w:val="28"/>
          <w:szCs w:val="28"/>
        </w:rPr>
        <w:t xml:space="preserve"> estas enajenaciones, contrario a lo que sí sucede en el caso de la Sociedad de Acti</w:t>
      </w:r>
      <w:r w:rsidRPr="00E4401D">
        <w:rPr>
          <w:rFonts w:ascii="Times New Roman" w:hAnsi="Times New Roman" w:cs="Times New Roman"/>
          <w:color w:val="000000" w:themeColor="text1"/>
          <w:sz w:val="28"/>
          <w:szCs w:val="28"/>
        </w:rPr>
        <w:t xml:space="preserve">vos Especiales (SAE). </w:t>
      </w:r>
      <w:r w:rsidRPr="00E4401D">
        <w:rPr>
          <w:rFonts w:ascii="Times New Roman" w:hAnsi="Times New Roman" w:cs="Times New Roman"/>
          <w:color w:val="000000" w:themeColor="text1"/>
          <w:sz w:val="28"/>
          <w:szCs w:val="28"/>
        </w:rPr>
        <w:t xml:space="preserve">En efecto, el </w:t>
      </w:r>
      <w:r w:rsidRPr="00E4401D">
        <w:rPr>
          <w:rFonts w:ascii="Times New Roman" w:hAnsi="Times New Roman" w:cs="Times New Roman"/>
          <w:color w:val="000000" w:themeColor="text1"/>
          <w:sz w:val="28"/>
          <w:szCs w:val="28"/>
        </w:rPr>
        <w:t xml:space="preserve">artículo </w:t>
      </w:r>
      <w:r w:rsidRPr="00E4401D">
        <w:rPr>
          <w:rFonts w:ascii="Times New Roman" w:hAnsi="Times New Roman" w:cs="Times New Roman"/>
          <w:color w:val="000000" w:themeColor="text1"/>
          <w:sz w:val="28"/>
          <w:szCs w:val="28"/>
        </w:rPr>
        <w:t xml:space="preserve">93 de la Ley 1708 de 2014 </w:t>
      </w:r>
      <w:r w:rsidRPr="00E4401D">
        <w:rPr>
          <w:rFonts w:ascii="Times New Roman" w:hAnsi="Times New Roman" w:cs="Times New Roman"/>
          <w:color w:val="000000" w:themeColor="text1"/>
          <w:sz w:val="28"/>
          <w:szCs w:val="28"/>
        </w:rPr>
        <w:t>establece que la SAE deberá enajenar tempranamente los bienes con medidas cautelares dentro del proceso de extinción de dominio cuando se presentan algunos supuestos de hechos como, por</w:t>
      </w:r>
      <w:r w:rsidRPr="00E4401D">
        <w:rPr>
          <w:rFonts w:ascii="Times New Roman" w:hAnsi="Times New Roman" w:cs="Times New Roman"/>
          <w:color w:val="000000" w:themeColor="text1"/>
          <w:sz w:val="28"/>
          <w:szCs w:val="28"/>
        </w:rPr>
        <w:t xml:space="preserve"> ejemplo, cuando haya amenaza de ruina</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pérdida o deterioro de</w:t>
      </w:r>
      <w:r w:rsidRPr="00E4401D">
        <w:rPr>
          <w:rFonts w:ascii="Times New Roman" w:hAnsi="Times New Roman" w:cs="Times New Roman"/>
          <w:color w:val="000000" w:themeColor="text1"/>
          <w:sz w:val="28"/>
          <w:szCs w:val="28"/>
        </w:rPr>
        <w:t xml:space="preserve"> los</w:t>
      </w:r>
      <w:r w:rsidRPr="00E4401D">
        <w:rPr>
          <w:rFonts w:ascii="Times New Roman" w:hAnsi="Times New Roman" w:cs="Times New Roman"/>
          <w:color w:val="000000" w:themeColor="text1"/>
          <w:sz w:val="28"/>
          <w:szCs w:val="28"/>
        </w:rPr>
        <w:t xml:space="preserve"> bien</w:t>
      </w:r>
      <w:r w:rsidRPr="00E4401D">
        <w:rPr>
          <w:rFonts w:ascii="Times New Roman" w:hAnsi="Times New Roman" w:cs="Times New Roman"/>
          <w:color w:val="000000" w:themeColor="text1"/>
          <w:sz w:val="28"/>
          <w:szCs w:val="28"/>
        </w:rPr>
        <w:t>es</w:t>
      </w:r>
      <w:r w:rsidRPr="00E4401D">
        <w:rPr>
          <w:rFonts w:ascii="Times New Roman" w:hAnsi="Times New Roman" w:cs="Times New Roman"/>
          <w:color w:val="000000" w:themeColor="text1"/>
          <w:sz w:val="28"/>
          <w:szCs w:val="28"/>
        </w:rPr>
        <w:t xml:space="preserve">, cuando </w:t>
      </w:r>
      <w:r w:rsidRPr="00E4401D">
        <w:rPr>
          <w:rFonts w:ascii="Times New Roman" w:hAnsi="Times New Roman" w:cs="Times New Roman"/>
          <w:color w:val="000000" w:themeColor="text1"/>
          <w:sz w:val="28"/>
          <w:szCs w:val="28"/>
        </w:rPr>
        <w:t>las condiciones de seguridad impliquen la imposibilidad de administración de los mismos, o cuando los bienes hayan sido administrados por más de cinco años.</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En contraste</w:t>
      </w:r>
      <w:r w:rsidRPr="00E4401D">
        <w:rPr>
          <w:rFonts w:ascii="Times New Roman" w:hAnsi="Times New Roman" w:cs="Times New Roman"/>
          <w:color w:val="000000" w:themeColor="text1"/>
          <w:sz w:val="28"/>
          <w:szCs w:val="28"/>
        </w:rPr>
        <w:t>, n</w:t>
      </w:r>
      <w:r w:rsidRPr="00E4401D">
        <w:rPr>
          <w:rFonts w:ascii="Times New Roman" w:hAnsi="Times New Roman" w:cs="Times New Roman"/>
          <w:color w:val="000000" w:themeColor="text1"/>
          <w:sz w:val="28"/>
          <w:szCs w:val="28"/>
        </w:rPr>
        <w:t xml:space="preserve">o </w:t>
      </w:r>
      <w:r w:rsidRPr="00E4401D">
        <w:rPr>
          <w:rFonts w:ascii="Times New Roman" w:hAnsi="Times New Roman" w:cs="Times New Roman"/>
          <w:color w:val="000000" w:themeColor="text1"/>
          <w:sz w:val="28"/>
          <w:szCs w:val="28"/>
        </w:rPr>
        <w:t xml:space="preserve">hay una normativa equivalente para el Fondo para la Reparación a las Víctimas. </w:t>
      </w:r>
    </w:p>
    <w:p w:rsidR="003B627A" w:rsidRPr="00E4401D" w:rsidRDefault="00E4401D" w:rsidP="003E6FE7">
      <w:pPr>
        <w:ind w:left="-44"/>
        <w:jc w:val="both"/>
        <w:rPr>
          <w:rFonts w:ascii="Times New Roman" w:hAnsi="Times New Roman" w:cs="Times New Roman"/>
          <w:color w:val="000000" w:themeColor="text1"/>
          <w:sz w:val="28"/>
          <w:szCs w:val="28"/>
        </w:rPr>
      </w:pPr>
    </w:p>
    <w:p w:rsidR="003B627A" w:rsidRPr="00E4401D" w:rsidRDefault="00E4401D" w:rsidP="003E6FE7">
      <w:pPr>
        <w:ind w:left="-44"/>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 xml:space="preserve">La única norma que hace alusión a la enajenación de los bienes del Fondo se encuentra en el parágrafo 4 del artículo 77 de la Ley 1148 de 2011. Allí el legislador dispuso que </w:t>
      </w:r>
      <w:r w:rsidRPr="00E4401D">
        <w:rPr>
          <w:rFonts w:ascii="Times New Roman" w:hAnsi="Times New Roman" w:cs="Times New Roman"/>
          <w:color w:val="000000" w:themeColor="text1"/>
          <w:sz w:val="28"/>
          <w:szCs w:val="28"/>
        </w:rPr>
        <w:t xml:space="preserve">los bienes a los que se refiere el artículo 54 de la Ley 975 de 2005, podrán ser objeto de enajenación para su conservación.  </w:t>
      </w:r>
    </w:p>
    <w:p w:rsidR="006D386A" w:rsidRPr="00E4401D" w:rsidRDefault="00E4401D" w:rsidP="003E6FE7">
      <w:pPr>
        <w:ind w:left="-44"/>
        <w:jc w:val="both"/>
        <w:rPr>
          <w:rFonts w:ascii="Times New Roman" w:hAnsi="Times New Roman" w:cs="Times New Roman"/>
          <w:color w:val="000000" w:themeColor="text1"/>
          <w:sz w:val="28"/>
          <w:szCs w:val="28"/>
        </w:rPr>
      </w:pPr>
    </w:p>
    <w:p w:rsidR="006D386A" w:rsidRPr="00E4401D" w:rsidRDefault="00E4401D" w:rsidP="003E6FE7">
      <w:pPr>
        <w:ind w:left="-44"/>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Por último, se evidencian trámites excesivos que no tienen en cuenta la naturaleza del origen</w:t>
      </w:r>
      <w:r w:rsidRPr="00E4401D">
        <w:rPr>
          <w:rFonts w:ascii="Times New Roman" w:hAnsi="Times New Roman" w:cs="Times New Roman"/>
          <w:color w:val="000000" w:themeColor="text1"/>
          <w:sz w:val="28"/>
          <w:szCs w:val="28"/>
        </w:rPr>
        <w:t xml:space="preserve"> y la condición</w:t>
      </w:r>
      <w:r w:rsidRPr="00E4401D">
        <w:rPr>
          <w:rFonts w:ascii="Times New Roman" w:hAnsi="Times New Roman" w:cs="Times New Roman"/>
          <w:color w:val="000000" w:themeColor="text1"/>
          <w:sz w:val="28"/>
          <w:szCs w:val="28"/>
        </w:rPr>
        <w:t xml:space="preserve"> de los bi</w:t>
      </w:r>
      <w:r w:rsidRPr="00E4401D">
        <w:rPr>
          <w:rFonts w:ascii="Times New Roman" w:hAnsi="Times New Roman" w:cs="Times New Roman"/>
          <w:color w:val="000000" w:themeColor="text1"/>
          <w:sz w:val="28"/>
          <w:szCs w:val="28"/>
        </w:rPr>
        <w:t>e</w:t>
      </w:r>
      <w:r w:rsidRPr="00E4401D">
        <w:rPr>
          <w:rFonts w:ascii="Times New Roman" w:hAnsi="Times New Roman" w:cs="Times New Roman"/>
          <w:color w:val="000000" w:themeColor="text1"/>
          <w:sz w:val="28"/>
          <w:szCs w:val="28"/>
        </w:rPr>
        <w:t>nes</w:t>
      </w:r>
      <w:r w:rsidRPr="00E4401D">
        <w:rPr>
          <w:rFonts w:ascii="Times New Roman" w:hAnsi="Times New Roman" w:cs="Times New Roman"/>
          <w:color w:val="000000" w:themeColor="text1"/>
          <w:sz w:val="28"/>
          <w:szCs w:val="28"/>
        </w:rPr>
        <w:t xml:space="preserve">, así como </w:t>
      </w:r>
      <w:r w:rsidRPr="00E4401D">
        <w:rPr>
          <w:rFonts w:ascii="Times New Roman" w:hAnsi="Times New Roman" w:cs="Times New Roman"/>
          <w:color w:val="000000" w:themeColor="text1"/>
          <w:sz w:val="28"/>
          <w:szCs w:val="28"/>
        </w:rPr>
        <w:t>las realidades de la gestión pública para la administración de los mismos</w:t>
      </w:r>
      <w:r w:rsidRPr="00E4401D">
        <w:rPr>
          <w:rFonts w:ascii="Times New Roman" w:hAnsi="Times New Roman" w:cs="Times New Roman"/>
          <w:color w:val="000000" w:themeColor="text1"/>
          <w:sz w:val="28"/>
          <w:szCs w:val="28"/>
        </w:rPr>
        <w:t>. La Contraloría explica en su informe que el proceso de venta se ha visto obstaculizado por diversos factores. En primer lugar, por la presencia de minería ilegal y cultiv</w:t>
      </w:r>
      <w:r w:rsidRPr="00E4401D">
        <w:rPr>
          <w:rFonts w:ascii="Times New Roman" w:hAnsi="Times New Roman" w:cs="Times New Roman"/>
          <w:color w:val="000000" w:themeColor="text1"/>
          <w:sz w:val="28"/>
          <w:szCs w:val="28"/>
        </w:rPr>
        <w:t>os ilícitos en algunos inmuebles. En segundo lugar, porque parte de los inmuebles se encuentran en zonas de reserva natural o presentan amenaza de ruina, pérdida o deterioro. En tercer lugar, debido a la existencia de predios cuya administración y custodia</w:t>
      </w:r>
      <w:r w:rsidRPr="00E4401D">
        <w:rPr>
          <w:rFonts w:ascii="Times New Roman" w:hAnsi="Times New Roman" w:cs="Times New Roman"/>
          <w:color w:val="000000" w:themeColor="text1"/>
          <w:sz w:val="28"/>
          <w:szCs w:val="28"/>
        </w:rPr>
        <w:t xml:space="preserve"> generan perjuicios o gastos desproporcionados a su valor, así como predios que por su ubicación </w:t>
      </w:r>
      <w:r w:rsidRPr="00E4401D">
        <w:rPr>
          <w:rFonts w:ascii="Times New Roman" w:hAnsi="Times New Roman" w:cs="Times New Roman"/>
          <w:color w:val="000000" w:themeColor="text1"/>
          <w:sz w:val="28"/>
          <w:szCs w:val="28"/>
        </w:rPr>
        <w:t>son de difícil</w:t>
      </w:r>
      <w:r w:rsidRPr="00E4401D">
        <w:rPr>
          <w:rFonts w:ascii="Times New Roman" w:hAnsi="Times New Roman" w:cs="Times New Roman"/>
          <w:color w:val="000000" w:themeColor="text1"/>
          <w:sz w:val="28"/>
          <w:szCs w:val="28"/>
        </w:rPr>
        <w:t xml:space="preserve"> administración. </w:t>
      </w:r>
      <w:r w:rsidRPr="00E4401D">
        <w:rPr>
          <w:rFonts w:ascii="Times New Roman" w:hAnsi="Times New Roman" w:cs="Times New Roman"/>
          <w:color w:val="000000" w:themeColor="text1"/>
          <w:sz w:val="28"/>
          <w:szCs w:val="28"/>
        </w:rPr>
        <w:t>En cuarto lugar</w:t>
      </w:r>
      <w:r w:rsidRPr="00E4401D">
        <w:rPr>
          <w:rFonts w:ascii="Times New Roman" w:hAnsi="Times New Roman" w:cs="Times New Roman"/>
          <w:color w:val="000000" w:themeColor="text1"/>
          <w:sz w:val="28"/>
          <w:szCs w:val="28"/>
        </w:rPr>
        <w:t>, debido a ocupaciones no autorizadas y a la falta de matrícula inmobiliaria de muchos de ellos</w:t>
      </w:r>
      <w:r w:rsidRPr="00E4401D">
        <w:rPr>
          <w:rStyle w:val="Refdenotaalpie"/>
          <w:rFonts w:ascii="Times New Roman" w:hAnsi="Times New Roman" w:cs="Times New Roman"/>
          <w:color w:val="000000" w:themeColor="text1"/>
          <w:sz w:val="28"/>
          <w:szCs w:val="28"/>
        </w:rPr>
        <w:footnoteReference w:id="93"/>
      </w:r>
      <w:r w:rsidRPr="00E4401D">
        <w:rPr>
          <w:rFonts w:ascii="Times New Roman" w:hAnsi="Times New Roman" w:cs="Times New Roman"/>
          <w:color w:val="000000" w:themeColor="text1"/>
          <w:sz w:val="28"/>
          <w:szCs w:val="28"/>
        </w:rPr>
        <w:t xml:space="preserve">. </w:t>
      </w:r>
    </w:p>
    <w:p w:rsidR="003300A4" w:rsidRPr="00E4401D" w:rsidRDefault="00E4401D" w:rsidP="003E6FE7">
      <w:pPr>
        <w:ind w:left="-44"/>
        <w:jc w:val="both"/>
        <w:rPr>
          <w:rFonts w:ascii="Times New Roman" w:hAnsi="Times New Roman" w:cs="Times New Roman"/>
          <w:color w:val="000000" w:themeColor="text1"/>
          <w:sz w:val="28"/>
          <w:szCs w:val="28"/>
        </w:rPr>
      </w:pPr>
    </w:p>
    <w:p w:rsidR="003300A4" w:rsidRPr="00E4401D" w:rsidRDefault="00E4401D" w:rsidP="00C13488">
      <w:pPr>
        <w:ind w:left="-44"/>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 xml:space="preserve">Entonces, es </w:t>
      </w:r>
      <w:r w:rsidRPr="00E4401D">
        <w:rPr>
          <w:rFonts w:ascii="Times New Roman" w:hAnsi="Times New Roman" w:cs="Times New Roman"/>
          <w:color w:val="000000" w:themeColor="text1"/>
          <w:sz w:val="28"/>
          <w:szCs w:val="28"/>
        </w:rPr>
        <w:t xml:space="preserve">posible afirmar que la regulación creada por Justicia y Paz para </w:t>
      </w:r>
      <w:r w:rsidRPr="00E4401D">
        <w:rPr>
          <w:rFonts w:ascii="Times New Roman" w:hAnsi="Times New Roman" w:cs="Times New Roman"/>
          <w:color w:val="000000" w:themeColor="text1"/>
          <w:sz w:val="28"/>
          <w:szCs w:val="28"/>
        </w:rPr>
        <w:t>la reparación de las víctimas adolece de varios problemas</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Por ejemplo, contiene</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vacíos en torno a la vocación reparadora de los bienes que deberían ser recibidos por las autoridades</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y </w:t>
      </w:r>
      <w:r w:rsidRPr="00E4401D">
        <w:rPr>
          <w:rFonts w:ascii="Times New Roman" w:hAnsi="Times New Roman" w:cs="Times New Roman"/>
          <w:color w:val="000000" w:themeColor="text1"/>
          <w:sz w:val="28"/>
          <w:szCs w:val="28"/>
        </w:rPr>
        <w:t>ha co</w:t>
      </w:r>
      <w:r w:rsidRPr="00E4401D">
        <w:rPr>
          <w:rFonts w:ascii="Times New Roman" w:hAnsi="Times New Roman" w:cs="Times New Roman"/>
          <w:color w:val="000000" w:themeColor="text1"/>
          <w:sz w:val="28"/>
          <w:szCs w:val="28"/>
        </w:rPr>
        <w:t>nllevado</w:t>
      </w:r>
      <w:r w:rsidRPr="00E4401D">
        <w:rPr>
          <w:rFonts w:ascii="Times New Roman" w:hAnsi="Times New Roman" w:cs="Times New Roman"/>
          <w:color w:val="000000" w:themeColor="text1"/>
          <w:sz w:val="28"/>
          <w:szCs w:val="28"/>
        </w:rPr>
        <w:t xml:space="preserve"> demora</w:t>
      </w:r>
      <w:r w:rsidRPr="00E4401D">
        <w:rPr>
          <w:rFonts w:ascii="Times New Roman" w:hAnsi="Times New Roman" w:cs="Times New Roman"/>
          <w:color w:val="000000" w:themeColor="text1"/>
          <w:sz w:val="28"/>
          <w:szCs w:val="28"/>
        </w:rPr>
        <w:t>s</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 xml:space="preserve">frente a </w:t>
      </w:r>
      <w:r w:rsidRPr="00E4401D">
        <w:rPr>
          <w:rFonts w:ascii="Times New Roman" w:hAnsi="Times New Roman" w:cs="Times New Roman"/>
          <w:color w:val="000000" w:themeColor="text1"/>
          <w:sz w:val="28"/>
          <w:szCs w:val="28"/>
        </w:rPr>
        <w:t xml:space="preserve">las extinciones de dominio y el inicio de su comercialización, por la exigencia de que </w:t>
      </w:r>
      <w:r w:rsidRPr="00E4401D">
        <w:rPr>
          <w:rFonts w:ascii="Times New Roman" w:hAnsi="Times New Roman" w:cs="Times New Roman"/>
          <w:color w:val="000000" w:themeColor="text1"/>
          <w:sz w:val="28"/>
          <w:szCs w:val="28"/>
        </w:rPr>
        <w:t xml:space="preserve">la extinción </w:t>
      </w:r>
      <w:r w:rsidRPr="00E4401D">
        <w:rPr>
          <w:rFonts w:ascii="Times New Roman" w:hAnsi="Times New Roman" w:cs="Times New Roman"/>
          <w:color w:val="000000" w:themeColor="text1"/>
          <w:sz w:val="28"/>
          <w:szCs w:val="28"/>
        </w:rPr>
        <w:t>sea declarada en la sentencia condenatoria</w:t>
      </w:r>
      <w:r w:rsidRPr="00E4401D">
        <w:rPr>
          <w:rStyle w:val="Refdenotaalpie"/>
          <w:rFonts w:ascii="Times New Roman" w:hAnsi="Times New Roman" w:cs="Times New Roman"/>
          <w:color w:val="000000" w:themeColor="text1"/>
          <w:sz w:val="28"/>
          <w:szCs w:val="28"/>
        </w:rPr>
        <w:footnoteReference w:id="94"/>
      </w:r>
      <w:r w:rsidRPr="00E4401D">
        <w:rPr>
          <w:rFonts w:ascii="Times New Roman" w:hAnsi="Times New Roman" w:cs="Times New Roman"/>
          <w:color w:val="000000" w:themeColor="text1"/>
          <w:sz w:val="28"/>
          <w:szCs w:val="28"/>
        </w:rPr>
        <w:t xml:space="preserve">. </w:t>
      </w:r>
    </w:p>
    <w:p w:rsidR="003E6FE7" w:rsidRPr="00E4401D" w:rsidRDefault="00E4401D" w:rsidP="003E6FE7">
      <w:pPr>
        <w:jc w:val="both"/>
        <w:rPr>
          <w:rFonts w:ascii="Times New Roman" w:hAnsi="Times New Roman" w:cs="Times New Roman"/>
          <w:b/>
          <w:bCs/>
          <w:color w:val="000000" w:themeColor="text1"/>
          <w:sz w:val="28"/>
          <w:szCs w:val="28"/>
        </w:rPr>
      </w:pPr>
    </w:p>
    <w:p w:rsidR="003E6FE7" w:rsidRPr="00E4401D" w:rsidRDefault="00E4401D" w:rsidP="003E6FE7">
      <w:pPr>
        <w:pStyle w:val="Prrafodelista"/>
        <w:numPr>
          <w:ilvl w:val="0"/>
          <w:numId w:val="10"/>
        </w:numPr>
        <w:jc w:val="both"/>
        <w:rPr>
          <w:rFonts w:ascii="Times New Roman" w:hAnsi="Times New Roman" w:cs="Times New Roman"/>
          <w:b/>
          <w:bCs/>
          <w:color w:val="000000" w:themeColor="text1"/>
          <w:sz w:val="28"/>
          <w:szCs w:val="28"/>
        </w:rPr>
      </w:pPr>
      <w:r w:rsidRPr="00E4401D">
        <w:rPr>
          <w:rFonts w:ascii="Times New Roman" w:hAnsi="Times New Roman" w:cs="Times New Roman"/>
          <w:b/>
          <w:bCs/>
          <w:color w:val="000000" w:themeColor="text1"/>
          <w:sz w:val="28"/>
          <w:szCs w:val="28"/>
        </w:rPr>
        <w:t xml:space="preserve">Derechos en suspenso: el impacto de una inexequibilidad inmediata </w:t>
      </w:r>
    </w:p>
    <w:p w:rsidR="003E6FE7" w:rsidRPr="00E4401D" w:rsidRDefault="00E4401D" w:rsidP="003E6FE7">
      <w:pPr>
        <w:jc w:val="both"/>
        <w:rPr>
          <w:rFonts w:ascii="Times New Roman" w:hAnsi="Times New Roman" w:cs="Times New Roman"/>
          <w:color w:val="000000" w:themeColor="text1"/>
          <w:sz w:val="28"/>
          <w:szCs w:val="28"/>
        </w:rPr>
      </w:pPr>
    </w:p>
    <w:p w:rsidR="003E6FE7" w:rsidRPr="00E4401D" w:rsidRDefault="00E4401D" w:rsidP="003E6FE7">
      <w:pPr>
        <w:ind w:left="-44"/>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 xml:space="preserve">Para acelerar la comercialización de los bienes y fortalecer el Fondo para la Reparación a las Víctimas, el </w:t>
      </w:r>
      <w:r w:rsidRPr="00E4401D">
        <w:rPr>
          <w:rFonts w:ascii="Times New Roman" w:hAnsi="Times New Roman" w:cs="Times New Roman"/>
          <w:color w:val="000000" w:themeColor="text1"/>
          <w:sz w:val="28"/>
          <w:szCs w:val="28"/>
        </w:rPr>
        <w:t>G</w:t>
      </w:r>
      <w:r w:rsidRPr="00E4401D">
        <w:rPr>
          <w:rFonts w:ascii="Times New Roman" w:hAnsi="Times New Roman" w:cs="Times New Roman"/>
          <w:color w:val="000000" w:themeColor="text1"/>
          <w:sz w:val="28"/>
          <w:szCs w:val="28"/>
        </w:rPr>
        <w:t xml:space="preserve">obierno </w:t>
      </w:r>
      <w:r w:rsidRPr="00E4401D">
        <w:rPr>
          <w:rFonts w:ascii="Times New Roman" w:hAnsi="Times New Roman" w:cs="Times New Roman"/>
          <w:color w:val="000000" w:themeColor="text1"/>
          <w:sz w:val="28"/>
          <w:szCs w:val="28"/>
        </w:rPr>
        <w:t>promovió la introducción</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d</w:t>
      </w:r>
      <w:r w:rsidRPr="00E4401D">
        <w:rPr>
          <w:rFonts w:ascii="Times New Roman" w:hAnsi="Times New Roman" w:cs="Times New Roman"/>
          <w:color w:val="000000" w:themeColor="text1"/>
          <w:sz w:val="28"/>
          <w:szCs w:val="28"/>
        </w:rPr>
        <w:t xml:space="preserve">el numeral 3 </w:t>
      </w:r>
      <w:r w:rsidRPr="00E4401D">
        <w:rPr>
          <w:rFonts w:ascii="Times New Roman" w:hAnsi="Times New Roman" w:cs="Times New Roman"/>
          <w:color w:val="000000" w:themeColor="text1"/>
          <w:sz w:val="28"/>
          <w:szCs w:val="28"/>
        </w:rPr>
        <w:t>y el parágrafo 1 a</w:t>
      </w:r>
      <w:r w:rsidRPr="00E4401D">
        <w:rPr>
          <w:rFonts w:ascii="Times New Roman" w:hAnsi="Times New Roman" w:cs="Times New Roman"/>
          <w:color w:val="000000" w:themeColor="text1"/>
          <w:sz w:val="28"/>
          <w:szCs w:val="28"/>
        </w:rPr>
        <w:t>l artículo 61 de la Ley 2294</w:t>
      </w:r>
      <w:r w:rsidRPr="00E4401D">
        <w:rPr>
          <w:rFonts w:ascii="Times New Roman" w:hAnsi="Times New Roman" w:cs="Times New Roman"/>
          <w:color w:val="000000" w:themeColor="text1"/>
          <w:sz w:val="28"/>
          <w:szCs w:val="28"/>
        </w:rPr>
        <w:t xml:space="preserve"> de 2023</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Su</w:t>
      </w:r>
      <w:r w:rsidRPr="00E4401D">
        <w:rPr>
          <w:rFonts w:ascii="Times New Roman" w:hAnsi="Times New Roman" w:cs="Times New Roman"/>
          <w:color w:val="000000" w:themeColor="text1"/>
          <w:sz w:val="28"/>
          <w:szCs w:val="28"/>
        </w:rPr>
        <w:t xml:space="preserve"> propósito</w:t>
      </w:r>
      <w:r w:rsidRPr="00E4401D">
        <w:rPr>
          <w:rFonts w:ascii="Times New Roman" w:hAnsi="Times New Roman" w:cs="Times New Roman"/>
          <w:color w:val="000000" w:themeColor="text1"/>
          <w:sz w:val="28"/>
          <w:szCs w:val="28"/>
        </w:rPr>
        <w:t xml:space="preserve"> era</w:t>
      </w:r>
      <w:r w:rsidRPr="00E4401D">
        <w:rPr>
          <w:rFonts w:ascii="Times New Roman" w:hAnsi="Times New Roman" w:cs="Times New Roman"/>
          <w:color w:val="000000" w:themeColor="text1"/>
          <w:sz w:val="28"/>
          <w:szCs w:val="28"/>
        </w:rPr>
        <w:t xml:space="preserve"> permitir la comercializació</w:t>
      </w:r>
      <w:r w:rsidRPr="00E4401D">
        <w:rPr>
          <w:rFonts w:ascii="Times New Roman" w:hAnsi="Times New Roman" w:cs="Times New Roman"/>
          <w:color w:val="000000" w:themeColor="text1"/>
          <w:sz w:val="28"/>
          <w:szCs w:val="28"/>
        </w:rPr>
        <w:t xml:space="preserve">n anticipada de los bienes inmuebles del Fondo de carácter rural vinculados a acciones de extinción del derecho de dominio en curso. </w:t>
      </w:r>
      <w:r w:rsidRPr="00E4401D">
        <w:rPr>
          <w:rFonts w:ascii="Times New Roman" w:hAnsi="Times New Roman" w:cs="Times New Roman"/>
          <w:color w:val="000000" w:themeColor="text1"/>
          <w:sz w:val="28"/>
          <w:szCs w:val="28"/>
        </w:rPr>
        <w:t>Para ello</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permit</w:t>
      </w:r>
      <w:r w:rsidRPr="00E4401D">
        <w:rPr>
          <w:rFonts w:ascii="Times New Roman" w:hAnsi="Times New Roman" w:cs="Times New Roman"/>
          <w:color w:val="000000" w:themeColor="text1"/>
          <w:sz w:val="28"/>
          <w:szCs w:val="28"/>
        </w:rPr>
        <w:t>ía</w:t>
      </w:r>
      <w:r w:rsidRPr="00E4401D">
        <w:rPr>
          <w:rFonts w:ascii="Times New Roman" w:hAnsi="Times New Roman" w:cs="Times New Roman"/>
          <w:color w:val="000000" w:themeColor="text1"/>
          <w:sz w:val="28"/>
          <w:szCs w:val="28"/>
        </w:rPr>
        <w:t xml:space="preserve"> a la Agencia Nacional de Tierras</w:t>
      </w:r>
      <w:r w:rsidRPr="00E4401D">
        <w:rPr>
          <w:rFonts w:ascii="Times New Roman" w:hAnsi="Times New Roman" w:cs="Times New Roman"/>
          <w:color w:val="000000" w:themeColor="text1"/>
          <w:sz w:val="28"/>
          <w:szCs w:val="28"/>
        </w:rPr>
        <w:t xml:space="preserve"> (ANT)</w:t>
      </w:r>
      <w:r w:rsidRPr="00E4401D">
        <w:rPr>
          <w:rFonts w:ascii="Times New Roman" w:hAnsi="Times New Roman" w:cs="Times New Roman"/>
          <w:color w:val="000000" w:themeColor="text1"/>
          <w:sz w:val="28"/>
          <w:szCs w:val="28"/>
        </w:rPr>
        <w:t xml:space="preserve"> adquirir tempranamente los bienes por el precio base de venta definido en el avalúo comercial vigente al momento de la </w:t>
      </w:r>
      <w:r w:rsidRPr="00E4401D">
        <w:rPr>
          <w:rFonts w:ascii="Times New Roman" w:hAnsi="Times New Roman" w:cs="Times New Roman"/>
          <w:color w:val="000000" w:themeColor="text1"/>
          <w:sz w:val="28"/>
          <w:szCs w:val="28"/>
        </w:rPr>
        <w:t>transacción</w:t>
      </w:r>
      <w:r w:rsidRPr="00E4401D">
        <w:rPr>
          <w:rFonts w:ascii="Times New Roman" w:hAnsi="Times New Roman" w:cs="Times New Roman"/>
          <w:color w:val="000000" w:themeColor="text1"/>
          <w:sz w:val="28"/>
          <w:szCs w:val="28"/>
        </w:rPr>
        <w:t xml:space="preserve">, con sujeción a un procedimiento </w:t>
      </w:r>
      <w:r w:rsidRPr="00E4401D">
        <w:rPr>
          <w:rFonts w:ascii="Times New Roman" w:hAnsi="Times New Roman" w:cs="Times New Roman"/>
          <w:color w:val="000000" w:themeColor="text1"/>
          <w:sz w:val="28"/>
          <w:szCs w:val="28"/>
        </w:rPr>
        <w:t>definido</w:t>
      </w:r>
      <w:r w:rsidRPr="00E4401D">
        <w:rPr>
          <w:rFonts w:ascii="Times New Roman" w:hAnsi="Times New Roman" w:cs="Times New Roman"/>
          <w:color w:val="000000" w:themeColor="text1"/>
          <w:sz w:val="28"/>
          <w:szCs w:val="28"/>
        </w:rPr>
        <w:t xml:space="preserve"> en los numerales a, b y c</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Lo anterior, sin</w:t>
      </w:r>
      <w:r w:rsidRPr="00E4401D">
        <w:rPr>
          <w:rFonts w:ascii="Times New Roman" w:hAnsi="Times New Roman" w:cs="Times New Roman"/>
          <w:color w:val="000000" w:themeColor="text1"/>
          <w:sz w:val="28"/>
          <w:szCs w:val="28"/>
        </w:rPr>
        <w:t xml:space="preserve"> que tuviese que cumplirse alguno de lo</w:t>
      </w:r>
      <w:r w:rsidRPr="00E4401D">
        <w:rPr>
          <w:rFonts w:ascii="Times New Roman" w:hAnsi="Times New Roman" w:cs="Times New Roman"/>
          <w:color w:val="000000" w:themeColor="text1"/>
          <w:sz w:val="28"/>
          <w:szCs w:val="28"/>
        </w:rPr>
        <w:t>s supuestos</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contemplados en</w:t>
      </w:r>
      <w:r w:rsidRPr="00E4401D">
        <w:rPr>
          <w:rFonts w:ascii="Times New Roman" w:hAnsi="Times New Roman" w:cs="Times New Roman"/>
          <w:color w:val="000000" w:themeColor="text1"/>
          <w:sz w:val="28"/>
          <w:szCs w:val="28"/>
        </w:rPr>
        <w:t xml:space="preserve"> el artículo 93 de la Ley 1708 de 2014</w:t>
      </w:r>
      <w:r w:rsidRPr="00E4401D">
        <w:rPr>
          <w:rFonts w:ascii="Times New Roman" w:hAnsi="Times New Roman" w:cs="Times New Roman"/>
          <w:color w:val="000000" w:themeColor="text1"/>
          <w:sz w:val="28"/>
          <w:szCs w:val="28"/>
        </w:rPr>
        <w:t xml:space="preserve"> -Código de Extinción del Dominio-</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En efecto, n</w:t>
      </w:r>
      <w:r w:rsidRPr="00E4401D">
        <w:rPr>
          <w:rFonts w:ascii="Times New Roman" w:hAnsi="Times New Roman" w:cs="Times New Roman"/>
          <w:color w:val="000000" w:themeColor="text1"/>
          <w:sz w:val="28"/>
          <w:szCs w:val="28"/>
        </w:rPr>
        <w:t>o era necesario que h</w:t>
      </w:r>
      <w:r w:rsidRPr="00E4401D">
        <w:rPr>
          <w:rFonts w:ascii="Times New Roman" w:hAnsi="Times New Roman" w:cs="Times New Roman"/>
          <w:color w:val="000000" w:themeColor="text1"/>
          <w:sz w:val="28"/>
          <w:szCs w:val="28"/>
        </w:rPr>
        <w:t>ubiese</w:t>
      </w:r>
      <w:r w:rsidRPr="00E4401D">
        <w:rPr>
          <w:rFonts w:ascii="Times New Roman" w:hAnsi="Times New Roman" w:cs="Times New Roman"/>
          <w:color w:val="000000" w:themeColor="text1"/>
          <w:sz w:val="28"/>
          <w:szCs w:val="28"/>
        </w:rPr>
        <w:t xml:space="preserve"> una amenaza de ruina, pérdid</w:t>
      </w:r>
      <w:r w:rsidRPr="00E4401D">
        <w:rPr>
          <w:rFonts w:ascii="Times New Roman" w:hAnsi="Times New Roman" w:cs="Times New Roman"/>
          <w:color w:val="000000" w:themeColor="text1"/>
          <w:sz w:val="28"/>
          <w:szCs w:val="28"/>
        </w:rPr>
        <w:t>a</w:t>
      </w:r>
      <w:r w:rsidRPr="00E4401D">
        <w:rPr>
          <w:rFonts w:ascii="Times New Roman" w:hAnsi="Times New Roman" w:cs="Times New Roman"/>
          <w:color w:val="000000" w:themeColor="text1"/>
          <w:sz w:val="28"/>
          <w:szCs w:val="28"/>
        </w:rPr>
        <w:t xml:space="preserve"> o deterioro del bien, o que el mismo afect</w:t>
      </w:r>
      <w:r w:rsidRPr="00E4401D">
        <w:rPr>
          <w:rFonts w:ascii="Times New Roman" w:hAnsi="Times New Roman" w:cs="Times New Roman"/>
          <w:color w:val="000000" w:themeColor="text1"/>
          <w:sz w:val="28"/>
          <w:szCs w:val="28"/>
        </w:rPr>
        <w:t>ara</w:t>
      </w:r>
      <w:r w:rsidRPr="00E4401D">
        <w:rPr>
          <w:rFonts w:ascii="Times New Roman" w:hAnsi="Times New Roman" w:cs="Times New Roman"/>
          <w:color w:val="000000" w:themeColor="text1"/>
          <w:sz w:val="28"/>
          <w:szCs w:val="28"/>
        </w:rPr>
        <w:t xml:space="preserve"> al medio ambiente, ni que se encontrara</w:t>
      </w:r>
      <w:r w:rsidRPr="00E4401D">
        <w:rPr>
          <w:rFonts w:ascii="Times New Roman" w:hAnsi="Times New Roman" w:cs="Times New Roman"/>
          <w:color w:val="000000" w:themeColor="text1"/>
          <w:sz w:val="28"/>
          <w:szCs w:val="28"/>
        </w:rPr>
        <w:t xml:space="preserve"> en una ubicación g</w:t>
      </w:r>
      <w:r w:rsidRPr="00E4401D">
        <w:rPr>
          <w:rFonts w:ascii="Times New Roman" w:hAnsi="Times New Roman" w:cs="Times New Roman"/>
          <w:color w:val="000000" w:themeColor="text1"/>
          <w:sz w:val="28"/>
          <w:szCs w:val="28"/>
        </w:rPr>
        <w:t>eo</w:t>
      </w:r>
      <w:r w:rsidRPr="00E4401D">
        <w:rPr>
          <w:rFonts w:ascii="Times New Roman" w:hAnsi="Times New Roman" w:cs="Times New Roman"/>
          <w:color w:val="000000" w:themeColor="text1"/>
          <w:sz w:val="28"/>
          <w:szCs w:val="28"/>
        </w:rPr>
        <w:t>gráfica que impidiera su administración, así como ninguna otra de las circunstancias del artículo 93</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Además, de conformidad con el parágrafo 1, la ANT tendría la primera opción de compra de estos inmuebles.</w:t>
      </w:r>
    </w:p>
    <w:p w:rsidR="003E6FE7" w:rsidRPr="00E4401D" w:rsidRDefault="00E4401D" w:rsidP="003E6FE7">
      <w:pPr>
        <w:ind w:left="-44"/>
        <w:jc w:val="both"/>
        <w:rPr>
          <w:rFonts w:ascii="Times New Roman" w:hAnsi="Times New Roman" w:cs="Times New Roman"/>
          <w:color w:val="000000" w:themeColor="text1"/>
          <w:sz w:val="28"/>
          <w:szCs w:val="28"/>
        </w:rPr>
      </w:pPr>
    </w:p>
    <w:p w:rsidR="00696576" w:rsidRPr="00E4401D" w:rsidRDefault="00E4401D" w:rsidP="005F7FF9">
      <w:pPr>
        <w:ind w:left="-44"/>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Con base en</w:t>
      </w:r>
      <w:r w:rsidRPr="00E4401D">
        <w:rPr>
          <w:rFonts w:ascii="Times New Roman" w:hAnsi="Times New Roman" w:cs="Times New Roman"/>
          <w:color w:val="000000" w:themeColor="text1"/>
          <w:sz w:val="28"/>
          <w:szCs w:val="28"/>
        </w:rPr>
        <w:t xml:space="preserve"> este artículo, la </w:t>
      </w:r>
      <w:r w:rsidRPr="00E4401D">
        <w:rPr>
          <w:rFonts w:ascii="Times New Roman" w:hAnsi="Times New Roman" w:cs="Times New Roman"/>
          <w:color w:val="000000" w:themeColor="text1"/>
          <w:sz w:val="28"/>
          <w:szCs w:val="28"/>
        </w:rPr>
        <w:t>UARIV</w:t>
      </w:r>
      <w:r w:rsidRPr="00E4401D">
        <w:rPr>
          <w:rFonts w:ascii="Times New Roman" w:hAnsi="Times New Roman" w:cs="Times New Roman"/>
          <w:color w:val="000000" w:themeColor="text1"/>
          <w:sz w:val="28"/>
          <w:szCs w:val="28"/>
        </w:rPr>
        <w:t xml:space="preserve"> y la A</w:t>
      </w:r>
      <w:r w:rsidRPr="00E4401D">
        <w:rPr>
          <w:rFonts w:ascii="Times New Roman" w:hAnsi="Times New Roman" w:cs="Times New Roman"/>
          <w:color w:val="000000" w:themeColor="text1"/>
          <w:sz w:val="28"/>
          <w:szCs w:val="28"/>
        </w:rPr>
        <w:t xml:space="preserve">NT </w:t>
      </w:r>
      <w:r w:rsidRPr="00E4401D">
        <w:rPr>
          <w:rFonts w:ascii="Times New Roman" w:hAnsi="Times New Roman" w:cs="Times New Roman"/>
          <w:color w:val="000000" w:themeColor="text1"/>
          <w:sz w:val="28"/>
          <w:szCs w:val="28"/>
        </w:rPr>
        <w:t>celebraron el contrato interadministrativo No. ANT-20245680, que permitió la venta masiva de tierras del Fondo, con el fin de destinarlas a la Reforma Agraria. En su primera fase, el contrato viabilizó la adquisición de 18</w:t>
      </w:r>
      <w:r w:rsidRPr="00E4401D">
        <w:rPr>
          <w:rFonts w:ascii="Times New Roman" w:hAnsi="Times New Roman" w:cs="Times New Roman"/>
          <w:color w:val="000000" w:themeColor="text1"/>
          <w:sz w:val="28"/>
          <w:szCs w:val="28"/>
        </w:rPr>
        <w:t>.000 hectáreas y movilizó más de $175.000 millones que ingresaron directamente al Fondo para financiar la reparación judicial de víctimas del paramilitarismo. Esta iniciativa, que busc</w:t>
      </w:r>
      <w:r w:rsidRPr="00E4401D">
        <w:rPr>
          <w:rFonts w:ascii="Times New Roman" w:hAnsi="Times New Roman" w:cs="Times New Roman"/>
          <w:color w:val="000000" w:themeColor="text1"/>
          <w:sz w:val="28"/>
          <w:szCs w:val="28"/>
        </w:rPr>
        <w:t>ó</w:t>
      </w:r>
      <w:r w:rsidRPr="00E4401D">
        <w:rPr>
          <w:rFonts w:ascii="Times New Roman" w:hAnsi="Times New Roman" w:cs="Times New Roman"/>
          <w:color w:val="000000" w:themeColor="text1"/>
          <w:sz w:val="28"/>
          <w:szCs w:val="28"/>
        </w:rPr>
        <w:t xml:space="preserve"> transformar predios inactivos en tierras productivas con vocación repa</w:t>
      </w:r>
      <w:r w:rsidRPr="00E4401D">
        <w:rPr>
          <w:rFonts w:ascii="Times New Roman" w:hAnsi="Times New Roman" w:cs="Times New Roman"/>
          <w:color w:val="000000" w:themeColor="text1"/>
          <w:sz w:val="28"/>
          <w:szCs w:val="28"/>
        </w:rPr>
        <w:t>radora, t</w:t>
      </w:r>
      <w:r w:rsidRPr="00E4401D">
        <w:rPr>
          <w:rFonts w:ascii="Times New Roman" w:hAnsi="Times New Roman" w:cs="Times New Roman"/>
          <w:color w:val="000000" w:themeColor="text1"/>
          <w:sz w:val="28"/>
          <w:szCs w:val="28"/>
        </w:rPr>
        <w:t>enía</w:t>
      </w:r>
      <w:r w:rsidRPr="00E4401D">
        <w:rPr>
          <w:rFonts w:ascii="Times New Roman" w:hAnsi="Times New Roman" w:cs="Times New Roman"/>
          <w:color w:val="000000" w:themeColor="text1"/>
          <w:sz w:val="28"/>
          <w:szCs w:val="28"/>
        </w:rPr>
        <w:t xml:space="preserve"> además el potencial de ampliarse a 130.000 hectáreas más</w:t>
      </w:r>
      <w:r w:rsidRPr="00E4401D">
        <w:rPr>
          <w:rStyle w:val="Refdenotaalpie"/>
          <w:rFonts w:ascii="Times New Roman" w:hAnsi="Times New Roman" w:cs="Times New Roman"/>
          <w:color w:val="000000" w:themeColor="text1"/>
          <w:sz w:val="28"/>
          <w:szCs w:val="28"/>
        </w:rPr>
        <w:footnoteReference w:id="95"/>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La</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 xml:space="preserve">ejecución </w:t>
      </w:r>
      <w:r w:rsidRPr="00E4401D">
        <w:rPr>
          <w:rFonts w:ascii="Times New Roman" w:hAnsi="Times New Roman" w:cs="Times New Roman"/>
          <w:color w:val="000000" w:themeColor="text1"/>
          <w:sz w:val="28"/>
          <w:szCs w:val="28"/>
        </w:rPr>
        <w:t>de este contrato quedó</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 xml:space="preserve">en riesgo </w:t>
      </w:r>
      <w:r w:rsidRPr="00E4401D">
        <w:rPr>
          <w:rFonts w:ascii="Times New Roman" w:hAnsi="Times New Roman" w:cs="Times New Roman"/>
          <w:color w:val="000000" w:themeColor="text1"/>
          <w:sz w:val="28"/>
          <w:szCs w:val="28"/>
        </w:rPr>
        <w:t xml:space="preserve">con la </w:t>
      </w:r>
      <w:r w:rsidRPr="00E4401D">
        <w:rPr>
          <w:rFonts w:ascii="Times New Roman" w:hAnsi="Times New Roman" w:cs="Times New Roman"/>
          <w:color w:val="000000" w:themeColor="text1"/>
          <w:sz w:val="28"/>
          <w:szCs w:val="28"/>
        </w:rPr>
        <w:t>inexequibilidad inmediata</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En este contexto, </w:t>
      </w:r>
      <w:r w:rsidRPr="00E4401D">
        <w:rPr>
          <w:rFonts w:ascii="Times New Roman" w:hAnsi="Times New Roman" w:cs="Times New Roman"/>
          <w:color w:val="000000" w:themeColor="text1"/>
          <w:sz w:val="28"/>
          <w:szCs w:val="28"/>
        </w:rPr>
        <w:t xml:space="preserve">el diferimiento de los efectos de la decisión </w:t>
      </w:r>
      <w:r w:rsidRPr="00E4401D">
        <w:rPr>
          <w:rFonts w:ascii="Times New Roman" w:hAnsi="Times New Roman" w:cs="Times New Roman"/>
          <w:color w:val="000000" w:themeColor="text1"/>
          <w:sz w:val="28"/>
          <w:szCs w:val="28"/>
        </w:rPr>
        <w:t>habría evitado</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 xml:space="preserve">una afectación directa </w:t>
      </w:r>
      <w:r w:rsidRPr="00E4401D">
        <w:rPr>
          <w:rFonts w:ascii="Times New Roman" w:hAnsi="Times New Roman" w:cs="Times New Roman"/>
          <w:color w:val="000000" w:themeColor="text1"/>
          <w:sz w:val="28"/>
          <w:szCs w:val="28"/>
        </w:rPr>
        <w:t>sobre el derecho a la reparación integral de miles de víctimas, así como sobre el acceso a la tierra de campesinos afectados por la violencia</w:t>
      </w:r>
      <w:bookmarkStart w:id="12" w:name="_Hlk193451710"/>
      <w:r w:rsidRPr="00E4401D">
        <w:rPr>
          <w:rFonts w:ascii="Times New Roman" w:hAnsi="Times New Roman" w:cs="Times New Roman"/>
          <w:color w:val="000000" w:themeColor="text1"/>
          <w:sz w:val="28"/>
          <w:szCs w:val="28"/>
        </w:rPr>
        <w:t xml:space="preserve">. </w:t>
      </w:r>
    </w:p>
    <w:p w:rsidR="005903FB" w:rsidRPr="00E4401D" w:rsidRDefault="00E4401D" w:rsidP="005F7FF9">
      <w:pPr>
        <w:ind w:left="-44"/>
        <w:jc w:val="both"/>
        <w:rPr>
          <w:rFonts w:ascii="Times New Roman" w:hAnsi="Times New Roman" w:cs="Times New Roman"/>
          <w:color w:val="000000" w:themeColor="text1"/>
          <w:sz w:val="28"/>
          <w:szCs w:val="28"/>
        </w:rPr>
      </w:pPr>
    </w:p>
    <w:p w:rsidR="005903FB" w:rsidRPr="00E4401D" w:rsidRDefault="00E4401D" w:rsidP="005F7FF9">
      <w:pPr>
        <w:ind w:left="-44"/>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Es importante señalar que la Corte Constitucional ha establecido en su</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jurisprudencia que, en los evento</w:t>
      </w:r>
      <w:r w:rsidRPr="00E4401D">
        <w:rPr>
          <w:rFonts w:ascii="Times New Roman" w:hAnsi="Times New Roman" w:cs="Times New Roman"/>
          <w:color w:val="000000" w:themeColor="text1"/>
          <w:sz w:val="28"/>
          <w:szCs w:val="28"/>
        </w:rPr>
        <w:t>s</w:t>
      </w:r>
      <w:r w:rsidRPr="00E4401D">
        <w:rPr>
          <w:rFonts w:ascii="Times New Roman" w:hAnsi="Times New Roman" w:cs="Times New Roman"/>
          <w:color w:val="000000" w:themeColor="text1"/>
          <w:sz w:val="28"/>
          <w:szCs w:val="28"/>
        </w:rPr>
        <w:t xml:space="preserve"> en lo</w:t>
      </w:r>
      <w:r w:rsidRPr="00E4401D">
        <w:rPr>
          <w:rFonts w:ascii="Times New Roman" w:hAnsi="Times New Roman" w:cs="Times New Roman"/>
          <w:color w:val="000000" w:themeColor="text1"/>
          <w:sz w:val="28"/>
          <w:szCs w:val="28"/>
        </w:rPr>
        <w:t>s que la declaratoria de inexequibilidad puede afectar desproporcionadamente los derechos de ciertos grupos u otros principios constitucionales, es posible diferir en el tiempo los efectos de la decisión.</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Lo anterior, por cuanto tiene la obligación de gara</w:t>
      </w:r>
      <w:r w:rsidRPr="00E4401D">
        <w:rPr>
          <w:rFonts w:ascii="Times New Roman" w:hAnsi="Times New Roman" w:cs="Times New Roman"/>
          <w:color w:val="000000" w:themeColor="text1"/>
          <w:sz w:val="28"/>
          <w:szCs w:val="28"/>
        </w:rPr>
        <w:t>ntizar que las consecuencias de sus providencias “defiendan la supremacía y la integridad del texto superior a través del tiempo”</w:t>
      </w:r>
      <w:r w:rsidRPr="00E4401D">
        <w:rPr>
          <w:rStyle w:val="Refdenotaalpie"/>
          <w:rFonts w:ascii="Times New Roman" w:hAnsi="Times New Roman" w:cs="Times New Roman"/>
          <w:color w:val="000000" w:themeColor="text1"/>
          <w:sz w:val="28"/>
          <w:szCs w:val="28"/>
        </w:rPr>
        <w:footnoteReference w:id="96"/>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 xml:space="preserve">  </w:t>
      </w:r>
    </w:p>
    <w:p w:rsidR="005938CD" w:rsidRPr="00E4401D" w:rsidRDefault="00E4401D" w:rsidP="005F7FF9">
      <w:pPr>
        <w:ind w:left="-44"/>
        <w:jc w:val="both"/>
        <w:rPr>
          <w:rFonts w:ascii="Times New Roman" w:hAnsi="Times New Roman" w:cs="Times New Roman"/>
          <w:color w:val="000000" w:themeColor="text1"/>
          <w:sz w:val="28"/>
          <w:szCs w:val="28"/>
        </w:rPr>
      </w:pPr>
    </w:p>
    <w:p w:rsidR="005938CD" w:rsidRPr="00E4401D" w:rsidRDefault="00E4401D" w:rsidP="005938CD">
      <w:pPr>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Esta</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Corte ha recurrido a esa posibilidad en casos anteriores</w:t>
      </w:r>
      <w:r w:rsidRPr="00E4401D">
        <w:rPr>
          <w:rStyle w:val="Refdenotaalpie"/>
          <w:rFonts w:ascii="Times New Roman" w:hAnsi="Times New Roman" w:cs="Times New Roman"/>
          <w:color w:val="000000" w:themeColor="text1"/>
          <w:sz w:val="28"/>
          <w:szCs w:val="28"/>
        </w:rPr>
        <w:footnoteReference w:id="97"/>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especialmente</w:t>
      </w:r>
      <w:r w:rsidRPr="00E4401D">
        <w:rPr>
          <w:rFonts w:ascii="Times New Roman" w:hAnsi="Times New Roman" w:cs="Times New Roman"/>
          <w:color w:val="000000" w:themeColor="text1"/>
          <w:sz w:val="28"/>
          <w:szCs w:val="28"/>
        </w:rPr>
        <w:t xml:space="preserve"> cuando las normas son inconstitucionales por vicios de trámite, y siempre que se cumplan los siguientes supuestos: (i) que se justifique esa modalidad de decisión, lo cual incluye la exigencia de señalar las razones de la extensión del plazo conferido ate</w:t>
      </w:r>
      <w:r w:rsidRPr="00E4401D">
        <w:rPr>
          <w:rFonts w:ascii="Times New Roman" w:hAnsi="Times New Roman" w:cs="Times New Roman"/>
          <w:color w:val="000000" w:themeColor="text1"/>
          <w:sz w:val="28"/>
          <w:szCs w:val="28"/>
        </w:rPr>
        <w:t xml:space="preserve">ndiendo a las particularidades de cada caso concreto y (ii) que aparezca claramente probado que la declaración de inconstitucionalidad inmediata ocasiona una situación constitucionalmente peor que </w:t>
      </w:r>
      <w:r w:rsidRPr="00E4401D">
        <w:rPr>
          <w:rFonts w:ascii="Times New Roman" w:hAnsi="Times New Roman" w:cs="Times New Roman"/>
          <w:color w:val="000000" w:themeColor="text1"/>
          <w:sz w:val="28"/>
          <w:szCs w:val="28"/>
        </w:rPr>
        <w:t>el</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 xml:space="preserve">mantenimiento </w:t>
      </w:r>
      <w:r w:rsidRPr="00E4401D">
        <w:rPr>
          <w:rFonts w:ascii="Times New Roman" w:hAnsi="Times New Roman" w:cs="Times New Roman"/>
          <w:color w:val="000000" w:themeColor="text1"/>
          <w:sz w:val="28"/>
          <w:szCs w:val="28"/>
        </w:rPr>
        <w:t xml:space="preserve">de la norma </w:t>
      </w:r>
      <w:r w:rsidRPr="00E4401D">
        <w:rPr>
          <w:rFonts w:ascii="Times New Roman" w:hAnsi="Times New Roman" w:cs="Times New Roman"/>
          <w:color w:val="000000" w:themeColor="text1"/>
          <w:sz w:val="28"/>
          <w:szCs w:val="28"/>
        </w:rPr>
        <w:t>en el ordenamiento jurídico</w:t>
      </w:r>
      <w:r w:rsidRPr="00E4401D">
        <w:rPr>
          <w:rStyle w:val="Refdenotaalpie"/>
          <w:rFonts w:ascii="Times New Roman" w:hAnsi="Times New Roman" w:cs="Times New Roman"/>
          <w:color w:val="000000" w:themeColor="text1"/>
          <w:sz w:val="28"/>
          <w:szCs w:val="28"/>
        </w:rPr>
        <w:footnoteReference w:id="98"/>
      </w:r>
      <w:r w:rsidRPr="00E4401D">
        <w:rPr>
          <w:rFonts w:ascii="Times New Roman" w:hAnsi="Times New Roman" w:cs="Times New Roman"/>
          <w:color w:val="000000" w:themeColor="text1"/>
          <w:sz w:val="28"/>
          <w:szCs w:val="28"/>
        </w:rPr>
        <w:t>.</w:t>
      </w:r>
    </w:p>
    <w:p w:rsidR="0099416C" w:rsidRPr="00E4401D" w:rsidRDefault="00E4401D" w:rsidP="005938CD">
      <w:pPr>
        <w:jc w:val="both"/>
        <w:rPr>
          <w:rFonts w:ascii="Times New Roman" w:hAnsi="Times New Roman" w:cs="Times New Roman"/>
          <w:color w:val="000000" w:themeColor="text1"/>
          <w:sz w:val="28"/>
          <w:szCs w:val="28"/>
        </w:rPr>
      </w:pPr>
    </w:p>
    <w:p w:rsidR="0099416C" w:rsidRPr="00E4401D" w:rsidRDefault="00E4401D" w:rsidP="005938CD">
      <w:pPr>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rPr>
        <w:t>En el caso específico se cumplían ambas condiciones. L</w:t>
      </w:r>
      <w:r w:rsidRPr="00E4401D">
        <w:rPr>
          <w:rFonts w:ascii="Times New Roman" w:hAnsi="Times New Roman" w:cs="Times New Roman"/>
          <w:color w:val="000000" w:themeColor="text1"/>
          <w:sz w:val="28"/>
          <w:szCs w:val="28"/>
        </w:rPr>
        <w:t>as disposiciones acusadas busca</w:t>
      </w:r>
      <w:r w:rsidRPr="00E4401D">
        <w:rPr>
          <w:rFonts w:ascii="Times New Roman" w:hAnsi="Times New Roman" w:cs="Times New Roman"/>
          <w:color w:val="000000" w:themeColor="text1"/>
          <w:sz w:val="28"/>
          <w:szCs w:val="28"/>
        </w:rPr>
        <w:t>ba</w:t>
      </w:r>
      <w:r w:rsidRPr="00E4401D">
        <w:rPr>
          <w:rFonts w:ascii="Times New Roman" w:hAnsi="Times New Roman" w:cs="Times New Roman"/>
          <w:color w:val="000000" w:themeColor="text1"/>
          <w:sz w:val="28"/>
          <w:szCs w:val="28"/>
        </w:rPr>
        <w:t>n facilitar la comercialización de los bienes del Fondo</w:t>
      </w:r>
      <w:r w:rsidRPr="00E4401D">
        <w:rPr>
          <w:rFonts w:ascii="Times New Roman" w:hAnsi="Times New Roman" w:cs="Times New Roman"/>
          <w:color w:val="000000" w:themeColor="text1"/>
          <w:sz w:val="28"/>
          <w:szCs w:val="28"/>
        </w:rPr>
        <w:t xml:space="preserve"> para la Reparación a las Víctimas</w:t>
      </w:r>
      <w:r w:rsidRPr="00E4401D">
        <w:rPr>
          <w:rFonts w:ascii="Times New Roman" w:hAnsi="Times New Roman" w:cs="Times New Roman"/>
          <w:color w:val="000000" w:themeColor="text1"/>
          <w:sz w:val="28"/>
          <w:szCs w:val="28"/>
        </w:rPr>
        <w:t xml:space="preserve">, con </w:t>
      </w:r>
      <w:r w:rsidRPr="00E4401D">
        <w:rPr>
          <w:rFonts w:ascii="Times New Roman" w:hAnsi="Times New Roman" w:cs="Times New Roman"/>
          <w:color w:val="000000" w:themeColor="text1"/>
          <w:sz w:val="28"/>
          <w:szCs w:val="28"/>
        </w:rPr>
        <w:t>el propósito de</w:t>
      </w:r>
      <w:r w:rsidRPr="00E4401D">
        <w:rPr>
          <w:rFonts w:ascii="Times New Roman" w:hAnsi="Times New Roman" w:cs="Times New Roman"/>
          <w:color w:val="000000" w:themeColor="text1"/>
          <w:sz w:val="28"/>
          <w:szCs w:val="28"/>
        </w:rPr>
        <w:t xml:space="preserve"> lograr </w:t>
      </w:r>
      <w:r w:rsidRPr="00E4401D">
        <w:rPr>
          <w:rFonts w:ascii="Times New Roman" w:hAnsi="Times New Roman" w:cs="Times New Roman"/>
          <w:color w:val="000000" w:themeColor="text1"/>
          <w:sz w:val="28"/>
          <w:szCs w:val="28"/>
        </w:rPr>
        <w:t>la</w:t>
      </w:r>
      <w:r w:rsidRPr="00E4401D">
        <w:rPr>
          <w:rFonts w:ascii="Times New Roman" w:hAnsi="Times New Roman" w:cs="Times New Roman"/>
          <w:color w:val="000000" w:themeColor="text1"/>
          <w:sz w:val="28"/>
          <w:szCs w:val="28"/>
        </w:rPr>
        <w:t xml:space="preserve"> reparación </w:t>
      </w:r>
      <w:r w:rsidRPr="00E4401D">
        <w:rPr>
          <w:rFonts w:ascii="Times New Roman" w:hAnsi="Times New Roman" w:cs="Times New Roman"/>
          <w:color w:val="000000" w:themeColor="text1"/>
          <w:sz w:val="28"/>
          <w:szCs w:val="28"/>
        </w:rPr>
        <w:t>integral a las víctimas</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 xml:space="preserve">reconocidas </w:t>
      </w:r>
      <w:r w:rsidRPr="00E4401D">
        <w:rPr>
          <w:rFonts w:ascii="Times New Roman" w:hAnsi="Times New Roman" w:cs="Times New Roman"/>
          <w:color w:val="000000" w:themeColor="text1"/>
          <w:sz w:val="28"/>
          <w:szCs w:val="28"/>
        </w:rPr>
        <w:t>en las sentencias de Justicia y Paz</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Esto considerando l</w:t>
      </w:r>
      <w:r w:rsidRPr="00E4401D">
        <w:rPr>
          <w:rFonts w:ascii="Times New Roman" w:hAnsi="Times New Roman" w:cs="Times New Roman"/>
          <w:color w:val="000000" w:themeColor="text1"/>
          <w:sz w:val="28"/>
          <w:szCs w:val="28"/>
        </w:rPr>
        <w:t xml:space="preserve">as </w:t>
      </w:r>
      <w:r w:rsidRPr="00E4401D">
        <w:rPr>
          <w:rFonts w:ascii="Times New Roman" w:hAnsi="Times New Roman" w:cs="Times New Roman"/>
          <w:color w:val="000000" w:themeColor="text1"/>
          <w:sz w:val="28"/>
          <w:szCs w:val="28"/>
        </w:rPr>
        <w:t xml:space="preserve">enormes </w:t>
      </w:r>
      <w:r w:rsidRPr="00E4401D">
        <w:rPr>
          <w:rFonts w:ascii="Times New Roman" w:hAnsi="Times New Roman" w:cs="Times New Roman"/>
          <w:color w:val="000000" w:themeColor="text1"/>
          <w:sz w:val="28"/>
          <w:szCs w:val="28"/>
        </w:rPr>
        <w:t xml:space="preserve">dificultades </w:t>
      </w:r>
      <w:r w:rsidRPr="00E4401D">
        <w:rPr>
          <w:rFonts w:ascii="Times New Roman" w:hAnsi="Times New Roman" w:cs="Times New Roman"/>
          <w:color w:val="000000" w:themeColor="text1"/>
          <w:sz w:val="28"/>
          <w:szCs w:val="28"/>
        </w:rPr>
        <w:t xml:space="preserve">que existen </w:t>
      </w:r>
      <w:r w:rsidRPr="00E4401D">
        <w:rPr>
          <w:rFonts w:ascii="Times New Roman" w:hAnsi="Times New Roman" w:cs="Times New Roman"/>
          <w:color w:val="000000" w:themeColor="text1"/>
          <w:sz w:val="28"/>
          <w:szCs w:val="28"/>
        </w:rPr>
        <w:t xml:space="preserve">para dar cumplimiento a las órdenes </w:t>
      </w:r>
      <w:r w:rsidRPr="00E4401D">
        <w:rPr>
          <w:rFonts w:ascii="Times New Roman" w:hAnsi="Times New Roman" w:cs="Times New Roman"/>
          <w:color w:val="000000" w:themeColor="text1"/>
          <w:sz w:val="28"/>
          <w:szCs w:val="28"/>
        </w:rPr>
        <w:t>proferidas en es</w:t>
      </w:r>
      <w:r w:rsidRPr="00E4401D">
        <w:rPr>
          <w:rFonts w:ascii="Times New Roman" w:hAnsi="Times New Roman" w:cs="Times New Roman"/>
          <w:color w:val="000000" w:themeColor="text1"/>
          <w:sz w:val="28"/>
          <w:szCs w:val="28"/>
        </w:rPr>
        <w:t>as sentencias</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 xml:space="preserve">Por tanto, su retiro inmediato </w:t>
      </w:r>
      <w:r w:rsidRPr="00E4401D">
        <w:rPr>
          <w:rFonts w:ascii="Times New Roman" w:hAnsi="Times New Roman" w:cs="Times New Roman"/>
          <w:color w:val="000000" w:themeColor="text1"/>
          <w:sz w:val="28"/>
          <w:szCs w:val="28"/>
        </w:rPr>
        <w:t>ocasion</w:t>
      </w:r>
      <w:r w:rsidRPr="00E4401D">
        <w:rPr>
          <w:rFonts w:ascii="Times New Roman" w:hAnsi="Times New Roman" w:cs="Times New Roman"/>
          <w:color w:val="000000" w:themeColor="text1"/>
          <w:sz w:val="28"/>
          <w:szCs w:val="28"/>
        </w:rPr>
        <w:t>ó</w:t>
      </w:r>
      <w:r w:rsidRPr="00E4401D">
        <w:rPr>
          <w:rFonts w:ascii="Times New Roman" w:hAnsi="Times New Roman" w:cs="Times New Roman"/>
          <w:color w:val="000000" w:themeColor="text1"/>
          <w:sz w:val="28"/>
          <w:szCs w:val="28"/>
        </w:rPr>
        <w:t xml:space="preserve"> una situación constitucionalmente peor que su mantenimiento en el ordenamiento jurídico</w:t>
      </w:r>
      <w:r w:rsidRPr="00E4401D">
        <w:rPr>
          <w:rFonts w:ascii="Times New Roman" w:hAnsi="Times New Roman" w:cs="Times New Roman"/>
          <w:color w:val="000000" w:themeColor="text1"/>
          <w:sz w:val="28"/>
          <w:szCs w:val="28"/>
        </w:rPr>
        <w:t>, en la medida en que</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afect</w:t>
      </w:r>
      <w:r w:rsidRPr="00E4401D">
        <w:rPr>
          <w:rFonts w:ascii="Times New Roman" w:hAnsi="Times New Roman" w:cs="Times New Roman"/>
          <w:color w:val="000000" w:themeColor="text1"/>
          <w:sz w:val="28"/>
          <w:szCs w:val="28"/>
        </w:rPr>
        <w:t>ó directamente</w:t>
      </w:r>
      <w:r w:rsidRPr="00E4401D">
        <w:rPr>
          <w:rFonts w:ascii="Times New Roman" w:hAnsi="Times New Roman" w:cs="Times New Roman"/>
          <w:color w:val="000000" w:themeColor="text1"/>
          <w:sz w:val="28"/>
          <w:szCs w:val="28"/>
        </w:rPr>
        <w:t xml:space="preserve"> </w:t>
      </w:r>
      <w:r w:rsidRPr="00E4401D">
        <w:rPr>
          <w:rFonts w:ascii="Times New Roman" w:hAnsi="Times New Roman" w:cs="Times New Roman"/>
          <w:color w:val="000000" w:themeColor="text1"/>
          <w:sz w:val="28"/>
          <w:szCs w:val="28"/>
        </w:rPr>
        <w:t>el derecho a la repa</w:t>
      </w:r>
      <w:r w:rsidRPr="00E4401D">
        <w:rPr>
          <w:rFonts w:ascii="Times New Roman" w:hAnsi="Times New Roman" w:cs="Times New Roman"/>
          <w:color w:val="000000" w:themeColor="text1"/>
          <w:sz w:val="28"/>
          <w:szCs w:val="28"/>
        </w:rPr>
        <w:t>ra</w:t>
      </w:r>
      <w:r w:rsidRPr="00E4401D">
        <w:rPr>
          <w:rFonts w:ascii="Times New Roman" w:hAnsi="Times New Roman" w:cs="Times New Roman"/>
          <w:color w:val="000000" w:themeColor="text1"/>
          <w:sz w:val="28"/>
          <w:szCs w:val="28"/>
        </w:rPr>
        <w:t xml:space="preserve">ción de aquellos que llevan </w:t>
      </w:r>
      <w:r w:rsidRPr="00E4401D">
        <w:rPr>
          <w:rFonts w:ascii="Times New Roman" w:hAnsi="Times New Roman" w:cs="Times New Roman"/>
          <w:color w:val="000000" w:themeColor="text1"/>
          <w:sz w:val="28"/>
          <w:szCs w:val="28"/>
        </w:rPr>
        <w:t>más de veinte años a la espera de una respuesta por parte del Estado</w:t>
      </w:r>
      <w:r w:rsidRPr="00E4401D">
        <w:rPr>
          <w:rFonts w:ascii="Times New Roman" w:hAnsi="Times New Roman" w:cs="Times New Roman"/>
          <w:color w:val="000000" w:themeColor="text1"/>
          <w:sz w:val="28"/>
          <w:szCs w:val="28"/>
        </w:rPr>
        <w:t>.</w:t>
      </w:r>
    </w:p>
    <w:bookmarkEnd w:id="12"/>
    <w:p w:rsidR="003E6FE7" w:rsidRPr="00E4401D" w:rsidRDefault="00E4401D" w:rsidP="000E26E2">
      <w:pPr>
        <w:jc w:val="both"/>
        <w:rPr>
          <w:rFonts w:ascii="Times New Roman" w:hAnsi="Times New Roman" w:cs="Times New Roman"/>
          <w:sz w:val="28"/>
          <w:szCs w:val="28"/>
        </w:rPr>
      </w:pPr>
    </w:p>
    <w:p w:rsidR="002300D0" w:rsidRPr="00E4401D" w:rsidRDefault="00E4401D" w:rsidP="002300D0">
      <w:pPr>
        <w:jc w:val="both"/>
        <w:rPr>
          <w:rFonts w:ascii="Times New Roman" w:hAnsi="Times New Roman" w:cs="Times New Roman"/>
          <w:sz w:val="28"/>
          <w:szCs w:val="28"/>
        </w:rPr>
      </w:pPr>
      <w:r w:rsidRPr="00E4401D">
        <w:rPr>
          <w:rFonts w:ascii="Times New Roman" w:hAnsi="Times New Roman" w:cs="Times New Roman"/>
          <w:color w:val="000000" w:themeColor="text1"/>
          <w:sz w:val="28"/>
          <w:szCs w:val="28"/>
        </w:rPr>
        <w:t>En es</w:t>
      </w:r>
      <w:r w:rsidRPr="00E4401D">
        <w:rPr>
          <w:rFonts w:ascii="Times New Roman" w:hAnsi="Times New Roman" w:cs="Times New Roman"/>
          <w:color w:val="000000" w:themeColor="text1"/>
          <w:sz w:val="28"/>
          <w:szCs w:val="28"/>
        </w:rPr>
        <w:t>os términos aclaramos nuestro voto.</w:t>
      </w:r>
    </w:p>
    <w:p w:rsidR="002300D0" w:rsidRPr="00E4401D" w:rsidRDefault="00E4401D" w:rsidP="000E26E2">
      <w:pPr>
        <w:jc w:val="both"/>
        <w:rPr>
          <w:rFonts w:ascii="Times New Roman" w:hAnsi="Times New Roman" w:cs="Times New Roman"/>
          <w:sz w:val="28"/>
          <w:szCs w:val="28"/>
        </w:rPr>
      </w:pPr>
    </w:p>
    <w:p w:rsidR="002870DB" w:rsidRPr="00E4401D" w:rsidRDefault="00E4401D" w:rsidP="002870DB">
      <w:pPr>
        <w:jc w:val="center"/>
        <w:rPr>
          <w:rFonts w:ascii="Times New Roman" w:hAnsi="Times New Roman" w:cs="Times New Roman"/>
          <w:sz w:val="28"/>
          <w:szCs w:val="28"/>
          <w:lang w:val="es-ES"/>
        </w:rPr>
      </w:pPr>
      <w:r w:rsidRPr="00E4401D">
        <w:rPr>
          <w:rFonts w:ascii="Times New Roman" w:hAnsi="Times New Roman" w:cs="Times New Roman"/>
          <w:sz w:val="28"/>
          <w:szCs w:val="28"/>
          <w:lang w:val="es-ES"/>
        </w:rPr>
        <w:t>* * *</w:t>
      </w:r>
    </w:p>
    <w:p w:rsidR="00671CE0" w:rsidRPr="00E4401D" w:rsidRDefault="00E4401D" w:rsidP="00671CE0">
      <w:pPr>
        <w:pStyle w:val="NormalWeb"/>
        <w:spacing w:before="280" w:after="280"/>
        <w:jc w:val="both"/>
        <w:rPr>
          <w:rFonts w:ascii="Times New Roman" w:hAnsi="Times New Roman" w:cs="Times New Roman"/>
          <w:color w:val="000000"/>
          <w:sz w:val="28"/>
          <w:szCs w:val="28"/>
        </w:rPr>
      </w:pPr>
      <w:r w:rsidRPr="00E4401D">
        <w:rPr>
          <w:rFonts w:ascii="Times New Roman" w:hAnsi="Times New Roman" w:cs="Times New Roman"/>
          <w:color w:val="000000" w:themeColor="text1"/>
          <w:sz w:val="28"/>
          <w:szCs w:val="28"/>
        </w:rPr>
        <w:t xml:space="preserve">Fecha </w:t>
      </w:r>
      <w:r w:rsidRPr="00E4401D">
        <w:rPr>
          <w:rFonts w:ascii="Times New Roman" w:hAnsi="Times New Roman" w:cs="Times New Roman"/>
          <w:i/>
          <w:color w:val="000000" w:themeColor="text1"/>
          <w:sz w:val="28"/>
          <w:szCs w:val="28"/>
        </w:rPr>
        <w:t>ut supra</w:t>
      </w:r>
      <w:r w:rsidRPr="00E4401D">
        <w:rPr>
          <w:rFonts w:ascii="Times New Roman" w:hAnsi="Times New Roman" w:cs="Times New Roman"/>
          <w:color w:val="000000" w:themeColor="text1"/>
          <w:sz w:val="28"/>
          <w:szCs w:val="28"/>
        </w:rPr>
        <w:t>.</w:t>
      </w:r>
    </w:p>
    <w:p w:rsidR="00E95DEC" w:rsidRPr="00E4401D" w:rsidRDefault="00E4401D" w:rsidP="006D386A">
      <w:pPr>
        <w:pStyle w:val="NormalWeb"/>
        <w:contextualSpacing/>
        <w:jc w:val="center"/>
        <w:rPr>
          <w:rFonts w:ascii="Times New Roman" w:hAnsi="Times New Roman" w:cs="Times New Roman"/>
          <w:sz w:val="28"/>
          <w:szCs w:val="28"/>
        </w:rPr>
      </w:pPr>
    </w:p>
    <w:p w:rsidR="00E95DEC" w:rsidRPr="00E4401D" w:rsidRDefault="00E4401D" w:rsidP="00E95DEC">
      <w:pPr>
        <w:pStyle w:val="NormalWeb"/>
        <w:contextualSpacing/>
        <w:jc w:val="center"/>
        <w:rPr>
          <w:rFonts w:ascii="Times New Roman" w:hAnsi="Times New Roman" w:cs="Times New Roman"/>
          <w:b/>
          <w:bCs/>
          <w:sz w:val="28"/>
          <w:szCs w:val="28"/>
        </w:rPr>
      </w:pPr>
      <w:r w:rsidRPr="00E4401D">
        <w:rPr>
          <w:rFonts w:ascii="Times New Roman" w:hAnsi="Times New Roman" w:cs="Times New Roman"/>
          <w:b/>
          <w:bCs/>
          <w:sz w:val="28"/>
          <w:szCs w:val="28"/>
        </w:rPr>
        <w:t>NATALIA ÁNGEL CABO</w:t>
      </w:r>
    </w:p>
    <w:p w:rsidR="00E95DEC" w:rsidRPr="00E4401D" w:rsidRDefault="00E4401D" w:rsidP="00E95DEC">
      <w:pPr>
        <w:pStyle w:val="NormalWeb"/>
        <w:contextualSpacing/>
        <w:jc w:val="center"/>
        <w:rPr>
          <w:rFonts w:ascii="Times New Roman" w:hAnsi="Times New Roman" w:cs="Times New Roman"/>
          <w:b/>
          <w:bCs/>
          <w:sz w:val="28"/>
          <w:szCs w:val="28"/>
        </w:rPr>
      </w:pPr>
      <w:r w:rsidRPr="00E4401D">
        <w:rPr>
          <w:rFonts w:ascii="Times New Roman" w:hAnsi="Times New Roman" w:cs="Times New Roman"/>
          <w:b/>
          <w:bCs/>
          <w:sz w:val="28"/>
          <w:szCs w:val="28"/>
        </w:rPr>
        <w:t>Magistrada</w:t>
      </w:r>
    </w:p>
    <w:p w:rsidR="00E95DEC" w:rsidRPr="00E4401D" w:rsidRDefault="00E4401D" w:rsidP="00E95DEC">
      <w:pPr>
        <w:pStyle w:val="NormalWeb"/>
        <w:contextualSpacing/>
        <w:jc w:val="center"/>
        <w:rPr>
          <w:rFonts w:ascii="Times New Roman" w:hAnsi="Times New Roman" w:cs="Times New Roman"/>
          <w:b/>
          <w:bCs/>
          <w:sz w:val="28"/>
          <w:szCs w:val="28"/>
        </w:rPr>
      </w:pPr>
    </w:p>
    <w:p w:rsidR="00E95DEC" w:rsidRPr="00E4401D" w:rsidRDefault="00E4401D" w:rsidP="00E95DEC">
      <w:pPr>
        <w:pStyle w:val="NormalWeb"/>
        <w:contextualSpacing/>
        <w:jc w:val="center"/>
        <w:rPr>
          <w:rFonts w:ascii="Times New Roman" w:hAnsi="Times New Roman" w:cs="Times New Roman"/>
          <w:b/>
          <w:bCs/>
          <w:sz w:val="28"/>
          <w:szCs w:val="28"/>
        </w:rPr>
      </w:pPr>
    </w:p>
    <w:p w:rsidR="00E95DEC" w:rsidRPr="00E4401D" w:rsidRDefault="00E4401D" w:rsidP="00E95DEC">
      <w:pPr>
        <w:pStyle w:val="NormalWeb"/>
        <w:contextualSpacing/>
        <w:jc w:val="center"/>
        <w:rPr>
          <w:rFonts w:ascii="Times New Roman" w:hAnsi="Times New Roman" w:cs="Times New Roman"/>
          <w:b/>
          <w:bCs/>
          <w:sz w:val="28"/>
          <w:szCs w:val="28"/>
        </w:rPr>
      </w:pPr>
      <w:r w:rsidRPr="00E4401D">
        <w:rPr>
          <w:rFonts w:ascii="Times New Roman" w:hAnsi="Times New Roman" w:cs="Times New Roman"/>
          <w:b/>
          <w:bCs/>
          <w:sz w:val="28"/>
          <w:szCs w:val="28"/>
        </w:rPr>
        <w:t>JUAN CARLOS CORTÉS GONZÁLEZ</w:t>
      </w:r>
    </w:p>
    <w:p w:rsidR="00E95DEC" w:rsidRPr="00E4401D" w:rsidRDefault="00E4401D" w:rsidP="00E95DEC">
      <w:pPr>
        <w:pStyle w:val="NormalWeb"/>
        <w:contextualSpacing/>
        <w:jc w:val="center"/>
        <w:rPr>
          <w:rFonts w:ascii="Times New Roman" w:hAnsi="Times New Roman" w:cs="Times New Roman"/>
          <w:b/>
          <w:bCs/>
          <w:sz w:val="28"/>
          <w:szCs w:val="28"/>
        </w:rPr>
      </w:pPr>
      <w:r w:rsidRPr="00E4401D">
        <w:rPr>
          <w:rFonts w:ascii="Times New Roman" w:hAnsi="Times New Roman" w:cs="Times New Roman"/>
          <w:b/>
          <w:bCs/>
          <w:sz w:val="28"/>
          <w:szCs w:val="28"/>
        </w:rPr>
        <w:t>Magistrado</w:t>
      </w:r>
    </w:p>
    <w:p w:rsidR="00EB182E" w:rsidRPr="00E4401D" w:rsidRDefault="00E4401D" w:rsidP="001B6D10">
      <w:pPr>
        <w:spacing w:after="0" w:line="240" w:lineRule="auto"/>
        <w:jc w:val="center"/>
        <w:outlineLvl w:val="0"/>
        <w:rPr>
          <w:rFonts w:ascii="Times New Roman" w:hAnsi="Times New Roman" w:cs="Times New Roman"/>
          <w:b/>
          <w:sz w:val="28"/>
          <w:szCs w:val="28"/>
        </w:rPr>
      </w:pPr>
    </w:p>
    <w:p w:rsidR="00EB182E" w:rsidRPr="00E4401D" w:rsidRDefault="00E4401D" w:rsidP="001B6D10">
      <w:pPr>
        <w:spacing w:after="0" w:line="240" w:lineRule="auto"/>
        <w:jc w:val="center"/>
        <w:outlineLvl w:val="0"/>
        <w:rPr>
          <w:rFonts w:ascii="Times New Roman" w:hAnsi="Times New Roman" w:cs="Times New Roman"/>
          <w:b/>
          <w:sz w:val="28"/>
          <w:szCs w:val="28"/>
        </w:rPr>
      </w:pPr>
    </w:p>
    <w:p w:rsidR="00D05732" w:rsidRPr="00E4401D" w:rsidRDefault="00E4401D" w:rsidP="001B6D10">
      <w:pPr>
        <w:spacing w:after="0" w:line="240" w:lineRule="auto"/>
        <w:jc w:val="center"/>
        <w:outlineLvl w:val="0"/>
        <w:rPr>
          <w:rFonts w:ascii="Times New Roman" w:hAnsi="Times New Roman" w:cs="Times New Roman"/>
          <w:b/>
          <w:sz w:val="28"/>
          <w:szCs w:val="28"/>
        </w:rPr>
      </w:pPr>
      <w:r w:rsidRPr="00E4401D">
        <w:rPr>
          <w:rFonts w:ascii="Times New Roman" w:hAnsi="Times New Roman" w:cs="Times New Roman"/>
          <w:b/>
          <w:sz w:val="28"/>
          <w:szCs w:val="28"/>
        </w:rPr>
        <w:t xml:space="preserve">SALVAMENTO PARCIAL DE VOTO DEL MAGISTRADO </w:t>
      </w:r>
    </w:p>
    <w:p w:rsidR="003F134C" w:rsidRPr="00E4401D" w:rsidRDefault="00E4401D" w:rsidP="001B6D10">
      <w:pPr>
        <w:spacing w:after="0" w:line="240" w:lineRule="auto"/>
        <w:jc w:val="center"/>
        <w:outlineLvl w:val="0"/>
        <w:rPr>
          <w:rFonts w:ascii="Times New Roman" w:hAnsi="Times New Roman" w:cs="Times New Roman"/>
          <w:b/>
          <w:sz w:val="28"/>
          <w:szCs w:val="28"/>
        </w:rPr>
      </w:pPr>
      <w:r w:rsidRPr="00E4401D">
        <w:rPr>
          <w:rFonts w:ascii="Times New Roman" w:hAnsi="Times New Roman" w:cs="Times New Roman"/>
          <w:b/>
          <w:sz w:val="28"/>
          <w:szCs w:val="28"/>
        </w:rPr>
        <w:t>MIGUEL POLO ROSERO</w:t>
      </w:r>
    </w:p>
    <w:p w:rsidR="00D05732" w:rsidRPr="00E4401D" w:rsidRDefault="00E4401D" w:rsidP="001B6D10">
      <w:pPr>
        <w:spacing w:after="0" w:line="240" w:lineRule="auto"/>
        <w:jc w:val="center"/>
        <w:outlineLvl w:val="0"/>
        <w:rPr>
          <w:rFonts w:ascii="Times New Roman" w:hAnsi="Times New Roman" w:cs="Times New Roman"/>
          <w:b/>
          <w:sz w:val="28"/>
          <w:szCs w:val="28"/>
        </w:rPr>
      </w:pPr>
      <w:r w:rsidRPr="00E4401D">
        <w:rPr>
          <w:rFonts w:ascii="Times New Roman" w:hAnsi="Times New Roman" w:cs="Times New Roman"/>
          <w:b/>
          <w:sz w:val="28"/>
          <w:szCs w:val="28"/>
        </w:rPr>
        <w:t xml:space="preserve"> A LA SENTENCIA </w:t>
      </w:r>
      <w:r w:rsidRPr="00E4401D">
        <w:rPr>
          <w:rFonts w:ascii="Times New Roman" w:eastAsia="Times New Roman" w:hAnsi="Times New Roman" w:cs="Times New Roman"/>
          <w:b/>
          <w:sz w:val="28"/>
          <w:szCs w:val="28"/>
          <w:lang w:val="es-ES" w:eastAsia="es-ES"/>
        </w:rPr>
        <w:t>C-142</w:t>
      </w:r>
      <w:r w:rsidRPr="00E4401D">
        <w:rPr>
          <w:rFonts w:ascii="Times New Roman" w:eastAsia="Times New Roman" w:hAnsi="Times New Roman" w:cs="Times New Roman"/>
          <w:b/>
          <w:sz w:val="28"/>
          <w:szCs w:val="28"/>
          <w:lang w:val="es-ES" w:eastAsia="es-ES"/>
        </w:rPr>
        <w:t>/</w:t>
      </w:r>
      <w:r w:rsidRPr="00E4401D">
        <w:rPr>
          <w:rFonts w:ascii="Times New Roman" w:eastAsia="Times New Roman" w:hAnsi="Times New Roman" w:cs="Times New Roman"/>
          <w:b/>
          <w:sz w:val="28"/>
          <w:szCs w:val="28"/>
          <w:lang w:val="es-ES" w:eastAsia="es-ES"/>
        </w:rPr>
        <w:t>25</w:t>
      </w:r>
    </w:p>
    <w:p w:rsidR="00D05732" w:rsidRPr="00E4401D" w:rsidRDefault="00E4401D" w:rsidP="001B6D10">
      <w:pPr>
        <w:spacing w:after="0" w:line="240" w:lineRule="auto"/>
        <w:jc w:val="center"/>
        <w:outlineLvl w:val="0"/>
        <w:rPr>
          <w:rFonts w:ascii="Times New Roman" w:hAnsi="Times New Roman" w:cs="Times New Roman"/>
          <w:b/>
          <w:sz w:val="28"/>
          <w:szCs w:val="28"/>
        </w:rPr>
      </w:pPr>
    </w:p>
    <w:p w:rsidR="003F134C" w:rsidRPr="00E4401D" w:rsidRDefault="00E4401D" w:rsidP="001B6D10">
      <w:pPr>
        <w:spacing w:after="0" w:line="240" w:lineRule="auto"/>
        <w:jc w:val="center"/>
        <w:outlineLvl w:val="0"/>
        <w:rPr>
          <w:rFonts w:ascii="Times New Roman" w:hAnsi="Times New Roman" w:cs="Times New Roman"/>
          <w:b/>
          <w:sz w:val="28"/>
          <w:szCs w:val="28"/>
        </w:rPr>
      </w:pPr>
    </w:p>
    <w:p w:rsidR="00D05732" w:rsidRPr="00E4401D" w:rsidRDefault="00E4401D" w:rsidP="001B6D10">
      <w:pPr>
        <w:suppressAutoHyphens/>
        <w:overflowPunct w:val="0"/>
        <w:autoSpaceDE w:val="0"/>
        <w:autoSpaceDN w:val="0"/>
        <w:adjustRightInd w:val="0"/>
        <w:spacing w:after="0" w:line="240" w:lineRule="auto"/>
        <w:ind w:left="4111"/>
        <w:jc w:val="both"/>
        <w:rPr>
          <w:rFonts w:ascii="Times New Roman" w:eastAsia="Times New Roman" w:hAnsi="Times New Roman" w:cs="Times New Roman"/>
          <w:bCs/>
          <w:sz w:val="28"/>
          <w:szCs w:val="28"/>
        </w:rPr>
      </w:pPr>
      <w:r w:rsidRPr="00E4401D">
        <w:rPr>
          <w:rFonts w:ascii="Times New Roman" w:eastAsia="Times New Roman" w:hAnsi="Times New Roman" w:cs="Times New Roman"/>
          <w:bCs/>
          <w:sz w:val="28"/>
          <w:szCs w:val="28"/>
        </w:rPr>
        <w:t>Referencia: Expediente D-15345</w:t>
      </w:r>
    </w:p>
    <w:p w:rsidR="00D05732" w:rsidRPr="00E4401D" w:rsidRDefault="00E4401D" w:rsidP="001B6D10">
      <w:pPr>
        <w:suppressAutoHyphens/>
        <w:overflowPunct w:val="0"/>
        <w:autoSpaceDE w:val="0"/>
        <w:autoSpaceDN w:val="0"/>
        <w:adjustRightInd w:val="0"/>
        <w:spacing w:after="0" w:line="240" w:lineRule="auto"/>
        <w:ind w:left="4111"/>
        <w:jc w:val="both"/>
        <w:rPr>
          <w:rFonts w:ascii="Times New Roman" w:eastAsia="Times New Roman" w:hAnsi="Times New Roman" w:cs="Times New Roman"/>
          <w:bCs/>
          <w:sz w:val="28"/>
          <w:szCs w:val="28"/>
        </w:rPr>
      </w:pPr>
    </w:p>
    <w:p w:rsidR="00D05732" w:rsidRPr="00E4401D" w:rsidRDefault="00E4401D" w:rsidP="001B6D10">
      <w:pPr>
        <w:suppressAutoHyphens/>
        <w:overflowPunct w:val="0"/>
        <w:autoSpaceDE w:val="0"/>
        <w:autoSpaceDN w:val="0"/>
        <w:adjustRightInd w:val="0"/>
        <w:spacing w:after="0" w:line="240" w:lineRule="auto"/>
        <w:ind w:left="4111"/>
        <w:jc w:val="both"/>
        <w:rPr>
          <w:rFonts w:ascii="Times New Roman" w:eastAsia="Times New Roman" w:hAnsi="Times New Roman" w:cs="Times New Roman"/>
          <w:bCs/>
          <w:i/>
          <w:iCs/>
          <w:sz w:val="28"/>
          <w:szCs w:val="28"/>
        </w:rPr>
      </w:pPr>
      <w:r w:rsidRPr="00E4401D">
        <w:rPr>
          <w:rFonts w:ascii="Times New Roman" w:eastAsia="Times New Roman" w:hAnsi="Times New Roman" w:cs="Times New Roman"/>
          <w:bCs/>
          <w:sz w:val="28"/>
          <w:szCs w:val="28"/>
        </w:rPr>
        <w:t xml:space="preserve">Asunto: Demanda de inconstitucionalidad contra la Ley 2294 de 2023, </w:t>
      </w:r>
      <w:r w:rsidRPr="00E4401D">
        <w:rPr>
          <w:rFonts w:ascii="Times New Roman" w:eastAsia="Times New Roman" w:hAnsi="Times New Roman" w:cs="Times New Roman"/>
          <w:bCs/>
          <w:i/>
          <w:iCs/>
          <w:sz w:val="28"/>
          <w:szCs w:val="28"/>
        </w:rPr>
        <w:t>“por el cual se expide el Plan Nacional de Desarrollo 2022-2026 “Colombia Potencia Mundial de la Vida”</w:t>
      </w:r>
    </w:p>
    <w:p w:rsidR="001B6D10" w:rsidRPr="00E4401D" w:rsidRDefault="00E4401D" w:rsidP="001B6D10">
      <w:pPr>
        <w:suppressAutoHyphens/>
        <w:overflowPunct w:val="0"/>
        <w:autoSpaceDE w:val="0"/>
        <w:autoSpaceDN w:val="0"/>
        <w:adjustRightInd w:val="0"/>
        <w:spacing w:after="0" w:line="240" w:lineRule="auto"/>
        <w:ind w:left="4111"/>
        <w:jc w:val="both"/>
        <w:rPr>
          <w:rFonts w:ascii="Times New Roman" w:eastAsia="Times New Roman" w:hAnsi="Times New Roman" w:cs="Times New Roman"/>
          <w:bCs/>
          <w:sz w:val="28"/>
          <w:szCs w:val="28"/>
        </w:rPr>
      </w:pPr>
    </w:p>
    <w:p w:rsidR="00D05732" w:rsidRPr="00E4401D" w:rsidRDefault="00E4401D" w:rsidP="001B6D10">
      <w:pPr>
        <w:suppressAutoHyphens/>
        <w:overflowPunct w:val="0"/>
        <w:autoSpaceDE w:val="0"/>
        <w:autoSpaceDN w:val="0"/>
        <w:adjustRightInd w:val="0"/>
        <w:spacing w:after="0" w:line="240" w:lineRule="auto"/>
        <w:ind w:left="4111"/>
        <w:jc w:val="both"/>
        <w:rPr>
          <w:rFonts w:ascii="Times New Roman" w:eastAsia="Times New Roman" w:hAnsi="Times New Roman" w:cs="Times New Roman"/>
          <w:bCs/>
          <w:sz w:val="28"/>
          <w:szCs w:val="28"/>
        </w:rPr>
      </w:pPr>
      <w:r w:rsidRPr="00E4401D">
        <w:rPr>
          <w:rFonts w:ascii="Times New Roman" w:eastAsia="Times New Roman" w:hAnsi="Times New Roman" w:cs="Times New Roman"/>
          <w:bCs/>
          <w:sz w:val="28"/>
          <w:szCs w:val="28"/>
        </w:rPr>
        <w:t xml:space="preserve">Magistrado sustanciador: </w:t>
      </w:r>
    </w:p>
    <w:p w:rsidR="00D05732" w:rsidRPr="00E4401D" w:rsidRDefault="00E4401D" w:rsidP="001B6D10">
      <w:pPr>
        <w:spacing w:after="0" w:line="240" w:lineRule="auto"/>
        <w:ind w:left="3403" w:firstLine="708"/>
        <w:rPr>
          <w:rFonts w:ascii="Times New Roman" w:eastAsia="Times New Roman" w:hAnsi="Times New Roman" w:cs="Times New Roman"/>
          <w:bCs/>
          <w:sz w:val="28"/>
          <w:szCs w:val="28"/>
          <w:lang w:eastAsia="es-ES"/>
        </w:rPr>
      </w:pPr>
      <w:r w:rsidRPr="00E4401D">
        <w:rPr>
          <w:rFonts w:ascii="Times New Roman" w:eastAsia="Times New Roman" w:hAnsi="Times New Roman" w:cs="Times New Roman"/>
          <w:bCs/>
          <w:sz w:val="28"/>
          <w:szCs w:val="28"/>
        </w:rPr>
        <w:t>Jorge Enrique Ibáñez Najar</w:t>
      </w:r>
    </w:p>
    <w:p w:rsidR="00D05732" w:rsidRPr="00E4401D" w:rsidRDefault="00E4401D" w:rsidP="001B6D10">
      <w:pPr>
        <w:spacing w:after="0" w:line="240" w:lineRule="auto"/>
        <w:rPr>
          <w:rFonts w:ascii="Times New Roman" w:hAnsi="Times New Roman" w:cs="Times New Roman"/>
          <w:bCs/>
          <w:color w:val="000000" w:themeColor="text1"/>
          <w:sz w:val="28"/>
          <w:szCs w:val="28"/>
          <w:lang w:val="es-ES_tradnl"/>
        </w:rPr>
      </w:pPr>
    </w:p>
    <w:p w:rsidR="001B6D10" w:rsidRPr="00E4401D" w:rsidRDefault="00E4401D" w:rsidP="001B6D10">
      <w:pPr>
        <w:spacing w:after="0" w:line="240" w:lineRule="auto"/>
        <w:jc w:val="both"/>
        <w:rPr>
          <w:rFonts w:ascii="Times New Roman" w:hAnsi="Times New Roman" w:cs="Times New Roman"/>
          <w:color w:val="000000" w:themeColor="text1"/>
          <w:sz w:val="28"/>
          <w:szCs w:val="28"/>
        </w:rPr>
      </w:pPr>
    </w:p>
    <w:p w:rsidR="00D05732" w:rsidRPr="00E4401D" w:rsidRDefault="00E4401D" w:rsidP="001B6D10">
      <w:pPr>
        <w:spacing w:after="0" w:line="240" w:lineRule="auto"/>
        <w:jc w:val="both"/>
        <w:rPr>
          <w:rFonts w:ascii="Times New Roman" w:hAnsi="Times New Roman" w:cs="Times New Roman"/>
          <w:bCs/>
          <w:color w:val="000000" w:themeColor="text1"/>
          <w:sz w:val="28"/>
          <w:szCs w:val="28"/>
        </w:rPr>
      </w:pPr>
      <w:r w:rsidRPr="00E4401D">
        <w:rPr>
          <w:rFonts w:ascii="Times New Roman" w:hAnsi="Times New Roman" w:cs="Times New Roman"/>
          <w:color w:val="000000" w:themeColor="text1"/>
          <w:sz w:val="28"/>
          <w:szCs w:val="28"/>
        </w:rPr>
        <w:t xml:space="preserve">Con el debido respeto por las decisiones de la mayoría, salvo parcialmente el voto en el asunto de la referencia. Si bien acompañé </w:t>
      </w:r>
      <w:r w:rsidRPr="00E4401D">
        <w:rPr>
          <w:rFonts w:ascii="Times New Roman" w:hAnsi="Times New Roman" w:cs="Times New Roman"/>
          <w:color w:val="000000" w:themeColor="text1"/>
          <w:sz w:val="28"/>
          <w:szCs w:val="28"/>
        </w:rPr>
        <w:t>los resolutivos 1, 2, 3, 4, 6 y 7, en los que se declararon (i) la existencia de una cosa juzgada constitucional con la sente</w:t>
      </w:r>
      <w:r w:rsidRPr="00E4401D">
        <w:rPr>
          <w:rFonts w:ascii="Times New Roman" w:hAnsi="Times New Roman" w:cs="Times New Roman"/>
          <w:color w:val="000000" w:themeColor="text1"/>
          <w:sz w:val="28"/>
          <w:szCs w:val="28"/>
        </w:rPr>
        <w:t xml:space="preserve">ncia C-294 de 2024; (ii) la exequibilidad del literal a), del numeral 2, del artículo 61 y del parágrafo 3 del artículo 297; y (iii) la inexequibilidad de una expresión del parágrafo 3 del artículo 5, varios contenidos del artículo 61 y los parágrafos 1 y </w:t>
      </w:r>
      <w:r w:rsidRPr="00E4401D">
        <w:rPr>
          <w:rFonts w:ascii="Times New Roman" w:hAnsi="Times New Roman" w:cs="Times New Roman"/>
          <w:color w:val="000000" w:themeColor="text1"/>
          <w:sz w:val="28"/>
          <w:szCs w:val="28"/>
        </w:rPr>
        <w:t xml:space="preserve">2 del artículo 297 de la Ley 2294 de 2023, en los que se examinó el cumplimiento del principio de publicidad previsto en el artículo 157 de la Carta; en </w:t>
      </w:r>
      <w:r w:rsidRPr="00E4401D">
        <w:rPr>
          <w:rFonts w:ascii="Times New Roman" w:hAnsi="Times New Roman" w:cs="Times New Roman"/>
          <w:color w:val="000000" w:themeColor="text1"/>
          <w:sz w:val="28"/>
          <w:szCs w:val="28"/>
        </w:rPr>
        <w:t>mi</w:t>
      </w:r>
      <w:r w:rsidRPr="00E4401D">
        <w:rPr>
          <w:rFonts w:ascii="Times New Roman" w:hAnsi="Times New Roman" w:cs="Times New Roman"/>
          <w:color w:val="000000" w:themeColor="text1"/>
          <w:sz w:val="28"/>
          <w:szCs w:val="28"/>
        </w:rPr>
        <w:t xml:space="preserve"> opinión, la Sala Plena debió declarar la exequibilidad de las expresiones acusadas del artículo 289 </w:t>
      </w:r>
      <w:r w:rsidRPr="00E4401D">
        <w:rPr>
          <w:rFonts w:ascii="Times New Roman" w:hAnsi="Times New Roman" w:cs="Times New Roman"/>
          <w:color w:val="000000" w:themeColor="text1"/>
          <w:sz w:val="28"/>
          <w:szCs w:val="28"/>
        </w:rPr>
        <w:t>de la misma ley en mención (resolutivo 5), por cuanto no se comprometió el principio valorado, al haberse presentado</w:t>
      </w:r>
      <w:r w:rsidRPr="00E4401D">
        <w:rPr>
          <w:rFonts w:ascii="Times New Roman" w:eastAsia="Times New Roman" w:hAnsi="Times New Roman" w:cs="Times New Roman"/>
          <w:bCs/>
          <w:sz w:val="28"/>
          <w:szCs w:val="28"/>
          <w:lang w:eastAsia="es-ES"/>
        </w:rPr>
        <w:t xml:space="preserve"> </w:t>
      </w:r>
      <w:r w:rsidRPr="00E4401D">
        <w:rPr>
          <w:rFonts w:ascii="Times New Roman" w:hAnsi="Times New Roman" w:cs="Times New Roman"/>
          <w:bCs/>
          <w:color w:val="000000" w:themeColor="text1"/>
          <w:sz w:val="28"/>
          <w:szCs w:val="28"/>
        </w:rPr>
        <w:t>una corrección formal del procedimiento en el trámite de su aprobación</w:t>
      </w:r>
      <w:r w:rsidRPr="00E4401D">
        <w:rPr>
          <w:rFonts w:ascii="Times New Roman" w:hAnsi="Times New Roman" w:cs="Times New Roman"/>
          <w:bCs/>
          <w:color w:val="000000" w:themeColor="text1"/>
          <w:sz w:val="28"/>
          <w:szCs w:val="28"/>
        </w:rPr>
        <w:t xml:space="preserve">, de acuerdo con los siguientes argumentos: </w:t>
      </w:r>
    </w:p>
    <w:p w:rsidR="00D05732" w:rsidRPr="00E4401D" w:rsidRDefault="00E4401D" w:rsidP="001B6D10">
      <w:pPr>
        <w:spacing w:after="0" w:line="240" w:lineRule="auto"/>
        <w:jc w:val="both"/>
        <w:rPr>
          <w:rFonts w:ascii="Times New Roman" w:hAnsi="Times New Roman" w:cs="Times New Roman"/>
          <w:bCs/>
          <w:color w:val="000000" w:themeColor="text1"/>
          <w:sz w:val="28"/>
          <w:szCs w:val="28"/>
        </w:rPr>
      </w:pPr>
    </w:p>
    <w:p w:rsidR="00D05732" w:rsidRPr="00E4401D" w:rsidRDefault="00E4401D" w:rsidP="007D6115">
      <w:pPr>
        <w:pStyle w:val="Prrafodelista"/>
        <w:numPr>
          <w:ilvl w:val="0"/>
          <w:numId w:val="11"/>
        </w:numPr>
        <w:tabs>
          <w:tab w:val="left" w:pos="567"/>
        </w:tabs>
        <w:spacing w:after="0" w:line="240" w:lineRule="auto"/>
        <w:ind w:left="0" w:firstLine="0"/>
        <w:jc w:val="both"/>
        <w:rPr>
          <w:rFonts w:ascii="Times New Roman" w:hAnsi="Times New Roman" w:cs="Times New Roman"/>
          <w:color w:val="000000" w:themeColor="text1"/>
          <w:sz w:val="28"/>
          <w:szCs w:val="28"/>
          <w:lang w:val="es-MX"/>
        </w:rPr>
      </w:pPr>
      <w:r w:rsidRPr="00E4401D">
        <w:rPr>
          <w:rFonts w:ascii="Times New Roman" w:hAnsi="Times New Roman" w:cs="Times New Roman"/>
          <w:bCs/>
          <w:color w:val="000000" w:themeColor="text1"/>
          <w:sz w:val="28"/>
          <w:szCs w:val="28"/>
        </w:rPr>
        <w:t>E</w:t>
      </w:r>
      <w:r w:rsidRPr="00E4401D">
        <w:rPr>
          <w:rFonts w:ascii="Times New Roman" w:hAnsi="Times New Roman" w:cs="Times New Roman"/>
          <w:bCs/>
          <w:iCs/>
          <w:color w:val="000000" w:themeColor="text1"/>
          <w:sz w:val="28"/>
          <w:szCs w:val="28"/>
        </w:rPr>
        <w:t>ste Tribunal ha sosten</w:t>
      </w:r>
      <w:r w:rsidRPr="00E4401D">
        <w:rPr>
          <w:rFonts w:ascii="Times New Roman" w:hAnsi="Times New Roman" w:cs="Times New Roman"/>
          <w:bCs/>
          <w:iCs/>
          <w:color w:val="000000" w:themeColor="text1"/>
          <w:sz w:val="28"/>
          <w:szCs w:val="28"/>
        </w:rPr>
        <w:t xml:space="preserve">ido que siempre que se efectúe el escrutinio de una irregularidad en el procedimiento legislativo es imprescindible que se examine el valor sustantivo que se encuentra </w:t>
      </w:r>
      <w:r w:rsidRPr="00E4401D">
        <w:rPr>
          <w:rFonts w:ascii="Times New Roman" w:hAnsi="Times New Roman" w:cs="Times New Roman"/>
          <w:bCs/>
          <w:iCs/>
          <w:color w:val="000000" w:themeColor="text1"/>
          <w:sz w:val="28"/>
          <w:szCs w:val="28"/>
        </w:rPr>
        <w:t>comprometido</w:t>
      </w:r>
      <w:r w:rsidRPr="00E4401D">
        <w:rPr>
          <w:rFonts w:ascii="Times New Roman" w:hAnsi="Times New Roman" w:cs="Times New Roman"/>
          <w:bCs/>
          <w:iCs/>
          <w:color w:val="000000" w:themeColor="text1"/>
          <w:sz w:val="28"/>
          <w:szCs w:val="28"/>
        </w:rPr>
        <w:t xml:space="preserve">, a partir del contexto en que tuvo lugar el defecto observado, pues de ello depende si el desconocimiento de una regla de trámite referente a la aprobación de una </w:t>
      </w:r>
      <w:r w:rsidRPr="00E4401D">
        <w:rPr>
          <w:rFonts w:ascii="Times New Roman" w:hAnsi="Times New Roman" w:cs="Times New Roman"/>
          <w:bCs/>
          <w:iCs/>
          <w:color w:val="000000" w:themeColor="text1"/>
          <w:sz w:val="28"/>
          <w:szCs w:val="28"/>
        </w:rPr>
        <w:t>ley</w:t>
      </w:r>
      <w:r w:rsidRPr="00E4401D">
        <w:rPr>
          <w:rFonts w:ascii="Times New Roman" w:hAnsi="Times New Roman" w:cs="Times New Roman"/>
          <w:bCs/>
          <w:iCs/>
          <w:color w:val="000000" w:themeColor="text1"/>
          <w:sz w:val="28"/>
          <w:szCs w:val="28"/>
        </w:rPr>
        <w:t xml:space="preserve"> constituye un vicio de procedimiento. Lo anterior no significa que las formas procesales</w:t>
      </w:r>
      <w:r w:rsidRPr="00E4401D">
        <w:rPr>
          <w:rFonts w:ascii="Times New Roman" w:hAnsi="Times New Roman" w:cs="Times New Roman"/>
          <w:bCs/>
          <w:iCs/>
          <w:color w:val="000000" w:themeColor="text1"/>
          <w:sz w:val="28"/>
          <w:szCs w:val="28"/>
        </w:rPr>
        <w:t xml:space="preserve"> sean irrelevantes o que puedan ser simplemente ignoradas. Por el contrario, ellas son importantes y deben ser </w:t>
      </w:r>
      <w:r w:rsidRPr="00E4401D">
        <w:rPr>
          <w:rFonts w:ascii="Times New Roman" w:hAnsi="Times New Roman" w:cs="Times New Roman"/>
          <w:bCs/>
          <w:iCs/>
          <w:color w:val="000000" w:themeColor="text1"/>
          <w:sz w:val="28"/>
          <w:szCs w:val="28"/>
        </w:rPr>
        <w:t>aca</w:t>
      </w:r>
      <w:r w:rsidRPr="00E4401D">
        <w:rPr>
          <w:rFonts w:ascii="Times New Roman" w:hAnsi="Times New Roman" w:cs="Times New Roman"/>
          <w:bCs/>
          <w:iCs/>
          <w:color w:val="000000" w:themeColor="text1"/>
          <w:sz w:val="28"/>
          <w:szCs w:val="28"/>
        </w:rPr>
        <w:t>tadas, precisamente porque protegen valores sustantivos significativos vinculados con la realización del Estado Social de Derecho.</w:t>
      </w:r>
      <w:r w:rsidRPr="00E4401D">
        <w:rPr>
          <w:rFonts w:ascii="Times New Roman" w:hAnsi="Times New Roman" w:cs="Times New Roman"/>
          <w:color w:val="000000" w:themeColor="text1"/>
          <w:sz w:val="28"/>
          <w:szCs w:val="28"/>
          <w:lang w:val="es-MX"/>
        </w:rPr>
        <w:t xml:space="preserve"> </w:t>
      </w:r>
    </w:p>
    <w:p w:rsidR="00D05732" w:rsidRPr="00E4401D" w:rsidRDefault="00E4401D" w:rsidP="007D6115">
      <w:pPr>
        <w:tabs>
          <w:tab w:val="left" w:pos="567"/>
        </w:tabs>
        <w:spacing w:after="0" w:line="240" w:lineRule="auto"/>
        <w:jc w:val="both"/>
        <w:rPr>
          <w:rFonts w:ascii="Times New Roman" w:hAnsi="Times New Roman" w:cs="Times New Roman"/>
          <w:color w:val="000000" w:themeColor="text1"/>
          <w:sz w:val="28"/>
          <w:szCs w:val="28"/>
          <w:lang w:val="es-MX"/>
        </w:rPr>
      </w:pPr>
    </w:p>
    <w:p w:rsidR="00D05732" w:rsidRPr="00E4401D" w:rsidRDefault="00E4401D" w:rsidP="007D6115">
      <w:pPr>
        <w:pStyle w:val="Prrafodelista"/>
        <w:numPr>
          <w:ilvl w:val="0"/>
          <w:numId w:val="11"/>
        </w:numPr>
        <w:tabs>
          <w:tab w:val="left" w:pos="567"/>
        </w:tabs>
        <w:spacing w:after="0" w:line="240" w:lineRule="auto"/>
        <w:ind w:left="0" w:firstLine="0"/>
        <w:jc w:val="both"/>
        <w:rPr>
          <w:rFonts w:ascii="Times New Roman" w:hAnsi="Times New Roman" w:cs="Times New Roman"/>
          <w:bCs/>
          <w:iCs/>
          <w:color w:val="000000" w:themeColor="text1"/>
          <w:sz w:val="28"/>
          <w:szCs w:val="28"/>
          <w:lang w:val="es-ES"/>
        </w:rPr>
      </w:pPr>
      <w:r w:rsidRPr="00E4401D">
        <w:rPr>
          <w:rFonts w:ascii="Times New Roman" w:hAnsi="Times New Roman" w:cs="Times New Roman"/>
          <w:bCs/>
          <w:iCs/>
          <w:color w:val="000000" w:themeColor="text1"/>
          <w:sz w:val="28"/>
          <w:szCs w:val="28"/>
          <w:lang w:val="es-ES"/>
        </w:rPr>
        <w:t xml:space="preserve">Con este </w:t>
      </w:r>
      <w:r w:rsidRPr="00E4401D">
        <w:rPr>
          <w:rFonts w:ascii="Times New Roman" w:hAnsi="Times New Roman" w:cs="Times New Roman"/>
          <w:bCs/>
          <w:iCs/>
          <w:color w:val="000000" w:themeColor="text1"/>
          <w:sz w:val="28"/>
          <w:szCs w:val="28"/>
          <w:lang w:val="es-ES"/>
        </w:rPr>
        <w:t xml:space="preserve">propósito, se ha admitido que el trámite dirigido a la expedición de leyes debe ser entendido a partir de los objetivos y fines constitucionales que está llamado a cumplir, teniendo en cuenta el </w:t>
      </w:r>
      <w:r w:rsidRPr="00E4401D">
        <w:rPr>
          <w:rFonts w:ascii="Times New Roman" w:hAnsi="Times New Roman" w:cs="Times New Roman"/>
          <w:bCs/>
          <w:i/>
          <w:iCs/>
          <w:color w:val="000000" w:themeColor="text1"/>
          <w:sz w:val="28"/>
          <w:szCs w:val="28"/>
          <w:lang w:val="es-ES"/>
        </w:rPr>
        <w:t>principio de</w:t>
      </w:r>
      <w:r w:rsidRPr="00E4401D">
        <w:rPr>
          <w:rFonts w:ascii="Times New Roman" w:hAnsi="Times New Roman" w:cs="Times New Roman"/>
          <w:bCs/>
          <w:iCs/>
          <w:color w:val="000000" w:themeColor="text1"/>
          <w:sz w:val="28"/>
          <w:szCs w:val="28"/>
          <w:lang w:val="es-ES"/>
        </w:rPr>
        <w:t xml:space="preserve"> </w:t>
      </w:r>
      <w:r w:rsidRPr="00E4401D">
        <w:rPr>
          <w:rFonts w:ascii="Times New Roman" w:hAnsi="Times New Roman" w:cs="Times New Roman"/>
          <w:bCs/>
          <w:i/>
          <w:iCs/>
          <w:color w:val="000000" w:themeColor="text1"/>
          <w:sz w:val="28"/>
          <w:szCs w:val="28"/>
          <w:lang w:val="es-ES"/>
        </w:rPr>
        <w:t>instrumentalidad de las formas</w:t>
      </w:r>
      <w:r w:rsidRPr="00E4401D">
        <w:rPr>
          <w:rFonts w:ascii="Times New Roman" w:hAnsi="Times New Roman" w:cs="Times New Roman"/>
          <w:bCs/>
          <w:iCs/>
          <w:color w:val="000000" w:themeColor="text1"/>
          <w:sz w:val="28"/>
          <w:szCs w:val="28"/>
          <w:lang w:val="es-ES"/>
        </w:rPr>
        <w:t xml:space="preserve">, </w:t>
      </w:r>
      <w:r w:rsidRPr="00E4401D">
        <w:rPr>
          <w:rFonts w:ascii="Times New Roman" w:hAnsi="Times New Roman" w:cs="Times New Roman"/>
          <w:bCs/>
          <w:iCs/>
          <w:color w:val="000000" w:themeColor="text1"/>
          <w:sz w:val="28"/>
          <w:szCs w:val="28"/>
          <w:lang w:val="es-ES_tradnl"/>
        </w:rPr>
        <w:t xml:space="preserve">conforme </w:t>
      </w:r>
      <w:r w:rsidRPr="00E4401D">
        <w:rPr>
          <w:rFonts w:ascii="Times New Roman" w:hAnsi="Times New Roman" w:cs="Times New Roman"/>
          <w:bCs/>
          <w:iCs/>
          <w:color w:val="000000" w:themeColor="text1"/>
          <w:sz w:val="28"/>
          <w:szCs w:val="28"/>
          <w:lang w:val="es-ES_tradnl"/>
        </w:rPr>
        <w:t>con el</w:t>
      </w:r>
      <w:r w:rsidRPr="00E4401D">
        <w:rPr>
          <w:rFonts w:ascii="Times New Roman" w:hAnsi="Times New Roman" w:cs="Times New Roman"/>
          <w:bCs/>
          <w:iCs/>
          <w:color w:val="000000" w:themeColor="text1"/>
          <w:sz w:val="28"/>
          <w:szCs w:val="28"/>
          <w:lang w:val="es-ES_tradnl"/>
        </w:rPr>
        <w:t xml:space="preserve"> cual las reglas </w:t>
      </w:r>
      <w:r w:rsidRPr="00E4401D">
        <w:rPr>
          <w:rFonts w:ascii="Times New Roman" w:hAnsi="Times New Roman" w:cs="Times New Roman"/>
          <w:bCs/>
          <w:iCs/>
          <w:color w:val="000000" w:themeColor="text1"/>
          <w:sz w:val="28"/>
          <w:szCs w:val="28"/>
        </w:rPr>
        <w:t xml:space="preserve">procesales no tienen valor en sí mismo y deben interpretarse teleológicamente al servicio de un fin sustantivo, y el </w:t>
      </w:r>
      <w:r w:rsidRPr="00E4401D">
        <w:rPr>
          <w:rFonts w:ascii="Times New Roman" w:hAnsi="Times New Roman" w:cs="Times New Roman"/>
          <w:bCs/>
          <w:i/>
          <w:iCs/>
          <w:color w:val="000000" w:themeColor="text1"/>
          <w:sz w:val="28"/>
          <w:szCs w:val="28"/>
        </w:rPr>
        <w:t>principio de corrección de las formas</w:t>
      </w:r>
      <w:r w:rsidRPr="00E4401D">
        <w:rPr>
          <w:rFonts w:ascii="Times New Roman" w:hAnsi="Times New Roman" w:cs="Times New Roman"/>
          <w:bCs/>
          <w:iCs/>
          <w:color w:val="000000" w:themeColor="text1"/>
          <w:sz w:val="28"/>
          <w:szCs w:val="28"/>
        </w:rPr>
        <w:t>, que rechaza la concepción de los trámites como condiciones sin relevancia constituc</w:t>
      </w:r>
      <w:r w:rsidRPr="00E4401D">
        <w:rPr>
          <w:rFonts w:ascii="Times New Roman" w:hAnsi="Times New Roman" w:cs="Times New Roman"/>
          <w:bCs/>
          <w:iCs/>
          <w:color w:val="000000" w:themeColor="text1"/>
          <w:sz w:val="28"/>
          <w:szCs w:val="28"/>
        </w:rPr>
        <w:t xml:space="preserve">ional. </w:t>
      </w:r>
    </w:p>
    <w:p w:rsidR="00D05732" w:rsidRPr="00E4401D" w:rsidRDefault="00E4401D" w:rsidP="007D6115">
      <w:pPr>
        <w:tabs>
          <w:tab w:val="left" w:pos="567"/>
        </w:tabs>
        <w:spacing w:after="0" w:line="240" w:lineRule="auto"/>
        <w:jc w:val="both"/>
        <w:rPr>
          <w:rFonts w:ascii="Times New Roman" w:hAnsi="Times New Roman" w:cs="Times New Roman"/>
          <w:bCs/>
          <w:iCs/>
          <w:color w:val="000000" w:themeColor="text1"/>
          <w:sz w:val="28"/>
          <w:szCs w:val="28"/>
          <w:lang w:val="es-ES"/>
        </w:rPr>
      </w:pPr>
    </w:p>
    <w:p w:rsidR="00D05732" w:rsidRPr="00E4401D" w:rsidRDefault="00E4401D" w:rsidP="007D6115">
      <w:pPr>
        <w:pStyle w:val="Prrafodelista"/>
        <w:numPr>
          <w:ilvl w:val="0"/>
          <w:numId w:val="11"/>
        </w:numPr>
        <w:tabs>
          <w:tab w:val="left" w:pos="567"/>
        </w:tabs>
        <w:spacing w:after="0" w:line="240" w:lineRule="auto"/>
        <w:ind w:left="0" w:firstLine="0"/>
        <w:jc w:val="both"/>
        <w:rPr>
          <w:rFonts w:ascii="Times New Roman" w:hAnsi="Times New Roman" w:cs="Times New Roman"/>
          <w:bCs/>
          <w:color w:val="000000" w:themeColor="text1"/>
          <w:sz w:val="28"/>
          <w:szCs w:val="28"/>
        </w:rPr>
      </w:pPr>
      <w:r w:rsidRPr="00E4401D">
        <w:rPr>
          <w:rFonts w:ascii="Times New Roman" w:hAnsi="Times New Roman" w:cs="Times New Roman"/>
          <w:bCs/>
          <w:color w:val="000000" w:themeColor="text1"/>
          <w:sz w:val="28"/>
          <w:szCs w:val="28"/>
        </w:rPr>
        <w:t>En desarrollo de lo anterior, esta Corporación ha señalado que la aplicación del principio de instrumentalidad de las formas</w:t>
      </w:r>
      <w:r w:rsidRPr="00E4401D">
        <w:rPr>
          <w:rFonts w:ascii="Times New Roman" w:hAnsi="Times New Roman" w:cs="Times New Roman"/>
          <w:bCs/>
          <w:color w:val="000000" w:themeColor="text1"/>
          <w:sz w:val="28"/>
          <w:szCs w:val="28"/>
        </w:rPr>
        <w:t>,</w:t>
      </w:r>
      <w:r w:rsidRPr="00E4401D">
        <w:rPr>
          <w:rFonts w:ascii="Times New Roman" w:hAnsi="Times New Roman" w:cs="Times New Roman"/>
          <w:bCs/>
          <w:color w:val="000000" w:themeColor="text1"/>
          <w:sz w:val="28"/>
          <w:szCs w:val="28"/>
        </w:rPr>
        <w:t xml:space="preserve"> en torno a la ocurrencia de una irregularidad en el trámite de un procedimiento legislativo</w:t>
      </w:r>
      <w:r w:rsidRPr="00E4401D">
        <w:rPr>
          <w:rFonts w:ascii="Times New Roman" w:hAnsi="Times New Roman" w:cs="Times New Roman"/>
          <w:bCs/>
          <w:color w:val="000000" w:themeColor="text1"/>
          <w:sz w:val="28"/>
          <w:szCs w:val="28"/>
        </w:rPr>
        <w:t>,</w:t>
      </w:r>
      <w:r w:rsidRPr="00E4401D">
        <w:rPr>
          <w:rFonts w:ascii="Times New Roman" w:hAnsi="Times New Roman" w:cs="Times New Roman"/>
          <w:bCs/>
          <w:color w:val="000000" w:themeColor="text1"/>
          <w:sz w:val="28"/>
          <w:szCs w:val="28"/>
        </w:rPr>
        <w:t xml:space="preserve"> le otorga a la Corte la posibilidad de determinar</w:t>
      </w:r>
      <w:r w:rsidRPr="00E4401D">
        <w:rPr>
          <w:rFonts w:ascii="Times New Roman" w:hAnsi="Times New Roman" w:cs="Times New Roman"/>
          <w:bCs/>
          <w:color w:val="000000" w:themeColor="text1"/>
          <w:sz w:val="28"/>
          <w:szCs w:val="28"/>
        </w:rPr>
        <w:t>:</w:t>
      </w:r>
      <w:r w:rsidRPr="00E4401D">
        <w:rPr>
          <w:rFonts w:ascii="Times New Roman" w:hAnsi="Times New Roman" w:cs="Times New Roman"/>
          <w:bCs/>
          <w:color w:val="000000" w:themeColor="text1"/>
          <w:sz w:val="28"/>
          <w:szCs w:val="28"/>
        </w:rPr>
        <w:t xml:space="preserve"> (i) si ese defecto tiene la</w:t>
      </w:r>
      <w:r w:rsidRPr="00E4401D">
        <w:rPr>
          <w:rFonts w:ascii="Times New Roman" w:hAnsi="Times New Roman" w:cs="Times New Roman"/>
          <w:b/>
          <w:bCs/>
          <w:color w:val="000000" w:themeColor="text1"/>
          <w:sz w:val="28"/>
          <w:szCs w:val="28"/>
        </w:rPr>
        <w:t xml:space="preserve"> </w:t>
      </w:r>
      <w:r w:rsidRPr="00E4401D">
        <w:rPr>
          <w:rFonts w:ascii="Times New Roman" w:hAnsi="Times New Roman" w:cs="Times New Roman"/>
          <w:bCs/>
          <w:i/>
          <w:color w:val="000000" w:themeColor="text1"/>
          <w:sz w:val="28"/>
          <w:szCs w:val="28"/>
        </w:rPr>
        <w:t>entidad suficiente</w:t>
      </w:r>
      <w:r w:rsidRPr="00E4401D">
        <w:rPr>
          <w:rFonts w:ascii="Times New Roman" w:hAnsi="Times New Roman" w:cs="Times New Roman"/>
          <w:bCs/>
          <w:color w:val="000000" w:themeColor="text1"/>
          <w:sz w:val="28"/>
          <w:szCs w:val="28"/>
        </w:rPr>
        <w:t xml:space="preserve"> como para configurar un vicio susceptible de afectar la validez de ley, a partir de la satisfacción o no del fin sustantivo que lo justifica. En caso de que </w:t>
      </w:r>
      <w:r w:rsidRPr="00E4401D">
        <w:rPr>
          <w:rFonts w:ascii="Times New Roman" w:hAnsi="Times New Roman" w:cs="Times New Roman"/>
          <w:bCs/>
          <w:color w:val="000000" w:themeColor="text1"/>
          <w:sz w:val="28"/>
          <w:szCs w:val="28"/>
        </w:rPr>
        <w:t>la irregularidad tenga dicha entidad, (ii) este Tribunal debe estudiar si existió o no una corrección formal del procedimiento en el trámite de la iniciativa; y en caso de que el vicio no haya sido subsanado, (iii) esta Corporación debe examinar si es posi</w:t>
      </w:r>
      <w:r w:rsidRPr="00E4401D">
        <w:rPr>
          <w:rFonts w:ascii="Times New Roman" w:hAnsi="Times New Roman" w:cs="Times New Roman"/>
          <w:bCs/>
          <w:color w:val="000000" w:themeColor="text1"/>
          <w:sz w:val="28"/>
          <w:szCs w:val="28"/>
        </w:rPr>
        <w:t xml:space="preserve">ble devolver la ley al Congreso de la República para que corrija el defecto observado. </w:t>
      </w:r>
    </w:p>
    <w:p w:rsidR="00D05732" w:rsidRPr="00E4401D" w:rsidRDefault="00E4401D" w:rsidP="007D6115">
      <w:pPr>
        <w:tabs>
          <w:tab w:val="left" w:pos="567"/>
        </w:tabs>
        <w:spacing w:after="0" w:line="240" w:lineRule="auto"/>
        <w:jc w:val="both"/>
        <w:rPr>
          <w:rFonts w:ascii="Times New Roman" w:hAnsi="Times New Roman" w:cs="Times New Roman"/>
          <w:bCs/>
          <w:color w:val="000000" w:themeColor="text1"/>
          <w:sz w:val="28"/>
          <w:szCs w:val="28"/>
        </w:rPr>
      </w:pPr>
    </w:p>
    <w:p w:rsidR="00D05732" w:rsidRPr="00E4401D" w:rsidRDefault="00E4401D" w:rsidP="007D6115">
      <w:pPr>
        <w:pStyle w:val="Prrafodelista"/>
        <w:numPr>
          <w:ilvl w:val="0"/>
          <w:numId w:val="11"/>
        </w:numPr>
        <w:tabs>
          <w:tab w:val="left" w:pos="567"/>
        </w:tabs>
        <w:spacing w:after="0" w:line="240" w:lineRule="auto"/>
        <w:ind w:left="0" w:firstLine="0"/>
        <w:jc w:val="both"/>
        <w:rPr>
          <w:rFonts w:ascii="Times New Roman" w:hAnsi="Times New Roman" w:cs="Times New Roman"/>
          <w:color w:val="000000" w:themeColor="text1"/>
          <w:sz w:val="28"/>
          <w:szCs w:val="28"/>
          <w:lang w:val="es-MX"/>
        </w:rPr>
      </w:pPr>
      <w:r w:rsidRPr="00E4401D">
        <w:rPr>
          <w:rFonts w:ascii="Times New Roman" w:hAnsi="Times New Roman" w:cs="Times New Roman"/>
          <w:bCs/>
          <w:color w:val="000000" w:themeColor="text1"/>
          <w:sz w:val="28"/>
          <w:szCs w:val="28"/>
        </w:rPr>
        <w:t>En el asunto bajo examen, a</w:t>
      </w:r>
      <w:r w:rsidRPr="00E4401D">
        <w:rPr>
          <w:rFonts w:ascii="Times New Roman" w:hAnsi="Times New Roman" w:cs="Times New Roman"/>
          <w:color w:val="000000" w:themeColor="text1"/>
          <w:sz w:val="28"/>
          <w:szCs w:val="28"/>
          <w:lang w:val="es-ES"/>
        </w:rPr>
        <w:t xml:space="preserve">l examinar con detenimiento la controversia, se advierte que dos de los </w:t>
      </w:r>
      <w:r w:rsidRPr="00E4401D">
        <w:rPr>
          <w:rFonts w:ascii="Times New Roman" w:hAnsi="Times New Roman" w:cs="Times New Roman"/>
          <w:color w:val="000000" w:themeColor="text1"/>
          <w:sz w:val="28"/>
          <w:szCs w:val="28"/>
          <w:lang w:val="es-ES"/>
        </w:rPr>
        <w:t xml:space="preserve">artículos </w:t>
      </w:r>
      <w:r w:rsidRPr="00E4401D">
        <w:rPr>
          <w:rFonts w:ascii="Times New Roman" w:hAnsi="Times New Roman" w:cs="Times New Roman"/>
          <w:color w:val="000000" w:themeColor="text1"/>
          <w:sz w:val="28"/>
          <w:szCs w:val="28"/>
          <w:lang w:val="es-ES"/>
        </w:rPr>
        <w:t xml:space="preserve">cuestionados fueron objeto de conciliación, </w:t>
      </w:r>
      <w:r w:rsidRPr="00E4401D">
        <w:rPr>
          <w:rFonts w:ascii="Times New Roman" w:hAnsi="Times New Roman" w:cs="Times New Roman"/>
          <w:iCs/>
          <w:color w:val="000000" w:themeColor="text1"/>
          <w:sz w:val="28"/>
          <w:szCs w:val="28"/>
          <w:lang w:val="es-ES"/>
        </w:rPr>
        <w:t>precisamente</w:t>
      </w:r>
      <w:r w:rsidRPr="00E4401D">
        <w:rPr>
          <w:rFonts w:ascii="Times New Roman" w:hAnsi="Times New Roman" w:cs="Times New Roman"/>
          <w:i/>
          <w:iCs/>
          <w:color w:val="000000" w:themeColor="text1"/>
          <w:sz w:val="28"/>
          <w:szCs w:val="28"/>
          <w:lang w:val="es-ES"/>
        </w:rPr>
        <w:t>,</w:t>
      </w:r>
      <w:r w:rsidRPr="00E4401D">
        <w:rPr>
          <w:rFonts w:ascii="Times New Roman" w:hAnsi="Times New Roman" w:cs="Times New Roman"/>
          <w:color w:val="000000" w:themeColor="text1"/>
          <w:sz w:val="28"/>
          <w:szCs w:val="28"/>
          <w:lang w:val="es-ES"/>
        </w:rPr>
        <w:t xml:space="preserve"> por incluir en la plenaria del Senado, varias modificaciones que resultaban distintas a los textos aprobados en la plenaria de la Cámara.</w:t>
      </w:r>
      <w:r w:rsidRPr="00E4401D">
        <w:rPr>
          <w:rFonts w:ascii="Times New Roman" w:hAnsi="Times New Roman" w:cs="Times New Roman"/>
          <w:color w:val="000000" w:themeColor="text1"/>
          <w:sz w:val="28"/>
          <w:szCs w:val="28"/>
          <w:lang w:val="es-ES"/>
        </w:rPr>
        <w:t xml:space="preserve"> </w:t>
      </w:r>
      <w:r w:rsidRPr="00E4401D">
        <w:rPr>
          <w:rFonts w:ascii="Times New Roman" w:hAnsi="Times New Roman" w:cs="Times New Roman"/>
          <w:color w:val="000000" w:themeColor="text1"/>
          <w:sz w:val="28"/>
          <w:szCs w:val="28"/>
          <w:lang w:val="es-ES"/>
        </w:rPr>
        <w:t>Esta circunstancia se puede verificar en el auto 705 de 2024</w:t>
      </w:r>
      <w:r w:rsidRPr="00E4401D">
        <w:rPr>
          <w:rFonts w:ascii="Times New Roman" w:hAnsi="Times New Roman" w:cs="Times New Roman"/>
          <w:color w:val="000000" w:themeColor="text1"/>
          <w:sz w:val="28"/>
          <w:szCs w:val="28"/>
          <w:lang w:val="es-ES"/>
        </w:rPr>
        <w:t>,</w:t>
      </w:r>
      <w:r w:rsidRPr="00E4401D">
        <w:rPr>
          <w:rFonts w:ascii="Times New Roman" w:hAnsi="Times New Roman" w:cs="Times New Roman"/>
          <w:color w:val="000000" w:themeColor="text1"/>
          <w:sz w:val="28"/>
          <w:szCs w:val="28"/>
          <w:lang w:val="es-ES"/>
        </w:rPr>
        <w:t xml:space="preserve"> mediante el cual la Corte </w:t>
      </w:r>
      <w:r w:rsidRPr="00E4401D">
        <w:rPr>
          <w:rFonts w:ascii="Times New Roman" w:hAnsi="Times New Roman" w:cs="Times New Roman"/>
          <w:color w:val="000000" w:themeColor="text1"/>
          <w:sz w:val="28"/>
          <w:szCs w:val="28"/>
          <w:lang w:val="es-ES"/>
        </w:rPr>
        <w:t xml:space="preserve">le </w:t>
      </w:r>
      <w:r w:rsidRPr="00E4401D">
        <w:rPr>
          <w:rFonts w:ascii="Times New Roman" w:hAnsi="Times New Roman" w:cs="Times New Roman"/>
          <w:color w:val="000000" w:themeColor="text1"/>
          <w:sz w:val="28"/>
          <w:szCs w:val="28"/>
          <w:lang w:val="es-ES"/>
        </w:rPr>
        <w:t xml:space="preserve">ordenó </w:t>
      </w:r>
      <w:r w:rsidRPr="00E4401D">
        <w:rPr>
          <w:rFonts w:ascii="Times New Roman" w:hAnsi="Times New Roman" w:cs="Times New Roman"/>
          <w:color w:val="000000" w:themeColor="text1"/>
          <w:sz w:val="28"/>
          <w:szCs w:val="28"/>
        </w:rPr>
        <w:t>al Presidente del S</w:t>
      </w:r>
      <w:r w:rsidRPr="00E4401D">
        <w:rPr>
          <w:rFonts w:ascii="Times New Roman" w:hAnsi="Times New Roman" w:cs="Times New Roman"/>
          <w:color w:val="000000" w:themeColor="text1"/>
          <w:sz w:val="28"/>
          <w:szCs w:val="28"/>
        </w:rPr>
        <w:t xml:space="preserve">enado de la República que, con el fin de subsanar el vicio por desconocimiento del principio de publicidad, en los términos del inciso 2° del artículo 161 de la Constitución Política, someta a debate y votación de la </w:t>
      </w:r>
      <w:r w:rsidRPr="00E4401D">
        <w:rPr>
          <w:rFonts w:ascii="Times New Roman" w:hAnsi="Times New Roman" w:cs="Times New Roman"/>
          <w:color w:val="000000" w:themeColor="text1"/>
          <w:sz w:val="28"/>
          <w:szCs w:val="28"/>
        </w:rPr>
        <w:t>p</w:t>
      </w:r>
      <w:r w:rsidRPr="00E4401D">
        <w:rPr>
          <w:rFonts w:ascii="Times New Roman" w:hAnsi="Times New Roman" w:cs="Times New Roman"/>
          <w:color w:val="000000" w:themeColor="text1"/>
          <w:sz w:val="28"/>
          <w:szCs w:val="28"/>
        </w:rPr>
        <w:t xml:space="preserve">lenaria del Senado de la República el </w:t>
      </w:r>
      <w:r w:rsidRPr="00E4401D">
        <w:rPr>
          <w:rFonts w:ascii="Times New Roman" w:hAnsi="Times New Roman" w:cs="Times New Roman"/>
          <w:color w:val="000000" w:themeColor="text1"/>
          <w:sz w:val="28"/>
          <w:szCs w:val="28"/>
        </w:rPr>
        <w:t>informe de conciliación sobre el proyecto de ley número 274 de 2023 Senado, 338 de 2023 Cámara, antecedente legislativo de la Ley 2294 de 2023, publicado en la Gaceta 427 de 2023</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lang w:val="es-ES"/>
        </w:rPr>
        <w:t> </w:t>
      </w:r>
      <w:r w:rsidRPr="00E4401D">
        <w:rPr>
          <w:rFonts w:ascii="Times New Roman" w:hAnsi="Times New Roman" w:cs="Times New Roman"/>
          <w:color w:val="000000" w:themeColor="text1"/>
          <w:sz w:val="28"/>
          <w:szCs w:val="28"/>
          <w:lang w:val="es-MX"/>
        </w:rPr>
        <w:t> </w:t>
      </w:r>
      <w:r w:rsidRPr="00E4401D">
        <w:rPr>
          <w:rFonts w:ascii="Times New Roman" w:hAnsi="Times New Roman" w:cs="Times New Roman"/>
          <w:color w:val="000000" w:themeColor="text1"/>
          <w:sz w:val="28"/>
          <w:szCs w:val="28"/>
          <w:lang w:val="es-MX"/>
        </w:rPr>
        <w:t xml:space="preserve"> </w:t>
      </w:r>
    </w:p>
    <w:p w:rsidR="00D05732" w:rsidRPr="00E4401D" w:rsidRDefault="00E4401D" w:rsidP="001B6D10">
      <w:pPr>
        <w:spacing w:after="0" w:line="240" w:lineRule="auto"/>
        <w:jc w:val="both"/>
        <w:rPr>
          <w:rFonts w:ascii="Times New Roman" w:hAnsi="Times New Roman" w:cs="Times New Roman"/>
          <w:color w:val="000000" w:themeColor="text1"/>
          <w:sz w:val="28"/>
          <w:szCs w:val="28"/>
          <w:lang w:val="es-MX"/>
        </w:rPr>
      </w:pPr>
    </w:p>
    <w:tbl>
      <w:tblPr>
        <w:tblStyle w:val="Tablaconcuadrcula"/>
        <w:tblW w:w="9351" w:type="dxa"/>
        <w:tblLayout w:type="fixed"/>
        <w:tblLook w:val="04A0" w:firstRow="1" w:lastRow="0" w:firstColumn="1" w:lastColumn="0" w:noHBand="0" w:noVBand="1"/>
      </w:tblPr>
      <w:tblGrid>
        <w:gridCol w:w="3541"/>
        <w:gridCol w:w="3542"/>
        <w:gridCol w:w="1134"/>
        <w:gridCol w:w="1134"/>
      </w:tblGrid>
      <w:tr w:rsidR="002C37D0" w:rsidRPr="00E4401D" w:rsidTr="000D3502">
        <w:tc>
          <w:tcPr>
            <w:tcW w:w="3541" w:type="dxa"/>
            <w:shd w:val="clear" w:color="auto" w:fill="D9D9D9" w:themeFill="background1" w:themeFillShade="D9"/>
          </w:tcPr>
          <w:p w:rsidR="002C37D0" w:rsidRPr="00E4401D" w:rsidRDefault="00E4401D" w:rsidP="00927195">
            <w:pPr>
              <w:spacing w:line="240" w:lineRule="auto"/>
              <w:jc w:val="center"/>
              <w:rPr>
                <w:rFonts w:ascii="Times New Roman" w:hAnsi="Times New Roman" w:cs="Times New Roman"/>
                <w:b/>
                <w:bCs/>
                <w:color w:val="000000" w:themeColor="text1"/>
                <w:sz w:val="28"/>
                <w:szCs w:val="18"/>
                <w:lang w:val="es-MX"/>
              </w:rPr>
            </w:pPr>
            <w:r w:rsidRPr="00E4401D">
              <w:rPr>
                <w:rFonts w:ascii="Times New Roman" w:hAnsi="Times New Roman" w:cs="Times New Roman"/>
                <w:b/>
                <w:bCs/>
                <w:color w:val="000000" w:themeColor="text1"/>
                <w:sz w:val="28"/>
                <w:szCs w:val="18"/>
                <w:lang w:val="es-MX"/>
              </w:rPr>
              <w:t>Texto Cámara de Representantes</w:t>
            </w:r>
          </w:p>
        </w:tc>
        <w:tc>
          <w:tcPr>
            <w:tcW w:w="3542" w:type="dxa"/>
            <w:shd w:val="clear" w:color="auto" w:fill="D9D9D9" w:themeFill="background1" w:themeFillShade="D9"/>
          </w:tcPr>
          <w:p w:rsidR="002C37D0" w:rsidRPr="00E4401D" w:rsidRDefault="00E4401D" w:rsidP="00927195">
            <w:pPr>
              <w:spacing w:line="240" w:lineRule="auto"/>
              <w:jc w:val="center"/>
              <w:rPr>
                <w:rFonts w:ascii="Times New Roman" w:hAnsi="Times New Roman" w:cs="Times New Roman"/>
                <w:b/>
                <w:bCs/>
                <w:color w:val="000000" w:themeColor="text1"/>
                <w:sz w:val="28"/>
                <w:szCs w:val="18"/>
                <w:lang w:val="es-MX"/>
              </w:rPr>
            </w:pPr>
            <w:r w:rsidRPr="00E4401D">
              <w:rPr>
                <w:rFonts w:ascii="Times New Roman" w:hAnsi="Times New Roman" w:cs="Times New Roman"/>
                <w:b/>
                <w:bCs/>
                <w:color w:val="000000" w:themeColor="text1"/>
                <w:sz w:val="28"/>
                <w:szCs w:val="18"/>
                <w:lang w:val="es-MX"/>
              </w:rPr>
              <w:t>Texto Senado de la República</w:t>
            </w:r>
          </w:p>
        </w:tc>
        <w:tc>
          <w:tcPr>
            <w:tcW w:w="1134" w:type="dxa"/>
            <w:shd w:val="clear" w:color="auto" w:fill="D9D9D9" w:themeFill="background1" w:themeFillShade="D9"/>
          </w:tcPr>
          <w:p w:rsidR="002C37D0" w:rsidRPr="00E4401D" w:rsidRDefault="00E4401D" w:rsidP="00927195">
            <w:pPr>
              <w:spacing w:line="240" w:lineRule="auto"/>
              <w:jc w:val="center"/>
              <w:rPr>
                <w:rFonts w:ascii="Times New Roman" w:hAnsi="Times New Roman" w:cs="Times New Roman"/>
                <w:b/>
                <w:bCs/>
                <w:color w:val="000000" w:themeColor="text1"/>
                <w:sz w:val="28"/>
                <w:szCs w:val="18"/>
                <w:lang w:val="es-MX"/>
              </w:rPr>
            </w:pPr>
            <w:r w:rsidRPr="00E4401D">
              <w:rPr>
                <w:rFonts w:ascii="Times New Roman" w:hAnsi="Times New Roman" w:cs="Times New Roman"/>
                <w:b/>
                <w:bCs/>
                <w:color w:val="000000" w:themeColor="text1"/>
                <w:sz w:val="28"/>
                <w:szCs w:val="18"/>
                <w:lang w:val="es-MX"/>
              </w:rPr>
              <w:t xml:space="preserve">Texto </w:t>
            </w:r>
            <w:r w:rsidRPr="00E4401D">
              <w:rPr>
                <w:rFonts w:ascii="Times New Roman" w:hAnsi="Times New Roman" w:cs="Times New Roman"/>
                <w:b/>
                <w:bCs/>
                <w:color w:val="000000" w:themeColor="text1"/>
                <w:sz w:val="28"/>
                <w:szCs w:val="18"/>
                <w:lang w:val="es-MX"/>
              </w:rPr>
              <w:t>acogido</w:t>
            </w:r>
          </w:p>
        </w:tc>
        <w:tc>
          <w:tcPr>
            <w:tcW w:w="1134" w:type="dxa"/>
            <w:shd w:val="clear" w:color="auto" w:fill="D9D9D9" w:themeFill="background1" w:themeFillShade="D9"/>
          </w:tcPr>
          <w:p w:rsidR="002C37D0" w:rsidRPr="00E4401D" w:rsidRDefault="00E4401D" w:rsidP="00927195">
            <w:pPr>
              <w:spacing w:line="240" w:lineRule="auto"/>
              <w:jc w:val="center"/>
              <w:rPr>
                <w:rFonts w:ascii="Times New Roman" w:hAnsi="Times New Roman" w:cs="Times New Roman"/>
                <w:b/>
                <w:bCs/>
                <w:color w:val="000000" w:themeColor="text1"/>
                <w:sz w:val="28"/>
                <w:szCs w:val="18"/>
                <w:lang w:val="es-MX"/>
              </w:rPr>
            </w:pPr>
            <w:r w:rsidRPr="00E4401D">
              <w:rPr>
                <w:rFonts w:ascii="Times New Roman" w:hAnsi="Times New Roman" w:cs="Times New Roman"/>
                <w:b/>
                <w:bCs/>
                <w:color w:val="000000" w:themeColor="text1"/>
                <w:sz w:val="28"/>
                <w:szCs w:val="18"/>
                <w:lang w:val="es-MX"/>
              </w:rPr>
              <w:t>Artículo Ley 2294 de 2023</w:t>
            </w:r>
          </w:p>
        </w:tc>
      </w:tr>
      <w:tr w:rsidR="002C37D0" w:rsidRPr="00E4401D" w:rsidTr="000D3502">
        <w:tc>
          <w:tcPr>
            <w:tcW w:w="3541" w:type="dxa"/>
          </w:tcPr>
          <w:p w:rsidR="007E5C33" w:rsidRPr="00E4401D" w:rsidRDefault="00E4401D" w:rsidP="00B1145B">
            <w:pPr>
              <w:spacing w:line="240" w:lineRule="auto"/>
              <w:ind w:right="57"/>
              <w:jc w:val="both"/>
              <w:rPr>
                <w:rFonts w:ascii="Times New Roman" w:hAnsi="Times New Roman" w:cs="Times New Roman"/>
                <w:iCs/>
                <w:kern w:val="20"/>
                <w:sz w:val="28"/>
                <w:szCs w:val="18"/>
                <w:lang w:val="es-ES"/>
              </w:rPr>
            </w:pPr>
            <w:r w:rsidRPr="00E4401D">
              <w:rPr>
                <w:rFonts w:ascii="Times New Roman" w:hAnsi="Times New Roman" w:cs="Times New Roman"/>
                <w:b/>
                <w:iCs/>
                <w:kern w:val="20"/>
                <w:sz w:val="28"/>
                <w:szCs w:val="18"/>
                <w:lang w:val="es-ES"/>
              </w:rPr>
              <w:t>ARTÍCULO</w:t>
            </w:r>
            <w:r w:rsidRPr="00E4401D">
              <w:rPr>
                <w:rFonts w:ascii="Times New Roman" w:hAnsi="Times New Roman" w:cs="Times New Roman"/>
                <w:b/>
                <w:iCs/>
                <w:kern w:val="20"/>
                <w:sz w:val="28"/>
                <w:szCs w:val="18"/>
                <w:lang w:val="es-ES"/>
              </w:rPr>
              <w:t xml:space="preserve"> </w:t>
            </w:r>
            <w:r w:rsidRPr="00E4401D">
              <w:rPr>
                <w:rFonts w:ascii="Times New Roman" w:hAnsi="Times New Roman" w:cs="Times New Roman"/>
                <w:b/>
                <w:iCs/>
                <w:kern w:val="20"/>
                <w:sz w:val="28"/>
                <w:szCs w:val="18"/>
                <w:lang w:val="es-ES"/>
              </w:rPr>
              <w:t>338</w:t>
            </w:r>
            <w:r w:rsidRPr="00E4401D">
              <w:rPr>
                <w:rFonts w:ascii="Times New Roman" w:hAnsi="Times New Roman" w:cs="Times New Roman"/>
                <w:b/>
                <w:iCs/>
                <w:kern w:val="20"/>
                <w:sz w:val="28"/>
                <w:szCs w:val="18"/>
                <w:lang w:val="es-ES"/>
              </w:rPr>
              <w:t xml:space="preserve"> </w:t>
            </w:r>
            <w:r w:rsidRPr="00E4401D">
              <w:rPr>
                <w:rFonts w:ascii="Times New Roman" w:hAnsi="Times New Roman" w:cs="Times New Roman"/>
                <w:b/>
                <w:iCs/>
                <w:kern w:val="20"/>
                <w:sz w:val="28"/>
                <w:szCs w:val="18"/>
                <w:lang w:val="es-ES"/>
              </w:rPr>
              <w:t xml:space="preserve">(NUEVO). </w:t>
            </w:r>
            <w:r w:rsidRPr="00E4401D">
              <w:rPr>
                <w:rFonts w:ascii="Times New Roman" w:hAnsi="Times New Roman" w:cs="Times New Roman"/>
                <w:b/>
                <w:iCs/>
                <w:kern w:val="20"/>
                <w:sz w:val="28"/>
                <w:szCs w:val="18"/>
                <w:lang w:val="es-ES"/>
              </w:rPr>
              <w:t>A</w:t>
            </w:r>
            <w:r w:rsidRPr="00E4401D">
              <w:rPr>
                <w:rFonts w:ascii="Times New Roman" w:hAnsi="Times New Roman" w:cs="Times New Roman"/>
                <w:b/>
                <w:iCs/>
                <w:kern w:val="20"/>
                <w:sz w:val="28"/>
                <w:szCs w:val="18"/>
                <w:lang w:val="es-ES"/>
              </w:rPr>
              <w:t xml:space="preserve">utorización excepcional para el otorgamiento de crédito directo a los patrimonios autónomos que constituya la </w:t>
            </w:r>
            <w:r w:rsidRPr="00E4401D">
              <w:rPr>
                <w:rFonts w:ascii="Times New Roman" w:hAnsi="Times New Roman" w:cs="Times New Roman"/>
                <w:b/>
                <w:iCs/>
                <w:kern w:val="20"/>
                <w:sz w:val="28"/>
                <w:szCs w:val="18"/>
                <w:lang w:val="es-ES"/>
              </w:rPr>
              <w:t>F</w:t>
            </w:r>
            <w:r w:rsidRPr="00E4401D">
              <w:rPr>
                <w:rFonts w:ascii="Times New Roman" w:hAnsi="Times New Roman" w:cs="Times New Roman"/>
                <w:b/>
                <w:iCs/>
                <w:kern w:val="20"/>
                <w:sz w:val="28"/>
                <w:szCs w:val="18"/>
                <w:lang w:val="es-ES"/>
              </w:rPr>
              <w:t xml:space="preserve">inanciera de </w:t>
            </w:r>
            <w:r w:rsidRPr="00E4401D">
              <w:rPr>
                <w:rFonts w:ascii="Times New Roman" w:hAnsi="Times New Roman" w:cs="Times New Roman"/>
                <w:b/>
                <w:iCs/>
                <w:kern w:val="20"/>
                <w:sz w:val="28"/>
                <w:szCs w:val="18"/>
                <w:lang w:val="es-ES"/>
              </w:rPr>
              <w:t>D</w:t>
            </w:r>
            <w:r w:rsidRPr="00E4401D">
              <w:rPr>
                <w:rFonts w:ascii="Times New Roman" w:hAnsi="Times New Roman" w:cs="Times New Roman"/>
                <w:b/>
                <w:iCs/>
                <w:kern w:val="20"/>
                <w:sz w:val="28"/>
                <w:szCs w:val="18"/>
                <w:lang w:val="es-ES"/>
              </w:rPr>
              <w:t xml:space="preserve">esarrollo </w:t>
            </w:r>
            <w:r w:rsidRPr="00E4401D">
              <w:rPr>
                <w:rFonts w:ascii="Times New Roman" w:hAnsi="Times New Roman" w:cs="Times New Roman"/>
                <w:b/>
                <w:iCs/>
                <w:kern w:val="20"/>
                <w:sz w:val="28"/>
                <w:szCs w:val="18"/>
                <w:lang w:val="es-ES"/>
              </w:rPr>
              <w:t>T</w:t>
            </w:r>
            <w:r w:rsidRPr="00E4401D">
              <w:rPr>
                <w:rFonts w:ascii="Times New Roman" w:hAnsi="Times New Roman" w:cs="Times New Roman"/>
                <w:b/>
                <w:iCs/>
                <w:kern w:val="20"/>
                <w:sz w:val="28"/>
                <w:szCs w:val="18"/>
                <w:lang w:val="es-ES"/>
              </w:rPr>
              <w:t xml:space="preserve">erritorial </w:t>
            </w:r>
            <w:r w:rsidRPr="00E4401D">
              <w:rPr>
                <w:rFonts w:ascii="Times New Roman" w:hAnsi="Times New Roman" w:cs="Times New Roman"/>
                <w:b/>
                <w:iCs/>
                <w:kern w:val="20"/>
                <w:sz w:val="28"/>
                <w:szCs w:val="18"/>
                <w:lang w:val="es-ES"/>
              </w:rPr>
              <w:t>S</w:t>
            </w:r>
            <w:r w:rsidRPr="00E4401D">
              <w:rPr>
                <w:rFonts w:ascii="Times New Roman" w:hAnsi="Times New Roman" w:cs="Times New Roman"/>
                <w:b/>
                <w:iCs/>
                <w:kern w:val="20"/>
                <w:sz w:val="28"/>
                <w:szCs w:val="18"/>
                <w:lang w:val="es-ES"/>
              </w:rPr>
              <w:t>.</w:t>
            </w:r>
            <w:r w:rsidRPr="00E4401D">
              <w:rPr>
                <w:rFonts w:ascii="Times New Roman" w:hAnsi="Times New Roman" w:cs="Times New Roman"/>
                <w:b/>
                <w:iCs/>
                <w:kern w:val="20"/>
                <w:sz w:val="28"/>
                <w:szCs w:val="18"/>
                <w:lang w:val="es-ES"/>
              </w:rPr>
              <w:t>A</w:t>
            </w:r>
            <w:r w:rsidRPr="00E4401D">
              <w:rPr>
                <w:rFonts w:ascii="Times New Roman" w:hAnsi="Times New Roman" w:cs="Times New Roman"/>
                <w:b/>
                <w:iCs/>
                <w:kern w:val="20"/>
                <w:sz w:val="28"/>
                <w:szCs w:val="18"/>
                <w:lang w:val="es-ES"/>
              </w:rPr>
              <w:t xml:space="preserve"> - F</w:t>
            </w:r>
            <w:r w:rsidRPr="00E4401D">
              <w:rPr>
                <w:rFonts w:ascii="Times New Roman" w:hAnsi="Times New Roman" w:cs="Times New Roman"/>
                <w:b/>
                <w:iCs/>
                <w:kern w:val="20"/>
                <w:sz w:val="28"/>
                <w:szCs w:val="18"/>
                <w:lang w:val="es-ES"/>
              </w:rPr>
              <w:t xml:space="preserve">indeter </w:t>
            </w:r>
            <w:r w:rsidRPr="00E4401D">
              <w:rPr>
                <w:rFonts w:ascii="Times New Roman" w:hAnsi="Times New Roman" w:cs="Times New Roman"/>
                <w:b/>
                <w:iCs/>
                <w:kern w:val="20"/>
                <w:sz w:val="28"/>
                <w:szCs w:val="18"/>
                <w:lang w:val="es-ES"/>
              </w:rPr>
              <w:t xml:space="preserve">para el desarrollo de proyectos de </w:t>
            </w:r>
            <w:r w:rsidRPr="00E4401D">
              <w:rPr>
                <w:rFonts w:ascii="Times New Roman" w:hAnsi="Times New Roman" w:cs="Times New Roman"/>
                <w:b/>
                <w:iCs/>
                <w:kern w:val="20"/>
                <w:sz w:val="28"/>
                <w:szCs w:val="18"/>
                <w:lang w:val="es-ES"/>
              </w:rPr>
              <w:t>inversión en infraestructura en sus   sectores elegibles</w:t>
            </w:r>
            <w:r w:rsidRPr="00E4401D">
              <w:rPr>
                <w:rFonts w:ascii="Times New Roman" w:hAnsi="Times New Roman" w:cs="Times New Roman"/>
                <w:b/>
                <w:iCs/>
                <w:kern w:val="20"/>
                <w:sz w:val="28"/>
                <w:szCs w:val="18"/>
                <w:lang w:val="es-ES"/>
              </w:rPr>
              <w:t xml:space="preserve">. </w:t>
            </w:r>
            <w:r w:rsidRPr="00E4401D">
              <w:rPr>
                <w:rFonts w:ascii="Times New Roman" w:hAnsi="Times New Roman" w:cs="Times New Roman"/>
                <w:iCs/>
                <w:kern w:val="20"/>
                <w:sz w:val="28"/>
                <w:szCs w:val="18"/>
                <w:lang w:val="es-ES"/>
              </w:rPr>
              <w:t>Previa verificación de la Superintendencia Financiera de Colombia del cumplimiento de los requisitos para l</w:t>
            </w:r>
            <w:r w:rsidRPr="00E4401D">
              <w:rPr>
                <w:rFonts w:ascii="Times New Roman" w:hAnsi="Times New Roman" w:cs="Times New Roman"/>
                <w:iCs/>
                <w:kern w:val="20"/>
                <w:sz w:val="28"/>
                <w:szCs w:val="18"/>
                <w:lang w:val="es-ES"/>
              </w:rPr>
              <w:t xml:space="preserve">a </w:t>
            </w:r>
            <w:r w:rsidRPr="00E4401D">
              <w:rPr>
                <w:rFonts w:ascii="Times New Roman" w:hAnsi="Times New Roman" w:cs="Times New Roman"/>
                <w:iCs/>
                <w:kern w:val="20"/>
                <w:sz w:val="28"/>
                <w:szCs w:val="18"/>
                <w:lang w:val="es-ES"/>
              </w:rPr>
              <w:t>administración y</w:t>
            </w:r>
            <w:r w:rsidRPr="00E4401D">
              <w:rPr>
                <w:rFonts w:ascii="Times New Roman" w:hAnsi="Times New Roman" w:cs="Times New Roman"/>
                <w:iCs/>
                <w:kern w:val="20"/>
                <w:sz w:val="28"/>
                <w:szCs w:val="18"/>
                <w:lang w:val="es-ES"/>
              </w:rPr>
              <w:t xml:space="preserve"> </w:t>
            </w:r>
            <w:r w:rsidRPr="00E4401D">
              <w:rPr>
                <w:rFonts w:ascii="Times New Roman" w:hAnsi="Times New Roman" w:cs="Times New Roman"/>
                <w:iCs/>
                <w:kern w:val="20"/>
                <w:sz w:val="28"/>
                <w:szCs w:val="18"/>
                <w:lang w:val="es-ES"/>
              </w:rPr>
              <w:t>gestión de los sistemas integrales de gestión</w:t>
            </w:r>
            <w:r w:rsidRPr="00E4401D">
              <w:rPr>
                <w:rFonts w:ascii="Times New Roman" w:hAnsi="Times New Roman" w:cs="Times New Roman"/>
                <w:iCs/>
                <w:kern w:val="20"/>
                <w:sz w:val="28"/>
                <w:szCs w:val="18"/>
                <w:lang w:val="es-ES"/>
              </w:rPr>
              <w:t xml:space="preserve"> </w:t>
            </w:r>
            <w:r w:rsidRPr="00E4401D">
              <w:rPr>
                <w:rFonts w:ascii="Times New Roman" w:hAnsi="Times New Roman" w:cs="Times New Roman"/>
                <w:iCs/>
                <w:kern w:val="20"/>
                <w:sz w:val="28"/>
                <w:szCs w:val="18"/>
                <w:lang w:val="es-ES"/>
              </w:rPr>
              <w:t xml:space="preserve">de riesgos, se autoriza a </w:t>
            </w:r>
            <w:r w:rsidRPr="00E4401D">
              <w:rPr>
                <w:rFonts w:ascii="Times New Roman" w:hAnsi="Times New Roman" w:cs="Times New Roman"/>
                <w:iCs/>
                <w:kern w:val="20"/>
                <w:sz w:val="28"/>
                <w:szCs w:val="18"/>
                <w:lang w:val="es-ES"/>
              </w:rPr>
              <w:t>la Financiera de</w:t>
            </w:r>
            <w:r w:rsidRPr="00E4401D">
              <w:rPr>
                <w:rFonts w:ascii="Times New Roman" w:hAnsi="Times New Roman" w:cs="Times New Roman"/>
                <w:iCs/>
                <w:kern w:val="20"/>
                <w:sz w:val="28"/>
                <w:szCs w:val="18"/>
                <w:lang w:val="es-ES"/>
              </w:rPr>
              <w:t xml:space="preserve"> </w:t>
            </w:r>
            <w:r w:rsidRPr="00E4401D">
              <w:rPr>
                <w:rFonts w:ascii="Times New Roman" w:hAnsi="Times New Roman" w:cs="Times New Roman"/>
                <w:iCs/>
                <w:kern w:val="20"/>
                <w:sz w:val="28"/>
                <w:szCs w:val="18"/>
                <w:lang w:val="es-ES"/>
              </w:rPr>
              <w:t xml:space="preserve">Desarrollo Territorial S.A. - Findeter, para </w:t>
            </w:r>
            <w:r w:rsidRPr="00E4401D">
              <w:rPr>
                <w:rFonts w:ascii="Times New Roman" w:hAnsi="Times New Roman" w:cs="Times New Roman"/>
                <w:iCs/>
                <w:kern w:val="20"/>
                <w:sz w:val="28"/>
                <w:szCs w:val="18"/>
                <w:lang w:val="es-ES"/>
              </w:rPr>
              <w:t xml:space="preserve"> </w:t>
            </w:r>
            <w:r w:rsidRPr="00E4401D">
              <w:rPr>
                <w:rFonts w:ascii="Times New Roman" w:hAnsi="Times New Roman" w:cs="Times New Roman"/>
                <w:iCs/>
                <w:kern w:val="20"/>
                <w:sz w:val="28"/>
                <w:szCs w:val="18"/>
                <w:lang w:val="es-ES"/>
              </w:rPr>
              <w:t xml:space="preserve">otorgar créditos directos a patrimonios </w:t>
            </w:r>
            <w:r w:rsidRPr="00E4401D">
              <w:rPr>
                <w:rFonts w:ascii="Times New Roman" w:hAnsi="Times New Roman" w:cs="Times New Roman"/>
                <w:iCs/>
                <w:kern w:val="20"/>
                <w:sz w:val="28"/>
                <w:szCs w:val="18"/>
                <w:lang w:val="es-ES"/>
              </w:rPr>
              <w:t xml:space="preserve"> </w:t>
            </w:r>
            <w:r w:rsidRPr="00E4401D">
              <w:rPr>
                <w:rFonts w:ascii="Times New Roman" w:hAnsi="Times New Roman" w:cs="Times New Roman"/>
                <w:iCs/>
                <w:kern w:val="20"/>
                <w:sz w:val="28"/>
                <w:szCs w:val="18"/>
                <w:lang w:val="es-ES"/>
              </w:rPr>
              <w:t xml:space="preserve">autónomos creados por Findeter como </w:t>
            </w:r>
            <w:r w:rsidRPr="00E4401D">
              <w:rPr>
                <w:rFonts w:ascii="Times New Roman" w:hAnsi="Times New Roman" w:cs="Times New Roman"/>
                <w:iCs/>
                <w:kern w:val="20"/>
                <w:sz w:val="28"/>
                <w:szCs w:val="18"/>
                <w:lang w:val="es-ES"/>
              </w:rPr>
              <w:t xml:space="preserve"> </w:t>
            </w:r>
            <w:r w:rsidRPr="00E4401D">
              <w:rPr>
                <w:rFonts w:ascii="Times New Roman" w:hAnsi="Times New Roman" w:cs="Times New Roman"/>
                <w:iCs/>
                <w:kern w:val="20"/>
                <w:sz w:val="28"/>
                <w:szCs w:val="18"/>
                <w:lang w:val="es-ES"/>
              </w:rPr>
              <w:t>fideicomitente dentro de un contrato de fiducia mercantil en virtud de l</w:t>
            </w:r>
            <w:r w:rsidRPr="00E4401D">
              <w:rPr>
                <w:rFonts w:ascii="Times New Roman" w:hAnsi="Times New Roman" w:cs="Times New Roman"/>
                <w:iCs/>
                <w:kern w:val="20"/>
                <w:sz w:val="28"/>
                <w:szCs w:val="18"/>
                <w:lang w:val="es-ES"/>
              </w:rPr>
              <w:t xml:space="preserve">a </w:t>
            </w:r>
            <w:r w:rsidRPr="00E4401D">
              <w:rPr>
                <w:rFonts w:ascii="Times New Roman" w:hAnsi="Times New Roman" w:cs="Times New Roman"/>
                <w:iCs/>
                <w:kern w:val="20"/>
                <w:sz w:val="28"/>
                <w:szCs w:val="18"/>
                <w:lang w:val="es-ES"/>
              </w:rPr>
              <w:t>autorización contenida en el artículo 270</w:t>
            </w:r>
            <w:r w:rsidRPr="00E4401D">
              <w:rPr>
                <w:rFonts w:ascii="Times New Roman" w:hAnsi="Times New Roman" w:cs="Times New Roman"/>
                <w:iCs/>
                <w:kern w:val="20"/>
                <w:sz w:val="28"/>
                <w:szCs w:val="18"/>
                <w:lang w:val="es-ES"/>
              </w:rPr>
              <w:t xml:space="preserve"> del Estatuto</w:t>
            </w:r>
            <w:r w:rsidRPr="00E4401D">
              <w:rPr>
                <w:rFonts w:ascii="Times New Roman" w:hAnsi="Times New Roman" w:cs="Times New Roman"/>
                <w:iCs/>
                <w:kern w:val="20"/>
                <w:sz w:val="28"/>
                <w:szCs w:val="18"/>
                <w:lang w:val="es-ES"/>
              </w:rPr>
              <w:t xml:space="preserve"> O</w:t>
            </w:r>
            <w:r w:rsidRPr="00E4401D">
              <w:rPr>
                <w:rFonts w:ascii="Times New Roman" w:hAnsi="Times New Roman" w:cs="Times New Roman"/>
                <w:iCs/>
                <w:kern w:val="20"/>
                <w:sz w:val="28"/>
                <w:szCs w:val="18"/>
                <w:lang w:val="es-ES"/>
              </w:rPr>
              <w:t>rgánico del Sistema Financiero (Decreto Ley 663 de 1993), y cuyo objeto sea el desarrollo</w:t>
            </w:r>
            <w:r w:rsidRPr="00E4401D">
              <w:rPr>
                <w:rFonts w:ascii="Times New Roman" w:hAnsi="Times New Roman" w:cs="Times New Roman"/>
                <w:iCs/>
                <w:kern w:val="20"/>
                <w:sz w:val="28"/>
                <w:szCs w:val="18"/>
                <w:lang w:val="es-ES"/>
              </w:rPr>
              <w:t xml:space="preserve"> </w:t>
            </w:r>
            <w:r w:rsidRPr="00E4401D">
              <w:rPr>
                <w:rFonts w:ascii="Times New Roman" w:hAnsi="Times New Roman" w:cs="Times New Roman"/>
                <w:iCs/>
                <w:kern w:val="20"/>
                <w:sz w:val="28"/>
                <w:szCs w:val="18"/>
                <w:lang w:val="es-ES"/>
              </w:rPr>
              <w:t>de proyectos de inversión en infraestructura y los demás que se encuentren dentro de los sectores elegibles de conformidad con las normas vigentes. E</w:t>
            </w:r>
            <w:r w:rsidRPr="00E4401D">
              <w:rPr>
                <w:rFonts w:ascii="Times New Roman" w:hAnsi="Times New Roman" w:cs="Times New Roman"/>
                <w:iCs/>
                <w:kern w:val="20"/>
                <w:sz w:val="28"/>
                <w:szCs w:val="18"/>
                <w:lang w:val="es-ES"/>
              </w:rPr>
              <w:t xml:space="preserve">l </w:t>
            </w:r>
            <w:r w:rsidRPr="00E4401D">
              <w:rPr>
                <w:rFonts w:ascii="Times New Roman" w:hAnsi="Times New Roman" w:cs="Times New Roman"/>
                <w:iCs/>
                <w:kern w:val="20"/>
                <w:sz w:val="28"/>
                <w:szCs w:val="18"/>
                <w:lang w:val="es-ES"/>
              </w:rPr>
              <w:t>otorgamiento de los créditos provendrá de los recursos propios disponibles de la Financiera de Desarrollo Territorial S.A. -Findeter.</w:t>
            </w:r>
          </w:p>
          <w:p w:rsidR="007E5C33" w:rsidRPr="00E4401D" w:rsidRDefault="00E4401D" w:rsidP="00B1145B">
            <w:pPr>
              <w:spacing w:line="240" w:lineRule="auto"/>
              <w:ind w:right="57"/>
              <w:jc w:val="both"/>
              <w:rPr>
                <w:rFonts w:ascii="Times New Roman" w:hAnsi="Times New Roman" w:cs="Times New Roman"/>
                <w:b/>
                <w:iCs/>
                <w:kern w:val="20"/>
                <w:sz w:val="28"/>
                <w:szCs w:val="18"/>
                <w:lang w:val="es-ES"/>
              </w:rPr>
            </w:pPr>
          </w:p>
          <w:p w:rsidR="007D6115" w:rsidRPr="00E4401D" w:rsidRDefault="00E4401D" w:rsidP="00B1145B">
            <w:pPr>
              <w:spacing w:line="240" w:lineRule="auto"/>
              <w:ind w:right="57"/>
              <w:jc w:val="both"/>
              <w:rPr>
                <w:rFonts w:ascii="Times New Roman" w:hAnsi="Times New Roman" w:cs="Times New Roman"/>
                <w:iCs/>
                <w:kern w:val="20"/>
                <w:sz w:val="28"/>
                <w:szCs w:val="18"/>
                <w:lang w:val="es-ES"/>
              </w:rPr>
            </w:pPr>
          </w:p>
          <w:p w:rsidR="007D6115" w:rsidRPr="00E4401D" w:rsidRDefault="00E4401D" w:rsidP="00B1145B">
            <w:pPr>
              <w:spacing w:line="240" w:lineRule="auto"/>
              <w:ind w:right="57"/>
              <w:jc w:val="both"/>
              <w:rPr>
                <w:rFonts w:ascii="Times New Roman" w:hAnsi="Times New Roman" w:cs="Times New Roman"/>
                <w:iCs/>
                <w:kern w:val="20"/>
                <w:sz w:val="28"/>
                <w:szCs w:val="18"/>
                <w:lang w:val="es-ES"/>
              </w:rPr>
            </w:pPr>
          </w:p>
          <w:p w:rsidR="007D6115" w:rsidRPr="00E4401D" w:rsidRDefault="00E4401D" w:rsidP="00B1145B">
            <w:pPr>
              <w:spacing w:line="240" w:lineRule="auto"/>
              <w:ind w:right="57"/>
              <w:jc w:val="both"/>
              <w:rPr>
                <w:rFonts w:ascii="Times New Roman" w:hAnsi="Times New Roman" w:cs="Times New Roman"/>
                <w:iCs/>
                <w:kern w:val="20"/>
                <w:sz w:val="28"/>
                <w:szCs w:val="18"/>
                <w:lang w:val="es-ES"/>
              </w:rPr>
            </w:pPr>
          </w:p>
          <w:p w:rsidR="007D6115" w:rsidRPr="00E4401D" w:rsidRDefault="00E4401D" w:rsidP="00B1145B">
            <w:pPr>
              <w:spacing w:line="240" w:lineRule="auto"/>
              <w:ind w:right="57"/>
              <w:jc w:val="both"/>
              <w:rPr>
                <w:rFonts w:ascii="Times New Roman" w:hAnsi="Times New Roman" w:cs="Times New Roman"/>
                <w:iCs/>
                <w:kern w:val="20"/>
                <w:sz w:val="28"/>
                <w:szCs w:val="18"/>
                <w:lang w:val="es-ES"/>
              </w:rPr>
            </w:pPr>
          </w:p>
          <w:p w:rsidR="007D6115" w:rsidRPr="00E4401D" w:rsidRDefault="00E4401D" w:rsidP="00B1145B">
            <w:pPr>
              <w:spacing w:line="240" w:lineRule="auto"/>
              <w:ind w:right="57"/>
              <w:jc w:val="both"/>
              <w:rPr>
                <w:rFonts w:ascii="Times New Roman" w:hAnsi="Times New Roman" w:cs="Times New Roman"/>
                <w:iCs/>
                <w:kern w:val="20"/>
                <w:sz w:val="28"/>
                <w:szCs w:val="18"/>
                <w:lang w:val="es-ES"/>
              </w:rPr>
            </w:pPr>
          </w:p>
          <w:p w:rsidR="007D6115" w:rsidRPr="00E4401D" w:rsidRDefault="00E4401D" w:rsidP="00B1145B">
            <w:pPr>
              <w:spacing w:line="240" w:lineRule="auto"/>
              <w:ind w:right="57"/>
              <w:jc w:val="both"/>
              <w:rPr>
                <w:rFonts w:ascii="Times New Roman" w:hAnsi="Times New Roman" w:cs="Times New Roman"/>
                <w:iCs/>
                <w:kern w:val="20"/>
                <w:sz w:val="28"/>
                <w:szCs w:val="18"/>
                <w:lang w:val="es-ES"/>
              </w:rPr>
            </w:pPr>
          </w:p>
          <w:p w:rsidR="007D6115" w:rsidRPr="00E4401D" w:rsidRDefault="00E4401D" w:rsidP="00B1145B">
            <w:pPr>
              <w:spacing w:line="240" w:lineRule="auto"/>
              <w:ind w:right="57"/>
              <w:jc w:val="both"/>
              <w:rPr>
                <w:rFonts w:ascii="Times New Roman" w:hAnsi="Times New Roman" w:cs="Times New Roman"/>
                <w:iCs/>
                <w:kern w:val="20"/>
                <w:sz w:val="28"/>
                <w:szCs w:val="18"/>
                <w:lang w:val="es-ES"/>
              </w:rPr>
            </w:pPr>
          </w:p>
          <w:p w:rsidR="007E5C33" w:rsidRPr="00E4401D" w:rsidRDefault="00E4401D" w:rsidP="00B1145B">
            <w:pPr>
              <w:spacing w:line="240" w:lineRule="auto"/>
              <w:ind w:right="57"/>
              <w:jc w:val="both"/>
              <w:rPr>
                <w:rFonts w:ascii="Times New Roman" w:hAnsi="Times New Roman" w:cs="Times New Roman"/>
                <w:iCs/>
                <w:kern w:val="20"/>
                <w:sz w:val="28"/>
                <w:szCs w:val="18"/>
                <w:lang w:val="es-ES"/>
              </w:rPr>
            </w:pPr>
            <w:r w:rsidRPr="00E4401D">
              <w:rPr>
                <w:rFonts w:ascii="Times New Roman" w:hAnsi="Times New Roman" w:cs="Times New Roman"/>
                <w:iCs/>
                <w:kern w:val="20"/>
                <w:sz w:val="28"/>
                <w:szCs w:val="18"/>
                <w:lang w:val="es-ES"/>
              </w:rPr>
              <w:t xml:space="preserve">Lo dispuesto en este artículo, en ningún caso </w:t>
            </w:r>
            <w:r w:rsidRPr="00E4401D">
              <w:rPr>
                <w:rFonts w:ascii="Times New Roman" w:hAnsi="Times New Roman" w:cs="Times New Roman"/>
                <w:iCs/>
                <w:kern w:val="20"/>
                <w:sz w:val="28"/>
                <w:szCs w:val="18"/>
                <w:lang w:val="es-ES"/>
              </w:rPr>
              <w:t>s</w:t>
            </w:r>
            <w:r w:rsidRPr="00E4401D">
              <w:rPr>
                <w:rFonts w:ascii="Times New Roman" w:hAnsi="Times New Roman" w:cs="Times New Roman"/>
                <w:iCs/>
                <w:kern w:val="20"/>
                <w:sz w:val="28"/>
                <w:szCs w:val="18"/>
                <w:lang w:val="es-ES"/>
              </w:rPr>
              <w:t xml:space="preserve">erá aplicable a las operaciones de crédito </w:t>
            </w:r>
            <w:r w:rsidRPr="00E4401D">
              <w:rPr>
                <w:rFonts w:ascii="Times New Roman" w:hAnsi="Times New Roman" w:cs="Times New Roman"/>
                <w:iCs/>
                <w:kern w:val="20"/>
                <w:sz w:val="28"/>
                <w:szCs w:val="18"/>
                <w:lang w:val="es-ES"/>
              </w:rPr>
              <w:t>p</w:t>
            </w:r>
            <w:r w:rsidRPr="00E4401D">
              <w:rPr>
                <w:rFonts w:ascii="Times New Roman" w:hAnsi="Times New Roman" w:cs="Times New Roman"/>
                <w:iCs/>
                <w:kern w:val="20"/>
                <w:sz w:val="28"/>
                <w:szCs w:val="18"/>
                <w:lang w:val="es-ES"/>
              </w:rPr>
              <w:t xml:space="preserve">úblico con cargo a la Asignación de </w:t>
            </w:r>
            <w:r w:rsidRPr="00E4401D">
              <w:rPr>
                <w:rFonts w:ascii="Times New Roman" w:hAnsi="Times New Roman" w:cs="Times New Roman"/>
                <w:iCs/>
                <w:kern w:val="20"/>
                <w:sz w:val="28"/>
                <w:szCs w:val="18"/>
                <w:lang w:val="es-ES"/>
              </w:rPr>
              <w:t>I</w:t>
            </w:r>
            <w:r w:rsidRPr="00E4401D">
              <w:rPr>
                <w:rFonts w:ascii="Times New Roman" w:hAnsi="Times New Roman" w:cs="Times New Roman"/>
                <w:iCs/>
                <w:kern w:val="20"/>
                <w:sz w:val="28"/>
                <w:szCs w:val="18"/>
                <w:lang w:val="es-ES"/>
              </w:rPr>
              <w:t xml:space="preserve">nversión Regional del Sistema General de </w:t>
            </w:r>
            <w:r w:rsidRPr="00E4401D">
              <w:rPr>
                <w:rFonts w:ascii="Times New Roman" w:hAnsi="Times New Roman" w:cs="Times New Roman"/>
                <w:iCs/>
                <w:kern w:val="20"/>
                <w:sz w:val="28"/>
                <w:szCs w:val="18"/>
                <w:lang w:val="es-ES"/>
              </w:rPr>
              <w:t>R</w:t>
            </w:r>
            <w:r w:rsidRPr="00E4401D">
              <w:rPr>
                <w:rFonts w:ascii="Times New Roman" w:hAnsi="Times New Roman" w:cs="Times New Roman"/>
                <w:iCs/>
                <w:kern w:val="20"/>
                <w:sz w:val="28"/>
                <w:szCs w:val="18"/>
                <w:lang w:val="es-ES"/>
              </w:rPr>
              <w:t xml:space="preserve">egalías, consagradas en el artículo 25 de la </w:t>
            </w:r>
            <w:r w:rsidRPr="00E4401D">
              <w:rPr>
                <w:rFonts w:ascii="Times New Roman" w:hAnsi="Times New Roman" w:cs="Times New Roman"/>
                <w:iCs/>
                <w:kern w:val="20"/>
                <w:sz w:val="28"/>
                <w:szCs w:val="18"/>
                <w:lang w:val="es-ES"/>
              </w:rPr>
              <w:t>L</w:t>
            </w:r>
            <w:r w:rsidRPr="00E4401D">
              <w:rPr>
                <w:rFonts w:ascii="Times New Roman" w:hAnsi="Times New Roman" w:cs="Times New Roman"/>
                <w:iCs/>
                <w:kern w:val="20"/>
                <w:sz w:val="28"/>
                <w:szCs w:val="18"/>
                <w:lang w:val="es-ES"/>
              </w:rPr>
              <w:t>ey 2279 de 2022 o en las normas que lo modifiquen o sustituyan.</w:t>
            </w:r>
          </w:p>
          <w:p w:rsidR="007E5C33" w:rsidRPr="00E4401D" w:rsidRDefault="00E4401D" w:rsidP="00B1145B">
            <w:pPr>
              <w:spacing w:line="240" w:lineRule="auto"/>
              <w:ind w:right="57"/>
              <w:jc w:val="both"/>
              <w:rPr>
                <w:rFonts w:ascii="Times New Roman" w:hAnsi="Times New Roman" w:cs="Times New Roman"/>
                <w:b/>
                <w:iCs/>
                <w:kern w:val="20"/>
                <w:sz w:val="28"/>
                <w:szCs w:val="18"/>
                <w:lang w:val="es-ES"/>
              </w:rPr>
            </w:pPr>
          </w:p>
          <w:p w:rsidR="007E5C33" w:rsidRPr="00E4401D" w:rsidRDefault="00E4401D" w:rsidP="00B1145B">
            <w:pPr>
              <w:spacing w:line="240" w:lineRule="auto"/>
              <w:ind w:right="57"/>
              <w:jc w:val="both"/>
              <w:rPr>
                <w:rFonts w:ascii="Times New Roman" w:hAnsi="Times New Roman" w:cs="Times New Roman"/>
                <w:iCs/>
                <w:kern w:val="20"/>
                <w:sz w:val="28"/>
                <w:szCs w:val="18"/>
                <w:lang w:val="es-ES"/>
              </w:rPr>
            </w:pPr>
            <w:r w:rsidRPr="00E4401D">
              <w:rPr>
                <w:rFonts w:ascii="Times New Roman" w:hAnsi="Times New Roman" w:cs="Times New Roman"/>
                <w:iCs/>
                <w:kern w:val="20"/>
                <w:sz w:val="28"/>
                <w:szCs w:val="18"/>
                <w:lang w:val="es-ES"/>
              </w:rPr>
              <w:t>La Financiera de Desarrollo Territorial S.A. - Findeter a través d</w:t>
            </w:r>
            <w:r w:rsidRPr="00E4401D">
              <w:rPr>
                <w:rFonts w:ascii="Times New Roman" w:hAnsi="Times New Roman" w:cs="Times New Roman"/>
                <w:iCs/>
                <w:kern w:val="20"/>
                <w:sz w:val="28"/>
                <w:szCs w:val="18"/>
                <w:lang w:val="es-ES"/>
              </w:rPr>
              <w:t>e sus reglamentos internos establecerá los montos máximos de recursos propios que se destinarán para apalancar esta modalidad de crédito, las condiciones financieras generales, especialmente sobre las fuentes de pago ciertas y las garantías admisibles para</w:t>
            </w:r>
            <w:r w:rsidRPr="00E4401D">
              <w:rPr>
                <w:rFonts w:ascii="Times New Roman" w:hAnsi="Times New Roman" w:cs="Times New Roman"/>
                <w:iCs/>
                <w:kern w:val="20"/>
                <w:sz w:val="28"/>
                <w:szCs w:val="18"/>
                <w:lang w:val="es-ES"/>
              </w:rPr>
              <w:t xml:space="preserve"> este tipo de operaciones.</w:t>
            </w:r>
          </w:p>
          <w:p w:rsidR="007E5C33" w:rsidRPr="00E4401D" w:rsidRDefault="00E4401D" w:rsidP="00B1145B">
            <w:pPr>
              <w:spacing w:line="240" w:lineRule="auto"/>
              <w:ind w:right="57"/>
              <w:jc w:val="both"/>
              <w:rPr>
                <w:rFonts w:ascii="Times New Roman" w:hAnsi="Times New Roman" w:cs="Times New Roman"/>
                <w:b/>
                <w:iCs/>
                <w:kern w:val="20"/>
                <w:sz w:val="28"/>
                <w:szCs w:val="18"/>
                <w:lang w:val="es-ES"/>
              </w:rPr>
            </w:pPr>
          </w:p>
          <w:p w:rsidR="0056015F" w:rsidRPr="00E4401D" w:rsidRDefault="00E4401D" w:rsidP="00B1145B">
            <w:pPr>
              <w:spacing w:line="240" w:lineRule="auto"/>
              <w:ind w:right="57"/>
              <w:jc w:val="both"/>
              <w:rPr>
                <w:rFonts w:ascii="Times New Roman" w:hAnsi="Times New Roman" w:cs="Times New Roman"/>
                <w:iCs/>
                <w:kern w:val="20"/>
                <w:sz w:val="28"/>
                <w:szCs w:val="18"/>
                <w:lang w:val="es-ES"/>
              </w:rPr>
            </w:pPr>
            <w:r w:rsidRPr="00E4401D">
              <w:rPr>
                <w:rFonts w:ascii="Times New Roman" w:hAnsi="Times New Roman" w:cs="Times New Roman"/>
                <w:iCs/>
                <w:kern w:val="20"/>
                <w:sz w:val="28"/>
                <w:szCs w:val="18"/>
                <w:lang w:val="es-ES"/>
              </w:rPr>
              <w:t xml:space="preserve">La Financiera de Desarrollo Territorial S.A. - Findeter deberá cumplir en todo momento con las condiciones establecidas en las disposiciones </w:t>
            </w:r>
            <w:r w:rsidRPr="00E4401D">
              <w:rPr>
                <w:rFonts w:ascii="Times New Roman" w:hAnsi="Times New Roman" w:cs="Times New Roman"/>
                <w:iCs/>
                <w:kern w:val="20"/>
                <w:sz w:val="28"/>
                <w:szCs w:val="18"/>
                <w:lang w:val="es-ES"/>
              </w:rPr>
              <w:t>legales</w:t>
            </w:r>
            <w:r w:rsidRPr="00E4401D">
              <w:rPr>
                <w:rFonts w:ascii="Times New Roman" w:hAnsi="Times New Roman" w:cs="Times New Roman"/>
                <w:iCs/>
                <w:kern w:val="20"/>
                <w:sz w:val="28"/>
                <w:szCs w:val="18"/>
                <w:lang w:val="es-ES"/>
              </w:rPr>
              <w:t xml:space="preserve"> y actos administrativos vigentes para realizar este tipo de operaciones en mate</w:t>
            </w:r>
            <w:r w:rsidRPr="00E4401D">
              <w:rPr>
                <w:rFonts w:ascii="Times New Roman" w:hAnsi="Times New Roman" w:cs="Times New Roman"/>
                <w:iCs/>
                <w:kern w:val="20"/>
                <w:sz w:val="28"/>
                <w:szCs w:val="18"/>
                <w:lang w:val="es-ES"/>
              </w:rPr>
              <w:t>ria de otorgamiento, seguimiento y recuperación de los créditos</w:t>
            </w:r>
            <w:r w:rsidRPr="00E4401D">
              <w:rPr>
                <w:rFonts w:ascii="Times New Roman" w:hAnsi="Times New Roman" w:cs="Times New Roman"/>
                <w:iCs/>
                <w:kern w:val="20"/>
                <w:sz w:val="28"/>
                <w:szCs w:val="18"/>
                <w:lang w:val="es-ES"/>
              </w:rPr>
              <w:t xml:space="preserve"> </w:t>
            </w:r>
            <w:r w:rsidRPr="00E4401D">
              <w:rPr>
                <w:rFonts w:ascii="Times New Roman" w:hAnsi="Times New Roman" w:cs="Times New Roman"/>
                <w:iCs/>
                <w:kern w:val="20"/>
                <w:sz w:val="28"/>
                <w:szCs w:val="18"/>
                <w:lang w:val="es-ES"/>
              </w:rPr>
              <w:t>otorgados y conflictos de interés que puedan configurarse.</w:t>
            </w:r>
          </w:p>
          <w:p w:rsidR="007E5C33" w:rsidRPr="00E4401D" w:rsidRDefault="00E4401D" w:rsidP="00B1145B">
            <w:pPr>
              <w:spacing w:line="240" w:lineRule="auto"/>
              <w:ind w:right="57"/>
              <w:jc w:val="both"/>
              <w:rPr>
                <w:rFonts w:ascii="Times New Roman" w:hAnsi="Times New Roman" w:cs="Times New Roman"/>
                <w:iCs/>
                <w:kern w:val="20"/>
                <w:sz w:val="28"/>
                <w:szCs w:val="18"/>
                <w:lang w:val="es-ES"/>
              </w:rPr>
            </w:pPr>
          </w:p>
          <w:p w:rsidR="000D3502" w:rsidRPr="00E4401D" w:rsidRDefault="00E4401D" w:rsidP="00B1145B">
            <w:pPr>
              <w:spacing w:line="240" w:lineRule="auto"/>
              <w:ind w:right="57"/>
              <w:jc w:val="both"/>
              <w:rPr>
                <w:rFonts w:ascii="Times New Roman" w:hAnsi="Times New Roman" w:cs="Times New Roman"/>
                <w:b/>
                <w:iCs/>
                <w:kern w:val="20"/>
                <w:sz w:val="28"/>
                <w:szCs w:val="18"/>
                <w:lang w:val="es-ES"/>
              </w:rPr>
            </w:pPr>
          </w:p>
          <w:p w:rsidR="00BC772E" w:rsidRPr="00E4401D" w:rsidRDefault="00E4401D" w:rsidP="00B1145B">
            <w:pPr>
              <w:spacing w:line="240" w:lineRule="auto"/>
              <w:ind w:right="57"/>
              <w:jc w:val="both"/>
              <w:rPr>
                <w:rFonts w:ascii="Times New Roman" w:hAnsi="Times New Roman" w:cs="Times New Roman"/>
                <w:b/>
                <w:iCs/>
                <w:kern w:val="20"/>
                <w:sz w:val="28"/>
                <w:szCs w:val="18"/>
                <w:lang w:val="es-ES"/>
              </w:rPr>
            </w:pPr>
          </w:p>
          <w:p w:rsidR="000D3502" w:rsidRPr="00E4401D" w:rsidRDefault="00E4401D" w:rsidP="00B1145B">
            <w:pPr>
              <w:spacing w:line="240" w:lineRule="auto"/>
              <w:ind w:right="57"/>
              <w:jc w:val="both"/>
              <w:rPr>
                <w:rFonts w:ascii="Times New Roman" w:hAnsi="Times New Roman" w:cs="Times New Roman"/>
                <w:b/>
                <w:iCs/>
                <w:kern w:val="20"/>
                <w:sz w:val="28"/>
                <w:szCs w:val="18"/>
                <w:lang w:val="es-ES"/>
              </w:rPr>
            </w:pPr>
          </w:p>
          <w:p w:rsidR="000D3502" w:rsidRPr="00E4401D" w:rsidRDefault="00E4401D" w:rsidP="00B1145B">
            <w:pPr>
              <w:spacing w:line="240" w:lineRule="auto"/>
              <w:ind w:right="57"/>
              <w:jc w:val="both"/>
              <w:rPr>
                <w:rFonts w:ascii="Times New Roman" w:hAnsi="Times New Roman" w:cs="Times New Roman"/>
                <w:b/>
                <w:iCs/>
                <w:kern w:val="20"/>
                <w:sz w:val="28"/>
                <w:szCs w:val="18"/>
                <w:lang w:val="es-ES"/>
              </w:rPr>
            </w:pPr>
          </w:p>
          <w:p w:rsidR="000D3502" w:rsidRPr="00E4401D" w:rsidRDefault="00E4401D" w:rsidP="00B1145B">
            <w:pPr>
              <w:spacing w:line="240" w:lineRule="auto"/>
              <w:ind w:right="57"/>
              <w:jc w:val="both"/>
              <w:rPr>
                <w:rFonts w:ascii="Times New Roman" w:hAnsi="Times New Roman" w:cs="Times New Roman"/>
                <w:b/>
                <w:iCs/>
                <w:kern w:val="20"/>
                <w:sz w:val="28"/>
                <w:szCs w:val="18"/>
                <w:lang w:val="es-ES"/>
              </w:rPr>
            </w:pPr>
          </w:p>
          <w:p w:rsidR="000D3502" w:rsidRPr="00E4401D" w:rsidRDefault="00E4401D" w:rsidP="00B1145B">
            <w:pPr>
              <w:spacing w:line="240" w:lineRule="auto"/>
              <w:ind w:right="57"/>
              <w:jc w:val="both"/>
              <w:rPr>
                <w:rFonts w:ascii="Times New Roman" w:hAnsi="Times New Roman" w:cs="Times New Roman"/>
                <w:b/>
                <w:iCs/>
                <w:kern w:val="20"/>
                <w:sz w:val="28"/>
                <w:szCs w:val="18"/>
                <w:lang w:val="es-ES"/>
              </w:rPr>
            </w:pPr>
          </w:p>
          <w:p w:rsidR="007E5C33" w:rsidRPr="00E4401D" w:rsidRDefault="00E4401D" w:rsidP="00B1145B">
            <w:pPr>
              <w:spacing w:line="240" w:lineRule="auto"/>
              <w:ind w:right="57"/>
              <w:jc w:val="both"/>
              <w:rPr>
                <w:rFonts w:ascii="Times New Roman" w:hAnsi="Times New Roman" w:cs="Times New Roman"/>
                <w:iCs/>
                <w:kern w:val="20"/>
                <w:sz w:val="28"/>
                <w:szCs w:val="18"/>
                <w:lang w:val="es-ES"/>
              </w:rPr>
            </w:pPr>
            <w:r w:rsidRPr="00E4401D">
              <w:rPr>
                <w:rFonts w:ascii="Times New Roman" w:hAnsi="Times New Roman" w:cs="Times New Roman"/>
                <w:b/>
                <w:iCs/>
                <w:kern w:val="20"/>
                <w:sz w:val="28"/>
                <w:szCs w:val="18"/>
                <w:lang w:val="es-ES"/>
              </w:rPr>
              <w:t>P</w:t>
            </w:r>
            <w:r w:rsidRPr="00E4401D">
              <w:rPr>
                <w:rFonts w:ascii="Times New Roman" w:hAnsi="Times New Roman" w:cs="Times New Roman"/>
                <w:b/>
                <w:iCs/>
                <w:kern w:val="20"/>
                <w:sz w:val="28"/>
                <w:szCs w:val="18"/>
                <w:lang w:val="es-ES"/>
              </w:rPr>
              <w:t>arágrafo primero</w:t>
            </w:r>
            <w:r w:rsidRPr="00E4401D">
              <w:rPr>
                <w:rFonts w:ascii="Times New Roman" w:hAnsi="Times New Roman" w:cs="Times New Roman"/>
                <w:b/>
                <w:iCs/>
                <w:kern w:val="20"/>
                <w:sz w:val="28"/>
                <w:szCs w:val="18"/>
                <w:lang w:val="es-ES"/>
              </w:rPr>
              <w:t xml:space="preserve">. </w:t>
            </w:r>
            <w:r w:rsidRPr="00E4401D">
              <w:rPr>
                <w:rFonts w:ascii="Times New Roman" w:hAnsi="Times New Roman" w:cs="Times New Roman"/>
                <w:iCs/>
                <w:kern w:val="20"/>
                <w:sz w:val="28"/>
                <w:szCs w:val="18"/>
                <w:lang w:val="es-ES"/>
              </w:rPr>
              <w:t xml:space="preserve">El presente artículo no constituye una autorización general para la constitución de patrimonios autónomos </w:t>
            </w:r>
            <w:r w:rsidRPr="00E4401D">
              <w:rPr>
                <w:rFonts w:ascii="Times New Roman" w:hAnsi="Times New Roman" w:cs="Times New Roman"/>
                <w:iCs/>
                <w:kern w:val="20"/>
                <w:sz w:val="28"/>
                <w:szCs w:val="18"/>
                <w:lang w:val="es-ES"/>
              </w:rPr>
              <w:t>por parte de las entidades públicas del nivel nacional, territorial ni para Findeter.</w:t>
            </w:r>
          </w:p>
          <w:p w:rsidR="007E5C33" w:rsidRPr="00E4401D" w:rsidRDefault="00E4401D" w:rsidP="00B1145B">
            <w:pPr>
              <w:spacing w:line="240" w:lineRule="auto"/>
              <w:ind w:right="57"/>
              <w:jc w:val="both"/>
              <w:rPr>
                <w:rFonts w:ascii="Times New Roman" w:hAnsi="Times New Roman" w:cs="Times New Roman"/>
                <w:b/>
                <w:iCs/>
                <w:kern w:val="20"/>
                <w:sz w:val="28"/>
                <w:szCs w:val="18"/>
                <w:lang w:val="es-ES"/>
              </w:rPr>
            </w:pPr>
          </w:p>
          <w:p w:rsidR="007E5C33" w:rsidRPr="00E4401D" w:rsidRDefault="00E4401D" w:rsidP="00B1145B">
            <w:pPr>
              <w:spacing w:line="240" w:lineRule="auto"/>
              <w:ind w:right="57"/>
              <w:jc w:val="both"/>
              <w:rPr>
                <w:rFonts w:ascii="Times New Roman" w:hAnsi="Times New Roman" w:cs="Times New Roman"/>
                <w:iCs/>
                <w:color w:val="000000" w:themeColor="text1"/>
                <w:kern w:val="20"/>
                <w:sz w:val="28"/>
                <w:szCs w:val="18"/>
                <w:lang w:val="es-MX"/>
              </w:rPr>
            </w:pPr>
            <w:r w:rsidRPr="00E4401D">
              <w:rPr>
                <w:rFonts w:ascii="Times New Roman" w:hAnsi="Times New Roman" w:cs="Times New Roman"/>
                <w:b/>
                <w:iCs/>
                <w:kern w:val="20"/>
                <w:sz w:val="28"/>
                <w:szCs w:val="18"/>
                <w:lang w:val="es-ES"/>
              </w:rPr>
              <w:t>P</w:t>
            </w:r>
            <w:r w:rsidRPr="00E4401D">
              <w:rPr>
                <w:rFonts w:ascii="Times New Roman" w:hAnsi="Times New Roman" w:cs="Times New Roman"/>
                <w:b/>
                <w:iCs/>
                <w:kern w:val="20"/>
                <w:sz w:val="28"/>
                <w:szCs w:val="18"/>
                <w:lang w:val="es-ES"/>
              </w:rPr>
              <w:t>arágrafo segundo.</w:t>
            </w:r>
            <w:r w:rsidRPr="00E4401D">
              <w:rPr>
                <w:rFonts w:ascii="Times New Roman" w:hAnsi="Times New Roman" w:cs="Times New Roman"/>
                <w:b/>
                <w:iCs/>
                <w:kern w:val="20"/>
                <w:sz w:val="28"/>
                <w:szCs w:val="18"/>
                <w:lang w:val="es-ES"/>
              </w:rPr>
              <w:t xml:space="preserve"> </w:t>
            </w:r>
            <w:r w:rsidRPr="00E4401D">
              <w:rPr>
                <w:rFonts w:ascii="Times New Roman" w:hAnsi="Times New Roman" w:cs="Times New Roman"/>
                <w:iCs/>
                <w:kern w:val="20"/>
                <w:sz w:val="28"/>
                <w:szCs w:val="18"/>
                <w:lang w:val="es-ES"/>
              </w:rPr>
              <w:t>La operación de que trata este artículo no corresponde a aquellas calificadas como operaciones de crédito público.</w:t>
            </w:r>
          </w:p>
        </w:tc>
        <w:tc>
          <w:tcPr>
            <w:tcW w:w="3542" w:type="dxa"/>
          </w:tcPr>
          <w:p w:rsidR="007E5C33" w:rsidRPr="00E4401D" w:rsidRDefault="00E4401D" w:rsidP="00B1145B">
            <w:pPr>
              <w:spacing w:line="240" w:lineRule="auto"/>
              <w:ind w:right="57"/>
              <w:jc w:val="both"/>
              <w:rPr>
                <w:rFonts w:ascii="Times New Roman" w:hAnsi="Times New Roman" w:cs="Times New Roman"/>
                <w:iCs/>
                <w:kern w:val="20"/>
                <w:sz w:val="28"/>
                <w:szCs w:val="18"/>
                <w:lang w:val="es-ES"/>
              </w:rPr>
            </w:pPr>
            <w:r w:rsidRPr="00E4401D">
              <w:rPr>
                <w:rFonts w:ascii="Times New Roman" w:hAnsi="Times New Roman" w:cs="Times New Roman"/>
                <w:b/>
                <w:iCs/>
                <w:kern w:val="20"/>
                <w:sz w:val="28"/>
                <w:szCs w:val="18"/>
                <w:lang w:val="es-ES"/>
              </w:rPr>
              <w:t>ARTÍCULO 338 (NUEVO). A</w:t>
            </w:r>
            <w:r w:rsidRPr="00E4401D">
              <w:rPr>
                <w:rFonts w:ascii="Times New Roman" w:hAnsi="Times New Roman" w:cs="Times New Roman"/>
                <w:b/>
                <w:iCs/>
                <w:kern w:val="20"/>
                <w:sz w:val="28"/>
                <w:szCs w:val="18"/>
                <w:lang w:val="es-ES"/>
              </w:rPr>
              <w:t xml:space="preserve">utorización </w:t>
            </w:r>
            <w:r w:rsidRPr="00E4401D">
              <w:rPr>
                <w:rFonts w:ascii="Times New Roman" w:hAnsi="Times New Roman" w:cs="Times New Roman"/>
                <w:b/>
                <w:iCs/>
                <w:kern w:val="20"/>
                <w:sz w:val="28"/>
                <w:szCs w:val="18"/>
                <w:lang w:val="es-ES"/>
              </w:rPr>
              <w:t>excepcional para el otorgamiento de crédito directo a</w:t>
            </w:r>
            <w:r w:rsidRPr="00E4401D">
              <w:rPr>
                <w:rFonts w:ascii="Times New Roman" w:hAnsi="Times New Roman" w:cs="Times New Roman"/>
                <w:b/>
                <w:iCs/>
                <w:kern w:val="20"/>
                <w:sz w:val="28"/>
                <w:szCs w:val="18"/>
                <w:u w:val="single"/>
                <w:lang w:val="es-ES"/>
              </w:rPr>
              <w:t xml:space="preserve"> </w:t>
            </w:r>
            <w:r w:rsidRPr="00E4401D">
              <w:rPr>
                <w:rFonts w:ascii="Times New Roman" w:hAnsi="Times New Roman" w:cs="Times New Roman"/>
                <w:b/>
                <w:iCs/>
                <w:color w:val="FF0000"/>
                <w:kern w:val="20"/>
                <w:sz w:val="28"/>
                <w:szCs w:val="18"/>
                <w:u w:val="single"/>
                <w:lang w:val="es-ES"/>
              </w:rPr>
              <w:t>organizaciones</w:t>
            </w:r>
            <w:r w:rsidRPr="00E4401D">
              <w:rPr>
                <w:rFonts w:ascii="Times New Roman" w:hAnsi="Times New Roman" w:cs="Times New Roman"/>
                <w:b/>
                <w:iCs/>
                <w:color w:val="FF0000"/>
                <w:kern w:val="20"/>
                <w:sz w:val="28"/>
                <w:szCs w:val="18"/>
                <w:lang w:val="es-ES"/>
              </w:rPr>
              <w:t xml:space="preserve"> </w:t>
            </w:r>
            <w:r w:rsidRPr="00E4401D">
              <w:rPr>
                <w:rFonts w:ascii="Times New Roman" w:hAnsi="Times New Roman" w:cs="Times New Roman"/>
                <w:b/>
                <w:iCs/>
                <w:color w:val="FF0000"/>
                <w:kern w:val="20"/>
                <w:sz w:val="28"/>
                <w:szCs w:val="18"/>
                <w:u w:val="single"/>
                <w:lang w:val="es-ES"/>
              </w:rPr>
              <w:t>comunales y a</w:t>
            </w:r>
            <w:r w:rsidRPr="00E4401D">
              <w:rPr>
                <w:rFonts w:ascii="Times New Roman" w:hAnsi="Times New Roman" w:cs="Times New Roman"/>
                <w:b/>
                <w:iCs/>
                <w:kern w:val="20"/>
                <w:sz w:val="28"/>
                <w:szCs w:val="18"/>
                <w:lang w:val="es-ES"/>
              </w:rPr>
              <w:t xml:space="preserve"> los patrimonios autónomos que constituya la </w:t>
            </w:r>
            <w:r w:rsidRPr="00E4401D">
              <w:rPr>
                <w:rFonts w:ascii="Times New Roman" w:hAnsi="Times New Roman" w:cs="Times New Roman"/>
                <w:b/>
                <w:iCs/>
                <w:kern w:val="20"/>
                <w:sz w:val="28"/>
                <w:szCs w:val="18"/>
                <w:lang w:val="es-ES"/>
              </w:rPr>
              <w:t>F</w:t>
            </w:r>
            <w:r w:rsidRPr="00E4401D">
              <w:rPr>
                <w:rFonts w:ascii="Times New Roman" w:hAnsi="Times New Roman" w:cs="Times New Roman"/>
                <w:b/>
                <w:iCs/>
                <w:kern w:val="20"/>
                <w:sz w:val="28"/>
                <w:szCs w:val="18"/>
                <w:lang w:val="es-ES"/>
              </w:rPr>
              <w:t xml:space="preserve">inanciera de </w:t>
            </w:r>
            <w:r w:rsidRPr="00E4401D">
              <w:rPr>
                <w:rFonts w:ascii="Times New Roman" w:hAnsi="Times New Roman" w:cs="Times New Roman"/>
                <w:b/>
                <w:iCs/>
                <w:kern w:val="20"/>
                <w:sz w:val="28"/>
                <w:szCs w:val="18"/>
                <w:lang w:val="es-ES"/>
              </w:rPr>
              <w:t>D</w:t>
            </w:r>
            <w:r w:rsidRPr="00E4401D">
              <w:rPr>
                <w:rFonts w:ascii="Times New Roman" w:hAnsi="Times New Roman" w:cs="Times New Roman"/>
                <w:b/>
                <w:iCs/>
                <w:kern w:val="20"/>
                <w:sz w:val="28"/>
                <w:szCs w:val="18"/>
                <w:lang w:val="es-ES"/>
              </w:rPr>
              <w:t xml:space="preserve">esarrollo   </w:t>
            </w:r>
            <w:r w:rsidRPr="00E4401D">
              <w:rPr>
                <w:rFonts w:ascii="Times New Roman" w:hAnsi="Times New Roman" w:cs="Times New Roman"/>
                <w:b/>
                <w:iCs/>
                <w:kern w:val="20"/>
                <w:sz w:val="28"/>
                <w:szCs w:val="18"/>
                <w:lang w:val="es-ES"/>
              </w:rPr>
              <w:t>T</w:t>
            </w:r>
            <w:r w:rsidRPr="00E4401D">
              <w:rPr>
                <w:rFonts w:ascii="Times New Roman" w:hAnsi="Times New Roman" w:cs="Times New Roman"/>
                <w:b/>
                <w:iCs/>
                <w:kern w:val="20"/>
                <w:sz w:val="28"/>
                <w:szCs w:val="18"/>
                <w:lang w:val="es-ES"/>
              </w:rPr>
              <w:t xml:space="preserve">erritorial </w:t>
            </w:r>
            <w:r w:rsidRPr="00E4401D">
              <w:rPr>
                <w:rFonts w:ascii="Times New Roman" w:hAnsi="Times New Roman" w:cs="Times New Roman"/>
                <w:b/>
                <w:iCs/>
                <w:kern w:val="20"/>
                <w:sz w:val="28"/>
                <w:szCs w:val="18"/>
                <w:lang w:val="es-ES"/>
              </w:rPr>
              <w:t>S</w:t>
            </w:r>
            <w:r w:rsidRPr="00E4401D">
              <w:rPr>
                <w:rFonts w:ascii="Times New Roman" w:hAnsi="Times New Roman" w:cs="Times New Roman"/>
                <w:b/>
                <w:iCs/>
                <w:kern w:val="20"/>
                <w:sz w:val="28"/>
                <w:szCs w:val="18"/>
                <w:lang w:val="es-ES"/>
              </w:rPr>
              <w:t>.</w:t>
            </w:r>
            <w:r w:rsidRPr="00E4401D">
              <w:rPr>
                <w:rFonts w:ascii="Times New Roman" w:hAnsi="Times New Roman" w:cs="Times New Roman"/>
                <w:b/>
                <w:iCs/>
                <w:kern w:val="20"/>
                <w:sz w:val="28"/>
                <w:szCs w:val="18"/>
                <w:lang w:val="es-ES"/>
              </w:rPr>
              <w:t>A</w:t>
            </w:r>
            <w:r w:rsidRPr="00E4401D">
              <w:rPr>
                <w:rFonts w:ascii="Times New Roman" w:hAnsi="Times New Roman" w:cs="Times New Roman"/>
                <w:b/>
                <w:iCs/>
                <w:kern w:val="20"/>
                <w:sz w:val="28"/>
                <w:szCs w:val="18"/>
                <w:lang w:val="es-ES"/>
              </w:rPr>
              <w:t>. - F</w:t>
            </w:r>
            <w:r w:rsidRPr="00E4401D">
              <w:rPr>
                <w:rFonts w:ascii="Times New Roman" w:hAnsi="Times New Roman" w:cs="Times New Roman"/>
                <w:b/>
                <w:iCs/>
                <w:kern w:val="20"/>
                <w:sz w:val="28"/>
                <w:szCs w:val="18"/>
                <w:lang w:val="es-ES"/>
              </w:rPr>
              <w:t>indeter</w:t>
            </w:r>
            <w:r w:rsidRPr="00E4401D">
              <w:rPr>
                <w:rFonts w:ascii="Times New Roman" w:hAnsi="Times New Roman" w:cs="Times New Roman"/>
                <w:b/>
                <w:iCs/>
                <w:kern w:val="20"/>
                <w:sz w:val="28"/>
                <w:szCs w:val="18"/>
                <w:lang w:val="es-ES"/>
              </w:rPr>
              <w:t xml:space="preserve"> para el desarrollo de proyectos de inversión en infraestructura en sus sectores elegibles</w:t>
            </w:r>
            <w:r w:rsidRPr="00E4401D">
              <w:rPr>
                <w:rFonts w:ascii="Times New Roman" w:hAnsi="Times New Roman" w:cs="Times New Roman"/>
                <w:b/>
                <w:iCs/>
                <w:kern w:val="20"/>
                <w:sz w:val="28"/>
                <w:szCs w:val="18"/>
                <w:lang w:val="es-ES"/>
              </w:rPr>
              <w:t xml:space="preserve">. </w:t>
            </w:r>
            <w:r w:rsidRPr="00E4401D">
              <w:rPr>
                <w:rFonts w:ascii="Times New Roman" w:hAnsi="Times New Roman" w:cs="Times New Roman"/>
                <w:iCs/>
                <w:kern w:val="20"/>
                <w:sz w:val="28"/>
                <w:szCs w:val="18"/>
                <w:lang w:val="es-ES"/>
              </w:rPr>
              <w:t xml:space="preserve">Previa verificación de la Superintendencia </w:t>
            </w:r>
            <w:r w:rsidRPr="00E4401D">
              <w:rPr>
                <w:rFonts w:ascii="Times New Roman" w:hAnsi="Times New Roman" w:cs="Times New Roman"/>
                <w:iCs/>
                <w:kern w:val="20"/>
                <w:sz w:val="28"/>
                <w:szCs w:val="18"/>
                <w:lang w:val="es-ES"/>
              </w:rPr>
              <w:t>F</w:t>
            </w:r>
            <w:r w:rsidRPr="00E4401D">
              <w:rPr>
                <w:rFonts w:ascii="Times New Roman" w:hAnsi="Times New Roman" w:cs="Times New Roman"/>
                <w:iCs/>
                <w:kern w:val="20"/>
                <w:sz w:val="28"/>
                <w:szCs w:val="18"/>
                <w:lang w:val="es-ES"/>
              </w:rPr>
              <w:t xml:space="preserve">inanciera de Colombia del cumplimiento de los requisitos para la administración y gestión de los sistemas integrales de </w:t>
            </w:r>
            <w:r w:rsidRPr="00E4401D">
              <w:rPr>
                <w:rFonts w:ascii="Times New Roman" w:hAnsi="Times New Roman" w:cs="Times New Roman"/>
                <w:iCs/>
                <w:kern w:val="20"/>
                <w:sz w:val="28"/>
                <w:szCs w:val="18"/>
                <w:lang w:val="es-ES"/>
              </w:rPr>
              <w:t>gestión de riesgos, se autoriza a la Financiera de Desarrollo Territorial S.A. - Findeter, para otorgar créditos directos a</w:t>
            </w:r>
            <w:r w:rsidRPr="00E4401D">
              <w:rPr>
                <w:rFonts w:ascii="Times New Roman" w:hAnsi="Times New Roman" w:cs="Times New Roman"/>
                <w:iCs/>
                <w:kern w:val="20"/>
                <w:sz w:val="28"/>
                <w:szCs w:val="18"/>
                <w:u w:val="single"/>
                <w:lang w:val="es-ES"/>
              </w:rPr>
              <w:t xml:space="preserve"> </w:t>
            </w:r>
            <w:r w:rsidRPr="00E4401D">
              <w:rPr>
                <w:rFonts w:ascii="Times New Roman" w:hAnsi="Times New Roman" w:cs="Times New Roman"/>
                <w:iCs/>
                <w:color w:val="FF0000"/>
                <w:kern w:val="20"/>
                <w:sz w:val="28"/>
                <w:szCs w:val="18"/>
                <w:u w:val="single"/>
                <w:lang w:val="es-ES"/>
              </w:rPr>
              <w:t>organizaciones comunales de las</w:t>
            </w:r>
            <w:r w:rsidRPr="00E4401D">
              <w:rPr>
                <w:rFonts w:ascii="Times New Roman" w:hAnsi="Times New Roman" w:cs="Times New Roman"/>
                <w:iCs/>
                <w:color w:val="FF0000"/>
                <w:kern w:val="20"/>
                <w:sz w:val="28"/>
                <w:szCs w:val="18"/>
                <w:lang w:val="es-ES"/>
              </w:rPr>
              <w:t xml:space="preserve"> </w:t>
            </w:r>
            <w:r w:rsidRPr="00E4401D">
              <w:rPr>
                <w:rFonts w:ascii="Times New Roman" w:hAnsi="Times New Roman" w:cs="Times New Roman"/>
                <w:iCs/>
                <w:color w:val="FF0000"/>
                <w:kern w:val="20"/>
                <w:sz w:val="28"/>
                <w:szCs w:val="18"/>
                <w:u w:val="single"/>
                <w:lang w:val="es-ES"/>
              </w:rPr>
              <w:t>que trata el artículo 7 de la Ley 2166 de 2021,</w:t>
            </w:r>
            <w:r w:rsidRPr="00E4401D">
              <w:rPr>
                <w:rFonts w:ascii="Times New Roman" w:hAnsi="Times New Roman" w:cs="Times New Roman"/>
                <w:iCs/>
                <w:kern w:val="20"/>
                <w:sz w:val="28"/>
                <w:szCs w:val="18"/>
                <w:lang w:val="es-ES"/>
              </w:rPr>
              <w:t xml:space="preserve"> </w:t>
            </w:r>
            <w:r w:rsidRPr="00E4401D">
              <w:rPr>
                <w:rFonts w:ascii="Times New Roman" w:hAnsi="Times New Roman" w:cs="Times New Roman"/>
                <w:iCs/>
                <w:kern w:val="20"/>
                <w:sz w:val="28"/>
                <w:szCs w:val="18"/>
                <w:lang w:val="es-ES"/>
              </w:rPr>
              <w:t xml:space="preserve">  </w:t>
            </w:r>
            <w:r w:rsidRPr="00E4401D">
              <w:rPr>
                <w:rFonts w:ascii="Times New Roman" w:hAnsi="Times New Roman" w:cs="Times New Roman"/>
                <w:iCs/>
                <w:kern w:val="20"/>
                <w:sz w:val="28"/>
                <w:szCs w:val="18"/>
                <w:lang w:val="es-ES"/>
              </w:rPr>
              <w:t xml:space="preserve">y patrimonios autónomos creados por Findeter como </w:t>
            </w:r>
            <w:r w:rsidRPr="00E4401D">
              <w:rPr>
                <w:rFonts w:ascii="Times New Roman" w:hAnsi="Times New Roman" w:cs="Times New Roman"/>
                <w:iCs/>
                <w:kern w:val="20"/>
                <w:sz w:val="28"/>
                <w:szCs w:val="18"/>
                <w:lang w:val="es-ES"/>
              </w:rPr>
              <w:t>fideicomitente dentro de un contrato de fiducia mercantil en virtud de la autorización contenida en el artículo 270 del Estatuto Orgánico del Sistema Financiero (Decreto Ley 663 de 1993), y cuyo objeto sea el desarrollo de proyectos de inversión en infraes</w:t>
            </w:r>
            <w:r w:rsidRPr="00E4401D">
              <w:rPr>
                <w:rFonts w:ascii="Times New Roman" w:hAnsi="Times New Roman" w:cs="Times New Roman"/>
                <w:iCs/>
                <w:kern w:val="20"/>
                <w:sz w:val="28"/>
                <w:szCs w:val="18"/>
                <w:lang w:val="es-ES"/>
              </w:rPr>
              <w:t xml:space="preserve">tructura y los demás que se encuentren dentro de los sectores elegibles de conformidad con las normas vigentes. El otorgamiento de los créditos </w:t>
            </w:r>
            <w:r w:rsidRPr="00E4401D">
              <w:rPr>
                <w:rFonts w:ascii="Times New Roman" w:hAnsi="Times New Roman" w:cs="Times New Roman"/>
                <w:iCs/>
                <w:color w:val="FF0000"/>
                <w:kern w:val="20"/>
                <w:sz w:val="28"/>
                <w:szCs w:val="18"/>
                <w:u w:val="single"/>
                <w:lang w:val="es-ES"/>
              </w:rPr>
              <w:t>estará sujeto al cumplimiento de las condiciones</w:t>
            </w:r>
            <w:r w:rsidRPr="00E4401D">
              <w:rPr>
                <w:rFonts w:ascii="Times New Roman" w:hAnsi="Times New Roman" w:cs="Times New Roman"/>
                <w:iCs/>
                <w:color w:val="FF0000"/>
                <w:kern w:val="20"/>
                <w:sz w:val="28"/>
                <w:szCs w:val="18"/>
                <w:lang w:val="es-ES"/>
              </w:rPr>
              <w:t xml:space="preserve"> </w:t>
            </w:r>
            <w:r w:rsidRPr="00E4401D">
              <w:rPr>
                <w:rFonts w:ascii="Times New Roman" w:hAnsi="Times New Roman" w:cs="Times New Roman"/>
                <w:iCs/>
                <w:color w:val="FF0000"/>
                <w:kern w:val="20"/>
                <w:sz w:val="28"/>
                <w:szCs w:val="18"/>
                <w:u w:val="single"/>
                <w:lang w:val="es-ES"/>
              </w:rPr>
              <w:t>definidas en el literal k) del numeral 1 del artículo</w:t>
            </w:r>
            <w:r w:rsidRPr="00E4401D">
              <w:rPr>
                <w:rFonts w:ascii="Times New Roman" w:hAnsi="Times New Roman" w:cs="Times New Roman"/>
                <w:iCs/>
                <w:color w:val="FF0000"/>
                <w:kern w:val="20"/>
                <w:sz w:val="28"/>
                <w:szCs w:val="18"/>
                <w:lang w:val="es-ES"/>
              </w:rPr>
              <w:t xml:space="preserve"> </w:t>
            </w:r>
            <w:r w:rsidRPr="00E4401D">
              <w:rPr>
                <w:rFonts w:ascii="Times New Roman" w:hAnsi="Times New Roman" w:cs="Times New Roman"/>
                <w:iCs/>
                <w:color w:val="FF0000"/>
                <w:kern w:val="20"/>
                <w:sz w:val="28"/>
                <w:szCs w:val="18"/>
                <w:u w:val="single"/>
                <w:lang w:val="es-ES"/>
              </w:rPr>
              <w:t>270 del E</w:t>
            </w:r>
            <w:r w:rsidRPr="00E4401D">
              <w:rPr>
                <w:rFonts w:ascii="Times New Roman" w:hAnsi="Times New Roman" w:cs="Times New Roman"/>
                <w:iCs/>
                <w:color w:val="FF0000"/>
                <w:kern w:val="20"/>
                <w:sz w:val="28"/>
                <w:szCs w:val="18"/>
                <w:u w:val="single"/>
                <w:lang w:val="es-ES"/>
              </w:rPr>
              <w:t xml:space="preserve">statuto Orgánico del Sistema Financiero, </w:t>
            </w:r>
            <w:r w:rsidRPr="00E4401D">
              <w:rPr>
                <w:rFonts w:ascii="Times New Roman" w:hAnsi="Times New Roman" w:cs="Times New Roman"/>
                <w:iCs/>
                <w:color w:val="FF0000"/>
                <w:kern w:val="20"/>
                <w:sz w:val="28"/>
                <w:szCs w:val="18"/>
                <w:u w:val="single"/>
                <w:lang w:val="es-ES"/>
              </w:rPr>
              <w:t xml:space="preserve">y </w:t>
            </w:r>
            <w:r w:rsidRPr="00E4401D">
              <w:rPr>
                <w:rFonts w:ascii="Times New Roman" w:hAnsi="Times New Roman" w:cs="Times New Roman"/>
                <w:iCs/>
                <w:kern w:val="20"/>
                <w:sz w:val="28"/>
                <w:szCs w:val="18"/>
                <w:lang w:val="es-ES"/>
              </w:rPr>
              <w:t>provendrá de los recursos propios disponibles de la Financiera de Desarrollo Territorial S.A. -Findeter.</w:t>
            </w:r>
          </w:p>
          <w:p w:rsidR="007E5C33" w:rsidRPr="00E4401D" w:rsidRDefault="00E4401D" w:rsidP="00B1145B">
            <w:pPr>
              <w:spacing w:line="240" w:lineRule="auto"/>
              <w:ind w:right="57"/>
              <w:jc w:val="both"/>
              <w:rPr>
                <w:rFonts w:ascii="Times New Roman" w:hAnsi="Times New Roman" w:cs="Times New Roman"/>
                <w:b/>
                <w:iCs/>
                <w:kern w:val="20"/>
                <w:sz w:val="28"/>
                <w:szCs w:val="18"/>
                <w:lang w:val="es-ES"/>
              </w:rPr>
            </w:pPr>
          </w:p>
          <w:p w:rsidR="007E5C33" w:rsidRPr="00E4401D" w:rsidRDefault="00E4401D" w:rsidP="00B1145B">
            <w:pPr>
              <w:spacing w:line="240" w:lineRule="auto"/>
              <w:ind w:right="57"/>
              <w:jc w:val="both"/>
              <w:rPr>
                <w:rFonts w:ascii="Times New Roman" w:hAnsi="Times New Roman" w:cs="Times New Roman"/>
                <w:iCs/>
                <w:kern w:val="20"/>
                <w:sz w:val="28"/>
                <w:szCs w:val="18"/>
                <w:lang w:val="es-ES"/>
              </w:rPr>
            </w:pPr>
            <w:r w:rsidRPr="00E4401D">
              <w:rPr>
                <w:rFonts w:ascii="Times New Roman" w:hAnsi="Times New Roman" w:cs="Times New Roman"/>
                <w:iCs/>
                <w:kern w:val="20"/>
                <w:sz w:val="28"/>
                <w:szCs w:val="18"/>
                <w:lang w:val="es-ES"/>
              </w:rPr>
              <w:t>Lo dispuesto en este artículo, en ningún caso será aplicable a las operaciones de crédito público con cargo</w:t>
            </w:r>
            <w:r w:rsidRPr="00E4401D">
              <w:rPr>
                <w:rFonts w:ascii="Times New Roman" w:hAnsi="Times New Roman" w:cs="Times New Roman"/>
                <w:iCs/>
                <w:kern w:val="20"/>
                <w:sz w:val="28"/>
                <w:szCs w:val="18"/>
                <w:lang w:val="es-ES"/>
              </w:rPr>
              <w:t xml:space="preserve"> a la Asignación de Inversión Regional del Sistema General de Regalías, consagradas en el artículo 25 de la Ley 2279 de 2022 o en las normas que lo modifiquen o sustituyan.</w:t>
            </w:r>
          </w:p>
          <w:p w:rsidR="007E5C33" w:rsidRPr="00E4401D" w:rsidRDefault="00E4401D" w:rsidP="00B1145B">
            <w:pPr>
              <w:spacing w:line="240" w:lineRule="auto"/>
              <w:ind w:right="57"/>
              <w:jc w:val="both"/>
              <w:rPr>
                <w:rFonts w:ascii="Times New Roman" w:hAnsi="Times New Roman" w:cs="Times New Roman"/>
                <w:b/>
                <w:iCs/>
                <w:kern w:val="20"/>
                <w:sz w:val="28"/>
                <w:szCs w:val="18"/>
                <w:lang w:val="es-ES"/>
              </w:rPr>
            </w:pPr>
          </w:p>
          <w:p w:rsidR="007E5C33" w:rsidRPr="00E4401D" w:rsidRDefault="00E4401D" w:rsidP="00B1145B">
            <w:pPr>
              <w:spacing w:line="240" w:lineRule="auto"/>
              <w:ind w:right="57"/>
              <w:jc w:val="both"/>
              <w:rPr>
                <w:rFonts w:ascii="Times New Roman" w:hAnsi="Times New Roman" w:cs="Times New Roman"/>
                <w:iCs/>
                <w:kern w:val="20"/>
                <w:sz w:val="28"/>
                <w:szCs w:val="18"/>
                <w:lang w:val="es-ES"/>
              </w:rPr>
            </w:pPr>
            <w:r w:rsidRPr="00E4401D">
              <w:rPr>
                <w:rFonts w:ascii="Times New Roman" w:hAnsi="Times New Roman" w:cs="Times New Roman"/>
                <w:iCs/>
                <w:kern w:val="20"/>
                <w:sz w:val="28"/>
                <w:szCs w:val="18"/>
                <w:lang w:val="es-ES"/>
              </w:rPr>
              <w:t xml:space="preserve">La Financiera de Desarrollo Territorial S.A. - Findeter a través de sus </w:t>
            </w:r>
            <w:r w:rsidRPr="00E4401D">
              <w:rPr>
                <w:rFonts w:ascii="Times New Roman" w:hAnsi="Times New Roman" w:cs="Times New Roman"/>
                <w:iCs/>
                <w:kern w:val="20"/>
                <w:sz w:val="28"/>
                <w:szCs w:val="18"/>
                <w:lang w:val="es-ES"/>
              </w:rPr>
              <w:t xml:space="preserve">reglamentos internos establecerá los montos máximos de recursos propios que se destinarán para apalancar esta modalidad de crédito, las condiciones financieras generales, especialmente sobre las fuentes de pago ciertas y las garantías admisibles para este </w:t>
            </w:r>
            <w:r w:rsidRPr="00E4401D">
              <w:rPr>
                <w:rFonts w:ascii="Times New Roman" w:hAnsi="Times New Roman" w:cs="Times New Roman"/>
                <w:iCs/>
                <w:kern w:val="20"/>
                <w:sz w:val="28"/>
                <w:szCs w:val="18"/>
                <w:lang w:val="es-ES"/>
              </w:rPr>
              <w:t>tipo de operaciones.</w:t>
            </w:r>
          </w:p>
          <w:p w:rsidR="007E5C33" w:rsidRPr="00E4401D" w:rsidRDefault="00E4401D" w:rsidP="00B1145B">
            <w:pPr>
              <w:spacing w:line="240" w:lineRule="auto"/>
              <w:ind w:right="57"/>
              <w:jc w:val="both"/>
              <w:rPr>
                <w:rFonts w:ascii="Times New Roman" w:hAnsi="Times New Roman" w:cs="Times New Roman"/>
                <w:b/>
                <w:iCs/>
                <w:kern w:val="20"/>
                <w:sz w:val="28"/>
                <w:szCs w:val="18"/>
                <w:lang w:val="es-ES"/>
              </w:rPr>
            </w:pPr>
          </w:p>
          <w:p w:rsidR="007E5C33" w:rsidRPr="00E4401D" w:rsidRDefault="00E4401D" w:rsidP="00B1145B">
            <w:pPr>
              <w:spacing w:line="240" w:lineRule="auto"/>
              <w:ind w:right="57"/>
              <w:jc w:val="both"/>
              <w:rPr>
                <w:rFonts w:ascii="Times New Roman" w:hAnsi="Times New Roman" w:cs="Times New Roman"/>
                <w:iCs/>
                <w:kern w:val="20"/>
                <w:sz w:val="28"/>
                <w:szCs w:val="18"/>
                <w:lang w:val="es-ES"/>
              </w:rPr>
            </w:pPr>
            <w:r w:rsidRPr="00E4401D">
              <w:rPr>
                <w:rFonts w:ascii="Times New Roman" w:hAnsi="Times New Roman" w:cs="Times New Roman"/>
                <w:iCs/>
                <w:kern w:val="20"/>
                <w:sz w:val="28"/>
                <w:szCs w:val="18"/>
                <w:lang w:val="es-ES"/>
              </w:rPr>
              <w:t>La Financiera de Desarrollo Territorial S.A. - Findeter deberá cumplir en todo momento con las</w:t>
            </w:r>
            <w:r w:rsidRPr="00E4401D">
              <w:rPr>
                <w:rFonts w:ascii="Times New Roman" w:hAnsi="Times New Roman" w:cs="Times New Roman"/>
                <w:iCs/>
                <w:kern w:val="20"/>
                <w:sz w:val="28"/>
                <w:szCs w:val="18"/>
                <w:lang w:val="es-ES"/>
              </w:rPr>
              <w:t xml:space="preserve"> </w:t>
            </w:r>
            <w:r w:rsidRPr="00E4401D">
              <w:rPr>
                <w:rFonts w:ascii="Times New Roman" w:hAnsi="Times New Roman" w:cs="Times New Roman"/>
                <w:iCs/>
                <w:kern w:val="20"/>
                <w:sz w:val="28"/>
                <w:szCs w:val="18"/>
                <w:lang w:val="es-ES"/>
              </w:rPr>
              <w:t>condiciones establecidas en las disposiciones legale</w:t>
            </w:r>
            <w:r w:rsidRPr="00E4401D">
              <w:rPr>
                <w:rFonts w:ascii="Times New Roman" w:hAnsi="Times New Roman" w:cs="Times New Roman"/>
                <w:iCs/>
                <w:kern w:val="20"/>
                <w:sz w:val="28"/>
                <w:szCs w:val="18"/>
                <w:lang w:val="es-ES"/>
              </w:rPr>
              <w:t xml:space="preserve">s </w:t>
            </w:r>
            <w:r w:rsidRPr="00E4401D">
              <w:rPr>
                <w:rFonts w:ascii="Times New Roman" w:hAnsi="Times New Roman" w:cs="Times New Roman"/>
                <w:iCs/>
                <w:kern w:val="20"/>
                <w:sz w:val="28"/>
                <w:szCs w:val="18"/>
                <w:lang w:val="es-ES"/>
              </w:rPr>
              <w:t xml:space="preserve">y actos </w:t>
            </w:r>
            <w:r w:rsidRPr="00E4401D">
              <w:rPr>
                <w:rFonts w:ascii="Times New Roman" w:hAnsi="Times New Roman" w:cs="Times New Roman"/>
                <w:iCs/>
                <w:kern w:val="20"/>
                <w:sz w:val="28"/>
                <w:szCs w:val="18"/>
                <w:lang w:val="es-ES"/>
              </w:rPr>
              <w:t>a</w:t>
            </w:r>
            <w:r w:rsidRPr="00E4401D">
              <w:rPr>
                <w:rFonts w:ascii="Times New Roman" w:hAnsi="Times New Roman" w:cs="Times New Roman"/>
                <w:iCs/>
                <w:kern w:val="20"/>
                <w:sz w:val="28"/>
                <w:szCs w:val="18"/>
                <w:lang w:val="es-ES"/>
              </w:rPr>
              <w:t xml:space="preserve">dministrativos vigentes para realizar este </w:t>
            </w:r>
            <w:r w:rsidRPr="00E4401D">
              <w:rPr>
                <w:rFonts w:ascii="Times New Roman" w:hAnsi="Times New Roman" w:cs="Times New Roman"/>
                <w:iCs/>
                <w:kern w:val="20"/>
                <w:sz w:val="28"/>
                <w:szCs w:val="18"/>
                <w:lang w:val="es-ES"/>
              </w:rPr>
              <w:t>t</w:t>
            </w:r>
            <w:r w:rsidRPr="00E4401D">
              <w:rPr>
                <w:rFonts w:ascii="Times New Roman" w:hAnsi="Times New Roman" w:cs="Times New Roman"/>
                <w:iCs/>
                <w:kern w:val="20"/>
                <w:sz w:val="28"/>
                <w:szCs w:val="18"/>
                <w:lang w:val="es-ES"/>
              </w:rPr>
              <w:t>ipo de operaciones en materia de</w:t>
            </w:r>
            <w:r w:rsidRPr="00E4401D">
              <w:rPr>
                <w:rFonts w:ascii="Times New Roman" w:hAnsi="Times New Roman" w:cs="Times New Roman"/>
                <w:iCs/>
                <w:kern w:val="20"/>
                <w:sz w:val="28"/>
                <w:szCs w:val="18"/>
                <w:lang w:val="es-ES"/>
              </w:rPr>
              <w:t xml:space="preserve"> o</w:t>
            </w:r>
            <w:r w:rsidRPr="00E4401D">
              <w:rPr>
                <w:rFonts w:ascii="Times New Roman" w:hAnsi="Times New Roman" w:cs="Times New Roman"/>
                <w:iCs/>
                <w:kern w:val="20"/>
                <w:sz w:val="28"/>
                <w:szCs w:val="18"/>
                <w:lang w:val="es-ES"/>
              </w:rPr>
              <w:t>torgamiento,</w:t>
            </w:r>
            <w:r w:rsidRPr="00E4401D">
              <w:rPr>
                <w:rFonts w:ascii="Times New Roman" w:hAnsi="Times New Roman" w:cs="Times New Roman"/>
                <w:iCs/>
                <w:kern w:val="20"/>
                <w:sz w:val="28"/>
                <w:szCs w:val="18"/>
                <w:lang w:val="es-ES"/>
              </w:rPr>
              <w:t xml:space="preserve"> </w:t>
            </w:r>
            <w:r w:rsidRPr="00E4401D">
              <w:rPr>
                <w:rFonts w:ascii="Times New Roman" w:hAnsi="Times New Roman" w:cs="Times New Roman"/>
                <w:iCs/>
                <w:kern w:val="20"/>
                <w:sz w:val="28"/>
                <w:szCs w:val="18"/>
                <w:lang w:val="es-ES"/>
              </w:rPr>
              <w:t xml:space="preserve">seguimiento y recuperación </w:t>
            </w:r>
            <w:r w:rsidRPr="00E4401D">
              <w:rPr>
                <w:rFonts w:ascii="Times New Roman" w:hAnsi="Times New Roman" w:cs="Times New Roman"/>
                <w:iCs/>
                <w:kern w:val="20"/>
                <w:sz w:val="28"/>
                <w:szCs w:val="18"/>
                <w:lang w:val="es-ES"/>
              </w:rPr>
              <w:t>d</w:t>
            </w:r>
            <w:r w:rsidRPr="00E4401D">
              <w:rPr>
                <w:rFonts w:ascii="Times New Roman" w:hAnsi="Times New Roman" w:cs="Times New Roman"/>
                <w:iCs/>
                <w:kern w:val="20"/>
                <w:sz w:val="28"/>
                <w:szCs w:val="18"/>
                <w:lang w:val="es-ES"/>
              </w:rPr>
              <w:t xml:space="preserve">e los créditos otorgados y conflictos de interés que puedan configurarse, esto sin perjuicio de las facultades de </w:t>
            </w:r>
            <w:r w:rsidRPr="00E4401D">
              <w:rPr>
                <w:rFonts w:ascii="Times New Roman" w:hAnsi="Times New Roman" w:cs="Times New Roman"/>
                <w:iCs/>
                <w:color w:val="FF0000"/>
                <w:kern w:val="20"/>
                <w:sz w:val="28"/>
                <w:szCs w:val="18"/>
                <w:u w:val="single"/>
                <w:lang w:val="es-ES"/>
              </w:rPr>
              <w:t>la Superintendencia Financiera de Colombia</w:t>
            </w:r>
            <w:r w:rsidRPr="00E4401D">
              <w:rPr>
                <w:rFonts w:ascii="Times New Roman" w:hAnsi="Times New Roman" w:cs="Times New Roman"/>
                <w:iCs/>
                <w:color w:val="FF0000"/>
                <w:kern w:val="20"/>
                <w:sz w:val="28"/>
                <w:szCs w:val="18"/>
                <w:lang w:val="es-ES"/>
              </w:rPr>
              <w:t xml:space="preserve"> </w:t>
            </w:r>
            <w:r w:rsidRPr="00E4401D">
              <w:rPr>
                <w:rFonts w:ascii="Times New Roman" w:hAnsi="Times New Roman" w:cs="Times New Roman"/>
                <w:iCs/>
                <w:color w:val="FF0000"/>
                <w:kern w:val="20"/>
                <w:sz w:val="28"/>
                <w:szCs w:val="18"/>
                <w:u w:val="single"/>
                <w:lang w:val="es-ES"/>
              </w:rPr>
              <w:t>respecto de la verificación del cumplimiento de los</w:t>
            </w:r>
            <w:r w:rsidRPr="00E4401D">
              <w:rPr>
                <w:rFonts w:ascii="Times New Roman" w:hAnsi="Times New Roman" w:cs="Times New Roman"/>
                <w:iCs/>
                <w:color w:val="FF0000"/>
                <w:kern w:val="20"/>
                <w:sz w:val="28"/>
                <w:szCs w:val="18"/>
                <w:lang w:val="es-ES"/>
              </w:rPr>
              <w:t xml:space="preserve"> </w:t>
            </w:r>
            <w:r w:rsidRPr="00E4401D">
              <w:rPr>
                <w:rFonts w:ascii="Times New Roman" w:hAnsi="Times New Roman" w:cs="Times New Roman"/>
                <w:iCs/>
                <w:color w:val="FF0000"/>
                <w:kern w:val="20"/>
                <w:sz w:val="28"/>
                <w:szCs w:val="18"/>
                <w:u w:val="single"/>
                <w:lang w:val="es-ES"/>
              </w:rPr>
              <w:t>sist</w:t>
            </w:r>
            <w:r w:rsidRPr="00E4401D">
              <w:rPr>
                <w:rFonts w:ascii="Times New Roman" w:hAnsi="Times New Roman" w:cs="Times New Roman"/>
                <w:iCs/>
                <w:color w:val="FF0000"/>
                <w:kern w:val="20"/>
                <w:sz w:val="28"/>
                <w:szCs w:val="18"/>
                <w:u w:val="single"/>
                <w:lang w:val="es-ES"/>
              </w:rPr>
              <w:t>emas integrales de gestión de riesgos propios de</w:t>
            </w:r>
            <w:r w:rsidRPr="00E4401D">
              <w:rPr>
                <w:rFonts w:ascii="Times New Roman" w:hAnsi="Times New Roman" w:cs="Times New Roman"/>
                <w:iCs/>
                <w:color w:val="FF0000"/>
                <w:kern w:val="20"/>
                <w:sz w:val="28"/>
                <w:szCs w:val="18"/>
                <w:lang w:val="es-ES"/>
              </w:rPr>
              <w:t xml:space="preserve"> </w:t>
            </w:r>
            <w:r w:rsidRPr="00E4401D">
              <w:rPr>
                <w:rFonts w:ascii="Times New Roman" w:hAnsi="Times New Roman" w:cs="Times New Roman"/>
                <w:iCs/>
                <w:color w:val="FF0000"/>
                <w:kern w:val="20"/>
                <w:sz w:val="28"/>
                <w:szCs w:val="18"/>
                <w:u w:val="single"/>
                <w:lang w:val="es-ES"/>
              </w:rPr>
              <w:t>las operaciones</w:t>
            </w:r>
            <w:r w:rsidRPr="00E4401D">
              <w:rPr>
                <w:rFonts w:ascii="Times New Roman" w:hAnsi="Times New Roman" w:cs="Times New Roman"/>
                <w:iCs/>
                <w:color w:val="FF0000"/>
                <w:kern w:val="20"/>
                <w:sz w:val="28"/>
                <w:szCs w:val="18"/>
                <w:lang w:val="es-ES"/>
              </w:rPr>
              <w:t>.</w:t>
            </w:r>
          </w:p>
          <w:p w:rsidR="007E5C33" w:rsidRPr="00E4401D" w:rsidRDefault="00E4401D" w:rsidP="00B1145B">
            <w:pPr>
              <w:spacing w:line="240" w:lineRule="auto"/>
              <w:ind w:right="57"/>
              <w:jc w:val="both"/>
              <w:rPr>
                <w:rFonts w:ascii="Times New Roman" w:hAnsi="Times New Roman" w:cs="Times New Roman"/>
                <w:b/>
                <w:iCs/>
                <w:kern w:val="20"/>
                <w:sz w:val="28"/>
                <w:szCs w:val="18"/>
                <w:lang w:val="es-ES"/>
              </w:rPr>
            </w:pPr>
          </w:p>
          <w:p w:rsidR="007E5C33" w:rsidRPr="00E4401D" w:rsidRDefault="00E4401D" w:rsidP="00B1145B">
            <w:pPr>
              <w:spacing w:line="240" w:lineRule="auto"/>
              <w:ind w:right="57"/>
              <w:jc w:val="both"/>
              <w:rPr>
                <w:rFonts w:ascii="Times New Roman" w:hAnsi="Times New Roman" w:cs="Times New Roman"/>
                <w:iCs/>
                <w:kern w:val="20"/>
                <w:sz w:val="28"/>
                <w:szCs w:val="18"/>
                <w:lang w:val="es-ES"/>
              </w:rPr>
            </w:pPr>
            <w:r w:rsidRPr="00E4401D">
              <w:rPr>
                <w:rFonts w:ascii="Times New Roman" w:hAnsi="Times New Roman" w:cs="Times New Roman"/>
                <w:b/>
                <w:iCs/>
                <w:kern w:val="20"/>
                <w:sz w:val="28"/>
                <w:szCs w:val="18"/>
                <w:lang w:val="es-ES"/>
              </w:rPr>
              <w:t>P</w:t>
            </w:r>
            <w:r w:rsidRPr="00E4401D">
              <w:rPr>
                <w:rFonts w:ascii="Times New Roman" w:hAnsi="Times New Roman" w:cs="Times New Roman"/>
                <w:b/>
                <w:iCs/>
                <w:kern w:val="20"/>
                <w:sz w:val="28"/>
                <w:szCs w:val="18"/>
                <w:lang w:val="es-ES"/>
              </w:rPr>
              <w:t>arágrafo primero</w:t>
            </w:r>
            <w:r w:rsidRPr="00E4401D">
              <w:rPr>
                <w:rFonts w:ascii="Times New Roman" w:hAnsi="Times New Roman" w:cs="Times New Roman"/>
                <w:b/>
                <w:iCs/>
                <w:kern w:val="20"/>
                <w:sz w:val="28"/>
                <w:szCs w:val="18"/>
                <w:lang w:val="es-ES"/>
              </w:rPr>
              <w:t xml:space="preserve">. </w:t>
            </w:r>
            <w:r w:rsidRPr="00E4401D">
              <w:rPr>
                <w:rFonts w:ascii="Times New Roman" w:hAnsi="Times New Roman" w:cs="Times New Roman"/>
                <w:iCs/>
                <w:kern w:val="20"/>
                <w:sz w:val="28"/>
                <w:szCs w:val="18"/>
                <w:lang w:val="es-ES"/>
              </w:rPr>
              <w:t xml:space="preserve">El presente artículo no constituye una autorización general para la constitución de patrimonios autónomos por parte de las entidades públicas del nivel nacional, </w:t>
            </w:r>
            <w:r w:rsidRPr="00E4401D">
              <w:rPr>
                <w:rFonts w:ascii="Times New Roman" w:hAnsi="Times New Roman" w:cs="Times New Roman"/>
                <w:iCs/>
                <w:kern w:val="20"/>
                <w:sz w:val="28"/>
                <w:szCs w:val="18"/>
                <w:lang w:val="es-ES"/>
              </w:rPr>
              <w:t>territorial ni para Findeter.</w:t>
            </w:r>
          </w:p>
          <w:p w:rsidR="007E5C33" w:rsidRPr="00E4401D" w:rsidRDefault="00E4401D" w:rsidP="00B1145B">
            <w:pPr>
              <w:spacing w:line="240" w:lineRule="auto"/>
              <w:ind w:right="57"/>
              <w:jc w:val="both"/>
              <w:rPr>
                <w:rFonts w:ascii="Times New Roman" w:hAnsi="Times New Roman" w:cs="Times New Roman"/>
                <w:b/>
                <w:iCs/>
                <w:kern w:val="20"/>
                <w:sz w:val="28"/>
                <w:szCs w:val="18"/>
                <w:lang w:val="es-ES"/>
              </w:rPr>
            </w:pPr>
          </w:p>
          <w:p w:rsidR="002C37D0" w:rsidRPr="00E4401D" w:rsidRDefault="00E4401D" w:rsidP="00B1145B">
            <w:pPr>
              <w:spacing w:line="240" w:lineRule="auto"/>
              <w:ind w:right="57"/>
              <w:jc w:val="both"/>
              <w:rPr>
                <w:rFonts w:ascii="Times New Roman" w:hAnsi="Times New Roman" w:cs="Times New Roman"/>
                <w:iCs/>
                <w:color w:val="000000" w:themeColor="text1"/>
                <w:kern w:val="20"/>
                <w:sz w:val="28"/>
                <w:szCs w:val="18"/>
                <w:lang w:val="es-MX"/>
              </w:rPr>
            </w:pPr>
            <w:r w:rsidRPr="00E4401D">
              <w:rPr>
                <w:rFonts w:ascii="Times New Roman" w:hAnsi="Times New Roman" w:cs="Times New Roman"/>
                <w:b/>
                <w:iCs/>
                <w:kern w:val="20"/>
                <w:sz w:val="28"/>
                <w:szCs w:val="18"/>
                <w:lang w:val="es-ES"/>
              </w:rPr>
              <w:t>P</w:t>
            </w:r>
            <w:r w:rsidRPr="00E4401D">
              <w:rPr>
                <w:rFonts w:ascii="Times New Roman" w:hAnsi="Times New Roman" w:cs="Times New Roman"/>
                <w:b/>
                <w:iCs/>
                <w:kern w:val="20"/>
                <w:sz w:val="28"/>
                <w:szCs w:val="18"/>
                <w:lang w:val="es-ES"/>
              </w:rPr>
              <w:t>arágrafo segundo</w:t>
            </w:r>
            <w:r w:rsidRPr="00E4401D">
              <w:rPr>
                <w:rFonts w:ascii="Times New Roman" w:hAnsi="Times New Roman" w:cs="Times New Roman"/>
                <w:b/>
                <w:iCs/>
                <w:kern w:val="20"/>
                <w:sz w:val="28"/>
                <w:szCs w:val="18"/>
                <w:lang w:val="es-ES"/>
              </w:rPr>
              <w:t xml:space="preserve">. </w:t>
            </w:r>
            <w:r w:rsidRPr="00E4401D">
              <w:rPr>
                <w:rFonts w:ascii="Times New Roman" w:hAnsi="Times New Roman" w:cs="Times New Roman"/>
                <w:iCs/>
                <w:kern w:val="20"/>
                <w:sz w:val="28"/>
                <w:szCs w:val="18"/>
                <w:lang w:val="es-ES"/>
              </w:rPr>
              <w:t>La operación de que trata este artículo no corresponde a aquellas calificadas como operaciones de crédito público.</w:t>
            </w:r>
          </w:p>
        </w:tc>
        <w:tc>
          <w:tcPr>
            <w:tcW w:w="1134" w:type="dxa"/>
          </w:tcPr>
          <w:p w:rsidR="002C37D0" w:rsidRPr="00E4401D" w:rsidRDefault="00E4401D" w:rsidP="007D6115">
            <w:pPr>
              <w:spacing w:line="240" w:lineRule="auto"/>
              <w:ind w:right="57"/>
              <w:jc w:val="center"/>
              <w:rPr>
                <w:rFonts w:ascii="Times New Roman" w:hAnsi="Times New Roman" w:cs="Times New Roman"/>
                <w:iCs/>
                <w:color w:val="000000" w:themeColor="text1"/>
                <w:kern w:val="20"/>
                <w:sz w:val="28"/>
                <w:szCs w:val="18"/>
                <w:lang w:val="es-MX"/>
              </w:rPr>
            </w:pPr>
            <w:r w:rsidRPr="00E4401D">
              <w:rPr>
                <w:rFonts w:ascii="Times New Roman" w:hAnsi="Times New Roman" w:cs="Times New Roman"/>
                <w:iCs/>
                <w:kern w:val="20"/>
                <w:sz w:val="28"/>
                <w:szCs w:val="18"/>
                <w:lang w:val="es-ES"/>
              </w:rPr>
              <w:t xml:space="preserve">Se </w:t>
            </w:r>
            <w:r w:rsidRPr="00E4401D">
              <w:rPr>
                <w:rFonts w:ascii="Times New Roman" w:hAnsi="Times New Roman" w:cs="Times New Roman"/>
                <w:iCs/>
                <w:kern w:val="20"/>
                <w:sz w:val="28"/>
                <w:szCs w:val="18"/>
                <w:lang w:val="es-ES"/>
              </w:rPr>
              <w:t>a</w:t>
            </w:r>
            <w:r w:rsidRPr="00E4401D">
              <w:rPr>
                <w:rFonts w:ascii="Times New Roman" w:hAnsi="Times New Roman" w:cs="Times New Roman"/>
                <w:iCs/>
                <w:kern w:val="20"/>
                <w:sz w:val="28"/>
                <w:szCs w:val="18"/>
                <w:lang w:val="es-ES"/>
              </w:rPr>
              <w:t>coge   texto</w:t>
            </w:r>
            <w:r w:rsidRPr="00E4401D">
              <w:rPr>
                <w:rFonts w:ascii="Times New Roman" w:hAnsi="Times New Roman" w:cs="Times New Roman"/>
                <w:iCs/>
                <w:kern w:val="20"/>
                <w:sz w:val="28"/>
                <w:szCs w:val="18"/>
                <w:lang w:val="es-ES"/>
              </w:rPr>
              <w:t xml:space="preserve"> del </w:t>
            </w:r>
            <w:r w:rsidRPr="00E4401D">
              <w:rPr>
                <w:rFonts w:ascii="Times New Roman" w:hAnsi="Times New Roman" w:cs="Times New Roman"/>
                <w:iCs/>
                <w:kern w:val="20"/>
                <w:sz w:val="28"/>
                <w:szCs w:val="18"/>
                <w:lang w:val="es-ES"/>
              </w:rPr>
              <w:t>Senado.</w:t>
            </w:r>
          </w:p>
        </w:tc>
        <w:tc>
          <w:tcPr>
            <w:tcW w:w="1134" w:type="dxa"/>
          </w:tcPr>
          <w:p w:rsidR="002C37D0" w:rsidRPr="00E4401D" w:rsidRDefault="00E4401D" w:rsidP="007D6115">
            <w:pPr>
              <w:spacing w:line="240" w:lineRule="auto"/>
              <w:ind w:right="57"/>
              <w:jc w:val="center"/>
              <w:rPr>
                <w:rFonts w:ascii="Times New Roman" w:hAnsi="Times New Roman" w:cs="Times New Roman"/>
                <w:iCs/>
                <w:color w:val="000000" w:themeColor="text1"/>
                <w:kern w:val="20"/>
                <w:sz w:val="28"/>
                <w:szCs w:val="18"/>
                <w:lang w:val="es-MX"/>
              </w:rPr>
            </w:pPr>
            <w:r w:rsidRPr="00E4401D">
              <w:rPr>
                <w:rFonts w:ascii="Times New Roman" w:hAnsi="Times New Roman" w:cs="Times New Roman"/>
                <w:iCs/>
                <w:kern w:val="20"/>
                <w:sz w:val="28"/>
                <w:szCs w:val="18"/>
                <w:lang w:val="es-ES"/>
              </w:rPr>
              <w:t>Artículo 289</w:t>
            </w:r>
          </w:p>
        </w:tc>
      </w:tr>
      <w:tr w:rsidR="002C37D0" w:rsidRPr="00E4401D" w:rsidTr="000D3502">
        <w:tc>
          <w:tcPr>
            <w:tcW w:w="3541" w:type="dxa"/>
          </w:tcPr>
          <w:p w:rsidR="007E5C33" w:rsidRPr="00E4401D" w:rsidRDefault="00E4401D" w:rsidP="00B1145B">
            <w:pPr>
              <w:spacing w:line="240" w:lineRule="auto"/>
              <w:jc w:val="both"/>
              <w:rPr>
                <w:rFonts w:ascii="Times New Roman" w:hAnsi="Times New Roman" w:cs="Times New Roman"/>
                <w:iCs/>
                <w:sz w:val="28"/>
                <w:szCs w:val="18"/>
                <w:lang w:val="es-ES"/>
              </w:rPr>
            </w:pPr>
            <w:r w:rsidRPr="00E4401D">
              <w:rPr>
                <w:rFonts w:ascii="Times New Roman" w:hAnsi="Times New Roman" w:cs="Times New Roman"/>
                <w:b/>
                <w:iCs/>
                <w:sz w:val="28"/>
                <w:szCs w:val="18"/>
                <w:lang w:val="es-ES"/>
              </w:rPr>
              <w:t>A</w:t>
            </w:r>
            <w:r w:rsidRPr="00E4401D">
              <w:rPr>
                <w:rFonts w:ascii="Times New Roman" w:hAnsi="Times New Roman" w:cs="Times New Roman"/>
                <w:b/>
                <w:iCs/>
                <w:sz w:val="28"/>
                <w:szCs w:val="18"/>
                <w:lang w:val="es-ES"/>
              </w:rPr>
              <w:t xml:space="preserve">rtículo </w:t>
            </w:r>
            <w:r w:rsidRPr="00E4401D">
              <w:rPr>
                <w:rFonts w:ascii="Times New Roman" w:hAnsi="Times New Roman" w:cs="Times New Roman"/>
                <w:b/>
                <w:iCs/>
                <w:sz w:val="28"/>
                <w:szCs w:val="18"/>
                <w:lang w:val="es-ES"/>
              </w:rPr>
              <w:t xml:space="preserve">267. </w:t>
            </w:r>
            <w:r w:rsidRPr="00E4401D">
              <w:rPr>
                <w:rFonts w:ascii="Times New Roman" w:hAnsi="Times New Roman" w:cs="Times New Roman"/>
                <w:iCs/>
                <w:sz w:val="28"/>
                <w:szCs w:val="18"/>
                <w:lang w:val="es-ES"/>
              </w:rPr>
              <w:t xml:space="preserve">Adiciónese el inciso quinto y </w:t>
            </w:r>
            <w:r w:rsidRPr="00E4401D">
              <w:rPr>
                <w:rFonts w:ascii="Times New Roman" w:hAnsi="Times New Roman" w:cs="Times New Roman"/>
                <w:b/>
                <w:iCs/>
                <w:sz w:val="28"/>
                <w:szCs w:val="18"/>
                <w:lang w:val="es-ES"/>
              </w:rPr>
              <w:t>dos</w:t>
            </w:r>
            <w:r w:rsidRPr="00E4401D">
              <w:rPr>
                <w:rFonts w:ascii="Times New Roman" w:hAnsi="Times New Roman" w:cs="Times New Roman"/>
                <w:b/>
                <w:iCs/>
                <w:sz w:val="28"/>
                <w:szCs w:val="18"/>
                <w:lang w:val="es-ES"/>
              </w:rPr>
              <w:t xml:space="preserve"> </w:t>
            </w:r>
            <w:r w:rsidRPr="00E4401D">
              <w:rPr>
                <w:rFonts w:ascii="Times New Roman" w:hAnsi="Times New Roman" w:cs="Times New Roman"/>
                <w:iCs/>
                <w:sz w:val="28"/>
                <w:szCs w:val="18"/>
                <w:lang w:val="es-ES"/>
              </w:rPr>
              <w:t>parágrafos al artículo 4 de la Ley 2079 de 2021, así:</w:t>
            </w:r>
          </w:p>
          <w:p w:rsidR="007E5C33" w:rsidRPr="00E4401D" w:rsidRDefault="00E4401D" w:rsidP="00B1145B">
            <w:pPr>
              <w:spacing w:line="240" w:lineRule="auto"/>
              <w:jc w:val="both"/>
              <w:rPr>
                <w:rFonts w:ascii="Times New Roman" w:hAnsi="Times New Roman" w:cs="Times New Roman"/>
                <w:b/>
                <w:iCs/>
                <w:sz w:val="28"/>
                <w:szCs w:val="18"/>
                <w:lang w:val="es-ES"/>
              </w:rPr>
            </w:pPr>
          </w:p>
          <w:p w:rsidR="007E5C33" w:rsidRPr="00E4401D" w:rsidRDefault="00E4401D" w:rsidP="00B1145B">
            <w:pPr>
              <w:spacing w:line="240" w:lineRule="auto"/>
              <w:jc w:val="both"/>
              <w:rPr>
                <w:rFonts w:ascii="Times New Roman" w:hAnsi="Times New Roman" w:cs="Times New Roman"/>
                <w:b/>
                <w:iCs/>
                <w:sz w:val="28"/>
                <w:szCs w:val="18"/>
                <w:lang w:val="es-ES"/>
              </w:rPr>
            </w:pPr>
            <w:r w:rsidRPr="00E4401D">
              <w:rPr>
                <w:rFonts w:ascii="Times New Roman" w:hAnsi="Times New Roman" w:cs="Times New Roman"/>
                <w:b/>
                <w:iCs/>
                <w:sz w:val="28"/>
                <w:szCs w:val="18"/>
                <w:lang w:val="es-ES"/>
              </w:rPr>
              <w:t>A</w:t>
            </w:r>
            <w:r w:rsidRPr="00E4401D">
              <w:rPr>
                <w:rFonts w:ascii="Times New Roman" w:hAnsi="Times New Roman" w:cs="Times New Roman"/>
                <w:b/>
                <w:iCs/>
                <w:sz w:val="28"/>
                <w:szCs w:val="18"/>
                <w:lang w:val="es-ES"/>
              </w:rPr>
              <w:t>rtículo</w:t>
            </w:r>
            <w:r w:rsidRPr="00E4401D">
              <w:rPr>
                <w:rFonts w:ascii="Times New Roman" w:hAnsi="Times New Roman" w:cs="Times New Roman"/>
                <w:b/>
                <w:iCs/>
                <w:sz w:val="28"/>
                <w:szCs w:val="18"/>
                <w:lang w:val="es-ES"/>
              </w:rPr>
              <w:t xml:space="preserve"> 4. P</w:t>
            </w:r>
            <w:r w:rsidRPr="00E4401D">
              <w:rPr>
                <w:rFonts w:ascii="Times New Roman" w:hAnsi="Times New Roman" w:cs="Times New Roman"/>
                <w:b/>
                <w:iCs/>
                <w:sz w:val="28"/>
                <w:szCs w:val="18"/>
                <w:lang w:val="es-ES"/>
              </w:rPr>
              <w:t>olítica de estado de vivienda y hábitat</w:t>
            </w:r>
            <w:r w:rsidRPr="00E4401D">
              <w:rPr>
                <w:rFonts w:ascii="Times New Roman" w:hAnsi="Times New Roman" w:cs="Times New Roman"/>
                <w:b/>
                <w:iCs/>
                <w:sz w:val="28"/>
                <w:szCs w:val="18"/>
                <w:lang w:val="es-ES"/>
              </w:rPr>
              <w:t>.</w:t>
            </w:r>
          </w:p>
          <w:p w:rsidR="007E5C33" w:rsidRPr="00E4401D" w:rsidRDefault="00E4401D" w:rsidP="00B1145B">
            <w:pPr>
              <w:spacing w:line="240" w:lineRule="auto"/>
              <w:jc w:val="both"/>
              <w:rPr>
                <w:rFonts w:ascii="Times New Roman" w:hAnsi="Times New Roman" w:cs="Times New Roman"/>
                <w:b/>
                <w:iCs/>
                <w:sz w:val="28"/>
                <w:szCs w:val="18"/>
                <w:lang w:val="es-ES"/>
              </w:rPr>
            </w:pPr>
          </w:p>
          <w:p w:rsidR="007E5C33" w:rsidRPr="00E4401D" w:rsidRDefault="00E4401D" w:rsidP="00B1145B">
            <w:pPr>
              <w:spacing w:line="240" w:lineRule="auto"/>
              <w:jc w:val="both"/>
              <w:rPr>
                <w:rFonts w:ascii="Times New Roman" w:hAnsi="Times New Roman" w:cs="Times New Roman"/>
                <w:iCs/>
                <w:sz w:val="28"/>
                <w:szCs w:val="18"/>
                <w:lang w:val="es-ES"/>
              </w:rPr>
            </w:pPr>
            <w:r w:rsidRPr="00E4401D">
              <w:rPr>
                <w:rFonts w:ascii="Times New Roman" w:hAnsi="Times New Roman" w:cs="Times New Roman"/>
                <w:iCs/>
                <w:sz w:val="28"/>
                <w:szCs w:val="18"/>
                <w:lang w:val="es-ES"/>
              </w:rPr>
              <w:t>(…)</w:t>
            </w:r>
          </w:p>
          <w:p w:rsidR="007E5C33" w:rsidRPr="00E4401D" w:rsidRDefault="00E4401D" w:rsidP="00B1145B">
            <w:pPr>
              <w:spacing w:line="240" w:lineRule="auto"/>
              <w:jc w:val="both"/>
              <w:rPr>
                <w:rFonts w:ascii="Times New Roman" w:hAnsi="Times New Roman" w:cs="Times New Roman"/>
                <w:b/>
                <w:iCs/>
                <w:sz w:val="28"/>
                <w:szCs w:val="18"/>
                <w:lang w:val="es-ES"/>
              </w:rPr>
            </w:pPr>
          </w:p>
          <w:p w:rsidR="007E5C33" w:rsidRPr="00E4401D" w:rsidRDefault="00E4401D" w:rsidP="00B1145B">
            <w:pPr>
              <w:spacing w:line="240" w:lineRule="auto"/>
              <w:jc w:val="both"/>
              <w:rPr>
                <w:rFonts w:ascii="Times New Roman" w:hAnsi="Times New Roman" w:cs="Times New Roman"/>
                <w:iCs/>
                <w:sz w:val="28"/>
                <w:szCs w:val="18"/>
                <w:lang w:val="es-ES"/>
              </w:rPr>
            </w:pPr>
            <w:r w:rsidRPr="00E4401D">
              <w:rPr>
                <w:rFonts w:ascii="Times New Roman" w:hAnsi="Times New Roman" w:cs="Times New Roman"/>
                <w:iCs/>
                <w:sz w:val="28"/>
                <w:szCs w:val="18"/>
                <w:lang w:val="es-ES"/>
              </w:rPr>
              <w:t>La política de vivienda y hábitat, a cargo del Gobierno nacional, incluirá un enfoque diferencial que reconozca las condiciones socio económi</w:t>
            </w:r>
            <w:r w:rsidRPr="00E4401D">
              <w:rPr>
                <w:rFonts w:ascii="Times New Roman" w:hAnsi="Times New Roman" w:cs="Times New Roman"/>
                <w:iCs/>
                <w:sz w:val="28"/>
                <w:szCs w:val="18"/>
                <w:lang w:val="es-ES"/>
              </w:rPr>
              <w:t>cas y culturales de los pueblos indígenas, de las comunidades negras, afrocolombianas, raizales, palenqueras, campesinas y de grupos poblacionales específicos, especialmente de la población víctima del conflicto armado, incluyendo para esta última, el dise</w:t>
            </w:r>
            <w:r w:rsidRPr="00E4401D">
              <w:rPr>
                <w:rFonts w:ascii="Times New Roman" w:hAnsi="Times New Roman" w:cs="Times New Roman"/>
                <w:iCs/>
                <w:sz w:val="28"/>
                <w:szCs w:val="18"/>
                <w:lang w:val="es-ES"/>
              </w:rPr>
              <w:t>ño de estrategias encaminadas a superar las barreras para la utilización de subsidios no aplicados en vigencias anteriores.</w:t>
            </w:r>
          </w:p>
          <w:p w:rsidR="007E5C33" w:rsidRPr="00E4401D" w:rsidRDefault="00E4401D" w:rsidP="00B1145B">
            <w:pPr>
              <w:spacing w:line="240" w:lineRule="auto"/>
              <w:jc w:val="both"/>
              <w:rPr>
                <w:rFonts w:ascii="Times New Roman" w:hAnsi="Times New Roman" w:cs="Times New Roman"/>
                <w:b/>
                <w:iCs/>
                <w:sz w:val="28"/>
                <w:szCs w:val="18"/>
                <w:lang w:val="es-ES"/>
              </w:rPr>
            </w:pPr>
          </w:p>
          <w:p w:rsidR="007E5C33" w:rsidRPr="00E4401D" w:rsidRDefault="00E4401D" w:rsidP="00B1145B">
            <w:pPr>
              <w:spacing w:line="240" w:lineRule="auto"/>
              <w:jc w:val="both"/>
              <w:rPr>
                <w:rFonts w:ascii="Times New Roman" w:hAnsi="Times New Roman" w:cs="Times New Roman"/>
                <w:iCs/>
                <w:sz w:val="28"/>
                <w:szCs w:val="18"/>
                <w:lang w:val="es-ES"/>
              </w:rPr>
            </w:pPr>
            <w:r w:rsidRPr="00E4401D">
              <w:rPr>
                <w:rFonts w:ascii="Times New Roman" w:hAnsi="Times New Roman" w:cs="Times New Roman"/>
                <w:b/>
                <w:iCs/>
                <w:sz w:val="28"/>
                <w:szCs w:val="18"/>
                <w:lang w:val="es-ES"/>
              </w:rPr>
              <w:t xml:space="preserve">Parágrafo 1. </w:t>
            </w:r>
            <w:r w:rsidRPr="00E4401D">
              <w:rPr>
                <w:rFonts w:ascii="Times New Roman" w:hAnsi="Times New Roman" w:cs="Times New Roman"/>
                <w:iCs/>
                <w:sz w:val="28"/>
                <w:szCs w:val="18"/>
                <w:lang w:val="es-ES"/>
              </w:rPr>
              <w:t xml:space="preserve">Para todos los efectos legales, se entiende que los negocios jurídicos celebrados por los patrimonios autónomos </w:t>
            </w:r>
            <w:r w:rsidRPr="00E4401D">
              <w:rPr>
                <w:rFonts w:ascii="Times New Roman" w:hAnsi="Times New Roman" w:cs="Times New Roman"/>
                <w:iCs/>
                <w:sz w:val="28"/>
                <w:szCs w:val="18"/>
                <w:lang w:val="es-ES"/>
              </w:rPr>
              <w:t>constituidos por FONVIVIENDA, para efectos de la ejecución de los subsidios familiares de vivienda otorgados por el Gobierno nacional en el marco de la política de vivienda y hábitat urbana y rural, son de naturaleza jurídica privada.</w:t>
            </w:r>
          </w:p>
          <w:p w:rsidR="007E5C33" w:rsidRPr="00E4401D" w:rsidRDefault="00E4401D" w:rsidP="00B1145B">
            <w:pPr>
              <w:spacing w:line="240" w:lineRule="auto"/>
              <w:jc w:val="both"/>
              <w:rPr>
                <w:rFonts w:ascii="Times New Roman" w:hAnsi="Times New Roman" w:cs="Times New Roman"/>
                <w:b/>
                <w:iCs/>
                <w:sz w:val="28"/>
                <w:szCs w:val="18"/>
                <w:lang w:val="es-ES"/>
              </w:rPr>
            </w:pPr>
          </w:p>
          <w:p w:rsidR="007E5C33" w:rsidRPr="00E4401D" w:rsidRDefault="00E4401D" w:rsidP="00B1145B">
            <w:pPr>
              <w:spacing w:line="240" w:lineRule="auto"/>
              <w:jc w:val="both"/>
              <w:rPr>
                <w:rFonts w:ascii="Times New Roman" w:hAnsi="Times New Roman" w:cs="Times New Roman"/>
                <w:iCs/>
                <w:sz w:val="28"/>
                <w:szCs w:val="18"/>
                <w:lang w:val="es-ES"/>
              </w:rPr>
            </w:pPr>
            <w:r w:rsidRPr="00E4401D">
              <w:rPr>
                <w:rFonts w:ascii="Times New Roman" w:hAnsi="Times New Roman" w:cs="Times New Roman"/>
                <w:b/>
                <w:iCs/>
                <w:sz w:val="28"/>
                <w:szCs w:val="18"/>
                <w:lang w:val="es-ES"/>
              </w:rPr>
              <w:t xml:space="preserve">Parágrafo 2. </w:t>
            </w:r>
            <w:r w:rsidRPr="00E4401D">
              <w:rPr>
                <w:rFonts w:ascii="Times New Roman" w:hAnsi="Times New Roman" w:cs="Times New Roman"/>
                <w:iCs/>
                <w:sz w:val="28"/>
                <w:szCs w:val="18"/>
                <w:lang w:val="es-ES"/>
              </w:rPr>
              <w:t xml:space="preserve">Con el </w:t>
            </w:r>
            <w:r w:rsidRPr="00E4401D">
              <w:rPr>
                <w:rFonts w:ascii="Times New Roman" w:hAnsi="Times New Roman" w:cs="Times New Roman"/>
                <w:iCs/>
                <w:sz w:val="28"/>
                <w:szCs w:val="18"/>
                <w:lang w:val="es-ES"/>
              </w:rPr>
              <w:t>fin de generar cohesión y artículos en la ejecución de la política de vivienda y hábitat, el Fondo Nacional de Vivienda “Fonvivienda”, tendrá como objetivos consolidar el Sistema Nacional de Información de Vivienda y ejecutar las políticas del Gobierno nac</w:t>
            </w:r>
            <w:r w:rsidRPr="00E4401D">
              <w:rPr>
                <w:rFonts w:ascii="Times New Roman" w:hAnsi="Times New Roman" w:cs="Times New Roman"/>
                <w:iCs/>
                <w:sz w:val="28"/>
                <w:szCs w:val="18"/>
                <w:lang w:val="es-ES"/>
              </w:rPr>
              <w:t>ional en materia de vivienda de interés social, agua y saneamiento básico, en particular aquellas orientadas a la descentralización territorial   de   la   inversión   de   los   recursos</w:t>
            </w:r>
            <w:r w:rsidRPr="00E4401D">
              <w:rPr>
                <w:rFonts w:ascii="Times New Roman" w:hAnsi="Times New Roman" w:cs="Times New Roman"/>
                <w:iCs/>
                <w:sz w:val="28"/>
                <w:szCs w:val="18"/>
                <w:lang w:val="es-ES"/>
              </w:rPr>
              <w:t xml:space="preserve"> </w:t>
            </w:r>
            <w:r w:rsidRPr="00E4401D">
              <w:rPr>
                <w:rFonts w:ascii="Times New Roman" w:hAnsi="Times New Roman" w:cs="Times New Roman"/>
                <w:iCs/>
                <w:sz w:val="28"/>
                <w:szCs w:val="18"/>
                <w:lang w:val="es-ES"/>
              </w:rPr>
              <w:t>destinados a estas actividades, administrando: los   recursos   asig</w:t>
            </w:r>
            <w:r w:rsidRPr="00E4401D">
              <w:rPr>
                <w:rFonts w:ascii="Times New Roman" w:hAnsi="Times New Roman" w:cs="Times New Roman"/>
                <w:iCs/>
                <w:sz w:val="28"/>
                <w:szCs w:val="18"/>
                <w:lang w:val="es-ES"/>
              </w:rPr>
              <w:t>nados   en   el   Presupuesto General de la Nación en inversión para vivienda</w:t>
            </w:r>
            <w:r w:rsidRPr="00E4401D">
              <w:rPr>
                <w:rFonts w:ascii="Times New Roman" w:hAnsi="Times New Roman" w:cs="Times New Roman"/>
                <w:iCs/>
                <w:sz w:val="28"/>
                <w:szCs w:val="18"/>
                <w:lang w:val="es-ES"/>
              </w:rPr>
              <w:t xml:space="preserve"> </w:t>
            </w:r>
            <w:r w:rsidRPr="00E4401D">
              <w:rPr>
                <w:rFonts w:ascii="Times New Roman" w:hAnsi="Times New Roman" w:cs="Times New Roman"/>
                <w:iCs/>
                <w:sz w:val="28"/>
                <w:szCs w:val="18"/>
                <w:lang w:val="es-ES"/>
              </w:rPr>
              <w:t>de interés social, agua y saneamiento básico; los recursos que se apropien para la formulación, organización,</w:t>
            </w:r>
            <w:r w:rsidRPr="00E4401D">
              <w:rPr>
                <w:rFonts w:ascii="Times New Roman" w:hAnsi="Times New Roman" w:cs="Times New Roman"/>
                <w:iCs/>
                <w:sz w:val="28"/>
                <w:szCs w:val="18"/>
                <w:lang w:val="es-ES"/>
              </w:rPr>
              <w:t xml:space="preserve"> </w:t>
            </w:r>
            <w:r w:rsidRPr="00E4401D">
              <w:rPr>
                <w:rFonts w:ascii="Times New Roman" w:hAnsi="Times New Roman" w:cs="Times New Roman"/>
                <w:iCs/>
                <w:sz w:val="28"/>
                <w:szCs w:val="18"/>
                <w:lang w:val="es-ES"/>
              </w:rPr>
              <w:t>promoción,</w:t>
            </w:r>
            <w:r w:rsidRPr="00E4401D">
              <w:rPr>
                <w:rFonts w:ascii="Times New Roman" w:hAnsi="Times New Roman" w:cs="Times New Roman"/>
                <w:iCs/>
                <w:sz w:val="28"/>
                <w:szCs w:val="18"/>
                <w:lang w:val="es-ES"/>
              </w:rPr>
              <w:tab/>
              <w:t>desarrollo,</w:t>
            </w:r>
            <w:r w:rsidRPr="00E4401D">
              <w:rPr>
                <w:rFonts w:ascii="Times New Roman" w:hAnsi="Times New Roman" w:cs="Times New Roman"/>
                <w:iCs/>
                <w:sz w:val="28"/>
                <w:szCs w:val="18"/>
                <w:lang w:val="es-ES"/>
              </w:rPr>
              <w:t xml:space="preserve"> m</w:t>
            </w:r>
            <w:r w:rsidRPr="00E4401D">
              <w:rPr>
                <w:rFonts w:ascii="Times New Roman" w:hAnsi="Times New Roman" w:cs="Times New Roman"/>
                <w:iCs/>
                <w:sz w:val="28"/>
                <w:szCs w:val="18"/>
                <w:lang w:val="es-ES"/>
              </w:rPr>
              <w:t xml:space="preserve">antenimiento y consolidación del Sistema Nacional de Información de Vivienda y en general los bienes y recursos de que trata </w:t>
            </w:r>
            <w:r w:rsidRPr="00E4401D">
              <w:rPr>
                <w:rFonts w:ascii="Times New Roman" w:hAnsi="Times New Roman" w:cs="Times New Roman"/>
                <w:iCs/>
                <w:sz w:val="28"/>
                <w:szCs w:val="18"/>
                <w:u w:val="single"/>
                <w:lang w:val="es-ES"/>
              </w:rPr>
              <w:t>el</w:t>
            </w:r>
            <w:r w:rsidRPr="00E4401D">
              <w:rPr>
                <w:rFonts w:ascii="Times New Roman" w:hAnsi="Times New Roman" w:cs="Times New Roman"/>
                <w:iCs/>
                <w:sz w:val="28"/>
                <w:szCs w:val="18"/>
                <w:lang w:val="es-ES"/>
              </w:rPr>
              <w:t xml:space="preserve"> presente</w:t>
            </w:r>
            <w:r w:rsidRPr="00E4401D">
              <w:rPr>
                <w:rFonts w:ascii="Times New Roman" w:hAnsi="Times New Roman" w:cs="Times New Roman"/>
                <w:iCs/>
                <w:sz w:val="28"/>
                <w:szCs w:val="18"/>
                <w:u w:val="single"/>
                <w:lang w:val="es-ES"/>
              </w:rPr>
              <w:t xml:space="preserve"> Decreto</w:t>
            </w:r>
            <w:r w:rsidRPr="00E4401D">
              <w:rPr>
                <w:rFonts w:ascii="Times New Roman" w:hAnsi="Times New Roman" w:cs="Times New Roman"/>
                <w:iCs/>
                <w:sz w:val="28"/>
                <w:szCs w:val="18"/>
                <w:lang w:val="es-ES"/>
              </w:rPr>
              <w:t xml:space="preserve"> para lo cual podrá constituir patrimonios autónomos a través de la suscripción de contratos de fiducia mercanti</w:t>
            </w:r>
            <w:r w:rsidRPr="00E4401D">
              <w:rPr>
                <w:rFonts w:ascii="Times New Roman" w:hAnsi="Times New Roman" w:cs="Times New Roman"/>
                <w:iCs/>
                <w:sz w:val="28"/>
                <w:szCs w:val="18"/>
                <w:lang w:val="es-ES"/>
              </w:rPr>
              <w:t>l.</w:t>
            </w:r>
          </w:p>
          <w:p w:rsidR="007E5C33" w:rsidRPr="00E4401D" w:rsidRDefault="00E4401D" w:rsidP="00B1145B">
            <w:pPr>
              <w:spacing w:line="240" w:lineRule="auto"/>
              <w:jc w:val="both"/>
              <w:rPr>
                <w:rFonts w:ascii="Times New Roman" w:hAnsi="Times New Roman" w:cs="Times New Roman"/>
                <w:b/>
                <w:iCs/>
                <w:sz w:val="28"/>
                <w:szCs w:val="18"/>
                <w:lang w:val="es-ES"/>
              </w:rPr>
            </w:pPr>
          </w:p>
          <w:p w:rsidR="002C37D0" w:rsidRPr="00E4401D" w:rsidRDefault="00E4401D" w:rsidP="00B1145B">
            <w:pPr>
              <w:spacing w:line="240" w:lineRule="auto"/>
              <w:jc w:val="both"/>
              <w:rPr>
                <w:rFonts w:ascii="Times New Roman" w:hAnsi="Times New Roman" w:cs="Times New Roman"/>
                <w:iCs/>
                <w:color w:val="000000" w:themeColor="text1"/>
                <w:sz w:val="28"/>
                <w:szCs w:val="18"/>
                <w:lang w:val="es-MX"/>
              </w:rPr>
            </w:pPr>
            <w:r w:rsidRPr="00E4401D">
              <w:rPr>
                <w:rFonts w:ascii="Times New Roman" w:hAnsi="Times New Roman" w:cs="Times New Roman"/>
                <w:b/>
                <w:iCs/>
                <w:sz w:val="28"/>
                <w:szCs w:val="18"/>
                <w:lang w:val="es-ES"/>
              </w:rPr>
              <w:t xml:space="preserve">Parágrafo 3. </w:t>
            </w:r>
            <w:r w:rsidRPr="00E4401D">
              <w:rPr>
                <w:rFonts w:ascii="Times New Roman" w:hAnsi="Times New Roman" w:cs="Times New Roman"/>
                <w:iCs/>
                <w:sz w:val="28"/>
                <w:szCs w:val="18"/>
                <w:lang w:val="es-ES"/>
              </w:rPr>
              <w:t>El Fondo Nacional de Vivienda podrá estructurar y ejecutar proyectos y programas para el sector de agua y saneamiento básico, que permitan garantizar las condiciones de acceso y mínimo vital de la población.</w:t>
            </w:r>
          </w:p>
        </w:tc>
        <w:tc>
          <w:tcPr>
            <w:tcW w:w="3542" w:type="dxa"/>
          </w:tcPr>
          <w:p w:rsidR="007E5C33" w:rsidRPr="00E4401D" w:rsidRDefault="00E4401D" w:rsidP="00B1145B">
            <w:pPr>
              <w:spacing w:line="240" w:lineRule="auto"/>
              <w:jc w:val="both"/>
              <w:rPr>
                <w:rFonts w:ascii="Times New Roman" w:hAnsi="Times New Roman" w:cs="Times New Roman"/>
                <w:iCs/>
                <w:sz w:val="28"/>
                <w:szCs w:val="18"/>
                <w:lang w:val="es-ES"/>
              </w:rPr>
            </w:pPr>
            <w:r w:rsidRPr="00E4401D">
              <w:rPr>
                <w:rFonts w:ascii="Times New Roman" w:hAnsi="Times New Roman" w:cs="Times New Roman"/>
                <w:b/>
                <w:iCs/>
                <w:sz w:val="28"/>
                <w:szCs w:val="18"/>
                <w:lang w:val="es-ES"/>
              </w:rPr>
              <w:t>A</w:t>
            </w:r>
            <w:r w:rsidRPr="00E4401D">
              <w:rPr>
                <w:rFonts w:ascii="Times New Roman" w:hAnsi="Times New Roman" w:cs="Times New Roman"/>
                <w:b/>
                <w:iCs/>
                <w:sz w:val="28"/>
                <w:szCs w:val="18"/>
                <w:lang w:val="es-ES"/>
              </w:rPr>
              <w:t>rtículo</w:t>
            </w:r>
            <w:r w:rsidRPr="00E4401D">
              <w:rPr>
                <w:rFonts w:ascii="Times New Roman" w:hAnsi="Times New Roman" w:cs="Times New Roman"/>
                <w:b/>
                <w:iCs/>
                <w:sz w:val="28"/>
                <w:szCs w:val="18"/>
                <w:lang w:val="es-ES"/>
              </w:rPr>
              <w:t xml:space="preserve"> 267. </w:t>
            </w:r>
            <w:r w:rsidRPr="00E4401D">
              <w:rPr>
                <w:rFonts w:ascii="Times New Roman" w:hAnsi="Times New Roman" w:cs="Times New Roman"/>
                <w:iCs/>
                <w:sz w:val="28"/>
                <w:szCs w:val="18"/>
                <w:lang w:val="es-ES"/>
              </w:rPr>
              <w:t>Adiciónese el inc</w:t>
            </w:r>
            <w:r w:rsidRPr="00E4401D">
              <w:rPr>
                <w:rFonts w:ascii="Times New Roman" w:hAnsi="Times New Roman" w:cs="Times New Roman"/>
                <w:iCs/>
                <w:sz w:val="28"/>
                <w:szCs w:val="18"/>
                <w:lang w:val="es-ES"/>
              </w:rPr>
              <w:t xml:space="preserve">iso quinto </w:t>
            </w:r>
            <w:r w:rsidRPr="00E4401D">
              <w:rPr>
                <w:rFonts w:ascii="Times New Roman" w:hAnsi="Times New Roman" w:cs="Times New Roman"/>
                <w:iCs/>
                <w:sz w:val="28"/>
                <w:szCs w:val="18"/>
                <w:lang w:val="es-ES"/>
              </w:rPr>
              <w:t xml:space="preserve">y </w:t>
            </w:r>
            <w:r w:rsidRPr="00E4401D">
              <w:rPr>
                <w:rFonts w:ascii="Times New Roman" w:hAnsi="Times New Roman" w:cs="Times New Roman"/>
                <w:iCs/>
                <w:color w:val="FF0000"/>
                <w:sz w:val="28"/>
                <w:szCs w:val="18"/>
                <w:u w:val="single"/>
                <w:lang w:val="es-ES"/>
              </w:rPr>
              <w:t>tres</w:t>
            </w:r>
            <w:r w:rsidRPr="00E4401D">
              <w:rPr>
                <w:rFonts w:ascii="Times New Roman" w:hAnsi="Times New Roman" w:cs="Times New Roman"/>
                <w:iCs/>
                <w:color w:val="FF0000"/>
                <w:sz w:val="28"/>
                <w:szCs w:val="18"/>
                <w:u w:val="single"/>
                <w:lang w:val="es-ES"/>
              </w:rPr>
              <w:t xml:space="preserve"> </w:t>
            </w:r>
            <w:r w:rsidRPr="00E4401D">
              <w:rPr>
                <w:rFonts w:ascii="Times New Roman" w:hAnsi="Times New Roman" w:cs="Times New Roman"/>
                <w:iCs/>
                <w:sz w:val="28"/>
                <w:szCs w:val="18"/>
                <w:lang w:val="es-ES"/>
              </w:rPr>
              <w:t>parágrafos al artículo 4 de la Ley 2079 de 2021, así:</w:t>
            </w:r>
          </w:p>
          <w:p w:rsidR="007E5C33" w:rsidRPr="00E4401D" w:rsidRDefault="00E4401D" w:rsidP="00B1145B">
            <w:pPr>
              <w:spacing w:line="240" w:lineRule="auto"/>
              <w:jc w:val="both"/>
              <w:rPr>
                <w:rFonts w:ascii="Times New Roman" w:hAnsi="Times New Roman" w:cs="Times New Roman"/>
                <w:b/>
                <w:iCs/>
                <w:sz w:val="28"/>
                <w:szCs w:val="18"/>
                <w:lang w:val="es-ES"/>
              </w:rPr>
            </w:pPr>
          </w:p>
          <w:p w:rsidR="007E5C33" w:rsidRPr="00E4401D" w:rsidRDefault="00E4401D" w:rsidP="00B1145B">
            <w:pPr>
              <w:spacing w:line="240" w:lineRule="auto"/>
              <w:jc w:val="both"/>
              <w:rPr>
                <w:rFonts w:ascii="Times New Roman" w:hAnsi="Times New Roman" w:cs="Times New Roman"/>
                <w:b/>
                <w:iCs/>
                <w:sz w:val="28"/>
                <w:szCs w:val="18"/>
                <w:lang w:val="es-ES"/>
              </w:rPr>
            </w:pPr>
            <w:r w:rsidRPr="00E4401D">
              <w:rPr>
                <w:rFonts w:ascii="Times New Roman" w:hAnsi="Times New Roman" w:cs="Times New Roman"/>
                <w:b/>
                <w:iCs/>
                <w:sz w:val="28"/>
                <w:szCs w:val="18"/>
                <w:lang w:val="es-ES"/>
              </w:rPr>
              <w:t>A</w:t>
            </w:r>
            <w:r w:rsidRPr="00E4401D">
              <w:rPr>
                <w:rFonts w:ascii="Times New Roman" w:hAnsi="Times New Roman" w:cs="Times New Roman"/>
                <w:b/>
                <w:iCs/>
                <w:sz w:val="28"/>
                <w:szCs w:val="18"/>
                <w:lang w:val="es-ES"/>
              </w:rPr>
              <w:t>rtículo</w:t>
            </w:r>
            <w:r w:rsidRPr="00E4401D">
              <w:rPr>
                <w:rFonts w:ascii="Times New Roman" w:hAnsi="Times New Roman" w:cs="Times New Roman"/>
                <w:b/>
                <w:iCs/>
                <w:sz w:val="28"/>
                <w:szCs w:val="18"/>
                <w:lang w:val="es-ES"/>
              </w:rPr>
              <w:t xml:space="preserve"> 4. P</w:t>
            </w:r>
            <w:r w:rsidRPr="00E4401D">
              <w:rPr>
                <w:rFonts w:ascii="Times New Roman" w:hAnsi="Times New Roman" w:cs="Times New Roman"/>
                <w:b/>
                <w:iCs/>
                <w:sz w:val="28"/>
                <w:szCs w:val="18"/>
                <w:lang w:val="es-ES"/>
              </w:rPr>
              <w:t>olítica de estado de vivienda y hábitat</w:t>
            </w:r>
            <w:r w:rsidRPr="00E4401D">
              <w:rPr>
                <w:rFonts w:ascii="Times New Roman" w:hAnsi="Times New Roman" w:cs="Times New Roman"/>
                <w:b/>
                <w:iCs/>
                <w:sz w:val="28"/>
                <w:szCs w:val="18"/>
                <w:lang w:val="es-ES"/>
              </w:rPr>
              <w:t>.</w:t>
            </w:r>
          </w:p>
          <w:p w:rsidR="007E5C33" w:rsidRPr="00E4401D" w:rsidRDefault="00E4401D" w:rsidP="00B1145B">
            <w:pPr>
              <w:spacing w:line="240" w:lineRule="auto"/>
              <w:jc w:val="both"/>
              <w:rPr>
                <w:rFonts w:ascii="Times New Roman" w:hAnsi="Times New Roman" w:cs="Times New Roman"/>
                <w:b/>
                <w:iCs/>
                <w:sz w:val="28"/>
                <w:szCs w:val="18"/>
                <w:lang w:val="es-ES"/>
              </w:rPr>
            </w:pPr>
          </w:p>
          <w:p w:rsidR="007E5C33" w:rsidRPr="00E4401D" w:rsidRDefault="00E4401D" w:rsidP="00B1145B">
            <w:pPr>
              <w:spacing w:line="240" w:lineRule="auto"/>
              <w:jc w:val="both"/>
              <w:rPr>
                <w:rFonts w:ascii="Times New Roman" w:hAnsi="Times New Roman" w:cs="Times New Roman"/>
                <w:iCs/>
                <w:sz w:val="28"/>
                <w:szCs w:val="18"/>
                <w:lang w:val="es-ES"/>
              </w:rPr>
            </w:pPr>
            <w:r w:rsidRPr="00E4401D">
              <w:rPr>
                <w:rFonts w:ascii="Times New Roman" w:hAnsi="Times New Roman" w:cs="Times New Roman"/>
                <w:iCs/>
                <w:sz w:val="28"/>
                <w:szCs w:val="18"/>
                <w:lang w:val="es-ES"/>
              </w:rPr>
              <w:t>(…)</w:t>
            </w:r>
          </w:p>
          <w:p w:rsidR="007E5C33" w:rsidRPr="00E4401D" w:rsidRDefault="00E4401D" w:rsidP="00B1145B">
            <w:pPr>
              <w:spacing w:line="240" w:lineRule="auto"/>
              <w:jc w:val="both"/>
              <w:rPr>
                <w:rFonts w:ascii="Times New Roman" w:hAnsi="Times New Roman" w:cs="Times New Roman"/>
                <w:b/>
                <w:iCs/>
                <w:sz w:val="28"/>
                <w:szCs w:val="18"/>
                <w:lang w:val="es-ES"/>
              </w:rPr>
            </w:pPr>
          </w:p>
          <w:p w:rsidR="007E5C33" w:rsidRPr="00E4401D" w:rsidRDefault="00E4401D" w:rsidP="00B1145B">
            <w:pPr>
              <w:spacing w:line="240" w:lineRule="auto"/>
              <w:jc w:val="both"/>
              <w:rPr>
                <w:rFonts w:ascii="Times New Roman" w:hAnsi="Times New Roman" w:cs="Times New Roman"/>
                <w:iCs/>
                <w:sz w:val="28"/>
                <w:szCs w:val="18"/>
                <w:lang w:val="es-ES"/>
              </w:rPr>
            </w:pPr>
            <w:r w:rsidRPr="00E4401D">
              <w:rPr>
                <w:rFonts w:ascii="Times New Roman" w:hAnsi="Times New Roman" w:cs="Times New Roman"/>
                <w:iCs/>
                <w:sz w:val="28"/>
                <w:szCs w:val="18"/>
                <w:lang w:val="es-ES"/>
              </w:rPr>
              <w:t xml:space="preserve">La política de vivienda y hábitat, a cargo del Gobierno nacional, incluirá un enfoque diferencial que reconozca las </w:t>
            </w:r>
            <w:r w:rsidRPr="00E4401D">
              <w:rPr>
                <w:rFonts w:ascii="Times New Roman" w:hAnsi="Times New Roman" w:cs="Times New Roman"/>
                <w:iCs/>
                <w:sz w:val="28"/>
                <w:szCs w:val="18"/>
                <w:lang w:val="es-ES"/>
              </w:rPr>
              <w:t xml:space="preserve">condiciones socio económicas y culturales de los pueblos indígenas, de las comunidades negras, afrocolombianas, raizales, palenqueras, campesinas y de grupos poblacionales específicos, especialmente de la población víctima del conflicto armado, incluyendo </w:t>
            </w:r>
            <w:r w:rsidRPr="00E4401D">
              <w:rPr>
                <w:rFonts w:ascii="Times New Roman" w:hAnsi="Times New Roman" w:cs="Times New Roman"/>
                <w:iCs/>
                <w:sz w:val="28"/>
                <w:szCs w:val="18"/>
                <w:lang w:val="es-ES"/>
              </w:rPr>
              <w:t>para esta última, el diseño de estrategias encaminadas a superar las barreras para la utilización de subsidios no aplicados en vigencias anteriores.</w:t>
            </w:r>
          </w:p>
          <w:p w:rsidR="007E5C33" w:rsidRPr="00E4401D" w:rsidRDefault="00E4401D" w:rsidP="00B1145B">
            <w:pPr>
              <w:spacing w:line="240" w:lineRule="auto"/>
              <w:jc w:val="both"/>
              <w:rPr>
                <w:rFonts w:ascii="Times New Roman" w:hAnsi="Times New Roman" w:cs="Times New Roman"/>
                <w:b/>
                <w:iCs/>
                <w:sz w:val="28"/>
                <w:szCs w:val="18"/>
                <w:lang w:val="es-ES"/>
              </w:rPr>
            </w:pPr>
          </w:p>
          <w:p w:rsidR="007E5C33" w:rsidRPr="00E4401D" w:rsidRDefault="00E4401D" w:rsidP="00B1145B">
            <w:pPr>
              <w:spacing w:line="240" w:lineRule="auto"/>
              <w:jc w:val="both"/>
              <w:rPr>
                <w:rFonts w:ascii="Times New Roman" w:hAnsi="Times New Roman" w:cs="Times New Roman"/>
                <w:iCs/>
                <w:sz w:val="28"/>
                <w:szCs w:val="18"/>
                <w:lang w:val="es-ES"/>
              </w:rPr>
            </w:pPr>
            <w:r w:rsidRPr="00E4401D">
              <w:rPr>
                <w:rFonts w:ascii="Times New Roman" w:hAnsi="Times New Roman" w:cs="Times New Roman"/>
                <w:b/>
                <w:iCs/>
                <w:sz w:val="28"/>
                <w:szCs w:val="18"/>
                <w:lang w:val="es-ES"/>
              </w:rPr>
              <w:t xml:space="preserve">Parágrafo 1. </w:t>
            </w:r>
            <w:r w:rsidRPr="00E4401D">
              <w:rPr>
                <w:rFonts w:ascii="Times New Roman" w:hAnsi="Times New Roman" w:cs="Times New Roman"/>
                <w:iCs/>
                <w:sz w:val="28"/>
                <w:szCs w:val="18"/>
                <w:lang w:val="es-ES"/>
              </w:rPr>
              <w:t>Para todos los efectos legales, se entiende que los negocios jurídicos celebrados por los pat</w:t>
            </w:r>
            <w:r w:rsidRPr="00E4401D">
              <w:rPr>
                <w:rFonts w:ascii="Times New Roman" w:hAnsi="Times New Roman" w:cs="Times New Roman"/>
                <w:iCs/>
                <w:sz w:val="28"/>
                <w:szCs w:val="18"/>
                <w:lang w:val="es-ES"/>
              </w:rPr>
              <w:t>rimonios autónomos constituidos por FONVIVIENDA, para efectos de la ejecución de los subsidios familiares de vivienda otorgados por el Gobierno nacional en el marco de la política de vivienda y hábitat urbana y rural, son de naturaleza jurídica privada.</w:t>
            </w:r>
          </w:p>
          <w:p w:rsidR="007E5C33" w:rsidRPr="00E4401D" w:rsidRDefault="00E4401D" w:rsidP="00B1145B">
            <w:pPr>
              <w:spacing w:line="240" w:lineRule="auto"/>
              <w:jc w:val="both"/>
              <w:rPr>
                <w:rFonts w:ascii="Times New Roman" w:hAnsi="Times New Roman" w:cs="Times New Roman"/>
                <w:b/>
                <w:iCs/>
                <w:sz w:val="28"/>
                <w:szCs w:val="18"/>
                <w:lang w:val="es-ES"/>
              </w:rPr>
            </w:pPr>
          </w:p>
          <w:p w:rsidR="007E5C33" w:rsidRPr="00E4401D" w:rsidRDefault="00E4401D" w:rsidP="00B1145B">
            <w:pPr>
              <w:spacing w:line="240" w:lineRule="auto"/>
              <w:jc w:val="both"/>
              <w:rPr>
                <w:rFonts w:ascii="Times New Roman" w:hAnsi="Times New Roman" w:cs="Times New Roman"/>
                <w:iCs/>
                <w:sz w:val="28"/>
                <w:szCs w:val="18"/>
                <w:lang w:val="es-ES"/>
              </w:rPr>
            </w:pPr>
            <w:r w:rsidRPr="00E4401D">
              <w:rPr>
                <w:rFonts w:ascii="Times New Roman" w:hAnsi="Times New Roman" w:cs="Times New Roman"/>
                <w:b/>
                <w:iCs/>
                <w:sz w:val="28"/>
                <w:szCs w:val="18"/>
                <w:lang w:val="es-ES"/>
              </w:rPr>
              <w:t>P</w:t>
            </w:r>
            <w:r w:rsidRPr="00E4401D">
              <w:rPr>
                <w:rFonts w:ascii="Times New Roman" w:hAnsi="Times New Roman" w:cs="Times New Roman"/>
                <w:b/>
                <w:iCs/>
                <w:sz w:val="28"/>
                <w:szCs w:val="18"/>
                <w:lang w:val="es-ES"/>
              </w:rPr>
              <w:t xml:space="preserve">arágrafo 2. </w:t>
            </w:r>
            <w:r w:rsidRPr="00E4401D">
              <w:rPr>
                <w:rFonts w:ascii="Times New Roman" w:hAnsi="Times New Roman" w:cs="Times New Roman"/>
                <w:iCs/>
                <w:sz w:val="28"/>
                <w:szCs w:val="18"/>
                <w:lang w:val="es-ES"/>
              </w:rPr>
              <w:t>Con el fin de generar cohesión y artículos en la ejecución de la política de vivienda y hábitat, el Fondo Nacional de Vivienda “Fonvivienda”, tendrá como objetivos consolidar el Sistema Nacional de Información de Vivienda y ejecutar las polític</w:t>
            </w:r>
            <w:r w:rsidRPr="00E4401D">
              <w:rPr>
                <w:rFonts w:ascii="Times New Roman" w:hAnsi="Times New Roman" w:cs="Times New Roman"/>
                <w:iCs/>
                <w:sz w:val="28"/>
                <w:szCs w:val="18"/>
                <w:lang w:val="es-ES"/>
              </w:rPr>
              <w:t>as del Gobierno nacional en materia de vivienda de interés social, agua y saneamiento básico, en particular aquellas orientadas a la descentralización territorial   de   la   inversión   de   los   recursos</w:t>
            </w:r>
            <w:r w:rsidRPr="00E4401D">
              <w:rPr>
                <w:rFonts w:ascii="Times New Roman" w:hAnsi="Times New Roman" w:cs="Times New Roman"/>
                <w:iCs/>
                <w:sz w:val="28"/>
                <w:szCs w:val="18"/>
                <w:lang w:val="es-ES"/>
              </w:rPr>
              <w:t xml:space="preserve"> </w:t>
            </w:r>
            <w:r w:rsidRPr="00E4401D">
              <w:rPr>
                <w:rFonts w:ascii="Times New Roman" w:hAnsi="Times New Roman" w:cs="Times New Roman"/>
                <w:iCs/>
                <w:sz w:val="28"/>
                <w:szCs w:val="18"/>
                <w:lang w:val="es-ES"/>
              </w:rPr>
              <w:t>destinados a estas actividades, administrando: lo</w:t>
            </w:r>
            <w:r w:rsidRPr="00E4401D">
              <w:rPr>
                <w:rFonts w:ascii="Times New Roman" w:hAnsi="Times New Roman" w:cs="Times New Roman"/>
                <w:iCs/>
                <w:sz w:val="28"/>
                <w:szCs w:val="18"/>
                <w:lang w:val="es-ES"/>
              </w:rPr>
              <w:t>s   recursos   asignados   en   el   Presupuesto General de la Nación en inversión para vivienda</w:t>
            </w:r>
            <w:r w:rsidRPr="00E4401D">
              <w:rPr>
                <w:rFonts w:ascii="Times New Roman" w:hAnsi="Times New Roman" w:cs="Times New Roman"/>
                <w:iCs/>
                <w:sz w:val="28"/>
                <w:szCs w:val="18"/>
                <w:lang w:val="es-ES"/>
              </w:rPr>
              <w:t xml:space="preserve"> </w:t>
            </w:r>
            <w:r w:rsidRPr="00E4401D">
              <w:rPr>
                <w:rFonts w:ascii="Times New Roman" w:hAnsi="Times New Roman" w:cs="Times New Roman"/>
                <w:iCs/>
                <w:sz w:val="28"/>
                <w:szCs w:val="18"/>
                <w:lang w:val="es-ES"/>
              </w:rPr>
              <w:t>de interés social, agua y saneamiento básico; los recursos que se apropien para la formulación, organización,</w:t>
            </w:r>
            <w:r w:rsidRPr="00E4401D">
              <w:rPr>
                <w:rFonts w:ascii="Times New Roman" w:hAnsi="Times New Roman" w:cs="Times New Roman"/>
                <w:iCs/>
                <w:sz w:val="28"/>
                <w:szCs w:val="18"/>
                <w:lang w:val="es-ES"/>
              </w:rPr>
              <w:t xml:space="preserve"> </w:t>
            </w:r>
            <w:r w:rsidRPr="00E4401D">
              <w:rPr>
                <w:rFonts w:ascii="Times New Roman" w:hAnsi="Times New Roman" w:cs="Times New Roman"/>
                <w:iCs/>
                <w:sz w:val="28"/>
                <w:szCs w:val="18"/>
                <w:lang w:val="es-ES"/>
              </w:rPr>
              <w:t>promoción,</w:t>
            </w:r>
            <w:r w:rsidRPr="00E4401D">
              <w:rPr>
                <w:rFonts w:ascii="Times New Roman" w:hAnsi="Times New Roman" w:cs="Times New Roman"/>
                <w:iCs/>
                <w:sz w:val="28"/>
                <w:szCs w:val="18"/>
                <w:lang w:val="es-ES"/>
              </w:rPr>
              <w:t xml:space="preserve"> </w:t>
            </w:r>
            <w:r w:rsidRPr="00E4401D">
              <w:rPr>
                <w:rFonts w:ascii="Times New Roman" w:hAnsi="Times New Roman" w:cs="Times New Roman"/>
                <w:iCs/>
                <w:sz w:val="28"/>
                <w:szCs w:val="18"/>
                <w:lang w:val="es-ES"/>
              </w:rPr>
              <w:t xml:space="preserve">desarrollo, </w:t>
            </w:r>
            <w:r w:rsidRPr="00E4401D">
              <w:rPr>
                <w:rFonts w:ascii="Times New Roman" w:hAnsi="Times New Roman" w:cs="Times New Roman"/>
                <w:iCs/>
                <w:sz w:val="28"/>
                <w:szCs w:val="18"/>
                <w:lang w:val="es-ES"/>
              </w:rPr>
              <w:t xml:space="preserve">   </w:t>
            </w:r>
            <w:r w:rsidRPr="00E4401D">
              <w:rPr>
                <w:rFonts w:ascii="Times New Roman" w:hAnsi="Times New Roman" w:cs="Times New Roman"/>
                <w:iCs/>
                <w:sz w:val="28"/>
                <w:szCs w:val="18"/>
                <w:lang w:val="es-ES"/>
              </w:rPr>
              <w:t xml:space="preserve">mantenimiento y consolidación del Sistema Nacional de Información de Vivienda y en general los bienes y de que trata </w:t>
            </w:r>
            <w:r w:rsidRPr="00E4401D">
              <w:rPr>
                <w:rFonts w:ascii="Times New Roman" w:hAnsi="Times New Roman" w:cs="Times New Roman"/>
                <w:iCs/>
                <w:color w:val="FF0000"/>
                <w:sz w:val="28"/>
                <w:szCs w:val="18"/>
                <w:u w:val="single"/>
                <w:lang w:val="es-ES"/>
              </w:rPr>
              <w:t>la</w:t>
            </w:r>
            <w:r w:rsidRPr="00E4401D">
              <w:rPr>
                <w:rFonts w:ascii="Times New Roman" w:hAnsi="Times New Roman" w:cs="Times New Roman"/>
                <w:iCs/>
                <w:sz w:val="28"/>
                <w:szCs w:val="18"/>
                <w:lang w:val="es-ES"/>
              </w:rPr>
              <w:t xml:space="preserve"> presente </w:t>
            </w:r>
            <w:r w:rsidRPr="00E4401D">
              <w:rPr>
                <w:rFonts w:ascii="Times New Roman" w:hAnsi="Times New Roman" w:cs="Times New Roman"/>
                <w:iCs/>
                <w:color w:val="FF0000"/>
                <w:sz w:val="28"/>
                <w:szCs w:val="18"/>
                <w:u w:val="single"/>
                <w:lang w:val="es-ES"/>
              </w:rPr>
              <w:t>ley</w:t>
            </w:r>
            <w:r w:rsidRPr="00E4401D">
              <w:rPr>
                <w:rFonts w:ascii="Times New Roman" w:hAnsi="Times New Roman" w:cs="Times New Roman"/>
                <w:iCs/>
                <w:sz w:val="28"/>
                <w:szCs w:val="18"/>
                <w:lang w:val="es-ES"/>
              </w:rPr>
              <w:t xml:space="preserve"> para lo cual podrá</w:t>
            </w:r>
            <w:r w:rsidRPr="00E4401D">
              <w:rPr>
                <w:rFonts w:ascii="Times New Roman" w:hAnsi="Times New Roman" w:cs="Times New Roman"/>
                <w:iCs/>
                <w:sz w:val="28"/>
                <w:szCs w:val="18"/>
                <w:lang w:val="es-ES"/>
              </w:rPr>
              <w:t xml:space="preserve"> </w:t>
            </w:r>
            <w:r w:rsidRPr="00E4401D">
              <w:rPr>
                <w:rFonts w:ascii="Times New Roman" w:hAnsi="Times New Roman" w:cs="Times New Roman"/>
                <w:iCs/>
                <w:sz w:val="28"/>
                <w:szCs w:val="18"/>
                <w:lang w:val="es-ES"/>
              </w:rPr>
              <w:t>constituir patrimonios autónomos a través de la suscripción de contratos de fiducia mercantil.</w:t>
            </w:r>
          </w:p>
          <w:p w:rsidR="007E5C33" w:rsidRPr="00E4401D" w:rsidRDefault="00E4401D" w:rsidP="00B1145B">
            <w:pPr>
              <w:spacing w:line="240" w:lineRule="auto"/>
              <w:jc w:val="both"/>
              <w:rPr>
                <w:rFonts w:ascii="Times New Roman" w:hAnsi="Times New Roman" w:cs="Times New Roman"/>
                <w:b/>
                <w:iCs/>
                <w:sz w:val="28"/>
                <w:szCs w:val="18"/>
                <w:lang w:val="es-ES"/>
              </w:rPr>
            </w:pPr>
          </w:p>
          <w:p w:rsidR="002C37D0" w:rsidRPr="00E4401D" w:rsidRDefault="00E4401D" w:rsidP="00B1145B">
            <w:pPr>
              <w:spacing w:line="240" w:lineRule="auto"/>
              <w:jc w:val="both"/>
              <w:rPr>
                <w:rFonts w:ascii="Times New Roman" w:hAnsi="Times New Roman" w:cs="Times New Roman"/>
                <w:iCs/>
                <w:color w:val="000000" w:themeColor="text1"/>
                <w:sz w:val="28"/>
                <w:szCs w:val="18"/>
                <w:lang w:val="es-MX"/>
              </w:rPr>
            </w:pPr>
            <w:r w:rsidRPr="00E4401D">
              <w:rPr>
                <w:rFonts w:ascii="Times New Roman" w:hAnsi="Times New Roman" w:cs="Times New Roman"/>
                <w:b/>
                <w:iCs/>
                <w:sz w:val="28"/>
                <w:szCs w:val="18"/>
                <w:lang w:val="es-ES"/>
              </w:rPr>
              <w:t>Parágraf</w:t>
            </w:r>
            <w:r w:rsidRPr="00E4401D">
              <w:rPr>
                <w:rFonts w:ascii="Times New Roman" w:hAnsi="Times New Roman" w:cs="Times New Roman"/>
                <w:b/>
                <w:iCs/>
                <w:sz w:val="28"/>
                <w:szCs w:val="18"/>
                <w:lang w:val="es-ES"/>
              </w:rPr>
              <w:t xml:space="preserve">o 3. </w:t>
            </w:r>
            <w:r w:rsidRPr="00E4401D">
              <w:rPr>
                <w:rFonts w:ascii="Times New Roman" w:hAnsi="Times New Roman" w:cs="Times New Roman"/>
                <w:iCs/>
                <w:sz w:val="28"/>
                <w:szCs w:val="18"/>
                <w:lang w:val="es-ES"/>
              </w:rPr>
              <w:t>El Fondo Nacional de Vivienda podrá estructurar y ejecutar proyectos y programas para el sector de agua y saneamiento básico, que permitan garantizar las condiciones de acceso y mínimo vital de la población.</w:t>
            </w:r>
          </w:p>
        </w:tc>
        <w:tc>
          <w:tcPr>
            <w:tcW w:w="1134" w:type="dxa"/>
          </w:tcPr>
          <w:p w:rsidR="002C37D0" w:rsidRPr="00E4401D" w:rsidRDefault="00E4401D" w:rsidP="000D3502">
            <w:pPr>
              <w:spacing w:line="240" w:lineRule="auto"/>
              <w:jc w:val="center"/>
              <w:rPr>
                <w:rFonts w:ascii="Times New Roman" w:hAnsi="Times New Roman" w:cs="Times New Roman"/>
                <w:iCs/>
                <w:color w:val="000000" w:themeColor="text1"/>
                <w:sz w:val="28"/>
                <w:szCs w:val="18"/>
                <w:lang w:val="es-MX"/>
              </w:rPr>
            </w:pPr>
            <w:r w:rsidRPr="00E4401D">
              <w:rPr>
                <w:rFonts w:ascii="Times New Roman" w:hAnsi="Times New Roman" w:cs="Times New Roman"/>
                <w:iCs/>
                <w:sz w:val="28"/>
                <w:szCs w:val="18"/>
                <w:lang w:val="es-ES"/>
              </w:rPr>
              <w:t>Se acoge texto de</w:t>
            </w:r>
            <w:r w:rsidRPr="00E4401D">
              <w:rPr>
                <w:rFonts w:ascii="Times New Roman" w:hAnsi="Times New Roman" w:cs="Times New Roman"/>
                <w:iCs/>
                <w:sz w:val="28"/>
                <w:szCs w:val="18"/>
                <w:lang w:val="es-ES"/>
              </w:rPr>
              <w:t xml:space="preserve">l </w:t>
            </w:r>
            <w:r w:rsidRPr="00E4401D">
              <w:rPr>
                <w:rFonts w:ascii="Times New Roman" w:hAnsi="Times New Roman" w:cs="Times New Roman"/>
                <w:iCs/>
                <w:sz w:val="28"/>
                <w:szCs w:val="18"/>
                <w:lang w:val="es-ES"/>
              </w:rPr>
              <w:t>Senado</w:t>
            </w:r>
          </w:p>
        </w:tc>
        <w:tc>
          <w:tcPr>
            <w:tcW w:w="1134" w:type="dxa"/>
          </w:tcPr>
          <w:p w:rsidR="002C37D0" w:rsidRPr="00E4401D" w:rsidRDefault="00E4401D" w:rsidP="000D3502">
            <w:pPr>
              <w:spacing w:line="240" w:lineRule="auto"/>
              <w:jc w:val="center"/>
              <w:rPr>
                <w:rFonts w:ascii="Times New Roman" w:hAnsi="Times New Roman" w:cs="Times New Roman"/>
                <w:iCs/>
                <w:color w:val="000000" w:themeColor="text1"/>
                <w:sz w:val="28"/>
                <w:szCs w:val="18"/>
                <w:lang w:val="es-MX"/>
              </w:rPr>
            </w:pPr>
            <w:r w:rsidRPr="00E4401D">
              <w:rPr>
                <w:rFonts w:ascii="Times New Roman" w:hAnsi="Times New Roman" w:cs="Times New Roman"/>
                <w:iCs/>
                <w:sz w:val="28"/>
                <w:szCs w:val="18"/>
                <w:lang w:val="es-ES"/>
              </w:rPr>
              <w:t>Artículo 297</w:t>
            </w:r>
          </w:p>
        </w:tc>
      </w:tr>
    </w:tbl>
    <w:p w:rsidR="002C37D0" w:rsidRPr="00E4401D" w:rsidRDefault="00E4401D" w:rsidP="001B6D10">
      <w:pPr>
        <w:spacing w:after="0" w:line="240" w:lineRule="auto"/>
        <w:jc w:val="both"/>
        <w:rPr>
          <w:rFonts w:ascii="Times New Roman" w:hAnsi="Times New Roman" w:cs="Times New Roman"/>
          <w:color w:val="000000" w:themeColor="text1"/>
          <w:sz w:val="28"/>
          <w:szCs w:val="28"/>
          <w:lang w:val="es-MX"/>
        </w:rPr>
      </w:pPr>
    </w:p>
    <w:p w:rsidR="00B1145B" w:rsidRPr="00E4401D" w:rsidRDefault="00E4401D" w:rsidP="001B6D10">
      <w:pPr>
        <w:spacing w:after="0" w:line="240" w:lineRule="auto"/>
        <w:jc w:val="both"/>
        <w:rPr>
          <w:rFonts w:ascii="Times New Roman" w:hAnsi="Times New Roman" w:cs="Times New Roman"/>
          <w:color w:val="000000" w:themeColor="text1"/>
          <w:sz w:val="28"/>
          <w:szCs w:val="28"/>
          <w:lang w:val="es-ES"/>
        </w:rPr>
      </w:pPr>
      <w:r w:rsidRPr="00E4401D">
        <w:rPr>
          <w:rFonts w:ascii="Times New Roman" w:hAnsi="Times New Roman" w:cs="Times New Roman"/>
          <w:color w:val="000000" w:themeColor="text1"/>
          <w:sz w:val="28"/>
          <w:szCs w:val="28"/>
          <w:lang w:val="es-ES"/>
        </w:rPr>
        <w:t xml:space="preserve">En el caso del artículo 289, lo demandado en </w:t>
      </w:r>
      <w:r w:rsidRPr="00E4401D">
        <w:rPr>
          <w:rFonts w:ascii="Times New Roman" w:hAnsi="Times New Roman" w:cs="Times New Roman"/>
          <w:color w:val="000000" w:themeColor="text1"/>
          <w:sz w:val="28"/>
          <w:szCs w:val="28"/>
          <w:lang w:val="es-ES"/>
        </w:rPr>
        <w:t xml:space="preserve">este </w:t>
      </w:r>
      <w:r w:rsidRPr="00E4401D">
        <w:rPr>
          <w:rFonts w:ascii="Times New Roman" w:hAnsi="Times New Roman" w:cs="Times New Roman"/>
          <w:color w:val="000000" w:themeColor="text1"/>
          <w:sz w:val="28"/>
          <w:szCs w:val="28"/>
          <w:lang w:val="es-ES"/>
        </w:rPr>
        <w:t xml:space="preserve">proceso corresponde </w:t>
      </w:r>
      <w:r w:rsidRPr="00E4401D">
        <w:rPr>
          <w:rFonts w:ascii="Times New Roman" w:hAnsi="Times New Roman" w:cs="Times New Roman"/>
          <w:b/>
          <w:i/>
          <w:iCs/>
          <w:color w:val="000000" w:themeColor="text1"/>
          <w:sz w:val="28"/>
          <w:szCs w:val="28"/>
          <w:lang w:val="es-ES"/>
        </w:rPr>
        <w:t>exactamente</w:t>
      </w:r>
      <w:r w:rsidRPr="00E4401D">
        <w:rPr>
          <w:rFonts w:ascii="Times New Roman" w:hAnsi="Times New Roman" w:cs="Times New Roman"/>
          <w:i/>
          <w:iCs/>
          <w:color w:val="000000" w:themeColor="text1"/>
          <w:sz w:val="28"/>
          <w:szCs w:val="28"/>
          <w:lang w:val="es-ES"/>
        </w:rPr>
        <w:t xml:space="preserve"> </w:t>
      </w:r>
      <w:r w:rsidRPr="00E4401D">
        <w:rPr>
          <w:rFonts w:ascii="Times New Roman" w:hAnsi="Times New Roman" w:cs="Times New Roman"/>
          <w:color w:val="000000" w:themeColor="text1"/>
          <w:sz w:val="28"/>
          <w:szCs w:val="28"/>
          <w:lang w:val="es-ES"/>
        </w:rPr>
        <w:t xml:space="preserve">con aquello que fue añadido en el Senado y que debía ser objeto de conciliación; mientras que, en el caso del artículo 297, se ordenó su conciliación solo porque uno refería </w:t>
      </w:r>
      <w:r w:rsidRPr="00E4401D">
        <w:rPr>
          <w:rFonts w:ascii="Times New Roman" w:hAnsi="Times New Roman" w:cs="Times New Roman"/>
          <w:color w:val="000000" w:themeColor="text1"/>
          <w:sz w:val="28"/>
          <w:szCs w:val="28"/>
          <w:lang w:val="es-ES"/>
        </w:rPr>
        <w:t>a la “</w:t>
      </w:r>
      <w:r w:rsidRPr="00E4401D">
        <w:rPr>
          <w:rFonts w:ascii="Times New Roman" w:hAnsi="Times New Roman" w:cs="Times New Roman"/>
          <w:i/>
          <w:color w:val="000000" w:themeColor="text1"/>
          <w:sz w:val="28"/>
          <w:szCs w:val="28"/>
          <w:lang w:val="es-ES"/>
        </w:rPr>
        <w:t>ley</w:t>
      </w:r>
      <w:r w:rsidRPr="00E4401D">
        <w:rPr>
          <w:rFonts w:ascii="Times New Roman" w:hAnsi="Times New Roman" w:cs="Times New Roman"/>
          <w:color w:val="000000" w:themeColor="text1"/>
          <w:sz w:val="28"/>
          <w:szCs w:val="28"/>
          <w:lang w:val="es-ES"/>
        </w:rPr>
        <w:t>” y otro al “</w:t>
      </w:r>
      <w:r w:rsidRPr="00E4401D">
        <w:rPr>
          <w:rFonts w:ascii="Times New Roman" w:hAnsi="Times New Roman" w:cs="Times New Roman"/>
          <w:i/>
          <w:color w:val="000000" w:themeColor="text1"/>
          <w:sz w:val="28"/>
          <w:szCs w:val="28"/>
          <w:lang w:val="es-ES"/>
        </w:rPr>
        <w:t>decreto”</w:t>
      </w:r>
      <w:r w:rsidRPr="00E4401D">
        <w:rPr>
          <w:rFonts w:ascii="Times New Roman" w:hAnsi="Times New Roman" w:cs="Times New Roman"/>
          <w:color w:val="000000" w:themeColor="text1"/>
          <w:sz w:val="28"/>
          <w:szCs w:val="28"/>
          <w:lang w:val="es-ES"/>
        </w:rPr>
        <w:t xml:space="preserve"> en el parágrafo 2, pero los textos del resto de esa norma eran iguales entre ambas cámaras.</w:t>
      </w:r>
    </w:p>
    <w:p w:rsidR="00B1145B" w:rsidRPr="00E4401D" w:rsidRDefault="00E4401D" w:rsidP="001B6D10">
      <w:pPr>
        <w:spacing w:after="0" w:line="240" w:lineRule="auto"/>
        <w:jc w:val="both"/>
        <w:rPr>
          <w:rFonts w:ascii="Times New Roman" w:hAnsi="Times New Roman" w:cs="Times New Roman"/>
          <w:color w:val="000000" w:themeColor="text1"/>
          <w:sz w:val="28"/>
          <w:szCs w:val="28"/>
          <w:lang w:val="es-ES"/>
        </w:rPr>
      </w:pPr>
    </w:p>
    <w:p w:rsidR="00D05732" w:rsidRPr="00E4401D" w:rsidRDefault="00E4401D" w:rsidP="001B6D10">
      <w:pPr>
        <w:spacing w:after="0" w:line="240" w:lineRule="auto"/>
        <w:jc w:val="both"/>
        <w:rPr>
          <w:rFonts w:ascii="Times New Roman" w:hAnsi="Times New Roman" w:cs="Times New Roman"/>
          <w:color w:val="000000" w:themeColor="text1"/>
          <w:sz w:val="28"/>
          <w:szCs w:val="28"/>
          <w:lang w:val="es-MX"/>
        </w:rPr>
      </w:pPr>
      <w:r w:rsidRPr="00E4401D">
        <w:rPr>
          <w:rFonts w:ascii="Times New Roman" w:hAnsi="Times New Roman" w:cs="Times New Roman"/>
          <w:color w:val="000000" w:themeColor="text1"/>
          <w:sz w:val="28"/>
          <w:szCs w:val="28"/>
          <w:lang w:val="es-MX"/>
        </w:rPr>
        <w:t>Ahora bien, el artículo 161 de la Constitución Política señala que, una vez la comisión de conciliación procura un texto único en el</w:t>
      </w:r>
      <w:r w:rsidRPr="00E4401D">
        <w:rPr>
          <w:rFonts w:ascii="Times New Roman" w:hAnsi="Times New Roman" w:cs="Times New Roman"/>
          <w:color w:val="000000" w:themeColor="text1"/>
          <w:sz w:val="28"/>
          <w:szCs w:val="28"/>
          <w:lang w:val="es-MX"/>
        </w:rPr>
        <w:t xml:space="preserve"> que se superan las divergencias, el mismo “</w:t>
      </w:r>
      <w:r w:rsidRPr="00E4401D">
        <w:rPr>
          <w:rFonts w:ascii="Times New Roman" w:hAnsi="Times New Roman" w:cs="Times New Roman"/>
          <w:i/>
          <w:color w:val="000000" w:themeColor="text1"/>
          <w:sz w:val="28"/>
          <w:szCs w:val="28"/>
          <w:lang w:val="es-MX"/>
        </w:rPr>
        <w:t xml:space="preserve">se someterá a debate y aprobación de las respectivas </w:t>
      </w:r>
      <w:r w:rsidRPr="00E4401D">
        <w:rPr>
          <w:rFonts w:ascii="Times New Roman" w:hAnsi="Times New Roman" w:cs="Times New Roman"/>
          <w:b/>
          <w:i/>
          <w:color w:val="000000" w:themeColor="text1"/>
          <w:sz w:val="28"/>
          <w:szCs w:val="28"/>
          <w:lang w:val="es-MX"/>
        </w:rPr>
        <w:t>plenarias</w:t>
      </w:r>
      <w:r w:rsidRPr="00E4401D">
        <w:rPr>
          <w:rFonts w:ascii="Times New Roman" w:hAnsi="Times New Roman" w:cs="Times New Roman"/>
          <w:color w:val="000000" w:themeColor="text1"/>
          <w:sz w:val="28"/>
          <w:szCs w:val="28"/>
          <w:lang w:val="es-MX"/>
        </w:rPr>
        <w:t>”, pues lo que se busca es “</w:t>
      </w:r>
      <w:r w:rsidRPr="00E4401D">
        <w:rPr>
          <w:rFonts w:ascii="Times New Roman" w:hAnsi="Times New Roman" w:cs="Times New Roman"/>
          <w:i/>
          <w:color w:val="000000" w:themeColor="text1"/>
          <w:sz w:val="28"/>
          <w:szCs w:val="28"/>
          <w:lang w:val="es-MX"/>
        </w:rPr>
        <w:t xml:space="preserve">la repetición del </w:t>
      </w:r>
      <w:r w:rsidRPr="00E4401D">
        <w:rPr>
          <w:rFonts w:ascii="Times New Roman" w:hAnsi="Times New Roman" w:cs="Times New Roman"/>
          <w:b/>
          <w:i/>
          <w:color w:val="000000" w:themeColor="text1"/>
          <w:sz w:val="28"/>
          <w:szCs w:val="28"/>
          <w:lang w:val="es-MX"/>
        </w:rPr>
        <w:t>segundo debate</w:t>
      </w:r>
      <w:r w:rsidRPr="00E4401D">
        <w:rPr>
          <w:rFonts w:ascii="Times New Roman" w:hAnsi="Times New Roman" w:cs="Times New Roman"/>
          <w:color w:val="000000" w:themeColor="text1"/>
          <w:sz w:val="28"/>
          <w:szCs w:val="28"/>
          <w:lang w:val="es-MX"/>
        </w:rPr>
        <w:t xml:space="preserve">”, en aquello en que existió una diferencia. La primera consecuencia respecto del caso </w:t>
      </w:r>
      <w:r w:rsidRPr="00E4401D">
        <w:rPr>
          <w:rFonts w:ascii="Times New Roman" w:hAnsi="Times New Roman" w:cs="Times New Roman"/>
          <w:color w:val="000000" w:themeColor="text1"/>
          <w:sz w:val="28"/>
          <w:szCs w:val="28"/>
          <w:lang w:val="es-MX"/>
        </w:rPr>
        <w:t>concreto es que solo los artículos conciliados fueron los que tuvieron la “</w:t>
      </w:r>
      <w:r w:rsidRPr="00E4401D">
        <w:rPr>
          <w:rFonts w:ascii="Times New Roman" w:hAnsi="Times New Roman" w:cs="Times New Roman"/>
          <w:i/>
          <w:color w:val="000000" w:themeColor="text1"/>
          <w:sz w:val="28"/>
          <w:szCs w:val="28"/>
          <w:lang w:val="es-MX"/>
        </w:rPr>
        <w:t>repetición</w:t>
      </w:r>
      <w:r w:rsidRPr="00E4401D">
        <w:rPr>
          <w:rFonts w:ascii="Times New Roman" w:hAnsi="Times New Roman" w:cs="Times New Roman"/>
          <w:color w:val="000000" w:themeColor="text1"/>
          <w:sz w:val="28"/>
          <w:szCs w:val="28"/>
          <w:lang w:val="es-MX"/>
        </w:rPr>
        <w:t>” del segundo debate en la plenaria del Senado, por lo que aquellos que no accedieron a esa instancia, e incurrieron en el vicio previo de publicidad, de forma irremediabl</w:t>
      </w:r>
      <w:r w:rsidRPr="00E4401D">
        <w:rPr>
          <w:rFonts w:ascii="Times New Roman" w:hAnsi="Times New Roman" w:cs="Times New Roman"/>
          <w:color w:val="000000" w:themeColor="text1"/>
          <w:sz w:val="28"/>
          <w:szCs w:val="28"/>
          <w:lang w:val="es-MX"/>
        </w:rPr>
        <w:t>emente debían declararse inexequibles, tal y como lo resolvió la Corte.</w:t>
      </w:r>
    </w:p>
    <w:p w:rsidR="00D05732" w:rsidRPr="00E4401D" w:rsidRDefault="00E4401D" w:rsidP="001B6D10">
      <w:pPr>
        <w:spacing w:after="0" w:line="240" w:lineRule="auto"/>
        <w:jc w:val="both"/>
        <w:rPr>
          <w:rFonts w:ascii="Times New Roman" w:hAnsi="Times New Roman" w:cs="Times New Roman"/>
          <w:color w:val="000000" w:themeColor="text1"/>
          <w:sz w:val="28"/>
          <w:szCs w:val="28"/>
          <w:lang w:val="es-MX"/>
        </w:rPr>
      </w:pPr>
    </w:p>
    <w:p w:rsidR="00D05732" w:rsidRPr="00E4401D" w:rsidRDefault="00E4401D" w:rsidP="001B6D10">
      <w:pPr>
        <w:spacing w:after="0" w:line="240" w:lineRule="auto"/>
        <w:jc w:val="both"/>
        <w:rPr>
          <w:rFonts w:ascii="Times New Roman" w:hAnsi="Times New Roman" w:cs="Times New Roman"/>
          <w:color w:val="000000" w:themeColor="text1"/>
          <w:sz w:val="28"/>
          <w:szCs w:val="28"/>
          <w:lang w:val="es-MX"/>
        </w:rPr>
      </w:pPr>
      <w:r w:rsidRPr="00E4401D">
        <w:rPr>
          <w:rFonts w:ascii="Times New Roman" w:hAnsi="Times New Roman" w:cs="Times New Roman"/>
          <w:color w:val="000000" w:themeColor="text1"/>
          <w:sz w:val="28"/>
          <w:szCs w:val="28"/>
          <w:lang w:val="es-MX"/>
        </w:rPr>
        <w:t xml:space="preserve">Pero, frente a los dos artículos que sí fueron objeto de conciliación, el análisis cambia, toda vez que, al </w:t>
      </w:r>
      <w:r w:rsidRPr="00E4401D">
        <w:rPr>
          <w:rFonts w:ascii="Times New Roman" w:hAnsi="Times New Roman" w:cs="Times New Roman"/>
          <w:i/>
          <w:color w:val="000000" w:themeColor="text1"/>
          <w:sz w:val="28"/>
          <w:szCs w:val="28"/>
          <w:lang w:val="es-MX"/>
        </w:rPr>
        <w:t>repetirse el segundo debate</w:t>
      </w:r>
      <w:r w:rsidRPr="00E4401D">
        <w:rPr>
          <w:rFonts w:ascii="Times New Roman" w:hAnsi="Times New Roman" w:cs="Times New Roman"/>
          <w:color w:val="000000" w:themeColor="text1"/>
          <w:sz w:val="28"/>
          <w:szCs w:val="28"/>
          <w:lang w:val="es-MX"/>
        </w:rPr>
        <w:t>, es clave verificar que lo conciliado correspon</w:t>
      </w:r>
      <w:r w:rsidRPr="00E4401D">
        <w:rPr>
          <w:rFonts w:ascii="Times New Roman" w:hAnsi="Times New Roman" w:cs="Times New Roman"/>
          <w:color w:val="000000" w:themeColor="text1"/>
          <w:sz w:val="28"/>
          <w:szCs w:val="28"/>
          <w:lang w:val="es-MX"/>
        </w:rPr>
        <w:t>da específicamente con aquello que se cuestionó y que no fue objeto de conocimiento en el primer momento en que la plenaria discutió el asunto, para saber si, por el contrario, lo fue, en el segundo momento derivado de la conciliación. En esta última hipót</w:t>
      </w:r>
      <w:r w:rsidRPr="00E4401D">
        <w:rPr>
          <w:rFonts w:ascii="Times New Roman" w:hAnsi="Times New Roman" w:cs="Times New Roman"/>
          <w:color w:val="000000" w:themeColor="text1"/>
          <w:sz w:val="28"/>
          <w:szCs w:val="28"/>
          <w:lang w:val="es-MX"/>
        </w:rPr>
        <w:t>esis, (i) al haberse publicado el informe de conciliación, (ii) con la identificación exacta del texto que supuestamente era desconocido, (iii) con la aceptación de una fórmula para superar las discrepancias entre las cámaras, y (iv) con el sometimiento nu</w:t>
      </w:r>
      <w:r w:rsidRPr="00E4401D">
        <w:rPr>
          <w:rFonts w:ascii="Times New Roman" w:hAnsi="Times New Roman" w:cs="Times New Roman"/>
          <w:color w:val="000000" w:themeColor="text1"/>
          <w:sz w:val="28"/>
          <w:szCs w:val="28"/>
          <w:lang w:val="es-MX"/>
        </w:rPr>
        <w:t>evamente a deliberación y aprobación, en segundo debate, por parte de las plenarias, por virtud del mandato contenido en el artículo 161 de la Constitución, debe entenderse que, al amparo del principio de instrumentalidad de las formas, se produjo una corr</w:t>
      </w:r>
      <w:r w:rsidRPr="00E4401D">
        <w:rPr>
          <w:rFonts w:ascii="Times New Roman" w:hAnsi="Times New Roman" w:cs="Times New Roman"/>
          <w:color w:val="000000" w:themeColor="text1"/>
          <w:sz w:val="28"/>
          <w:szCs w:val="28"/>
          <w:lang w:val="es-MX"/>
        </w:rPr>
        <w:t xml:space="preserve">ección formal del procedimiento frente a los artículos que se encuentren en la hipótesis descrita, pues ya no podría sostenerse que fueron textos desconocidos, que no hubo oportunidades de deliberación, ni que fueron aprobados de forma oculta. </w:t>
      </w:r>
    </w:p>
    <w:p w:rsidR="00D05732" w:rsidRPr="00E4401D" w:rsidRDefault="00E4401D" w:rsidP="001B6D10">
      <w:pPr>
        <w:spacing w:after="0" w:line="240" w:lineRule="auto"/>
        <w:jc w:val="both"/>
        <w:rPr>
          <w:rFonts w:ascii="Times New Roman" w:hAnsi="Times New Roman" w:cs="Times New Roman"/>
          <w:color w:val="000000" w:themeColor="text1"/>
          <w:sz w:val="28"/>
          <w:szCs w:val="28"/>
          <w:lang w:val="es-MX"/>
        </w:rPr>
      </w:pPr>
    </w:p>
    <w:p w:rsidR="00D05732" w:rsidRPr="00E4401D" w:rsidRDefault="00E4401D" w:rsidP="001B6D10">
      <w:pPr>
        <w:spacing w:after="0" w:line="240" w:lineRule="auto"/>
        <w:jc w:val="both"/>
        <w:rPr>
          <w:rFonts w:ascii="Times New Roman" w:hAnsi="Times New Roman" w:cs="Times New Roman"/>
          <w:bCs/>
          <w:iCs/>
          <w:color w:val="000000" w:themeColor="text1"/>
          <w:sz w:val="28"/>
          <w:szCs w:val="28"/>
        </w:rPr>
      </w:pPr>
      <w:r w:rsidRPr="00E4401D">
        <w:rPr>
          <w:rFonts w:ascii="Times New Roman" w:hAnsi="Times New Roman" w:cs="Times New Roman"/>
          <w:color w:val="000000" w:themeColor="text1"/>
          <w:sz w:val="28"/>
          <w:szCs w:val="28"/>
          <w:lang w:val="es-MX"/>
        </w:rPr>
        <w:t>No sobra r</w:t>
      </w:r>
      <w:r w:rsidRPr="00E4401D">
        <w:rPr>
          <w:rFonts w:ascii="Times New Roman" w:hAnsi="Times New Roman" w:cs="Times New Roman"/>
          <w:color w:val="000000" w:themeColor="text1"/>
          <w:sz w:val="28"/>
          <w:szCs w:val="28"/>
          <w:lang w:val="es-MX"/>
        </w:rPr>
        <w:t xml:space="preserve">ecordar que en la sentencia SU-150 de 2021, la Corte aclaró que </w:t>
      </w:r>
      <w:r w:rsidRPr="00E4401D">
        <w:rPr>
          <w:rFonts w:ascii="Times New Roman" w:hAnsi="Times New Roman" w:cs="Times New Roman"/>
          <w:bCs/>
          <w:iCs/>
          <w:color w:val="000000" w:themeColor="text1"/>
          <w:sz w:val="28"/>
          <w:szCs w:val="28"/>
        </w:rPr>
        <w:t>no existe prohibición constitucional o reglamentaria que impida modificar o cambiar los textos conciliados antes de su aprobación, pues una lectura contraria podría llevar a que pese a que (i)</w:t>
      </w:r>
      <w:r w:rsidRPr="00E4401D">
        <w:rPr>
          <w:rFonts w:ascii="Times New Roman" w:hAnsi="Times New Roman" w:cs="Times New Roman"/>
          <w:bCs/>
          <w:iCs/>
          <w:color w:val="000000" w:themeColor="text1"/>
          <w:sz w:val="28"/>
          <w:szCs w:val="28"/>
        </w:rPr>
        <w:t xml:space="preserve"> la comisión detecta deficiencias de trámite, o (ii) que se radica un texto contrario a la unidad temática de la iniciativa, o (iii)</w:t>
      </w:r>
      <w:r w:rsidRPr="00E4401D">
        <w:rPr>
          <w:rFonts w:ascii="Times New Roman" w:hAnsi="Times New Roman" w:cs="Times New Roman"/>
          <w:b/>
          <w:bCs/>
          <w:iCs/>
          <w:color w:val="000000" w:themeColor="text1"/>
          <w:sz w:val="28"/>
          <w:szCs w:val="28"/>
        </w:rPr>
        <w:t xml:space="preserve"> que las plenarias (ambas o una de ellas), decidan proponer la revisión del contenido del informe para que plasme una visión</w:t>
      </w:r>
      <w:r w:rsidRPr="00E4401D">
        <w:rPr>
          <w:rFonts w:ascii="Times New Roman" w:hAnsi="Times New Roman" w:cs="Times New Roman"/>
          <w:b/>
          <w:bCs/>
          <w:iCs/>
          <w:color w:val="000000" w:themeColor="text1"/>
          <w:sz w:val="28"/>
          <w:szCs w:val="28"/>
        </w:rPr>
        <w:t xml:space="preserve"> de consenso</w:t>
      </w:r>
      <w:r w:rsidRPr="00E4401D">
        <w:rPr>
          <w:rFonts w:ascii="Times New Roman" w:hAnsi="Times New Roman" w:cs="Times New Roman"/>
          <w:bCs/>
          <w:iCs/>
          <w:color w:val="000000" w:themeColor="text1"/>
          <w:sz w:val="28"/>
          <w:szCs w:val="28"/>
        </w:rPr>
        <w:t xml:space="preserve">, dicha instancia estaría inhabilitada para corregir tales deficiencias, “(…) </w:t>
      </w:r>
      <w:r w:rsidRPr="00E4401D">
        <w:rPr>
          <w:rFonts w:ascii="Times New Roman" w:hAnsi="Times New Roman" w:cs="Times New Roman"/>
          <w:bCs/>
          <w:i/>
          <w:color w:val="000000" w:themeColor="text1"/>
          <w:sz w:val="28"/>
          <w:szCs w:val="28"/>
        </w:rPr>
        <w:t>postura que no solo desnaturalizaría el fin que subyace en la función legislativa (crear, derogar y reformar leyes), sino que también resultaría contraria a important</w:t>
      </w:r>
      <w:r w:rsidRPr="00E4401D">
        <w:rPr>
          <w:rFonts w:ascii="Times New Roman" w:hAnsi="Times New Roman" w:cs="Times New Roman"/>
          <w:bCs/>
          <w:i/>
          <w:color w:val="000000" w:themeColor="text1"/>
          <w:sz w:val="28"/>
          <w:szCs w:val="28"/>
        </w:rPr>
        <w:t>es principios que rigen la labor de producción normativa, como lo son el principio de corrección del trámite y el principio de instrumentalidad de las formas</w:t>
      </w:r>
      <w:r w:rsidRPr="00E4401D">
        <w:rPr>
          <w:rFonts w:ascii="Times New Roman" w:hAnsi="Times New Roman" w:cs="Times New Roman"/>
          <w:bCs/>
          <w:iCs/>
          <w:color w:val="000000" w:themeColor="text1"/>
          <w:sz w:val="28"/>
          <w:szCs w:val="28"/>
        </w:rPr>
        <w:t>”.</w:t>
      </w:r>
      <w:r w:rsidRPr="00E4401D">
        <w:rPr>
          <w:rFonts w:ascii="Times New Roman" w:hAnsi="Times New Roman" w:cs="Times New Roman"/>
          <w:bCs/>
          <w:i/>
          <w:color w:val="000000" w:themeColor="text1"/>
          <w:sz w:val="28"/>
          <w:szCs w:val="28"/>
        </w:rPr>
        <w:t xml:space="preserve"> </w:t>
      </w:r>
      <w:r w:rsidRPr="00E4401D">
        <w:rPr>
          <w:rFonts w:ascii="Times New Roman" w:hAnsi="Times New Roman" w:cs="Times New Roman"/>
          <w:bCs/>
          <w:iCs/>
          <w:color w:val="000000" w:themeColor="text1"/>
          <w:sz w:val="28"/>
          <w:szCs w:val="28"/>
        </w:rPr>
        <w:t>Debe recordarse, por lo demás, que el papel que cumple la comisión de conciliación no es el de a</w:t>
      </w:r>
      <w:r w:rsidRPr="00E4401D">
        <w:rPr>
          <w:rFonts w:ascii="Times New Roman" w:hAnsi="Times New Roman" w:cs="Times New Roman"/>
          <w:bCs/>
          <w:iCs/>
          <w:color w:val="000000" w:themeColor="text1"/>
          <w:sz w:val="28"/>
          <w:szCs w:val="28"/>
        </w:rPr>
        <w:t xml:space="preserve">doptar decisiones definitivas, ya que tal competencia está reservada de forma exclusiva para las plenarias. El encargo de la comisión se limita a presentar un texto de acuerdo bicameral, el cual, lejos de ser intangible, “(…) </w:t>
      </w:r>
      <w:r w:rsidRPr="00E4401D">
        <w:rPr>
          <w:rFonts w:ascii="Times New Roman" w:hAnsi="Times New Roman" w:cs="Times New Roman"/>
          <w:bCs/>
          <w:i/>
          <w:iCs/>
          <w:color w:val="000000" w:themeColor="text1"/>
          <w:sz w:val="28"/>
          <w:szCs w:val="28"/>
        </w:rPr>
        <w:t xml:space="preserve">puede </w:t>
      </w:r>
      <w:r w:rsidRPr="00E4401D">
        <w:rPr>
          <w:rFonts w:ascii="Times New Roman" w:hAnsi="Times New Roman" w:cs="Times New Roman"/>
          <w:b/>
          <w:bCs/>
          <w:i/>
          <w:iCs/>
          <w:color w:val="000000" w:themeColor="text1"/>
          <w:sz w:val="28"/>
          <w:szCs w:val="28"/>
        </w:rPr>
        <w:t>modificarse</w:t>
      </w:r>
      <w:r w:rsidRPr="00E4401D">
        <w:rPr>
          <w:rFonts w:ascii="Times New Roman" w:hAnsi="Times New Roman" w:cs="Times New Roman"/>
          <w:bCs/>
          <w:i/>
          <w:iCs/>
          <w:color w:val="000000" w:themeColor="text1"/>
          <w:sz w:val="28"/>
          <w:szCs w:val="28"/>
        </w:rPr>
        <w:t xml:space="preserve">, </w:t>
      </w:r>
      <w:r w:rsidRPr="00E4401D">
        <w:rPr>
          <w:rFonts w:ascii="Times New Roman" w:hAnsi="Times New Roman" w:cs="Times New Roman"/>
          <w:bCs/>
          <w:i/>
          <w:iCs/>
          <w:color w:val="000000" w:themeColor="text1"/>
          <w:sz w:val="28"/>
          <w:szCs w:val="28"/>
        </w:rPr>
        <w:t>respondiendo al carácter dinámico del proceso legislativo y a la necesidad de construir consensos alrededor de la manifestación de la voluntad democrática</w:t>
      </w:r>
      <w:r w:rsidRPr="00E4401D">
        <w:rPr>
          <w:rFonts w:ascii="Times New Roman" w:hAnsi="Times New Roman" w:cs="Times New Roman"/>
          <w:bCs/>
          <w:iCs/>
          <w:color w:val="000000" w:themeColor="text1"/>
          <w:sz w:val="28"/>
          <w:szCs w:val="28"/>
        </w:rPr>
        <w:t xml:space="preserve">”. </w:t>
      </w:r>
    </w:p>
    <w:p w:rsidR="00D05732" w:rsidRPr="00E4401D" w:rsidRDefault="00E4401D" w:rsidP="001B6D10">
      <w:pPr>
        <w:spacing w:after="0" w:line="240" w:lineRule="auto"/>
        <w:jc w:val="both"/>
        <w:rPr>
          <w:rFonts w:ascii="Times New Roman" w:hAnsi="Times New Roman" w:cs="Times New Roman"/>
          <w:color w:val="000000" w:themeColor="text1"/>
          <w:sz w:val="28"/>
          <w:szCs w:val="28"/>
          <w:lang w:val="es-MX"/>
        </w:rPr>
      </w:pPr>
    </w:p>
    <w:p w:rsidR="00D05732" w:rsidRPr="00E4401D" w:rsidRDefault="00E4401D" w:rsidP="001B6D10">
      <w:pPr>
        <w:spacing w:after="0" w:line="240" w:lineRule="auto"/>
        <w:jc w:val="both"/>
        <w:rPr>
          <w:rFonts w:ascii="Times New Roman" w:hAnsi="Times New Roman" w:cs="Times New Roman"/>
          <w:color w:val="000000" w:themeColor="text1"/>
          <w:sz w:val="28"/>
          <w:szCs w:val="28"/>
          <w:lang w:val="es-MX"/>
        </w:rPr>
      </w:pPr>
      <w:r w:rsidRPr="00E4401D">
        <w:rPr>
          <w:rFonts w:ascii="Times New Roman" w:hAnsi="Times New Roman" w:cs="Times New Roman"/>
          <w:color w:val="000000" w:themeColor="text1"/>
          <w:sz w:val="28"/>
          <w:szCs w:val="28"/>
          <w:lang w:val="es-MX"/>
        </w:rPr>
        <w:t>En el caso concreto, a diferencia del artículo 297, cuya conciliación no lo fue respecto de aquel</w:t>
      </w:r>
      <w:r w:rsidRPr="00E4401D">
        <w:rPr>
          <w:rFonts w:ascii="Times New Roman" w:hAnsi="Times New Roman" w:cs="Times New Roman"/>
          <w:color w:val="000000" w:themeColor="text1"/>
          <w:sz w:val="28"/>
          <w:szCs w:val="28"/>
          <w:lang w:val="es-MX"/>
        </w:rPr>
        <w:t>lo que se introdujo de forma incorrecta en la plenaria del Senado, por lo que cabía la declaratoria de inconstitucionalidad adoptada por la Corte; en el caso del artículo 289,</w:t>
      </w:r>
      <w:r w:rsidRPr="00E4401D">
        <w:rPr>
          <w:rFonts w:ascii="Times New Roman" w:hAnsi="Times New Roman" w:cs="Times New Roman"/>
          <w:bCs/>
          <w:iCs/>
          <w:color w:val="000000" w:themeColor="text1"/>
          <w:sz w:val="28"/>
          <w:szCs w:val="28"/>
          <w:lang w:val="es-MX"/>
        </w:rPr>
        <w:t xml:space="preserve"> los</w:t>
      </w:r>
      <w:r w:rsidRPr="00E4401D">
        <w:rPr>
          <w:rFonts w:ascii="Times New Roman" w:hAnsi="Times New Roman" w:cs="Times New Roman"/>
          <w:b/>
          <w:i/>
          <w:color w:val="000000" w:themeColor="text1"/>
          <w:sz w:val="28"/>
          <w:szCs w:val="28"/>
          <w:lang w:val="es-MX"/>
        </w:rPr>
        <w:t xml:space="preserve"> </w:t>
      </w:r>
      <w:r w:rsidRPr="00E4401D">
        <w:rPr>
          <w:rFonts w:ascii="Times New Roman" w:hAnsi="Times New Roman" w:cs="Times New Roman"/>
          <w:color w:val="000000" w:themeColor="text1"/>
          <w:sz w:val="28"/>
          <w:szCs w:val="28"/>
          <w:lang w:val="es-MX"/>
        </w:rPr>
        <w:t xml:space="preserve">textos conciliados son </w:t>
      </w:r>
      <w:r w:rsidRPr="00E4401D">
        <w:rPr>
          <w:rFonts w:ascii="Times New Roman" w:hAnsi="Times New Roman" w:cs="Times New Roman"/>
          <w:b/>
          <w:color w:val="000000" w:themeColor="text1"/>
          <w:sz w:val="28"/>
          <w:szCs w:val="28"/>
          <w:lang w:val="es-MX"/>
        </w:rPr>
        <w:t>exactamente iguales</w:t>
      </w:r>
      <w:r w:rsidRPr="00E4401D">
        <w:rPr>
          <w:rFonts w:ascii="Times New Roman" w:hAnsi="Times New Roman" w:cs="Times New Roman"/>
          <w:color w:val="000000" w:themeColor="text1"/>
          <w:sz w:val="28"/>
          <w:szCs w:val="28"/>
          <w:lang w:val="es-MX"/>
        </w:rPr>
        <w:t xml:space="preserve"> a aquellos que se cuestionan por </w:t>
      </w:r>
      <w:r w:rsidRPr="00E4401D">
        <w:rPr>
          <w:rFonts w:ascii="Times New Roman" w:hAnsi="Times New Roman" w:cs="Times New Roman"/>
          <w:color w:val="000000" w:themeColor="text1"/>
          <w:sz w:val="28"/>
          <w:szCs w:val="28"/>
          <w:lang w:val="es-MX"/>
        </w:rPr>
        <w:t xml:space="preserve">vulnerar el principio de publicidad en la plenaria del Senado. Respecto de esos textos, </w:t>
      </w:r>
      <w:r w:rsidRPr="00E4401D">
        <w:rPr>
          <w:rFonts w:ascii="Times New Roman" w:hAnsi="Times New Roman" w:cs="Times New Roman"/>
          <w:color w:val="000000" w:themeColor="text1"/>
          <w:sz w:val="28"/>
          <w:szCs w:val="28"/>
          <w:lang w:val="es-ES"/>
        </w:rPr>
        <w:t xml:space="preserve">las plenarias de ambas cámaras tuvieron que volver sobre ellos, pues así lo dispone el artículo 161 de la Constitución, con una nueva </w:t>
      </w:r>
      <w:r w:rsidRPr="00E4401D">
        <w:rPr>
          <w:rFonts w:ascii="Times New Roman" w:hAnsi="Times New Roman" w:cs="Times New Roman"/>
          <w:bCs/>
          <w:i/>
          <w:color w:val="000000" w:themeColor="text1"/>
          <w:sz w:val="28"/>
          <w:szCs w:val="28"/>
          <w:lang w:val="es-ES"/>
        </w:rPr>
        <w:t>publicación</w:t>
      </w:r>
      <w:r w:rsidRPr="00E4401D">
        <w:rPr>
          <w:rFonts w:ascii="Times New Roman" w:hAnsi="Times New Roman" w:cs="Times New Roman"/>
          <w:color w:val="000000" w:themeColor="text1"/>
          <w:sz w:val="28"/>
          <w:szCs w:val="28"/>
          <w:lang w:val="es-ES"/>
        </w:rPr>
        <w:t xml:space="preserve"> de un informe y con un pronunciamiento específico sobre la forma en que finalmente quedarían en la ley. De ahí que, por ejemplo, de persistir en la diferencia, esos textos podrían haber sido negados y retirados de la ley. </w:t>
      </w:r>
      <w:r w:rsidRPr="00E4401D">
        <w:rPr>
          <w:rFonts w:ascii="Times New Roman" w:hAnsi="Times New Roman" w:cs="Times New Roman"/>
          <w:color w:val="000000" w:themeColor="text1"/>
          <w:sz w:val="28"/>
          <w:szCs w:val="28"/>
          <w:lang w:val="es-MX"/>
        </w:rPr>
        <w:t> </w:t>
      </w:r>
    </w:p>
    <w:p w:rsidR="00D05732" w:rsidRPr="00E4401D" w:rsidRDefault="00E4401D" w:rsidP="001B6D10">
      <w:pPr>
        <w:spacing w:after="0" w:line="240" w:lineRule="auto"/>
        <w:jc w:val="both"/>
        <w:rPr>
          <w:rFonts w:ascii="Times New Roman" w:hAnsi="Times New Roman" w:cs="Times New Roman"/>
          <w:color w:val="000000" w:themeColor="text1"/>
          <w:sz w:val="28"/>
          <w:szCs w:val="28"/>
          <w:lang w:val="es-MX"/>
        </w:rPr>
      </w:pPr>
      <w:r w:rsidRPr="00E4401D">
        <w:rPr>
          <w:rFonts w:ascii="Times New Roman" w:hAnsi="Times New Roman" w:cs="Times New Roman"/>
          <w:color w:val="000000" w:themeColor="text1"/>
          <w:sz w:val="28"/>
          <w:szCs w:val="28"/>
          <w:lang w:val="es-MX"/>
        </w:rPr>
        <w:t> </w:t>
      </w:r>
    </w:p>
    <w:p w:rsidR="00D05732" w:rsidRPr="00E4401D" w:rsidRDefault="00E4401D" w:rsidP="001B6D10">
      <w:pPr>
        <w:spacing w:after="0" w:line="240" w:lineRule="auto"/>
        <w:jc w:val="both"/>
        <w:rPr>
          <w:rFonts w:ascii="Times New Roman" w:hAnsi="Times New Roman" w:cs="Times New Roman"/>
          <w:color w:val="000000" w:themeColor="text1"/>
          <w:sz w:val="28"/>
          <w:szCs w:val="28"/>
          <w:lang w:val="es-MX"/>
        </w:rPr>
      </w:pPr>
      <w:r w:rsidRPr="00E4401D">
        <w:rPr>
          <w:rFonts w:ascii="Times New Roman" w:hAnsi="Times New Roman" w:cs="Times New Roman"/>
          <w:color w:val="000000" w:themeColor="text1"/>
          <w:sz w:val="28"/>
          <w:szCs w:val="28"/>
          <w:lang w:val="es-ES"/>
        </w:rPr>
        <w:t>Al haberse tramitado la conci</w:t>
      </w:r>
      <w:r w:rsidRPr="00E4401D">
        <w:rPr>
          <w:rFonts w:ascii="Times New Roman" w:hAnsi="Times New Roman" w:cs="Times New Roman"/>
          <w:color w:val="000000" w:themeColor="text1"/>
          <w:sz w:val="28"/>
          <w:szCs w:val="28"/>
          <w:lang w:val="es-ES"/>
        </w:rPr>
        <w:t xml:space="preserve">liación, previa la subsanación del </w:t>
      </w:r>
      <w:r w:rsidRPr="00E4401D">
        <w:rPr>
          <w:rFonts w:ascii="Times New Roman" w:hAnsi="Times New Roman" w:cs="Times New Roman"/>
          <w:color w:val="000000" w:themeColor="text1"/>
          <w:sz w:val="28"/>
          <w:szCs w:val="28"/>
        </w:rPr>
        <w:t>vicio de procedimiento por desconocimiento del principio de publicidad y violación del artículo 161 de la Constitución, en el trámite de aprobación del informe que dio origen a la Ley 2294 de 2023,</w:t>
      </w:r>
      <w:r w:rsidRPr="00E4401D">
        <w:rPr>
          <w:rFonts w:ascii="Times New Roman" w:hAnsi="Times New Roman" w:cs="Times New Roman"/>
          <w:color w:val="000000" w:themeColor="text1"/>
          <w:sz w:val="28"/>
          <w:szCs w:val="28"/>
          <w:lang w:val="es-ES"/>
        </w:rPr>
        <w:t xml:space="preserve"> que el Congreso hizo en</w:t>
      </w:r>
      <w:r w:rsidRPr="00E4401D">
        <w:rPr>
          <w:rFonts w:ascii="Times New Roman" w:hAnsi="Times New Roman" w:cs="Times New Roman"/>
          <w:color w:val="000000" w:themeColor="text1"/>
          <w:sz w:val="28"/>
          <w:szCs w:val="28"/>
          <w:lang w:val="es-ES"/>
        </w:rPr>
        <w:t xml:space="preserve"> cumplimiento de las órdenes contenidas en el </w:t>
      </w:r>
      <w:r w:rsidRPr="00E4401D">
        <w:rPr>
          <w:rFonts w:ascii="Times New Roman" w:hAnsi="Times New Roman" w:cs="Times New Roman"/>
          <w:color w:val="000000" w:themeColor="text1"/>
          <w:sz w:val="28"/>
          <w:szCs w:val="28"/>
          <w:lang w:val="es-ES"/>
        </w:rPr>
        <w:t>a</w:t>
      </w:r>
      <w:r w:rsidRPr="00E4401D">
        <w:rPr>
          <w:rFonts w:ascii="Times New Roman" w:hAnsi="Times New Roman" w:cs="Times New Roman"/>
          <w:color w:val="000000" w:themeColor="text1"/>
          <w:sz w:val="28"/>
          <w:szCs w:val="28"/>
          <w:lang w:val="es-ES"/>
        </w:rPr>
        <w:t xml:space="preserve">uto 705 de 2024, tal circunstancia subsanó </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lang w:val="es-ES"/>
        </w:rPr>
        <w:t>a su turno</w:t>
      </w:r>
      <w:bookmarkStart w:id="13" w:name="_Hlk425968"/>
      <w:r w:rsidRPr="00E4401D">
        <w:rPr>
          <w:rFonts w:ascii="Times New Roman" w:hAnsi="Times New Roman" w:cs="Times New Roman"/>
          <w:color w:val="000000" w:themeColor="text1"/>
          <w:sz w:val="28"/>
          <w:szCs w:val="28"/>
        </w:rPr>
        <w:t>–</w:t>
      </w:r>
      <w:bookmarkEnd w:id="13"/>
      <w:r w:rsidRPr="00E4401D">
        <w:rPr>
          <w:rFonts w:ascii="Times New Roman" w:hAnsi="Times New Roman" w:cs="Times New Roman"/>
          <w:color w:val="000000" w:themeColor="text1"/>
          <w:sz w:val="28"/>
          <w:szCs w:val="28"/>
          <w:lang w:val="es-ES"/>
        </w:rPr>
        <w:t xml:space="preserve"> cualquier vicio que, por violación al requisito de publicidad respecto del trámite dado en la plenaria del Senado al artículo 289, se hubiera configurado</w:t>
      </w:r>
      <w:r w:rsidRPr="00E4401D">
        <w:rPr>
          <w:rFonts w:ascii="Times New Roman" w:hAnsi="Times New Roman" w:cs="Times New Roman"/>
          <w:color w:val="000000" w:themeColor="text1"/>
          <w:sz w:val="28"/>
          <w:szCs w:val="28"/>
          <w:lang w:val="es-ES"/>
        </w:rPr>
        <w:t xml:space="preserve"> con anterioridad a la aprobación del informe de conciliación respecto de los textos conciliados, en virtud del principio de corrección de las formas, pues las cámaras tuvieron conocimiento expreso de su contenido, los pudieron debatir nuevamente e, inclus</w:t>
      </w:r>
      <w:r w:rsidRPr="00E4401D">
        <w:rPr>
          <w:rFonts w:ascii="Times New Roman" w:hAnsi="Times New Roman" w:cs="Times New Roman"/>
          <w:color w:val="000000" w:themeColor="text1"/>
          <w:sz w:val="28"/>
          <w:szCs w:val="28"/>
          <w:lang w:val="es-ES"/>
        </w:rPr>
        <w:t>o, retirarlos de la iniciativa en caso de manifestar que debía mantenerse la diferencia, como lo autorizan los artículos 161 de la Constitución y 189 de la Ley 5ª de 1992.  </w:t>
      </w:r>
      <w:r w:rsidRPr="00E4401D">
        <w:rPr>
          <w:rFonts w:ascii="Times New Roman" w:hAnsi="Times New Roman" w:cs="Times New Roman"/>
          <w:color w:val="000000" w:themeColor="text1"/>
          <w:sz w:val="28"/>
          <w:szCs w:val="28"/>
          <w:lang w:val="es-MX"/>
        </w:rPr>
        <w:t> </w:t>
      </w:r>
    </w:p>
    <w:p w:rsidR="00D05732" w:rsidRPr="00E4401D" w:rsidRDefault="00E4401D" w:rsidP="001B6D10">
      <w:pPr>
        <w:spacing w:after="0" w:line="240" w:lineRule="auto"/>
        <w:jc w:val="both"/>
        <w:rPr>
          <w:rFonts w:ascii="Times New Roman" w:hAnsi="Times New Roman" w:cs="Times New Roman"/>
          <w:color w:val="000000" w:themeColor="text1"/>
          <w:sz w:val="28"/>
          <w:szCs w:val="28"/>
          <w:lang w:val="es-MX"/>
        </w:rPr>
      </w:pPr>
      <w:r w:rsidRPr="00E4401D">
        <w:rPr>
          <w:rFonts w:ascii="Times New Roman" w:hAnsi="Times New Roman" w:cs="Times New Roman"/>
          <w:color w:val="000000" w:themeColor="text1"/>
          <w:sz w:val="28"/>
          <w:szCs w:val="28"/>
          <w:lang w:val="es-MX"/>
        </w:rPr>
        <w:t> </w:t>
      </w:r>
    </w:p>
    <w:p w:rsidR="00D60957" w:rsidRPr="00E4401D" w:rsidRDefault="00E4401D" w:rsidP="001B6D10">
      <w:pPr>
        <w:spacing w:after="0" w:line="240" w:lineRule="auto"/>
        <w:jc w:val="both"/>
        <w:rPr>
          <w:rFonts w:ascii="Times New Roman" w:hAnsi="Times New Roman" w:cs="Times New Roman"/>
          <w:color w:val="000000" w:themeColor="text1"/>
          <w:sz w:val="28"/>
          <w:szCs w:val="28"/>
          <w:lang w:val="es-ES"/>
        </w:rPr>
      </w:pPr>
      <w:r w:rsidRPr="00E4401D">
        <w:rPr>
          <w:rFonts w:ascii="Times New Roman" w:hAnsi="Times New Roman" w:cs="Times New Roman"/>
          <w:color w:val="000000" w:themeColor="text1"/>
          <w:sz w:val="28"/>
          <w:szCs w:val="28"/>
          <w:lang w:val="es-ES"/>
        </w:rPr>
        <w:t xml:space="preserve">Lo anterior resulta especialmente importante, pues en el resolutivo tercero de </w:t>
      </w:r>
      <w:r w:rsidRPr="00E4401D">
        <w:rPr>
          <w:rFonts w:ascii="Times New Roman" w:hAnsi="Times New Roman" w:cs="Times New Roman"/>
          <w:color w:val="000000" w:themeColor="text1"/>
          <w:sz w:val="28"/>
          <w:szCs w:val="28"/>
          <w:lang w:val="es-ES"/>
        </w:rPr>
        <w:t xml:space="preserve">la sentencia C-448 de 2024, </w:t>
      </w:r>
      <w:r w:rsidRPr="00E4401D">
        <w:rPr>
          <w:rFonts w:ascii="Times New Roman" w:hAnsi="Times New Roman" w:cs="Times New Roman"/>
          <w:color w:val="000000" w:themeColor="text1"/>
          <w:sz w:val="28"/>
          <w:szCs w:val="28"/>
          <w:lang w:val="es-ES"/>
        </w:rPr>
        <w:t xml:space="preserve">el artículo 289 </w:t>
      </w:r>
      <w:r w:rsidRPr="00E4401D">
        <w:rPr>
          <w:rFonts w:ascii="Times New Roman" w:hAnsi="Times New Roman" w:cs="Times New Roman"/>
          <w:color w:val="000000" w:themeColor="text1"/>
          <w:sz w:val="28"/>
          <w:szCs w:val="28"/>
          <w:lang w:val="es-ES"/>
        </w:rPr>
        <w:t>que ahora se cuestiona fue declarad</w:t>
      </w:r>
      <w:r w:rsidRPr="00E4401D">
        <w:rPr>
          <w:rFonts w:ascii="Times New Roman" w:hAnsi="Times New Roman" w:cs="Times New Roman"/>
          <w:color w:val="000000" w:themeColor="text1"/>
          <w:sz w:val="28"/>
          <w:szCs w:val="28"/>
          <w:lang w:val="es-ES"/>
        </w:rPr>
        <w:t>o</w:t>
      </w:r>
      <w:r w:rsidRPr="00E4401D">
        <w:rPr>
          <w:rFonts w:ascii="Times New Roman" w:hAnsi="Times New Roman" w:cs="Times New Roman"/>
          <w:color w:val="000000" w:themeColor="text1"/>
          <w:sz w:val="28"/>
          <w:szCs w:val="28"/>
          <w:lang w:val="es-ES"/>
        </w:rPr>
        <w:t xml:space="preserve"> exequible, en relación con el presunto vicio por desconocimiento del principio de publicidad, al asegurarse el pleno conocimiento de lo conciliado. </w:t>
      </w:r>
      <w:r w:rsidRPr="00E4401D">
        <w:rPr>
          <w:rFonts w:ascii="Times New Roman" w:hAnsi="Times New Roman" w:cs="Times New Roman"/>
          <w:color w:val="000000" w:themeColor="text1"/>
          <w:sz w:val="28"/>
          <w:szCs w:val="28"/>
          <w:lang w:val="es-ES"/>
        </w:rPr>
        <w:t>Al respecto, sostuvo la Sal</w:t>
      </w:r>
      <w:r w:rsidRPr="00E4401D">
        <w:rPr>
          <w:rFonts w:ascii="Times New Roman" w:hAnsi="Times New Roman" w:cs="Times New Roman"/>
          <w:color w:val="000000" w:themeColor="text1"/>
          <w:sz w:val="28"/>
          <w:szCs w:val="28"/>
          <w:lang w:val="es-ES"/>
        </w:rPr>
        <w:t xml:space="preserve">a que, </w:t>
      </w:r>
    </w:p>
    <w:p w:rsidR="00D60957" w:rsidRPr="00E4401D" w:rsidRDefault="00E4401D" w:rsidP="001B6D10">
      <w:pPr>
        <w:spacing w:after="0" w:line="240" w:lineRule="auto"/>
        <w:jc w:val="both"/>
        <w:rPr>
          <w:rFonts w:ascii="Times New Roman" w:hAnsi="Times New Roman" w:cs="Times New Roman"/>
          <w:color w:val="000000" w:themeColor="text1"/>
          <w:sz w:val="28"/>
          <w:szCs w:val="28"/>
          <w:lang w:val="es-ES"/>
        </w:rPr>
      </w:pPr>
    </w:p>
    <w:p w:rsidR="00D60957" w:rsidRPr="00E4401D" w:rsidRDefault="00E4401D" w:rsidP="000D3502">
      <w:pPr>
        <w:spacing w:after="0" w:line="240" w:lineRule="auto"/>
        <w:ind w:left="567" w:right="615"/>
        <w:jc w:val="both"/>
        <w:rPr>
          <w:rFonts w:ascii="Times New Roman" w:hAnsi="Times New Roman" w:cs="Times New Roman"/>
          <w:color w:val="000000" w:themeColor="text1"/>
          <w:sz w:val="28"/>
          <w:szCs w:val="24"/>
          <w:lang w:val="es-ES"/>
        </w:rPr>
      </w:pPr>
      <w:r w:rsidRPr="00E4401D">
        <w:rPr>
          <w:rFonts w:ascii="Times New Roman" w:hAnsi="Times New Roman" w:cs="Times New Roman"/>
          <w:color w:val="000000" w:themeColor="text1"/>
          <w:sz w:val="28"/>
          <w:szCs w:val="24"/>
          <w:lang w:val="es-ES"/>
        </w:rPr>
        <w:t>“</w:t>
      </w:r>
      <w:r w:rsidRPr="00E4401D">
        <w:rPr>
          <w:rFonts w:ascii="Times New Roman" w:hAnsi="Times New Roman" w:cs="Times New Roman"/>
          <w:i/>
          <w:iCs/>
          <w:color w:val="000000" w:themeColor="text1"/>
          <w:sz w:val="28"/>
          <w:szCs w:val="24"/>
        </w:rPr>
        <w:t xml:space="preserve">La subsanación del vicio procedimental implica que </w:t>
      </w:r>
      <w:r w:rsidRPr="00E4401D">
        <w:rPr>
          <w:rFonts w:ascii="Times New Roman" w:hAnsi="Times New Roman" w:cs="Times New Roman"/>
          <w:i/>
          <w:iCs/>
          <w:color w:val="000000" w:themeColor="text1"/>
          <w:sz w:val="28"/>
          <w:szCs w:val="24"/>
          <w:u w:val="single"/>
        </w:rPr>
        <w:t>se superó la causa alegada en la demanda como generadora de afectación al principio de publicidad respecto de los artículos que fueron objeto del informe de conciliación en el trámite legislativo</w:t>
      </w:r>
      <w:r w:rsidRPr="00E4401D">
        <w:rPr>
          <w:rFonts w:ascii="Times New Roman" w:hAnsi="Times New Roman" w:cs="Times New Roman"/>
          <w:i/>
          <w:iCs/>
          <w:color w:val="000000" w:themeColor="text1"/>
          <w:sz w:val="28"/>
          <w:szCs w:val="24"/>
          <w:u w:val="single"/>
        </w:rPr>
        <w:t xml:space="preserve"> de la Ley 2294 de 2023</w:t>
      </w:r>
      <w:r w:rsidRPr="00E4401D">
        <w:rPr>
          <w:rFonts w:ascii="Times New Roman" w:hAnsi="Times New Roman" w:cs="Times New Roman"/>
          <w:i/>
          <w:iCs/>
          <w:color w:val="000000" w:themeColor="text1"/>
          <w:sz w:val="28"/>
          <w:szCs w:val="24"/>
        </w:rPr>
        <w:t>. En efecto, la censura de la demanda estaba sustentada en la falta de publicidad del informe de conciliación en el trámite legislativo que dio lugar a dicha ley. De esta manera, luego que la Corte identificó el vicio y que devolvier</w:t>
      </w:r>
      <w:r w:rsidRPr="00E4401D">
        <w:rPr>
          <w:rFonts w:ascii="Times New Roman" w:hAnsi="Times New Roman" w:cs="Times New Roman"/>
          <w:i/>
          <w:iCs/>
          <w:color w:val="000000" w:themeColor="text1"/>
          <w:sz w:val="28"/>
          <w:szCs w:val="24"/>
        </w:rPr>
        <w:t xml:space="preserve">a al Senado de la República la ley mencionada para rehacer el trámite legislativo, en particular la discusión y aprobación del informe de conciliación, aquel se adelantó con el cumplimiento de las disposiciones constitucionales y legales, y </w:t>
      </w:r>
      <w:r w:rsidRPr="00E4401D">
        <w:rPr>
          <w:rFonts w:ascii="Times New Roman" w:hAnsi="Times New Roman" w:cs="Times New Roman"/>
          <w:i/>
          <w:iCs/>
          <w:color w:val="000000" w:themeColor="text1"/>
          <w:sz w:val="28"/>
          <w:szCs w:val="24"/>
          <w:u w:val="single"/>
        </w:rPr>
        <w:t>se garantizó la</w:t>
      </w:r>
      <w:r w:rsidRPr="00E4401D">
        <w:rPr>
          <w:rFonts w:ascii="Times New Roman" w:hAnsi="Times New Roman" w:cs="Times New Roman"/>
          <w:i/>
          <w:iCs/>
          <w:color w:val="000000" w:themeColor="text1"/>
          <w:sz w:val="28"/>
          <w:szCs w:val="24"/>
          <w:u w:val="single"/>
        </w:rPr>
        <w:t xml:space="preserve"> materialización de los principios de publicidad y deliberación</w:t>
      </w:r>
      <w:r w:rsidRPr="00E4401D">
        <w:rPr>
          <w:rFonts w:ascii="Times New Roman" w:hAnsi="Times New Roman" w:cs="Times New Roman"/>
          <w:i/>
          <w:iCs/>
          <w:color w:val="000000" w:themeColor="text1"/>
          <w:sz w:val="28"/>
          <w:szCs w:val="24"/>
        </w:rPr>
        <w:t>. Lo anterior, dado que se aseguró la debida conformación de la voluntad democrática al garantizar el conocimiento previo y suficiente del texto conciliado sometido a discusión y aprobación del</w:t>
      </w:r>
      <w:r w:rsidRPr="00E4401D">
        <w:rPr>
          <w:rFonts w:ascii="Times New Roman" w:hAnsi="Times New Roman" w:cs="Times New Roman"/>
          <w:i/>
          <w:iCs/>
          <w:color w:val="000000" w:themeColor="text1"/>
          <w:sz w:val="28"/>
          <w:szCs w:val="24"/>
        </w:rPr>
        <w:t xml:space="preserve"> Senado de la República, haberse efectuado los anuncios previos correspondientes y debatirse y aprobarse con observancia de los quórums y mayoría dispuestos para tal fin</w:t>
      </w:r>
      <w:r w:rsidRPr="00E4401D">
        <w:rPr>
          <w:rFonts w:ascii="Times New Roman" w:hAnsi="Times New Roman" w:cs="Times New Roman"/>
          <w:color w:val="000000" w:themeColor="text1"/>
          <w:sz w:val="28"/>
          <w:szCs w:val="24"/>
        </w:rPr>
        <w:t xml:space="preserve">” (subrayado fuera de texto). </w:t>
      </w:r>
    </w:p>
    <w:p w:rsidR="00D60957" w:rsidRPr="00E4401D" w:rsidRDefault="00E4401D" w:rsidP="001B6D10">
      <w:pPr>
        <w:spacing w:after="0" w:line="240" w:lineRule="auto"/>
        <w:jc w:val="both"/>
        <w:rPr>
          <w:rFonts w:ascii="Times New Roman" w:hAnsi="Times New Roman" w:cs="Times New Roman"/>
          <w:color w:val="000000" w:themeColor="text1"/>
          <w:sz w:val="28"/>
          <w:szCs w:val="28"/>
          <w:lang w:val="es-ES"/>
        </w:rPr>
      </w:pPr>
    </w:p>
    <w:p w:rsidR="002B21CF" w:rsidRPr="00E4401D" w:rsidRDefault="00E4401D" w:rsidP="001B6D10">
      <w:pPr>
        <w:spacing w:after="0" w:line="240" w:lineRule="auto"/>
        <w:jc w:val="both"/>
        <w:rPr>
          <w:rFonts w:ascii="Times New Roman" w:hAnsi="Times New Roman" w:cs="Times New Roman"/>
          <w:color w:val="000000" w:themeColor="text1"/>
          <w:sz w:val="28"/>
          <w:szCs w:val="28"/>
          <w:lang w:val="es-ES"/>
        </w:rPr>
      </w:pPr>
      <w:r w:rsidRPr="00E4401D">
        <w:rPr>
          <w:rFonts w:ascii="Times New Roman" w:hAnsi="Times New Roman" w:cs="Times New Roman"/>
          <w:color w:val="000000" w:themeColor="text1"/>
          <w:sz w:val="28"/>
          <w:szCs w:val="28"/>
          <w:lang w:val="es-ES"/>
        </w:rPr>
        <w:t xml:space="preserve">No obstante, </w:t>
      </w:r>
      <w:r w:rsidRPr="00E4401D">
        <w:rPr>
          <w:rFonts w:ascii="Times New Roman" w:hAnsi="Times New Roman" w:cs="Times New Roman"/>
          <w:color w:val="000000" w:themeColor="text1"/>
          <w:sz w:val="28"/>
          <w:szCs w:val="28"/>
          <w:lang w:val="es-ES"/>
        </w:rPr>
        <w:t>bajo una consideración alejada de la valor</w:t>
      </w:r>
      <w:r w:rsidRPr="00E4401D">
        <w:rPr>
          <w:rFonts w:ascii="Times New Roman" w:hAnsi="Times New Roman" w:cs="Times New Roman"/>
          <w:color w:val="000000" w:themeColor="text1"/>
          <w:sz w:val="28"/>
          <w:szCs w:val="28"/>
          <w:lang w:val="es-ES"/>
        </w:rPr>
        <w:t>ación sustantiva del procedimiento legislativo y de las reglas previstas y definidas por la Corte frente al artículo 161 de la Carta, la mayoría de la Sala concluyó que debía producirse la inexequibilidad de esos textos, desconociendo que la habilitación d</w:t>
      </w:r>
      <w:r w:rsidRPr="00E4401D">
        <w:rPr>
          <w:rFonts w:ascii="Times New Roman" w:hAnsi="Times New Roman" w:cs="Times New Roman"/>
          <w:color w:val="000000" w:themeColor="text1"/>
          <w:sz w:val="28"/>
          <w:szCs w:val="28"/>
          <w:lang w:val="es-ES"/>
        </w:rPr>
        <w:t xml:space="preserve">e la conciliación, por disposición constitucional, supone </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lang w:val="es-ES"/>
        </w:rPr>
        <w:t>precisamente</w:t>
      </w:r>
      <w:r w:rsidRPr="00E4401D">
        <w:rPr>
          <w:rFonts w:ascii="Times New Roman" w:hAnsi="Times New Roman" w:cs="Times New Roman"/>
          <w:color w:val="000000" w:themeColor="text1"/>
          <w:sz w:val="28"/>
          <w:szCs w:val="28"/>
        </w:rPr>
        <w:t>–</w:t>
      </w:r>
      <w:r w:rsidRPr="00E4401D">
        <w:rPr>
          <w:rFonts w:ascii="Times New Roman" w:hAnsi="Times New Roman" w:cs="Times New Roman"/>
          <w:color w:val="000000" w:themeColor="text1"/>
          <w:sz w:val="28"/>
          <w:szCs w:val="28"/>
          <w:lang w:val="es-ES"/>
        </w:rPr>
        <w:t xml:space="preserve"> la obligación de </w:t>
      </w:r>
      <w:r w:rsidRPr="00E4401D">
        <w:rPr>
          <w:rFonts w:ascii="Times New Roman" w:hAnsi="Times New Roman" w:cs="Times New Roman"/>
          <w:i/>
          <w:color w:val="000000" w:themeColor="text1"/>
          <w:sz w:val="28"/>
          <w:szCs w:val="28"/>
          <w:lang w:val="es-ES"/>
        </w:rPr>
        <w:t>repetir el segundo debate en lo que generó discrepancias</w:t>
      </w:r>
      <w:r w:rsidRPr="00E4401D">
        <w:rPr>
          <w:rFonts w:ascii="Times New Roman" w:hAnsi="Times New Roman" w:cs="Times New Roman"/>
          <w:color w:val="000000" w:themeColor="text1"/>
          <w:sz w:val="28"/>
          <w:szCs w:val="28"/>
          <w:lang w:val="es-ES"/>
        </w:rPr>
        <w:t xml:space="preserve">, por lo que aquello que inicialmente fue desconocido por la plenaria del Senado, luego dejó de tener esa connotación, y pasó a ser objeto de divulgación específica y detallada, entre otras, por virtud de la publicación del informe de conciliación y de su </w:t>
      </w:r>
      <w:r w:rsidRPr="00E4401D">
        <w:rPr>
          <w:rFonts w:ascii="Times New Roman" w:hAnsi="Times New Roman" w:cs="Times New Roman"/>
          <w:color w:val="000000" w:themeColor="text1"/>
          <w:sz w:val="28"/>
          <w:szCs w:val="28"/>
          <w:lang w:val="es-ES"/>
        </w:rPr>
        <w:t xml:space="preserve">presentación y deliberación en las plenarias, lo que permite corregir y subsanar el vicio de falta de publicidad, por virtud del principio de instrumentalidad de las formas. Por estas razones, a juicio del </w:t>
      </w:r>
      <w:r w:rsidRPr="00E4401D">
        <w:rPr>
          <w:rFonts w:ascii="Times New Roman" w:hAnsi="Times New Roman" w:cs="Times New Roman"/>
          <w:color w:val="000000" w:themeColor="text1"/>
          <w:sz w:val="28"/>
          <w:szCs w:val="28"/>
          <w:lang w:val="es-ES"/>
        </w:rPr>
        <w:t xml:space="preserve">suscrito </w:t>
      </w:r>
      <w:r w:rsidRPr="00E4401D">
        <w:rPr>
          <w:rFonts w:ascii="Times New Roman" w:hAnsi="Times New Roman" w:cs="Times New Roman"/>
          <w:color w:val="000000" w:themeColor="text1"/>
          <w:sz w:val="28"/>
          <w:szCs w:val="28"/>
          <w:lang w:val="es-ES"/>
        </w:rPr>
        <w:t>magistrado, el artículo 289 debió declara</w:t>
      </w:r>
      <w:r w:rsidRPr="00E4401D">
        <w:rPr>
          <w:rFonts w:ascii="Times New Roman" w:hAnsi="Times New Roman" w:cs="Times New Roman"/>
          <w:color w:val="000000" w:themeColor="text1"/>
          <w:sz w:val="28"/>
          <w:szCs w:val="28"/>
          <w:lang w:val="es-ES"/>
        </w:rPr>
        <w:t>rse exequible</w:t>
      </w:r>
      <w:r w:rsidRPr="00E4401D">
        <w:rPr>
          <w:rFonts w:ascii="Times New Roman" w:hAnsi="Times New Roman" w:cs="Times New Roman"/>
          <w:color w:val="000000" w:themeColor="text1"/>
          <w:sz w:val="28"/>
          <w:szCs w:val="28"/>
          <w:lang w:val="es-ES"/>
        </w:rPr>
        <w:t xml:space="preserve"> por el cargo de vulneración del principio de publicidad</w:t>
      </w:r>
      <w:r w:rsidRPr="00E4401D">
        <w:rPr>
          <w:rFonts w:ascii="Times New Roman" w:hAnsi="Times New Roman" w:cs="Times New Roman"/>
          <w:color w:val="000000" w:themeColor="text1"/>
          <w:sz w:val="28"/>
          <w:szCs w:val="28"/>
          <w:lang w:val="es-ES"/>
        </w:rPr>
        <w:t>.</w:t>
      </w:r>
    </w:p>
    <w:p w:rsidR="002B21CF" w:rsidRPr="00E4401D" w:rsidRDefault="00E4401D" w:rsidP="001B6D10">
      <w:pPr>
        <w:spacing w:after="0" w:line="240" w:lineRule="auto"/>
        <w:jc w:val="both"/>
        <w:rPr>
          <w:rFonts w:ascii="Times New Roman" w:hAnsi="Times New Roman" w:cs="Times New Roman"/>
          <w:color w:val="000000" w:themeColor="text1"/>
          <w:sz w:val="28"/>
          <w:szCs w:val="28"/>
          <w:lang w:val="es-ES"/>
        </w:rPr>
      </w:pPr>
    </w:p>
    <w:p w:rsidR="00D05732" w:rsidRPr="00E4401D" w:rsidRDefault="00E4401D" w:rsidP="001B6D10">
      <w:pPr>
        <w:spacing w:after="0" w:line="240" w:lineRule="auto"/>
        <w:jc w:val="both"/>
        <w:rPr>
          <w:rFonts w:ascii="Times New Roman" w:hAnsi="Times New Roman" w:cs="Times New Roman"/>
          <w:color w:val="000000" w:themeColor="text1"/>
          <w:sz w:val="28"/>
          <w:szCs w:val="28"/>
        </w:rPr>
      </w:pPr>
      <w:r w:rsidRPr="00E4401D">
        <w:rPr>
          <w:rFonts w:ascii="Times New Roman" w:hAnsi="Times New Roman" w:cs="Times New Roman"/>
          <w:color w:val="000000" w:themeColor="text1"/>
          <w:sz w:val="28"/>
          <w:szCs w:val="28"/>
          <w:lang w:val="es-ES"/>
        </w:rPr>
        <w:t xml:space="preserve">Fecha </w:t>
      </w:r>
      <w:r w:rsidRPr="00E4401D">
        <w:rPr>
          <w:rFonts w:ascii="Times New Roman" w:hAnsi="Times New Roman" w:cs="Times New Roman"/>
          <w:i/>
          <w:iCs/>
          <w:color w:val="000000" w:themeColor="text1"/>
          <w:sz w:val="28"/>
          <w:szCs w:val="28"/>
          <w:lang w:val="es-ES"/>
        </w:rPr>
        <w:t>ut supra</w:t>
      </w:r>
      <w:r w:rsidRPr="00E4401D">
        <w:rPr>
          <w:rFonts w:ascii="Times New Roman" w:hAnsi="Times New Roman" w:cs="Times New Roman"/>
          <w:color w:val="000000" w:themeColor="text1"/>
          <w:sz w:val="28"/>
          <w:szCs w:val="28"/>
          <w:lang w:val="es-ES"/>
        </w:rPr>
        <w:t xml:space="preserve"> </w:t>
      </w:r>
    </w:p>
    <w:p w:rsidR="00D05732" w:rsidRPr="00E4401D" w:rsidRDefault="00E4401D" w:rsidP="001B6D10">
      <w:pPr>
        <w:spacing w:after="0" w:line="240" w:lineRule="auto"/>
        <w:rPr>
          <w:rFonts w:ascii="Times New Roman" w:hAnsi="Times New Roman" w:cs="Times New Roman"/>
          <w:sz w:val="28"/>
          <w:szCs w:val="28"/>
        </w:rPr>
      </w:pPr>
    </w:p>
    <w:p w:rsidR="00FF6714" w:rsidRPr="00E4401D" w:rsidRDefault="00E4401D" w:rsidP="001B6D10">
      <w:pPr>
        <w:spacing w:after="0" w:line="240" w:lineRule="auto"/>
        <w:rPr>
          <w:rFonts w:ascii="Times New Roman" w:hAnsi="Times New Roman" w:cs="Times New Roman"/>
          <w:sz w:val="28"/>
          <w:szCs w:val="28"/>
        </w:rPr>
      </w:pPr>
    </w:p>
    <w:p w:rsidR="00FF6714" w:rsidRPr="00E4401D" w:rsidRDefault="00E4401D" w:rsidP="001B6D10">
      <w:pPr>
        <w:spacing w:after="0" w:line="240" w:lineRule="auto"/>
        <w:rPr>
          <w:rFonts w:ascii="Times New Roman" w:hAnsi="Times New Roman" w:cs="Times New Roman"/>
          <w:sz w:val="28"/>
          <w:szCs w:val="28"/>
        </w:rPr>
      </w:pPr>
    </w:p>
    <w:p w:rsidR="00FF6714" w:rsidRPr="00E4401D" w:rsidRDefault="00E4401D" w:rsidP="00FF6714">
      <w:pPr>
        <w:spacing w:after="0" w:line="240" w:lineRule="auto"/>
        <w:jc w:val="center"/>
        <w:rPr>
          <w:rFonts w:ascii="Times New Roman" w:hAnsi="Times New Roman" w:cs="Times New Roman"/>
          <w:b/>
          <w:bCs/>
          <w:sz w:val="28"/>
          <w:szCs w:val="28"/>
        </w:rPr>
      </w:pPr>
      <w:r w:rsidRPr="00E4401D">
        <w:rPr>
          <w:rFonts w:ascii="Times New Roman" w:hAnsi="Times New Roman" w:cs="Times New Roman"/>
          <w:b/>
          <w:bCs/>
          <w:sz w:val="28"/>
          <w:szCs w:val="28"/>
        </w:rPr>
        <w:t>MIGUEL POLO ROSERO</w:t>
      </w:r>
    </w:p>
    <w:p w:rsidR="00FF6714" w:rsidRPr="00E4401D" w:rsidRDefault="00E4401D" w:rsidP="00FF6714">
      <w:pPr>
        <w:spacing w:after="0" w:line="240" w:lineRule="auto"/>
        <w:jc w:val="center"/>
        <w:rPr>
          <w:rFonts w:ascii="Times New Roman" w:hAnsi="Times New Roman" w:cs="Times New Roman"/>
          <w:b/>
          <w:bCs/>
          <w:sz w:val="28"/>
          <w:szCs w:val="28"/>
        </w:rPr>
      </w:pPr>
      <w:r w:rsidRPr="00E4401D">
        <w:rPr>
          <w:rFonts w:ascii="Times New Roman" w:hAnsi="Times New Roman" w:cs="Times New Roman"/>
          <w:b/>
          <w:bCs/>
          <w:sz w:val="28"/>
          <w:szCs w:val="28"/>
        </w:rPr>
        <w:t>Magistrado</w:t>
      </w:r>
    </w:p>
    <w:sectPr w:rsidR="00FF6714" w:rsidRPr="00E4401D">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E4401D">
      <w:pPr>
        <w:spacing w:after="0" w:line="240" w:lineRule="auto"/>
      </w:pPr>
      <w:r>
        <w:separator/>
      </w:r>
    </w:p>
  </w:endnote>
  <w:endnote w:type="continuationSeparator" w:id="0">
    <w:p w:rsidR="00000000" w:rsidRDefault="00E44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E4401D">
      <w:pPr>
        <w:spacing w:after="0" w:line="240" w:lineRule="auto"/>
      </w:pPr>
      <w:r>
        <w:separator/>
      </w:r>
    </w:p>
  </w:footnote>
  <w:footnote w:type="continuationSeparator" w:id="0">
    <w:p w:rsidR="00000000" w:rsidRDefault="00E4401D">
      <w:pPr>
        <w:spacing w:after="0" w:line="240" w:lineRule="auto"/>
      </w:pPr>
      <w:r>
        <w:continuationSeparator/>
      </w:r>
    </w:p>
  </w:footnote>
  <w:footnote w:id="1">
    <w:p w:rsidR="00F464C8" w:rsidRPr="00316E3D" w:rsidRDefault="00E4401D" w:rsidP="00F464C8">
      <w:pPr>
        <w:pStyle w:val="Textonotapie"/>
        <w:jc w:val="both"/>
      </w:pPr>
      <w:r w:rsidRPr="00316E3D">
        <w:rPr>
          <w:rStyle w:val="Refdenotaalpie"/>
        </w:rPr>
        <w:footnoteRef/>
      </w:r>
      <w:r w:rsidRPr="00316E3D">
        <w:t xml:space="preserve"> Mediante los informes de pruebas del </w:t>
      </w:r>
      <w:r w:rsidRPr="00576C06">
        <w:t>08 y 28 de agosto, 29 de septiembre, y 10, 12 y 25 de octubre de 2023</w:t>
      </w:r>
      <w:r w:rsidRPr="00316E3D">
        <w:t xml:space="preserve">, la Secretaría General de </w:t>
      </w:r>
      <w:r w:rsidRPr="00316E3D">
        <w:t>la Corte Constitucional le comunicó al despacho del Magistrado sustanciador el</w:t>
      </w:r>
      <w:r>
        <w:t xml:space="preserve"> </w:t>
      </w:r>
      <w:r w:rsidRPr="00316E3D">
        <w:t xml:space="preserve">recibo de dichas pruebas. </w:t>
      </w:r>
    </w:p>
  </w:footnote>
  <w:footnote w:id="2">
    <w:p w:rsidR="00F464C8" w:rsidRPr="00FC78D0" w:rsidRDefault="00E4401D" w:rsidP="00F464C8">
      <w:pPr>
        <w:pStyle w:val="Textonotapie"/>
        <w:jc w:val="both"/>
      </w:pPr>
      <w:r w:rsidRPr="00FC78D0">
        <w:rPr>
          <w:rStyle w:val="Refdenotaalpie"/>
        </w:rPr>
        <w:footnoteRef/>
      </w:r>
      <w:r w:rsidRPr="00FC78D0">
        <w:rPr>
          <w:i/>
          <w:iCs/>
          <w:shd w:val="clear" w:color="auto" w:fill="FFFFFF"/>
        </w:rPr>
        <w:t>“Artículo 241. A la Corte Constitucional se le confía la guarda de la integridad y supremacía de la Constitución, en los estrictos y precisos término</w:t>
      </w:r>
      <w:r w:rsidRPr="00FC78D0">
        <w:rPr>
          <w:i/>
          <w:iCs/>
          <w:shd w:val="clear" w:color="auto" w:fill="FFFFFF"/>
        </w:rPr>
        <w:t>s de este artículo. Con tal fin, cumplirá las siguientes funciones: (…) 4. Decidir sobre las demandas de inconstitucionalidad que presenten los ciudadanos contra las leyes, tanto por su contenido material como por vicios de procedimiento en su formación.”</w:t>
      </w:r>
    </w:p>
  </w:footnote>
  <w:footnote w:id="3">
    <w:p w:rsidR="00F464C8" w:rsidRPr="00342737" w:rsidRDefault="00E4401D" w:rsidP="00F464C8">
      <w:pPr>
        <w:pStyle w:val="Textonotapie"/>
        <w:rPr>
          <w:lang w:val="es-MX"/>
        </w:rPr>
      </w:pPr>
      <w:r>
        <w:rPr>
          <w:rStyle w:val="Refdenotaalpie"/>
        </w:rPr>
        <w:footnoteRef/>
      </w:r>
      <w:r>
        <w:t xml:space="preserve"> </w:t>
      </w:r>
      <w:r>
        <w:rPr>
          <w:lang w:val="es-MX"/>
        </w:rPr>
        <w:t xml:space="preserve">El artículo 241 de la Constitución Política prevé que </w:t>
      </w:r>
      <w:r w:rsidRPr="00342737">
        <w:rPr>
          <w:i/>
          <w:iCs/>
          <w:lang w:val="es-MX"/>
        </w:rPr>
        <w:t>“a la Corte Constitucional se le confía la guarda de la integridad y supremacía de la Constitución, en los estrictos y precisos términos de este artículo.”</w:t>
      </w:r>
    </w:p>
  </w:footnote>
  <w:footnote w:id="4">
    <w:p w:rsidR="00F464C8" w:rsidRPr="00677FF7" w:rsidRDefault="00E4401D" w:rsidP="00F464C8">
      <w:pPr>
        <w:pStyle w:val="Textonotapie"/>
      </w:pPr>
      <w:r>
        <w:rPr>
          <w:rStyle w:val="Refdenotaalpie"/>
        </w:rPr>
        <w:footnoteRef/>
      </w:r>
      <w:r>
        <w:t xml:space="preserve"> </w:t>
      </w:r>
      <w:r>
        <w:rPr>
          <w:i/>
          <w:iCs/>
        </w:rPr>
        <w:t xml:space="preserve">Cfr., </w:t>
      </w:r>
      <w:r>
        <w:t>Corte Constitucional, Sentencia C-10</w:t>
      </w:r>
      <w:r>
        <w:t>52 de 2001</w:t>
      </w:r>
      <w:r>
        <w:t>, fundamento jurídico 3.3.</w:t>
      </w:r>
    </w:p>
  </w:footnote>
  <w:footnote w:id="5">
    <w:p w:rsidR="00F464C8" w:rsidRDefault="00E4401D" w:rsidP="00F464C8">
      <w:pPr>
        <w:pStyle w:val="Textonotapie"/>
      </w:pPr>
      <w:r>
        <w:rPr>
          <w:rStyle w:val="Refdenotaalpie"/>
        </w:rPr>
        <w:footnoteRef/>
      </w:r>
      <w:r>
        <w:t xml:space="preserve"> Corte Constitucional, Sentencia C-491 de 1997</w:t>
      </w:r>
      <w:r>
        <w:t>, fundamento jurídico 1.</w:t>
      </w:r>
    </w:p>
  </w:footnote>
  <w:footnote w:id="6">
    <w:p w:rsidR="00F464C8" w:rsidRPr="00DD5052" w:rsidRDefault="00E4401D" w:rsidP="00F464C8">
      <w:pPr>
        <w:pStyle w:val="Textonotapie"/>
        <w:jc w:val="both"/>
      </w:pPr>
      <w:r w:rsidRPr="00DD5052">
        <w:rPr>
          <w:rStyle w:val="Refdenotaalpie"/>
          <w:rFonts w:eastAsiaTheme="majorEastAsia"/>
        </w:rPr>
        <w:footnoteRef/>
      </w:r>
      <w:r w:rsidRPr="00DD5052">
        <w:t xml:space="preserve"> Publicada en el Diario Oficial No. 52.</w:t>
      </w:r>
      <w:r>
        <w:t>400</w:t>
      </w:r>
      <w:r w:rsidRPr="00DD5052">
        <w:t xml:space="preserve"> de</w:t>
      </w:r>
      <w:r>
        <w:t>l</w:t>
      </w:r>
      <w:r w:rsidRPr="00DD5052">
        <w:t xml:space="preserve"> 1</w:t>
      </w:r>
      <w:r>
        <w:t>9</w:t>
      </w:r>
      <w:r w:rsidRPr="00DD5052">
        <w:t xml:space="preserve"> de </w:t>
      </w:r>
      <w:r>
        <w:t>mayo</w:t>
      </w:r>
      <w:r w:rsidRPr="00DD5052">
        <w:t xml:space="preserve"> de 202</w:t>
      </w:r>
      <w:r>
        <w:t>3</w:t>
      </w:r>
      <w:r w:rsidRPr="00DD5052">
        <w:t>.</w:t>
      </w:r>
    </w:p>
  </w:footnote>
  <w:footnote w:id="7">
    <w:p w:rsidR="00621E9D" w:rsidRPr="0004425D" w:rsidRDefault="00E4401D" w:rsidP="00621E9D">
      <w:pPr>
        <w:pStyle w:val="Textonotapie"/>
      </w:pPr>
      <w:r w:rsidRPr="0004425D">
        <w:rPr>
          <w:rStyle w:val="Refdenotaalpie"/>
        </w:rPr>
        <w:footnoteRef/>
      </w:r>
      <w:r w:rsidRPr="0004425D">
        <w:t xml:space="preserve"> </w:t>
      </w:r>
      <w:r>
        <w:t xml:space="preserve">Corte Constitucional, </w:t>
      </w:r>
      <w:r w:rsidRPr="0004425D">
        <w:t>Sentencia C-552 de 2014</w:t>
      </w:r>
      <w:r>
        <w:t>, fundamento jurídico 2.1.1.4.</w:t>
      </w:r>
    </w:p>
  </w:footnote>
  <w:footnote w:id="8">
    <w:p w:rsidR="00621E9D" w:rsidRPr="0004425D" w:rsidRDefault="00E4401D" w:rsidP="00621E9D">
      <w:pPr>
        <w:pStyle w:val="Textonotapie"/>
      </w:pPr>
      <w:r w:rsidRPr="0004425D">
        <w:rPr>
          <w:rStyle w:val="Refdenotaalpie"/>
        </w:rPr>
        <w:footnoteRef/>
      </w:r>
      <w:r w:rsidRPr="0004425D">
        <w:t xml:space="preserve"> </w:t>
      </w:r>
      <w:r>
        <w:t xml:space="preserve">Corte Constitucional, </w:t>
      </w:r>
      <w:r w:rsidRPr="0004425D">
        <w:t xml:space="preserve">Sentencias C-774 de 2001, </w:t>
      </w:r>
      <w:r>
        <w:t xml:space="preserve">fundamento 3.1. Reiterada en las Sentencias </w:t>
      </w:r>
      <w:r w:rsidRPr="0004425D">
        <w:t>C-468 de 2011, C-007 de 2016 y C-089 de 2020.</w:t>
      </w:r>
    </w:p>
  </w:footnote>
  <w:footnote w:id="9">
    <w:p w:rsidR="00621E9D" w:rsidRPr="0004425D" w:rsidRDefault="00E4401D" w:rsidP="005E59C0">
      <w:pPr>
        <w:pStyle w:val="Textonotapie"/>
        <w:ind w:left="708" w:hanging="708"/>
      </w:pPr>
      <w:r w:rsidRPr="0004425D">
        <w:rPr>
          <w:rStyle w:val="Refdenotaalpie"/>
        </w:rPr>
        <w:footnoteRef/>
      </w:r>
      <w:r w:rsidRPr="0004425D">
        <w:t xml:space="preserve"> </w:t>
      </w:r>
      <w:r>
        <w:t xml:space="preserve">Corte Constitucional, </w:t>
      </w:r>
      <w:r w:rsidRPr="0004425D">
        <w:t>Sentencia C-089 de 2020</w:t>
      </w:r>
      <w:r>
        <w:t>, fundamento jurídico 28.</w:t>
      </w:r>
    </w:p>
  </w:footnote>
  <w:footnote w:id="10">
    <w:p w:rsidR="00621E9D" w:rsidRPr="0004425D" w:rsidRDefault="00E4401D" w:rsidP="00621E9D">
      <w:pPr>
        <w:pStyle w:val="Textonotapie"/>
        <w:rPr>
          <w:lang w:val="es-MX"/>
        </w:rPr>
      </w:pPr>
      <w:r w:rsidRPr="0004425D">
        <w:rPr>
          <w:rStyle w:val="Refdenotaalpie"/>
        </w:rPr>
        <w:footnoteRef/>
      </w:r>
      <w:r w:rsidRPr="0004425D">
        <w:t xml:space="preserve"> El resumen expuesto a continuación corresp</w:t>
      </w:r>
      <w:r w:rsidRPr="0004425D">
        <w:t>onde a lo señalado en la Sentencia C-337 de 2021.</w:t>
      </w:r>
    </w:p>
  </w:footnote>
  <w:footnote w:id="11">
    <w:p w:rsidR="00621E9D" w:rsidRPr="0004425D" w:rsidRDefault="00E4401D" w:rsidP="00621E9D">
      <w:pPr>
        <w:pStyle w:val="Textonotapie"/>
        <w:jc w:val="both"/>
      </w:pPr>
      <w:r w:rsidRPr="0004425D">
        <w:rPr>
          <w:rStyle w:val="Refdenotaalpie"/>
        </w:rPr>
        <w:footnoteRef/>
      </w:r>
      <w:r w:rsidRPr="0004425D">
        <w:t xml:space="preserve"> Para esta definición se toman las conclusiones expresadas en la Sentencia C-118 de 2021. Sin embargo, la figura ha sido desarrollada en múltiples sentencias, entre ellas las Sentencia</w:t>
      </w:r>
      <w:r>
        <w:t>s</w:t>
      </w:r>
      <w:r w:rsidRPr="0004425D">
        <w:t xml:space="preserve"> C-774 de 2001, C-33</w:t>
      </w:r>
      <w:r w:rsidRPr="0004425D">
        <w:t>4 de 2013, C-007 de 2016, C-221 de 2016 y C-265 de 2019.</w:t>
      </w:r>
    </w:p>
  </w:footnote>
  <w:footnote w:id="12">
    <w:p w:rsidR="00621E9D" w:rsidRPr="0004425D" w:rsidRDefault="00E4401D" w:rsidP="00621E9D">
      <w:pPr>
        <w:pStyle w:val="Textonotapie"/>
        <w:jc w:val="both"/>
      </w:pPr>
      <w:r w:rsidRPr="0004425D">
        <w:rPr>
          <w:rStyle w:val="Refdenotaalpie"/>
        </w:rPr>
        <w:footnoteRef/>
      </w:r>
      <w:r w:rsidRPr="0004425D">
        <w:t xml:space="preserve"> Corte Constitucional, Sentencia C-007 de 2016</w:t>
      </w:r>
      <w:r>
        <w:t>, fundamento jurídico 3.2.4.</w:t>
      </w:r>
    </w:p>
  </w:footnote>
  <w:footnote w:id="13">
    <w:p w:rsidR="00621E9D" w:rsidRPr="0004425D" w:rsidRDefault="00E4401D" w:rsidP="00621E9D">
      <w:pPr>
        <w:pStyle w:val="Textonotapie"/>
        <w:jc w:val="both"/>
      </w:pPr>
      <w:r w:rsidRPr="0004425D">
        <w:rPr>
          <w:rStyle w:val="Refdenotaalpie"/>
        </w:rPr>
        <w:footnoteRef/>
      </w:r>
      <w:r w:rsidRPr="0004425D">
        <w:t xml:space="preserve"> </w:t>
      </w:r>
      <w:r w:rsidRPr="001D28FE">
        <w:rPr>
          <w:i/>
          <w:iCs/>
        </w:rPr>
        <w:t>Cfr</w:t>
      </w:r>
      <w:r w:rsidRPr="0004425D">
        <w:t>., Corte Constitucional, Sentencias</w:t>
      </w:r>
      <w:r w:rsidRPr="0004425D">
        <w:rPr>
          <w:lang w:val="es-ES_tradnl"/>
        </w:rPr>
        <w:t xml:space="preserve"> C-397 de 1995,</w:t>
      </w:r>
      <w:r>
        <w:rPr>
          <w:lang w:val="es-ES_tradnl"/>
        </w:rPr>
        <w:t xml:space="preserve"> página 22. Reiterado en las sentencias</w:t>
      </w:r>
      <w:r w:rsidRPr="0004425D">
        <w:rPr>
          <w:lang w:val="es-ES_tradnl"/>
        </w:rPr>
        <w:t xml:space="preserve"> C-700 de 1999, C-925 de 2000</w:t>
      </w:r>
      <w:r w:rsidRPr="0004425D">
        <w:rPr>
          <w:lang w:val="es-ES_tradnl"/>
        </w:rPr>
        <w:t xml:space="preserve"> y C-157 de 2002.</w:t>
      </w:r>
    </w:p>
  </w:footnote>
  <w:footnote w:id="14">
    <w:p w:rsidR="00621E9D" w:rsidRPr="0004425D" w:rsidRDefault="00E4401D" w:rsidP="00621E9D">
      <w:pPr>
        <w:pStyle w:val="Textonotapie"/>
        <w:jc w:val="both"/>
      </w:pPr>
      <w:r w:rsidRPr="0004425D">
        <w:rPr>
          <w:rStyle w:val="Refdenotaalpie"/>
        </w:rPr>
        <w:footnoteRef/>
      </w:r>
      <w:r w:rsidRPr="0004425D">
        <w:t xml:space="preserve"> Corte Constitucional, Sentencia C-049 de 2020</w:t>
      </w:r>
      <w:r>
        <w:t>, fundamento jurídico 6.2.1.</w:t>
      </w:r>
    </w:p>
  </w:footnote>
  <w:footnote w:id="15">
    <w:p w:rsidR="00621E9D" w:rsidRPr="0004425D" w:rsidRDefault="00E4401D" w:rsidP="00621E9D">
      <w:pPr>
        <w:pStyle w:val="Textonotapie"/>
        <w:ind w:right="-232"/>
        <w:jc w:val="both"/>
      </w:pPr>
      <w:r w:rsidRPr="0004425D">
        <w:rPr>
          <w:rStyle w:val="Refdenotaalpie"/>
        </w:rPr>
        <w:footnoteRef/>
      </w:r>
      <w:r w:rsidRPr="0004425D">
        <w:t xml:space="preserve"> Corte Constitucional, Sentencia C-310 de 2002</w:t>
      </w:r>
      <w:r>
        <w:t>, fundamento jurídico 3.8.</w:t>
      </w:r>
    </w:p>
  </w:footnote>
  <w:footnote w:id="16">
    <w:p w:rsidR="00621E9D" w:rsidRPr="0004425D" w:rsidRDefault="00E4401D" w:rsidP="00621E9D">
      <w:pPr>
        <w:pStyle w:val="Textonotapie"/>
      </w:pPr>
      <w:r w:rsidRPr="0004425D">
        <w:rPr>
          <w:rStyle w:val="Refdenotaalpie"/>
        </w:rPr>
        <w:footnoteRef/>
      </w:r>
      <w:r w:rsidRPr="0004425D">
        <w:t xml:space="preserve"> </w:t>
      </w:r>
      <w:r>
        <w:rPr>
          <w:i/>
          <w:iCs/>
        </w:rPr>
        <w:t xml:space="preserve">Cfr., </w:t>
      </w:r>
      <w:r>
        <w:t xml:space="preserve">Corte Constitucional, </w:t>
      </w:r>
      <w:r w:rsidRPr="0004425D">
        <w:t>Sentencia C-089 de 2020</w:t>
      </w:r>
      <w:r>
        <w:t>, fundamento jurídico 30.</w:t>
      </w:r>
    </w:p>
  </w:footnote>
  <w:footnote w:id="17">
    <w:p w:rsidR="00C0650A" w:rsidRDefault="00E4401D">
      <w:pPr>
        <w:pStyle w:val="Textonotapie"/>
      </w:pPr>
      <w:r w:rsidRPr="008A3C27">
        <w:rPr>
          <w:rStyle w:val="Refdenotaalpie"/>
          <w:highlight w:val="darkGray"/>
        </w:rPr>
        <w:footnoteRef/>
      </w:r>
      <w:r w:rsidRPr="008A3C27">
        <w:rPr>
          <w:highlight w:val="darkGray"/>
        </w:rPr>
        <w:t xml:space="preserve"> El resumen expuesto a continuación corresponde a lo señalado en la Sentencia C-328 de 2024.</w:t>
      </w:r>
    </w:p>
  </w:footnote>
  <w:footnote w:id="18">
    <w:p w:rsidR="005D0C4B" w:rsidRPr="00E93F0D" w:rsidRDefault="00E4401D" w:rsidP="005D0C4B">
      <w:pPr>
        <w:pStyle w:val="Textonotapie"/>
      </w:pPr>
      <w:r>
        <w:rPr>
          <w:rStyle w:val="Refdenotaalpie"/>
        </w:rPr>
        <w:footnoteRef/>
      </w:r>
      <w:r>
        <w:t xml:space="preserve"> </w:t>
      </w:r>
      <w:r>
        <w:rPr>
          <w:i/>
          <w:iCs/>
        </w:rPr>
        <w:t>Cfr.</w:t>
      </w:r>
      <w:r>
        <w:t xml:space="preserve"> Corte Constitucional. Auto 296 de 2012.</w:t>
      </w:r>
    </w:p>
  </w:footnote>
  <w:footnote w:id="19">
    <w:p w:rsidR="00367FE5" w:rsidRDefault="00E4401D">
      <w:pPr>
        <w:pStyle w:val="Textonotapie"/>
      </w:pPr>
      <w:r>
        <w:rPr>
          <w:rStyle w:val="Refdenotaalpie"/>
        </w:rPr>
        <w:footnoteRef/>
      </w:r>
      <w:r>
        <w:t xml:space="preserve"> Ibidem.</w:t>
      </w:r>
    </w:p>
  </w:footnote>
  <w:footnote w:id="20">
    <w:p w:rsidR="006611F1" w:rsidRPr="006611F1" w:rsidRDefault="00E4401D">
      <w:pPr>
        <w:pStyle w:val="Textonotapie"/>
        <w:rPr>
          <w:lang w:val="es-ES"/>
        </w:rPr>
      </w:pPr>
      <w:r w:rsidRPr="003818CB">
        <w:rPr>
          <w:rStyle w:val="Refdenotaalpie"/>
        </w:rPr>
        <w:footnoteRef/>
      </w:r>
      <w:r w:rsidRPr="003818CB">
        <w:t xml:space="preserve"> </w:t>
      </w:r>
      <w:r w:rsidRPr="003818CB">
        <w:rPr>
          <w:i/>
          <w:iCs/>
        </w:rPr>
        <w:t xml:space="preserve">Cfr. </w:t>
      </w:r>
      <w:r w:rsidRPr="003818CB">
        <w:t>Sentencias C-520 de 2019 y C-481 de 2019.</w:t>
      </w:r>
    </w:p>
  </w:footnote>
  <w:footnote w:id="21">
    <w:p w:rsidR="004133A4" w:rsidRDefault="00E4401D" w:rsidP="004133A4">
      <w:pPr>
        <w:jc w:val="both"/>
      </w:pPr>
      <w:r w:rsidRPr="00D875BD">
        <w:rPr>
          <w:sz w:val="20"/>
          <w:szCs w:val="20"/>
          <w:vertAlign w:val="superscript"/>
        </w:rPr>
        <w:footnoteRef/>
      </w:r>
      <w:r w:rsidRPr="00D875BD">
        <w:rPr>
          <w:sz w:val="20"/>
          <w:szCs w:val="20"/>
        </w:rPr>
        <w:t xml:space="preserve"> Corte Constitucional, </w:t>
      </w:r>
      <w:r>
        <w:rPr>
          <w:sz w:val="20"/>
          <w:szCs w:val="20"/>
        </w:rPr>
        <w:t>S</w:t>
      </w:r>
      <w:r w:rsidRPr="00D875BD">
        <w:rPr>
          <w:sz w:val="20"/>
          <w:szCs w:val="20"/>
        </w:rPr>
        <w:t>entencia C-816 de 2004</w:t>
      </w:r>
      <w:r>
        <w:rPr>
          <w:sz w:val="20"/>
          <w:szCs w:val="20"/>
        </w:rPr>
        <w:t>, fundamen</w:t>
      </w:r>
      <w:r>
        <w:rPr>
          <w:sz w:val="20"/>
          <w:szCs w:val="20"/>
        </w:rPr>
        <w:t>to jurídico 71. Reiterado en la Sentencia</w:t>
      </w:r>
      <w:r w:rsidRPr="00D875BD">
        <w:rPr>
          <w:sz w:val="20"/>
          <w:szCs w:val="20"/>
        </w:rPr>
        <w:t xml:space="preserve"> C-332 de 2016. También se consideran imprescindibles el pluralismo político, el principio de mayorías y el principio de publicidad.</w:t>
      </w:r>
    </w:p>
  </w:footnote>
  <w:footnote w:id="22">
    <w:p w:rsidR="004133A4" w:rsidRDefault="00E4401D" w:rsidP="004133A4">
      <w:pPr>
        <w:pStyle w:val="Textonotapie"/>
        <w:jc w:val="both"/>
      </w:pPr>
      <w:r w:rsidRPr="00D875BD">
        <w:rPr>
          <w:rStyle w:val="Refdenotaalpie"/>
        </w:rPr>
        <w:footnoteRef/>
      </w:r>
      <w:r w:rsidRPr="00D875BD">
        <w:t xml:space="preserve"> En todo caso est</w:t>
      </w:r>
      <w:r>
        <w:t>a Corte</w:t>
      </w:r>
      <w:r w:rsidRPr="00D875BD">
        <w:t xml:space="preserve"> ha indicado que no constituye una irregularidad de forma</w:t>
      </w:r>
      <w:r w:rsidRPr="00D875BD">
        <w:t xml:space="preserve"> que las propuestas de modificación sean publicadas e identificadas en el desarrollo del debate, y que a pesar de que se otorgue la oportunidad de discutir sobre estas, se opte por su aprobación sin que haya muchas intervenciones al respecto (</w:t>
      </w:r>
      <w:r>
        <w:t>S</w:t>
      </w:r>
      <w:r w:rsidRPr="00D875BD">
        <w:t>entencia C-7</w:t>
      </w:r>
      <w:r w:rsidRPr="00D875BD">
        <w:t>51 de 2013), de modo que existe debate incluso cuando la discusión es sencilla o corta, pero el objeto de la discusión es claro y determinado.</w:t>
      </w:r>
    </w:p>
  </w:footnote>
  <w:footnote w:id="23">
    <w:p w:rsidR="00990D94" w:rsidRDefault="00E4401D" w:rsidP="00990D94">
      <w:pPr>
        <w:pStyle w:val="Textonotapie"/>
        <w:jc w:val="both"/>
      </w:pPr>
      <w:r w:rsidRPr="00DB3CFF">
        <w:rPr>
          <w:rStyle w:val="Refdenotaalpie"/>
          <w:rFonts w:eastAsiaTheme="majorEastAsia"/>
          <w:color w:val="000000" w:themeColor="text1"/>
        </w:rPr>
        <w:footnoteRef/>
      </w:r>
      <w:r w:rsidRPr="00DB3CFF">
        <w:rPr>
          <w:color w:val="000000" w:themeColor="text1"/>
        </w:rPr>
        <w:t xml:space="preserve"> </w:t>
      </w:r>
      <w:r w:rsidRPr="00774107">
        <w:rPr>
          <w:i/>
          <w:iCs/>
          <w:color w:val="000000" w:themeColor="text1"/>
        </w:rPr>
        <w:t>Cfr</w:t>
      </w:r>
      <w:r w:rsidRPr="00DB3CFF">
        <w:rPr>
          <w:color w:val="000000" w:themeColor="text1"/>
        </w:rPr>
        <w:t>.</w:t>
      </w:r>
      <w:r>
        <w:rPr>
          <w:color w:val="000000" w:themeColor="text1"/>
        </w:rPr>
        <w:t xml:space="preserve">, </w:t>
      </w:r>
      <w:r>
        <w:t>Corte Constitucional,</w:t>
      </w:r>
      <w:r w:rsidRPr="00DB3CFF">
        <w:rPr>
          <w:color w:val="000000" w:themeColor="text1"/>
        </w:rPr>
        <w:t xml:space="preserve"> Sentencia C-314</w:t>
      </w:r>
      <w:r>
        <w:rPr>
          <w:color w:val="000000" w:themeColor="text1"/>
        </w:rPr>
        <w:t>, fundamento jurídico 158. Reiterado en la Sentencia C-</w:t>
      </w:r>
      <w:r w:rsidRPr="00DB3CFF">
        <w:rPr>
          <w:color w:val="000000" w:themeColor="text1"/>
        </w:rPr>
        <w:t>325 de 2022.</w:t>
      </w:r>
    </w:p>
  </w:footnote>
  <w:footnote w:id="24">
    <w:p w:rsidR="00814DC1" w:rsidRPr="00E8337B" w:rsidRDefault="00E4401D" w:rsidP="00774107">
      <w:pPr>
        <w:pStyle w:val="Textonotapie"/>
        <w:ind w:left="708" w:hanging="708"/>
      </w:pPr>
      <w:r>
        <w:rPr>
          <w:rStyle w:val="Refdenotaalpie"/>
        </w:rPr>
        <w:footnoteRef/>
      </w:r>
      <w:r>
        <w:t xml:space="preserve"> </w:t>
      </w:r>
      <w:r>
        <w:rPr>
          <w:i/>
          <w:iCs/>
        </w:rPr>
        <w:t>Cfr.</w:t>
      </w:r>
      <w:r>
        <w:rPr>
          <w:i/>
          <w:iCs/>
        </w:rPr>
        <w:t>,</w:t>
      </w:r>
      <w:r>
        <w:t xml:space="preserve"> Corte Constitucional</w:t>
      </w:r>
      <w:r>
        <w:t>,</w:t>
      </w:r>
      <w:r>
        <w:t xml:space="preserve"> Sentencia C-537 de 2012</w:t>
      </w:r>
      <w:r>
        <w:t>, fundamento jurídico 13.</w:t>
      </w:r>
    </w:p>
  </w:footnote>
  <w:footnote w:id="25">
    <w:p w:rsidR="00C52575" w:rsidRDefault="00E4401D" w:rsidP="00C52575">
      <w:pPr>
        <w:pStyle w:val="Textonotapie"/>
        <w:jc w:val="both"/>
      </w:pPr>
      <w:r w:rsidRPr="00DB3CFF">
        <w:rPr>
          <w:rStyle w:val="Refdenotaalpie"/>
          <w:rFonts w:eastAsiaTheme="majorEastAsia"/>
          <w:color w:val="000000" w:themeColor="text1"/>
        </w:rPr>
        <w:footnoteRef/>
      </w:r>
      <w:r w:rsidRPr="00DB3CFF">
        <w:rPr>
          <w:color w:val="000000" w:themeColor="text1"/>
        </w:rPr>
        <w:t xml:space="preserve"> </w:t>
      </w:r>
      <w:r>
        <w:t xml:space="preserve">Corte Constitucional, </w:t>
      </w:r>
      <w:r w:rsidRPr="00DB3CFF">
        <w:rPr>
          <w:color w:val="000000" w:themeColor="text1"/>
        </w:rPr>
        <w:t>Sentencia C-325 de 2022</w:t>
      </w:r>
      <w:r>
        <w:rPr>
          <w:color w:val="000000" w:themeColor="text1"/>
        </w:rPr>
        <w:t>, fundamento jurídico 75.</w:t>
      </w:r>
    </w:p>
  </w:footnote>
  <w:footnote w:id="26">
    <w:p w:rsidR="00C10912" w:rsidRPr="00FD3BDF" w:rsidRDefault="00E4401D" w:rsidP="00C10912">
      <w:pPr>
        <w:pStyle w:val="Textonotapie"/>
      </w:pPr>
      <w:r>
        <w:rPr>
          <w:rStyle w:val="Refdenotaalpie"/>
        </w:rPr>
        <w:footnoteRef/>
      </w:r>
      <w:r>
        <w:t xml:space="preserve"> </w:t>
      </w:r>
      <w:r>
        <w:rPr>
          <w:i/>
          <w:iCs/>
        </w:rPr>
        <w:t>Cfr</w:t>
      </w:r>
      <w:r>
        <w:t>.</w:t>
      </w:r>
      <w:r>
        <w:t>,</w:t>
      </w:r>
      <w:r>
        <w:t xml:space="preserve"> Corte Constitucional. Sentencia C-760 de 2001</w:t>
      </w:r>
      <w:r>
        <w:t>, fundamento jurídico 6.</w:t>
      </w:r>
    </w:p>
  </w:footnote>
  <w:footnote w:id="27">
    <w:p w:rsidR="003A5AE7" w:rsidRDefault="00E4401D" w:rsidP="003A5AE7">
      <w:pPr>
        <w:pStyle w:val="Textonotapie"/>
        <w:jc w:val="both"/>
      </w:pPr>
      <w:r w:rsidRPr="00DB3CFF">
        <w:rPr>
          <w:rStyle w:val="Refdenotaalpie"/>
          <w:rFonts w:eastAsiaTheme="majorEastAsia"/>
          <w:color w:val="000000" w:themeColor="text1"/>
        </w:rPr>
        <w:footnoteRef/>
      </w:r>
      <w:r w:rsidRPr="00DB3CFF">
        <w:rPr>
          <w:color w:val="000000" w:themeColor="text1"/>
        </w:rPr>
        <w:t xml:space="preserve"> </w:t>
      </w:r>
      <w:r>
        <w:t xml:space="preserve">Corte Constitucional, </w:t>
      </w:r>
      <w:r w:rsidRPr="00DB3CFF">
        <w:rPr>
          <w:color w:val="000000" w:themeColor="text1"/>
        </w:rPr>
        <w:t>Sentencia C-314 de 2022</w:t>
      </w:r>
      <w:r>
        <w:rPr>
          <w:color w:val="000000" w:themeColor="text1"/>
        </w:rPr>
        <w:t>, fundamento jurídico 66.</w:t>
      </w:r>
    </w:p>
  </w:footnote>
  <w:footnote w:id="28">
    <w:p w:rsidR="003A5AE7" w:rsidRDefault="00E4401D" w:rsidP="003A5AE7">
      <w:pPr>
        <w:pStyle w:val="Textonotapie"/>
        <w:jc w:val="both"/>
      </w:pPr>
      <w:r w:rsidRPr="00DB3CFF">
        <w:rPr>
          <w:rStyle w:val="Refdenotaalpie"/>
          <w:rFonts w:eastAsiaTheme="majorEastAsia"/>
          <w:color w:val="000000" w:themeColor="text1"/>
        </w:rPr>
        <w:footnoteRef/>
      </w:r>
      <w:r w:rsidRPr="00DB3CFF">
        <w:rPr>
          <w:color w:val="000000" w:themeColor="text1"/>
        </w:rPr>
        <w:t xml:space="preserve"> </w:t>
      </w:r>
      <w:r w:rsidRPr="00AA4FEC">
        <w:rPr>
          <w:i/>
          <w:iCs/>
          <w:color w:val="000000" w:themeColor="text1"/>
        </w:rPr>
        <w:t>Cfr</w:t>
      </w:r>
      <w:r w:rsidRPr="00DB3CFF">
        <w:rPr>
          <w:color w:val="000000" w:themeColor="text1"/>
        </w:rPr>
        <w:t>.</w:t>
      </w:r>
      <w:r>
        <w:rPr>
          <w:color w:val="000000" w:themeColor="text1"/>
        </w:rPr>
        <w:t xml:space="preserve">, </w:t>
      </w:r>
      <w:r>
        <w:t>Corte Constitucional,</w:t>
      </w:r>
      <w:r w:rsidRPr="00DB3CFF">
        <w:rPr>
          <w:color w:val="000000" w:themeColor="text1"/>
        </w:rPr>
        <w:t xml:space="preserve"> Sentencia C-557 de 2000</w:t>
      </w:r>
      <w:r>
        <w:rPr>
          <w:color w:val="000000" w:themeColor="text1"/>
        </w:rPr>
        <w:t>, fundamento jurídico 17.</w:t>
      </w:r>
    </w:p>
  </w:footnote>
  <w:footnote w:id="29">
    <w:p w:rsidR="00BB7AF0" w:rsidRDefault="00E4401D" w:rsidP="00BB7AF0">
      <w:pPr>
        <w:jc w:val="both"/>
      </w:pPr>
      <w:r w:rsidRPr="00D875BD">
        <w:rPr>
          <w:sz w:val="20"/>
          <w:szCs w:val="20"/>
          <w:vertAlign w:val="superscript"/>
        </w:rPr>
        <w:footnoteRef/>
      </w:r>
      <w:r w:rsidRPr="00D875BD">
        <w:rPr>
          <w:sz w:val="20"/>
          <w:szCs w:val="20"/>
        </w:rPr>
        <w:t xml:space="preserve"> Corte Constitucional, sentencia C-760 de 2001, cuyos criterios fueron reiterados en las sentencias C-751 de 2013 y C-084 de 20</w:t>
      </w:r>
      <w:r w:rsidRPr="00D875BD">
        <w:rPr>
          <w:sz w:val="20"/>
          <w:szCs w:val="20"/>
        </w:rPr>
        <w:t>18. También, en la sentencia C-840 de 2013 la Corte puntualizó: “</w:t>
      </w:r>
      <w:r w:rsidRPr="00D875BD">
        <w:rPr>
          <w:i/>
          <w:sz w:val="20"/>
          <w:szCs w:val="20"/>
        </w:rPr>
        <w:t>5. La debida conformación de la voluntad democrática del legislativo, según lo expuesto, está supeditado a un presupuesto epistemológico.  Para que las cámaras puedan adoptar una decisión inf</w:t>
      </w:r>
      <w:r w:rsidRPr="00D875BD">
        <w:rPr>
          <w:i/>
          <w:sz w:val="20"/>
          <w:szCs w:val="20"/>
        </w:rPr>
        <w:t>ormada y deliberada sobre los proyectos de ley, deben establecerse mecanismos idóneos y suficientes para que los parlamentarios conozcan el contenido de las iniciativas.  Es bajo está lógica que la jurisprudencia constitucional ha establecido la obligación</w:t>
      </w:r>
      <w:r w:rsidRPr="00D875BD">
        <w:rPr>
          <w:i/>
          <w:sz w:val="20"/>
          <w:szCs w:val="20"/>
        </w:rPr>
        <w:t xml:space="preserve"> que el procedimiento legislativo cumpla con el principio de publicidad, entendido como la obligación que el proyecto de ley sea publicado en la Gaceta del Congreso, antes de darle curso en la comisión correspondiente, de acuerdo a lo ordenado en el numera</w:t>
      </w:r>
      <w:r w:rsidRPr="00D875BD">
        <w:rPr>
          <w:i/>
          <w:sz w:val="20"/>
          <w:szCs w:val="20"/>
        </w:rPr>
        <w:t>l primero del artículo 157 C.P., precepto replicado por el artículo 156 del Reglamento del Congreso</w:t>
      </w:r>
      <w:r w:rsidRPr="00D875BD">
        <w:rPr>
          <w:sz w:val="20"/>
          <w:szCs w:val="20"/>
        </w:rPr>
        <w:t>.”</w:t>
      </w:r>
    </w:p>
  </w:footnote>
  <w:footnote w:id="30">
    <w:p w:rsidR="002D365C" w:rsidRDefault="00E4401D" w:rsidP="002D365C">
      <w:pPr>
        <w:pStyle w:val="Textonotapie"/>
        <w:jc w:val="both"/>
      </w:pPr>
      <w:r w:rsidRPr="00DB3CFF">
        <w:rPr>
          <w:rStyle w:val="Refdenotaalpie"/>
          <w:rFonts w:eastAsiaTheme="majorEastAsia"/>
          <w:color w:val="000000" w:themeColor="text1"/>
        </w:rPr>
        <w:footnoteRef/>
      </w:r>
      <w:r w:rsidRPr="00DB3CFF">
        <w:rPr>
          <w:color w:val="000000" w:themeColor="text1"/>
        </w:rPr>
        <w:t xml:space="preserve"> </w:t>
      </w:r>
      <w:r w:rsidRPr="00015175">
        <w:rPr>
          <w:i/>
          <w:iCs/>
          <w:color w:val="000000" w:themeColor="text1"/>
        </w:rPr>
        <w:t>Cfr</w:t>
      </w:r>
      <w:r w:rsidRPr="00DB3CFF">
        <w:rPr>
          <w:color w:val="000000" w:themeColor="text1"/>
        </w:rPr>
        <w:t>. Sentencia C-314 de 2022</w:t>
      </w:r>
      <w:r>
        <w:rPr>
          <w:color w:val="000000" w:themeColor="text1"/>
        </w:rPr>
        <w:t>, fundamento jurídico 91.</w:t>
      </w:r>
    </w:p>
  </w:footnote>
  <w:footnote w:id="31">
    <w:p w:rsidR="003E4EE4" w:rsidRDefault="00E4401D" w:rsidP="003E4EE4">
      <w:pPr>
        <w:pStyle w:val="Textonotapie"/>
        <w:jc w:val="both"/>
      </w:pPr>
      <w:r w:rsidRPr="00DB3CFF">
        <w:rPr>
          <w:rStyle w:val="Refdenotaalpie"/>
          <w:rFonts w:eastAsiaTheme="majorEastAsia"/>
          <w:color w:val="000000" w:themeColor="text1"/>
        </w:rPr>
        <w:footnoteRef/>
      </w:r>
      <w:r w:rsidRPr="00DB3CFF">
        <w:rPr>
          <w:color w:val="000000" w:themeColor="text1"/>
        </w:rPr>
        <w:t xml:space="preserve"> </w:t>
      </w:r>
      <w:r w:rsidRPr="00015175">
        <w:rPr>
          <w:i/>
          <w:iCs/>
          <w:color w:val="000000" w:themeColor="text1"/>
        </w:rPr>
        <w:t>Cfr</w:t>
      </w:r>
      <w:r w:rsidRPr="00DB3CFF">
        <w:rPr>
          <w:color w:val="000000" w:themeColor="text1"/>
        </w:rPr>
        <w:t>. Sentencia C-916 de 2001</w:t>
      </w:r>
      <w:r>
        <w:rPr>
          <w:color w:val="000000" w:themeColor="text1"/>
        </w:rPr>
        <w:t>, fundamento jurídico 3.1.1.</w:t>
      </w:r>
    </w:p>
  </w:footnote>
  <w:footnote w:id="32">
    <w:p w:rsidR="00B56EFD" w:rsidRPr="00B56EFD" w:rsidRDefault="00E4401D">
      <w:pPr>
        <w:pStyle w:val="Textonotapie"/>
      </w:pPr>
      <w:r>
        <w:rPr>
          <w:rStyle w:val="Refdenotaalpie"/>
        </w:rPr>
        <w:footnoteRef/>
      </w:r>
      <w:r>
        <w:t xml:space="preserve"> </w:t>
      </w:r>
      <w:r>
        <w:rPr>
          <w:i/>
          <w:iCs/>
        </w:rPr>
        <w:t xml:space="preserve">Cfr. </w:t>
      </w:r>
      <w:r>
        <w:t xml:space="preserve">Sentencia C-134 de 2023, </w:t>
      </w:r>
      <w:r>
        <w:t>fundamento jurídico 267.</w:t>
      </w:r>
    </w:p>
  </w:footnote>
  <w:footnote w:id="33">
    <w:p w:rsidR="00125F1B" w:rsidRPr="00125F1B" w:rsidRDefault="00E4401D">
      <w:pPr>
        <w:pStyle w:val="Textonotapie"/>
        <w:rPr>
          <w:lang w:val="es-ES"/>
        </w:rPr>
      </w:pPr>
      <w:r>
        <w:rPr>
          <w:rStyle w:val="Refdenotaalpie"/>
        </w:rPr>
        <w:footnoteRef/>
      </w:r>
      <w:r>
        <w:t xml:space="preserve"> </w:t>
      </w:r>
      <w:r>
        <w:rPr>
          <w:i/>
          <w:iCs/>
          <w:lang w:val="es-ES"/>
        </w:rPr>
        <w:t>Cfr</w:t>
      </w:r>
      <w:r>
        <w:rPr>
          <w:lang w:val="es-ES"/>
        </w:rPr>
        <w:t xml:space="preserve">. Sentencia C-294 de 2024. </w:t>
      </w:r>
      <w:r w:rsidRPr="00125F1B">
        <w:t>En el mismo sentido, ver Sentencias C-015 de 2015 y C-415 de 2020.</w:t>
      </w:r>
    </w:p>
  </w:footnote>
  <w:footnote w:id="34">
    <w:p w:rsidR="00B9109B" w:rsidRDefault="00E4401D" w:rsidP="00B9109B">
      <w:pPr>
        <w:pStyle w:val="Textonotapie"/>
        <w:jc w:val="both"/>
      </w:pPr>
      <w:r w:rsidRPr="00DB3CFF">
        <w:rPr>
          <w:rStyle w:val="Refdenotaalpie"/>
          <w:rFonts w:eastAsiaTheme="majorEastAsia"/>
          <w:color w:val="000000" w:themeColor="text1"/>
        </w:rPr>
        <w:footnoteRef/>
      </w:r>
      <w:r w:rsidRPr="00DB3CFF">
        <w:rPr>
          <w:color w:val="000000" w:themeColor="text1"/>
        </w:rPr>
        <w:t xml:space="preserve"> Sentencias C-481 de 2019</w:t>
      </w:r>
      <w:r>
        <w:rPr>
          <w:color w:val="000000" w:themeColor="text1"/>
        </w:rPr>
        <w:t>, fundamento jurídico 141. Reiterado en la Sentencia</w:t>
      </w:r>
      <w:r w:rsidRPr="00DB3CFF">
        <w:rPr>
          <w:color w:val="000000" w:themeColor="text1"/>
        </w:rPr>
        <w:t xml:space="preserve"> C-415 de 2020. </w:t>
      </w:r>
      <w:r w:rsidRPr="00015175">
        <w:rPr>
          <w:i/>
          <w:iCs/>
          <w:color w:val="000000" w:themeColor="text1"/>
        </w:rPr>
        <w:t>Cfr</w:t>
      </w:r>
      <w:r w:rsidRPr="00DB3CFF">
        <w:rPr>
          <w:color w:val="000000" w:themeColor="text1"/>
        </w:rPr>
        <w:t>. Sentencias C-131 de 2009, C-537 d</w:t>
      </w:r>
      <w:r w:rsidRPr="00DB3CFF">
        <w:rPr>
          <w:color w:val="000000" w:themeColor="text1"/>
        </w:rPr>
        <w:t>e 2012 y C-084 de 2018.</w:t>
      </w:r>
    </w:p>
  </w:footnote>
  <w:footnote w:id="35">
    <w:p w:rsidR="00A9033C" w:rsidRPr="008278D2" w:rsidRDefault="00E4401D" w:rsidP="00A9033C">
      <w:pPr>
        <w:pStyle w:val="Textonotapie"/>
      </w:pPr>
      <w:r>
        <w:rPr>
          <w:rStyle w:val="Refdenotaalpie"/>
        </w:rPr>
        <w:footnoteRef/>
      </w:r>
      <w:r>
        <w:t xml:space="preserve"> </w:t>
      </w:r>
      <w:r>
        <w:rPr>
          <w:i/>
          <w:iCs/>
        </w:rPr>
        <w:t>Cfr.</w:t>
      </w:r>
      <w:r>
        <w:t xml:space="preserve"> Corte Constitucional. Sentencia C-760 de 2001</w:t>
      </w:r>
      <w:r>
        <w:t>, página 35.</w:t>
      </w:r>
    </w:p>
  </w:footnote>
  <w:footnote w:id="36">
    <w:p w:rsidR="002E7E62" w:rsidRDefault="00E4401D" w:rsidP="002E7E62">
      <w:pPr>
        <w:jc w:val="both"/>
      </w:pPr>
      <w:r w:rsidRPr="00D875BD">
        <w:rPr>
          <w:sz w:val="20"/>
          <w:szCs w:val="20"/>
          <w:vertAlign w:val="superscript"/>
        </w:rPr>
        <w:footnoteRef/>
      </w:r>
      <w:r w:rsidRPr="00D875BD">
        <w:rPr>
          <w:sz w:val="20"/>
          <w:szCs w:val="20"/>
        </w:rPr>
        <w:t xml:space="preserve"> Corte Constitucional, </w:t>
      </w:r>
      <w:r>
        <w:rPr>
          <w:sz w:val="20"/>
          <w:szCs w:val="20"/>
        </w:rPr>
        <w:t>S</w:t>
      </w:r>
      <w:r w:rsidRPr="00D875BD">
        <w:rPr>
          <w:sz w:val="20"/>
          <w:szCs w:val="20"/>
        </w:rPr>
        <w:t>entencia C-</w:t>
      </w:r>
      <w:r>
        <w:rPr>
          <w:sz w:val="20"/>
          <w:szCs w:val="20"/>
        </w:rPr>
        <w:t>537 de</w:t>
      </w:r>
      <w:r w:rsidRPr="00D875BD">
        <w:rPr>
          <w:sz w:val="20"/>
          <w:szCs w:val="20"/>
        </w:rPr>
        <w:t xml:space="preserve"> 20</w:t>
      </w:r>
      <w:r>
        <w:rPr>
          <w:sz w:val="20"/>
          <w:szCs w:val="20"/>
        </w:rPr>
        <w:t>12, fundamento jurídico 15.2.4.</w:t>
      </w:r>
    </w:p>
  </w:footnote>
  <w:footnote w:id="37">
    <w:p w:rsidR="00424E4B" w:rsidRDefault="00E4401D" w:rsidP="00424E4B">
      <w:pPr>
        <w:pStyle w:val="Textonotapie"/>
        <w:jc w:val="both"/>
      </w:pPr>
      <w:r w:rsidRPr="00DB3CFF">
        <w:rPr>
          <w:rStyle w:val="Refdenotaalpie"/>
          <w:rFonts w:eastAsiaTheme="majorEastAsia"/>
          <w:color w:val="000000" w:themeColor="text1"/>
        </w:rPr>
        <w:footnoteRef/>
      </w:r>
      <w:r w:rsidRPr="00DB3CFF">
        <w:rPr>
          <w:color w:val="000000" w:themeColor="text1"/>
        </w:rPr>
        <w:t xml:space="preserve"> Acápite sobre </w:t>
      </w:r>
      <w:r w:rsidRPr="00DB3CFF">
        <w:rPr>
          <w:i/>
          <w:iCs/>
          <w:color w:val="000000" w:themeColor="text1"/>
        </w:rPr>
        <w:t>“Desconocimiento del principio de publicidad”</w:t>
      </w:r>
      <w:r w:rsidRPr="00DB3CFF">
        <w:rPr>
          <w:color w:val="000000" w:themeColor="text1"/>
        </w:rPr>
        <w:t xml:space="preserve">, subtítulo de </w:t>
      </w:r>
      <w:r w:rsidRPr="00DB3CFF">
        <w:rPr>
          <w:i/>
          <w:iCs/>
          <w:color w:val="000000" w:themeColor="text1"/>
        </w:rPr>
        <w:t xml:space="preserve">“no </w:t>
      </w:r>
      <w:r w:rsidRPr="00DB3CFF">
        <w:rPr>
          <w:i/>
          <w:iCs/>
          <w:color w:val="000000" w:themeColor="text1"/>
        </w:rPr>
        <w:t>desconocimiento del principio de publicidad”</w:t>
      </w:r>
      <w:r w:rsidRPr="00DB3CFF">
        <w:rPr>
          <w:color w:val="000000" w:themeColor="text1"/>
        </w:rPr>
        <w:t>, análisis sobre el segundo debate que se surtió ante la Plenaria del Senado de la República (fj. 129).</w:t>
      </w:r>
    </w:p>
  </w:footnote>
  <w:footnote w:id="38">
    <w:p w:rsidR="00AF1D3D" w:rsidRDefault="00E4401D" w:rsidP="00AF1D3D">
      <w:pPr>
        <w:jc w:val="both"/>
      </w:pPr>
      <w:r w:rsidRPr="00D875BD">
        <w:rPr>
          <w:sz w:val="20"/>
          <w:szCs w:val="20"/>
          <w:vertAlign w:val="superscript"/>
        </w:rPr>
        <w:footnoteRef/>
      </w:r>
      <w:r w:rsidRPr="00D875BD">
        <w:rPr>
          <w:sz w:val="20"/>
          <w:szCs w:val="20"/>
        </w:rPr>
        <w:t xml:space="preserve"> </w:t>
      </w:r>
      <w:r>
        <w:rPr>
          <w:i/>
          <w:sz w:val="20"/>
          <w:szCs w:val="20"/>
        </w:rPr>
        <w:t>Cfr</w:t>
      </w:r>
      <w:r w:rsidRPr="00D875BD">
        <w:rPr>
          <w:i/>
          <w:sz w:val="20"/>
          <w:szCs w:val="20"/>
        </w:rPr>
        <w:t>.</w:t>
      </w:r>
      <w:r w:rsidRPr="00D875BD">
        <w:rPr>
          <w:sz w:val="20"/>
          <w:szCs w:val="20"/>
        </w:rPr>
        <w:t xml:space="preserve"> Corte Constitucional, sentencia C-760 de 2001</w:t>
      </w:r>
      <w:r>
        <w:rPr>
          <w:sz w:val="20"/>
          <w:szCs w:val="20"/>
        </w:rPr>
        <w:t>, fundamento jurídico 3.2.2.</w:t>
      </w:r>
    </w:p>
  </w:footnote>
  <w:footnote w:id="39">
    <w:p w:rsidR="00BB1BE7" w:rsidRDefault="00E4401D">
      <w:pPr>
        <w:pStyle w:val="Textonotapie"/>
      </w:pPr>
      <w:r>
        <w:rPr>
          <w:rStyle w:val="Refdenotaalpie"/>
        </w:rPr>
        <w:footnoteRef/>
      </w:r>
      <w:r>
        <w:t xml:space="preserve"> </w:t>
      </w:r>
      <w:r>
        <w:rPr>
          <w:i/>
          <w:iCs/>
        </w:rPr>
        <w:t xml:space="preserve">Cfr. </w:t>
      </w:r>
      <w:r>
        <w:t xml:space="preserve">Gaceta 18 del 13 de </w:t>
      </w:r>
      <w:r>
        <w:t>febrero de 2023</w:t>
      </w:r>
      <w:r>
        <w:t>, página 2.</w:t>
      </w:r>
    </w:p>
  </w:footnote>
  <w:footnote w:id="40">
    <w:p w:rsidR="00240723" w:rsidRDefault="00E4401D">
      <w:pPr>
        <w:pStyle w:val="Textonotapie"/>
      </w:pPr>
      <w:r>
        <w:rPr>
          <w:rStyle w:val="Refdenotaalpie"/>
        </w:rPr>
        <w:footnoteRef/>
      </w:r>
      <w:r>
        <w:t xml:space="preserve"> Gaceta 18 del 13 de febrero de 2023, página 2.</w:t>
      </w:r>
    </w:p>
  </w:footnote>
  <w:footnote w:id="41">
    <w:p w:rsidR="00624672" w:rsidRDefault="00E4401D">
      <w:pPr>
        <w:pStyle w:val="Textonotapie"/>
      </w:pPr>
      <w:r>
        <w:rPr>
          <w:rStyle w:val="Refdenotaalpie"/>
        </w:rPr>
        <w:footnoteRef/>
      </w:r>
      <w:r>
        <w:t xml:space="preserve"> </w:t>
      </w:r>
      <w:r>
        <w:rPr>
          <w:i/>
          <w:iCs/>
        </w:rPr>
        <w:t xml:space="preserve">Cfr. </w:t>
      </w:r>
      <w:r>
        <w:t>Gaceta 386 del 26 de abril de 2023, página 11.</w:t>
      </w:r>
    </w:p>
  </w:footnote>
  <w:footnote w:id="42">
    <w:p w:rsidR="00B27756" w:rsidRDefault="00E4401D" w:rsidP="00B27756">
      <w:pPr>
        <w:pStyle w:val="Textonotapie"/>
      </w:pPr>
      <w:r>
        <w:rPr>
          <w:rStyle w:val="Refdenotaalpie"/>
        </w:rPr>
        <w:footnoteRef/>
      </w:r>
      <w:r>
        <w:t xml:space="preserve"> </w:t>
      </w:r>
      <w:r>
        <w:rPr>
          <w:i/>
          <w:iCs/>
        </w:rPr>
        <w:t xml:space="preserve">Cfr. </w:t>
      </w:r>
      <w:r>
        <w:t>Gaceta 386 del 26 de abril de 2023</w:t>
      </w:r>
      <w:r>
        <w:t>, páginas 278 a 1339.</w:t>
      </w:r>
    </w:p>
  </w:footnote>
  <w:footnote w:id="43">
    <w:p w:rsidR="0029775F" w:rsidRDefault="00E4401D">
      <w:pPr>
        <w:pStyle w:val="Textonotapie"/>
      </w:pPr>
      <w:r>
        <w:rPr>
          <w:rStyle w:val="Refdenotaalpie"/>
        </w:rPr>
        <w:footnoteRef/>
      </w:r>
      <w:r>
        <w:t xml:space="preserve"> Gaceta 386 del 26 de abril de 2023, página 552.</w:t>
      </w:r>
    </w:p>
  </w:footnote>
  <w:footnote w:id="44">
    <w:p w:rsidR="00302998" w:rsidRDefault="00E4401D">
      <w:pPr>
        <w:pStyle w:val="Textonotapie"/>
      </w:pPr>
      <w:r>
        <w:rPr>
          <w:rStyle w:val="Refdenotaalpie"/>
        </w:rPr>
        <w:footnoteRef/>
      </w:r>
      <w:r>
        <w:t xml:space="preserve"> Gaceta 386 del 26 de abril de 2023, página 451.</w:t>
      </w:r>
    </w:p>
  </w:footnote>
  <w:footnote w:id="45">
    <w:p w:rsidR="00302998" w:rsidRDefault="00E4401D">
      <w:pPr>
        <w:pStyle w:val="Textonotapie"/>
      </w:pPr>
      <w:r>
        <w:rPr>
          <w:rStyle w:val="Refdenotaalpie"/>
        </w:rPr>
        <w:footnoteRef/>
      </w:r>
      <w:r>
        <w:t xml:space="preserve"> Gaceta 386 del 26 de abril de 2023, página 877.</w:t>
      </w:r>
    </w:p>
  </w:footnote>
  <w:footnote w:id="46">
    <w:p w:rsidR="0029775F" w:rsidRDefault="00E4401D">
      <w:pPr>
        <w:pStyle w:val="Textonotapie"/>
      </w:pPr>
      <w:r>
        <w:rPr>
          <w:rStyle w:val="Refdenotaalpie"/>
        </w:rPr>
        <w:footnoteRef/>
      </w:r>
      <w:r>
        <w:t xml:space="preserve"> Gaceta 386 del 26 de abril de 2023, página 565.</w:t>
      </w:r>
    </w:p>
  </w:footnote>
  <w:footnote w:id="47">
    <w:p w:rsidR="003A42F9" w:rsidRDefault="00E4401D">
      <w:pPr>
        <w:pStyle w:val="Textonotapie"/>
      </w:pPr>
      <w:r>
        <w:rPr>
          <w:rStyle w:val="Refdenotaalpie"/>
        </w:rPr>
        <w:footnoteRef/>
      </w:r>
      <w:r>
        <w:t xml:space="preserve"> Gaceta 386 del 26 de abril de 2023, página 1237.</w:t>
      </w:r>
    </w:p>
  </w:footnote>
  <w:footnote w:id="48">
    <w:p w:rsidR="00F52D36" w:rsidRDefault="00E4401D">
      <w:pPr>
        <w:pStyle w:val="Textonotapie"/>
      </w:pPr>
      <w:r>
        <w:rPr>
          <w:rStyle w:val="Refdenotaalpie"/>
        </w:rPr>
        <w:footnoteRef/>
      </w:r>
      <w:r>
        <w:t xml:space="preserve"> Del expediente digital “</w:t>
      </w:r>
      <w:r w:rsidRPr="009325D4">
        <w:rPr>
          <w:i/>
          <w:iCs/>
        </w:rPr>
        <w:t xml:space="preserve">Remisión de pruebas </w:t>
      </w:r>
      <w:r w:rsidRPr="009325D4">
        <w:rPr>
          <w:i/>
          <w:iCs/>
        </w:rPr>
        <w:t>-</w:t>
      </w:r>
      <w:r w:rsidRPr="009325D4">
        <w:rPr>
          <w:i/>
          <w:iCs/>
        </w:rPr>
        <w:t xml:space="preserve"> </w:t>
      </w:r>
      <w:r w:rsidRPr="009325D4">
        <w:rPr>
          <w:i/>
          <w:iCs/>
        </w:rPr>
        <w:t>respuest</w:t>
      </w:r>
      <w:r w:rsidRPr="009325D4">
        <w:rPr>
          <w:i/>
          <w:iCs/>
        </w:rPr>
        <w:t>a al oficio No. OPC-067 de 2024</w:t>
      </w:r>
      <w:r>
        <w:t>”.</w:t>
      </w:r>
    </w:p>
  </w:footnote>
  <w:footnote w:id="49">
    <w:p w:rsidR="003A42F9" w:rsidRDefault="00E4401D" w:rsidP="003A42F9">
      <w:pPr>
        <w:pStyle w:val="Textonotapie"/>
        <w:jc w:val="both"/>
      </w:pPr>
      <w:r>
        <w:rPr>
          <w:rStyle w:val="Refdenotaalpie"/>
        </w:rPr>
        <w:footnoteRef/>
      </w:r>
      <w:r>
        <w:t xml:space="preserve"> </w:t>
      </w:r>
      <w:r>
        <w:rPr>
          <w:lang w:val="es-MX"/>
        </w:rPr>
        <w:t xml:space="preserve">Oficio </w:t>
      </w:r>
      <w:r w:rsidRPr="004D1F84">
        <w:t>SRE-CS-171-2024</w:t>
      </w:r>
      <w:r>
        <w:t>, suscrito por la jefe de sección de relatoría del Senado de la República. Obra en el expediente digital en el archivo denominado “Remisión de pruebas-respuesta al oficio No OPC-067 de 2024”. Remiti</w:t>
      </w:r>
      <w:r>
        <w:t>do por el Secretario General del Senado de la República el 15 de julio de 2024.</w:t>
      </w:r>
    </w:p>
  </w:footnote>
  <w:footnote w:id="50">
    <w:p w:rsidR="003A42F9" w:rsidRDefault="00E4401D">
      <w:pPr>
        <w:pStyle w:val="Textonotapie"/>
      </w:pPr>
      <w:r>
        <w:rPr>
          <w:rStyle w:val="Refdenotaalpie"/>
        </w:rPr>
        <w:footnoteRef/>
      </w:r>
      <w:r>
        <w:t xml:space="preserve"> </w:t>
      </w:r>
      <w:r>
        <w:rPr>
          <w:i/>
          <w:iCs/>
        </w:rPr>
        <w:t xml:space="preserve">Cfr. </w:t>
      </w:r>
      <w:r>
        <w:t>Gaceta del Congreso 889 del 19 de julio de 2023, página 100.</w:t>
      </w:r>
    </w:p>
  </w:footnote>
  <w:footnote w:id="51">
    <w:p w:rsidR="003A42F9" w:rsidRDefault="00E4401D">
      <w:pPr>
        <w:pStyle w:val="Textonotapie"/>
      </w:pPr>
      <w:r>
        <w:rPr>
          <w:rStyle w:val="Refdenotaalpie"/>
        </w:rPr>
        <w:footnoteRef/>
      </w:r>
      <w:r>
        <w:t xml:space="preserve"> Gaceta del Congreso 889 del 19 de julio de 2023, página 100.</w:t>
      </w:r>
    </w:p>
  </w:footnote>
  <w:footnote w:id="52">
    <w:p w:rsidR="003A42F9" w:rsidRDefault="00E4401D">
      <w:pPr>
        <w:pStyle w:val="Textonotapie"/>
      </w:pPr>
      <w:r>
        <w:rPr>
          <w:rStyle w:val="Refdenotaalpie"/>
        </w:rPr>
        <w:footnoteRef/>
      </w:r>
      <w:r>
        <w:t xml:space="preserve"> </w:t>
      </w:r>
      <w:r>
        <w:rPr>
          <w:i/>
          <w:iCs/>
        </w:rPr>
        <w:t xml:space="preserve">Cfr. </w:t>
      </w:r>
      <w:r>
        <w:t>Gaceta del Congreso 889 del 19 de juli</w:t>
      </w:r>
      <w:r>
        <w:t>o de 2023, página 102.</w:t>
      </w:r>
    </w:p>
  </w:footnote>
  <w:footnote w:id="53">
    <w:p w:rsidR="002B25EF" w:rsidRDefault="00E4401D" w:rsidP="002B25EF">
      <w:pPr>
        <w:pStyle w:val="Textonotapie"/>
      </w:pPr>
      <w:r>
        <w:rPr>
          <w:rStyle w:val="Refdenotaalpie"/>
        </w:rPr>
        <w:footnoteRef/>
      </w:r>
      <w:r>
        <w:t xml:space="preserve"> </w:t>
      </w:r>
      <w:r>
        <w:rPr>
          <w:i/>
          <w:iCs/>
        </w:rPr>
        <w:t xml:space="preserve">Cfr. </w:t>
      </w:r>
      <w:r>
        <w:t>Gaceta 18 del 13 de febrero de 2023</w:t>
      </w:r>
      <w:r>
        <w:t>, página 8.</w:t>
      </w:r>
    </w:p>
  </w:footnote>
  <w:footnote w:id="54">
    <w:p w:rsidR="003A42F9" w:rsidRDefault="00E4401D">
      <w:pPr>
        <w:pStyle w:val="Textonotapie"/>
      </w:pPr>
      <w:r>
        <w:rPr>
          <w:rStyle w:val="Refdenotaalpie"/>
        </w:rPr>
        <w:footnoteRef/>
      </w:r>
      <w:r>
        <w:t xml:space="preserve"> Gaceta 18 del 13 de febrero de 2023, página 8.</w:t>
      </w:r>
    </w:p>
  </w:footnote>
  <w:footnote w:id="55">
    <w:p w:rsidR="00624672" w:rsidRDefault="00E4401D">
      <w:pPr>
        <w:pStyle w:val="Textonotapie"/>
      </w:pPr>
      <w:r>
        <w:rPr>
          <w:rStyle w:val="Refdenotaalpie"/>
        </w:rPr>
        <w:footnoteRef/>
      </w:r>
      <w:r>
        <w:t xml:space="preserve"> </w:t>
      </w:r>
      <w:r>
        <w:rPr>
          <w:i/>
          <w:iCs/>
        </w:rPr>
        <w:t xml:space="preserve">Cfr. </w:t>
      </w:r>
      <w:r>
        <w:t>Gaceta 386 del 26 de abril de 2023, páginas 19 y 20.</w:t>
      </w:r>
    </w:p>
  </w:footnote>
  <w:footnote w:id="56">
    <w:p w:rsidR="00B95753" w:rsidRDefault="00E4401D" w:rsidP="00B95753">
      <w:pPr>
        <w:pStyle w:val="Textonotapie"/>
      </w:pPr>
      <w:r>
        <w:rPr>
          <w:rStyle w:val="Refdenotaalpie"/>
        </w:rPr>
        <w:footnoteRef/>
      </w:r>
      <w:r>
        <w:t xml:space="preserve"> </w:t>
      </w:r>
      <w:r>
        <w:rPr>
          <w:i/>
          <w:iCs/>
        </w:rPr>
        <w:t xml:space="preserve">Cfr. </w:t>
      </w:r>
      <w:r>
        <w:t>Gaceta 386 del 26 de abril de 2023, páginas 278 a 1339.</w:t>
      </w:r>
    </w:p>
  </w:footnote>
  <w:footnote w:id="57">
    <w:p w:rsidR="008B5FBC" w:rsidRDefault="00E4401D">
      <w:pPr>
        <w:pStyle w:val="Textonotapie"/>
      </w:pPr>
      <w:r>
        <w:rPr>
          <w:rStyle w:val="Refdenotaalpie"/>
        </w:rPr>
        <w:footnoteRef/>
      </w:r>
      <w:r>
        <w:t xml:space="preserve"> Gaceta 386 del 26 de abril de 2023, página 455.</w:t>
      </w:r>
    </w:p>
  </w:footnote>
  <w:footnote w:id="58">
    <w:p w:rsidR="008B5FBC" w:rsidRDefault="00E4401D">
      <w:pPr>
        <w:pStyle w:val="Textonotapie"/>
      </w:pPr>
      <w:r>
        <w:rPr>
          <w:rStyle w:val="Refdenotaalpie"/>
        </w:rPr>
        <w:footnoteRef/>
      </w:r>
      <w:r>
        <w:t xml:space="preserve"> Gaceta 386 del 26 de abril de 2023, página 1135.</w:t>
      </w:r>
    </w:p>
  </w:footnote>
  <w:footnote w:id="59">
    <w:p w:rsidR="00B3135F" w:rsidRDefault="00E4401D" w:rsidP="00B3135F">
      <w:pPr>
        <w:pStyle w:val="Textonotapie"/>
      </w:pPr>
      <w:r>
        <w:rPr>
          <w:rStyle w:val="Refdenotaalpie"/>
        </w:rPr>
        <w:footnoteRef/>
      </w:r>
      <w:r>
        <w:t xml:space="preserve"> Del expediente digital “</w:t>
      </w:r>
      <w:r w:rsidRPr="009325D4">
        <w:rPr>
          <w:i/>
          <w:iCs/>
        </w:rPr>
        <w:t>Remisión de pruebas - respuesta al oficio No. OPC-067 de 2024</w:t>
      </w:r>
      <w:r>
        <w:t>”.</w:t>
      </w:r>
    </w:p>
  </w:footnote>
  <w:footnote w:id="60">
    <w:p w:rsidR="004D1F84" w:rsidRPr="004D1F84" w:rsidRDefault="00E4401D" w:rsidP="00450806">
      <w:pPr>
        <w:pStyle w:val="Textonotapie"/>
        <w:jc w:val="both"/>
        <w:rPr>
          <w:lang w:val="es-MX"/>
        </w:rPr>
      </w:pPr>
      <w:r>
        <w:rPr>
          <w:rStyle w:val="Refdenotaalpie"/>
        </w:rPr>
        <w:footnoteRef/>
      </w:r>
      <w:r>
        <w:t xml:space="preserve"> </w:t>
      </w:r>
      <w:r>
        <w:rPr>
          <w:lang w:val="es-MX"/>
        </w:rPr>
        <w:t xml:space="preserve">Oficio </w:t>
      </w:r>
      <w:r w:rsidRPr="004D1F84">
        <w:t>SRE-CS-171-2024</w:t>
      </w:r>
      <w:r>
        <w:t>, suscrito por la jefe de sección de relat</w:t>
      </w:r>
      <w:r>
        <w:t>oría del Senado de la República. Obra en el expediente digital en el archivo denominado “Remisión de pruebas-respuesta al oficio No OPC-067 de 2024”. Remitido por el Secretario General del Senado de la República el 15 de julio de 2024.</w:t>
      </w:r>
    </w:p>
  </w:footnote>
  <w:footnote w:id="61">
    <w:p w:rsidR="008B5FBC" w:rsidRDefault="00E4401D" w:rsidP="008B5FBC">
      <w:pPr>
        <w:pStyle w:val="Textonotapie"/>
        <w:jc w:val="both"/>
      </w:pPr>
      <w:r>
        <w:rPr>
          <w:rStyle w:val="Refdenotaalpie"/>
        </w:rPr>
        <w:footnoteRef/>
      </w:r>
      <w:r>
        <w:t xml:space="preserve"> </w:t>
      </w:r>
      <w:r>
        <w:rPr>
          <w:lang w:val="es-MX"/>
        </w:rPr>
        <w:t xml:space="preserve">Oficio </w:t>
      </w:r>
      <w:r w:rsidRPr="004D1F84">
        <w:t>SRE-CS-171-</w:t>
      </w:r>
      <w:r w:rsidRPr="004D1F84">
        <w:t>2024</w:t>
      </w:r>
      <w:r>
        <w:t>, suscrito por la jefe de sección de relatoría del Senado de la República. Obra en el expediente digital en el archivo denominado “Remisión de pruebas-respuesta al oficio No OPC-067 de 2024”. Remitido por el Secretario General del Senado de la Repúblic</w:t>
      </w:r>
      <w:r>
        <w:t>a el 15 de julio de 2024.</w:t>
      </w:r>
    </w:p>
  </w:footnote>
  <w:footnote w:id="62">
    <w:p w:rsidR="00463FB2" w:rsidRPr="005E0C25" w:rsidRDefault="00E4401D" w:rsidP="00463FB2">
      <w:pPr>
        <w:pStyle w:val="Textonotapie"/>
      </w:pPr>
      <w:r>
        <w:rPr>
          <w:rStyle w:val="Refdenotaalpie"/>
        </w:rPr>
        <w:footnoteRef/>
      </w:r>
      <w:r>
        <w:t xml:space="preserve"> </w:t>
      </w:r>
      <w:r>
        <w:rPr>
          <w:i/>
          <w:iCs/>
        </w:rPr>
        <w:t xml:space="preserve">Cfr. </w:t>
      </w:r>
      <w:r>
        <w:t>Gaceta del Congreso 889 del 19 de julio de 2023, página 100.</w:t>
      </w:r>
    </w:p>
  </w:footnote>
  <w:footnote w:id="63">
    <w:p w:rsidR="005E0C25" w:rsidRDefault="00E4401D">
      <w:pPr>
        <w:pStyle w:val="Textonotapie"/>
      </w:pPr>
      <w:r>
        <w:rPr>
          <w:rStyle w:val="Refdenotaalpie"/>
        </w:rPr>
        <w:footnoteRef/>
      </w:r>
      <w:r>
        <w:t xml:space="preserve"> Gaceta</w:t>
      </w:r>
      <w:r>
        <w:t xml:space="preserve"> del Congreso</w:t>
      </w:r>
      <w:r>
        <w:t xml:space="preserve"> 889 </w:t>
      </w:r>
      <w:r>
        <w:t xml:space="preserve">del 19 de julio </w:t>
      </w:r>
      <w:r>
        <w:t>de 2023, páginas 101 y 102.</w:t>
      </w:r>
    </w:p>
  </w:footnote>
  <w:footnote w:id="64">
    <w:p w:rsidR="005E0C25" w:rsidRPr="005E0C25" w:rsidRDefault="00E4401D">
      <w:pPr>
        <w:pStyle w:val="Textonotapie"/>
      </w:pPr>
      <w:r>
        <w:rPr>
          <w:rStyle w:val="Refdenotaalpie"/>
        </w:rPr>
        <w:footnoteRef/>
      </w:r>
      <w:r>
        <w:t xml:space="preserve"> </w:t>
      </w:r>
      <w:r>
        <w:rPr>
          <w:i/>
          <w:iCs/>
        </w:rPr>
        <w:t>Cfr.</w:t>
      </w:r>
      <w:r>
        <w:t xml:space="preserve"> Gaceta</w:t>
      </w:r>
      <w:r>
        <w:t xml:space="preserve"> del Congreso</w:t>
      </w:r>
      <w:r>
        <w:t xml:space="preserve"> 889</w:t>
      </w:r>
      <w:r>
        <w:t xml:space="preserve"> del 19 de julio</w:t>
      </w:r>
      <w:r>
        <w:t xml:space="preserve"> de 2023, página 102.</w:t>
      </w:r>
    </w:p>
  </w:footnote>
  <w:footnote w:id="65">
    <w:p w:rsidR="00F40B51" w:rsidRPr="00F40B51" w:rsidRDefault="00E4401D">
      <w:pPr>
        <w:pStyle w:val="Textonotapie"/>
        <w:rPr>
          <w:lang w:val="es-MX"/>
        </w:rPr>
      </w:pPr>
      <w:r>
        <w:rPr>
          <w:rStyle w:val="Refdenotaalpie"/>
        </w:rPr>
        <w:footnoteRef/>
      </w:r>
      <w:r>
        <w:t xml:space="preserve"> Corte Constitucional, Sentencia C-294 de 2024, fundamento jurídico 134.</w:t>
      </w:r>
    </w:p>
  </w:footnote>
  <w:footnote w:id="66">
    <w:p w:rsidR="00A86F50" w:rsidRPr="00A86F50" w:rsidRDefault="00E4401D" w:rsidP="00A86F50">
      <w:pPr>
        <w:pStyle w:val="Textonotapie"/>
        <w:jc w:val="both"/>
        <w:rPr>
          <w:lang w:val="es-MX"/>
        </w:rPr>
      </w:pPr>
      <w:r>
        <w:rPr>
          <w:rStyle w:val="Refdenotaalpie"/>
        </w:rPr>
        <w:footnoteRef/>
      </w:r>
      <w:r>
        <w:t xml:space="preserve"> </w:t>
      </w:r>
      <w:r>
        <w:rPr>
          <w:lang w:val="es-MX"/>
        </w:rPr>
        <w:t xml:space="preserve">Oficio </w:t>
      </w:r>
      <w:r w:rsidRPr="004D1F84">
        <w:t>SRE-CS-171-2024</w:t>
      </w:r>
      <w:r>
        <w:t>, suscrito por la jefe de sección de relatoría del Senado de la República. Obra en el expediente digital en el archivo denominado “Remisión de pruebas-respuest</w:t>
      </w:r>
      <w:r>
        <w:t>a al oficio No OPC-067 de 2024”. Remitido por el Secretario General del Senado de la República el 15 de julio de 2024.</w:t>
      </w:r>
    </w:p>
  </w:footnote>
  <w:footnote w:id="67">
    <w:p w:rsidR="00B60BD8" w:rsidRPr="00B60BD8" w:rsidRDefault="00E4401D">
      <w:pPr>
        <w:pStyle w:val="Textonotapie"/>
        <w:rPr>
          <w:lang w:val="es-ES"/>
        </w:rPr>
      </w:pPr>
      <w:r>
        <w:rPr>
          <w:rStyle w:val="Refdenotaalpie"/>
        </w:rPr>
        <w:footnoteRef/>
      </w:r>
      <w:r>
        <w:t xml:space="preserve"> </w:t>
      </w:r>
      <w:r>
        <w:rPr>
          <w:i/>
          <w:iCs/>
        </w:rPr>
        <w:t xml:space="preserve">Cfr. </w:t>
      </w:r>
      <w:r>
        <w:rPr>
          <w:lang w:val="es-ES"/>
        </w:rPr>
        <w:t>Gaceta</w:t>
      </w:r>
      <w:r>
        <w:rPr>
          <w:lang w:val="es-ES"/>
        </w:rPr>
        <w:t xml:space="preserve"> del Congreso</w:t>
      </w:r>
      <w:r>
        <w:rPr>
          <w:lang w:val="es-ES"/>
        </w:rPr>
        <w:t xml:space="preserve"> 386 del 26 de abril de 2023</w:t>
      </w:r>
      <w:r>
        <w:rPr>
          <w:lang w:val="es-ES"/>
        </w:rPr>
        <w:t>, página 8.</w:t>
      </w:r>
    </w:p>
  </w:footnote>
  <w:footnote w:id="68">
    <w:p w:rsidR="00A95120" w:rsidRPr="00A95120" w:rsidRDefault="00E4401D">
      <w:pPr>
        <w:pStyle w:val="Textonotapie"/>
        <w:rPr>
          <w:lang w:val="es-ES"/>
        </w:rPr>
      </w:pPr>
      <w:r>
        <w:rPr>
          <w:rStyle w:val="Refdenotaalpie"/>
        </w:rPr>
        <w:footnoteRef/>
      </w:r>
      <w:r>
        <w:t xml:space="preserve"> </w:t>
      </w:r>
      <w:r>
        <w:rPr>
          <w:lang w:val="es-ES"/>
        </w:rPr>
        <w:t>Gaceta del Congreso 386 del 26 de abril de 2023, página 8.</w:t>
      </w:r>
    </w:p>
  </w:footnote>
  <w:footnote w:id="69">
    <w:p w:rsidR="00A95120" w:rsidRDefault="00E4401D">
      <w:pPr>
        <w:pStyle w:val="Textonotapie"/>
      </w:pPr>
      <w:r>
        <w:rPr>
          <w:rStyle w:val="Refdenotaalpie"/>
        </w:rPr>
        <w:footnoteRef/>
      </w:r>
      <w:r>
        <w:t xml:space="preserve"> Gaceta d</w:t>
      </w:r>
      <w:r>
        <w:t>el Congreso 386 del 23 de abril de 2023, página 127.</w:t>
      </w:r>
    </w:p>
  </w:footnote>
  <w:footnote w:id="70">
    <w:p w:rsidR="00922B62" w:rsidRDefault="00E4401D">
      <w:pPr>
        <w:pStyle w:val="Textonotapie"/>
      </w:pPr>
      <w:r>
        <w:rPr>
          <w:rStyle w:val="Refdenotaalpie"/>
        </w:rPr>
        <w:footnoteRef/>
      </w:r>
      <w:r>
        <w:t xml:space="preserve"> Gaceta del Congreso 386 del 23 de abril de 2023, página 189.</w:t>
      </w:r>
    </w:p>
  </w:footnote>
  <w:footnote w:id="71">
    <w:p w:rsidR="00554859" w:rsidRPr="00554859" w:rsidRDefault="00E4401D" w:rsidP="00554859">
      <w:pPr>
        <w:pStyle w:val="Textonotapie"/>
        <w:jc w:val="both"/>
        <w:rPr>
          <w:lang w:val="es-MX"/>
        </w:rPr>
      </w:pPr>
      <w:r>
        <w:rPr>
          <w:rStyle w:val="Refdenotaalpie"/>
        </w:rPr>
        <w:footnoteRef/>
      </w:r>
      <w:r>
        <w:t xml:space="preserve"> </w:t>
      </w:r>
      <w:r>
        <w:rPr>
          <w:lang w:val="es-MX"/>
        </w:rPr>
        <w:t xml:space="preserve">Oficio </w:t>
      </w:r>
      <w:r w:rsidRPr="004D1F84">
        <w:t>SRE-CS-171-2024</w:t>
      </w:r>
      <w:r>
        <w:t xml:space="preserve">, suscrito por la jefe de sección de relatoría del Senado de la República. Obra en el expediente digital en el </w:t>
      </w:r>
      <w:r>
        <w:t>archivo denominado “Remisión de pruebas-respuesta al oficio No OPC-067 de 2024”. Remitido por el Secretario General del Senado de la República el 15 de julio de 2024</w:t>
      </w:r>
      <w:r>
        <w:t>, página 11 del pdf.</w:t>
      </w:r>
    </w:p>
  </w:footnote>
  <w:footnote w:id="72">
    <w:p w:rsidR="00922B62" w:rsidRDefault="00E4401D" w:rsidP="00922B62">
      <w:pPr>
        <w:pStyle w:val="Textonotapie"/>
        <w:jc w:val="both"/>
      </w:pPr>
      <w:r>
        <w:rPr>
          <w:rStyle w:val="Refdenotaalpie"/>
        </w:rPr>
        <w:footnoteRef/>
      </w:r>
      <w:r>
        <w:t xml:space="preserve"> </w:t>
      </w:r>
      <w:r>
        <w:rPr>
          <w:lang w:val="es-MX"/>
        </w:rPr>
        <w:t xml:space="preserve">Oficio </w:t>
      </w:r>
      <w:r w:rsidRPr="004D1F84">
        <w:t>SRE-CS-171-2024</w:t>
      </w:r>
      <w:r>
        <w:t>, suscrito por la jefe de sección de relatoría</w:t>
      </w:r>
      <w:r>
        <w:t xml:space="preserve"> del Senado de la República. Obra en el expediente digital en el archivo denominado “Remisión de pruebas-respuesta al oficio No OPC-067 de 2024”. Remitido por el Secretario General del Senado de la República el 15 de julio de 2024, página 11 del pdf.</w:t>
      </w:r>
    </w:p>
  </w:footnote>
  <w:footnote w:id="73">
    <w:p w:rsidR="008674EF" w:rsidRDefault="00E4401D">
      <w:pPr>
        <w:pStyle w:val="Textonotapie"/>
      </w:pPr>
      <w:r>
        <w:rPr>
          <w:rStyle w:val="Refdenotaalpie"/>
        </w:rPr>
        <w:footnoteRef/>
      </w:r>
      <w:r>
        <w:t xml:space="preserve"> </w:t>
      </w:r>
      <w:r>
        <w:rPr>
          <w:i/>
          <w:iCs/>
        </w:rPr>
        <w:t>Cfr</w:t>
      </w:r>
      <w:r>
        <w:rPr>
          <w:i/>
          <w:iCs/>
        </w:rPr>
        <w:t xml:space="preserve">. </w:t>
      </w:r>
      <w:r>
        <w:t>Gaceta del Congreso 889 del 19 de julio de 2023, página 100.</w:t>
      </w:r>
    </w:p>
  </w:footnote>
  <w:footnote w:id="74">
    <w:p w:rsidR="008674EF" w:rsidRDefault="00E4401D">
      <w:pPr>
        <w:pStyle w:val="Textonotapie"/>
      </w:pPr>
      <w:r>
        <w:rPr>
          <w:rStyle w:val="Refdenotaalpie"/>
        </w:rPr>
        <w:footnoteRef/>
      </w:r>
      <w:r>
        <w:t xml:space="preserve"> </w:t>
      </w:r>
      <w:r>
        <w:rPr>
          <w:i/>
          <w:iCs/>
        </w:rPr>
        <w:t xml:space="preserve">Cfr. </w:t>
      </w:r>
      <w:r>
        <w:t>Gaceta del Congreso 889 del 19 de julio de 2023, página 102.</w:t>
      </w:r>
    </w:p>
  </w:footnote>
  <w:footnote w:id="75">
    <w:p w:rsidR="004B455B" w:rsidRDefault="00E4401D" w:rsidP="004B455B">
      <w:pPr>
        <w:pStyle w:val="Textonotapie"/>
      </w:pPr>
      <w:r>
        <w:rPr>
          <w:rStyle w:val="Refdenotaalpie"/>
        </w:rPr>
        <w:footnoteRef/>
      </w:r>
      <w:r>
        <w:t xml:space="preserve"> Gaceta </w:t>
      </w:r>
      <w:r>
        <w:t xml:space="preserve">del Congreso N° </w:t>
      </w:r>
      <w:r>
        <w:t>18 del 13 de febrero de 2023</w:t>
      </w:r>
      <w:r>
        <w:t>.</w:t>
      </w:r>
    </w:p>
  </w:footnote>
  <w:footnote w:id="76">
    <w:p w:rsidR="002F72E4" w:rsidRPr="002F72E4" w:rsidRDefault="00E4401D">
      <w:pPr>
        <w:pStyle w:val="Textonotapie"/>
      </w:pPr>
      <w:r>
        <w:rPr>
          <w:rStyle w:val="Refdenotaalpie"/>
        </w:rPr>
        <w:footnoteRef/>
      </w:r>
      <w:r>
        <w:t xml:space="preserve"> </w:t>
      </w:r>
      <w:r>
        <w:rPr>
          <w:i/>
          <w:iCs/>
        </w:rPr>
        <w:t xml:space="preserve">Cfr. </w:t>
      </w:r>
      <w:r>
        <w:t>Gaceta 386 del 26 de abril de 2023, página 54.</w:t>
      </w:r>
    </w:p>
  </w:footnote>
  <w:footnote w:id="77">
    <w:p w:rsidR="00D27240" w:rsidRDefault="00E4401D">
      <w:pPr>
        <w:pStyle w:val="Textonotapie"/>
      </w:pPr>
      <w:r>
        <w:rPr>
          <w:rStyle w:val="Refdenotaalpie"/>
        </w:rPr>
        <w:footnoteRef/>
      </w:r>
      <w:r>
        <w:t xml:space="preserve"> Gaceta 386 del 26 de abril de 2023, página 54.</w:t>
      </w:r>
    </w:p>
  </w:footnote>
  <w:footnote w:id="78">
    <w:p w:rsidR="00D27240" w:rsidRDefault="00E4401D">
      <w:pPr>
        <w:pStyle w:val="Textonotapie"/>
      </w:pPr>
      <w:r>
        <w:rPr>
          <w:rStyle w:val="Refdenotaalpie"/>
        </w:rPr>
        <w:footnoteRef/>
      </w:r>
      <w:r>
        <w:t xml:space="preserve"> </w:t>
      </w:r>
      <w:r>
        <w:rPr>
          <w:i/>
          <w:iCs/>
        </w:rPr>
        <w:t xml:space="preserve">Cfr. </w:t>
      </w:r>
      <w:r>
        <w:t>Gaceta 386 del 26 de abril de 2023, página 115.</w:t>
      </w:r>
    </w:p>
  </w:footnote>
  <w:footnote w:id="79">
    <w:p w:rsidR="00554859" w:rsidRPr="00554859" w:rsidRDefault="00E4401D" w:rsidP="00554859">
      <w:pPr>
        <w:pStyle w:val="Textonotapie"/>
        <w:jc w:val="both"/>
        <w:rPr>
          <w:lang w:val="es-MX"/>
        </w:rPr>
      </w:pPr>
      <w:r>
        <w:rPr>
          <w:rStyle w:val="Refdenotaalpie"/>
        </w:rPr>
        <w:footnoteRef/>
      </w:r>
      <w:r>
        <w:t xml:space="preserve"> </w:t>
      </w:r>
      <w:r>
        <w:rPr>
          <w:lang w:val="es-MX"/>
        </w:rPr>
        <w:t xml:space="preserve">Oficio </w:t>
      </w:r>
      <w:r w:rsidRPr="004D1F84">
        <w:t>SRE-CS-171-2024</w:t>
      </w:r>
      <w:r>
        <w:t>, suscrito por la jefe de sección de relatoría del Senado de la República. Obra en el expediente digital en el archivo denominado</w:t>
      </w:r>
      <w:r>
        <w:t xml:space="preserve"> “Remisión de pruebas-respuesta al oficio No OPC-067 de 2024”. Remitido por el Secretario General del Senado de la República el 15 de julio de 2024.</w:t>
      </w:r>
    </w:p>
  </w:footnote>
  <w:footnote w:id="80">
    <w:p w:rsidR="00D27240" w:rsidRDefault="00E4401D">
      <w:pPr>
        <w:pStyle w:val="Textonotapie"/>
      </w:pPr>
      <w:r>
        <w:rPr>
          <w:rStyle w:val="Refdenotaalpie"/>
        </w:rPr>
        <w:footnoteRef/>
      </w:r>
      <w:r>
        <w:t xml:space="preserve"> </w:t>
      </w:r>
      <w:r>
        <w:rPr>
          <w:i/>
          <w:iCs/>
        </w:rPr>
        <w:t xml:space="preserve">Cfr. </w:t>
      </w:r>
      <w:r>
        <w:t>Gaceta del Congreso 889 del 19 de julio de 2023, página 100.</w:t>
      </w:r>
    </w:p>
  </w:footnote>
  <w:footnote w:id="81">
    <w:p w:rsidR="00D27240" w:rsidRDefault="00E4401D">
      <w:pPr>
        <w:pStyle w:val="Textonotapie"/>
      </w:pPr>
      <w:r>
        <w:rPr>
          <w:rStyle w:val="Refdenotaalpie"/>
        </w:rPr>
        <w:footnoteRef/>
      </w:r>
      <w:r>
        <w:t xml:space="preserve"> Gaceta del Congreso 889 del 19 de julio de 2023, página 101.</w:t>
      </w:r>
    </w:p>
  </w:footnote>
  <w:footnote w:id="82">
    <w:p w:rsidR="00D27240" w:rsidRDefault="00E4401D">
      <w:pPr>
        <w:pStyle w:val="Textonotapie"/>
      </w:pPr>
      <w:r>
        <w:rPr>
          <w:rStyle w:val="Refdenotaalpie"/>
        </w:rPr>
        <w:footnoteRef/>
      </w:r>
      <w:r>
        <w:t xml:space="preserve"> </w:t>
      </w:r>
      <w:r>
        <w:rPr>
          <w:i/>
          <w:iCs/>
        </w:rPr>
        <w:t xml:space="preserve">Cfr. </w:t>
      </w:r>
      <w:r>
        <w:t>Gaceta del Congreso 889 del 19 de julio de 2023, página 102.</w:t>
      </w:r>
    </w:p>
  </w:footnote>
  <w:footnote w:id="83">
    <w:p w:rsidR="008404CC" w:rsidRPr="00790A99" w:rsidRDefault="00E4401D">
      <w:pPr>
        <w:pStyle w:val="Textonotapie"/>
      </w:pPr>
      <w:r>
        <w:rPr>
          <w:rStyle w:val="Refdenotaalpie"/>
        </w:rPr>
        <w:footnoteRef/>
      </w:r>
      <w:r>
        <w:t xml:space="preserve"> </w:t>
      </w:r>
      <w:r>
        <w:rPr>
          <w:i/>
          <w:iCs/>
        </w:rPr>
        <w:t xml:space="preserve">Cfr. </w:t>
      </w:r>
      <w:r>
        <w:t>Corte Constitucional. Sentencia C-074 de 2021.</w:t>
      </w:r>
    </w:p>
  </w:footnote>
  <w:footnote w:id="84">
    <w:p w:rsidR="008E51AE" w:rsidRPr="003052A8" w:rsidRDefault="00E4401D">
      <w:pPr>
        <w:pStyle w:val="Textonotapie"/>
      </w:pPr>
      <w:r>
        <w:rPr>
          <w:rStyle w:val="Refdenotaalpie"/>
        </w:rPr>
        <w:footnoteRef/>
      </w:r>
      <w:r>
        <w:t xml:space="preserve"> </w:t>
      </w:r>
      <w:r>
        <w:rPr>
          <w:i/>
          <w:iCs/>
        </w:rPr>
        <w:t>Cfr.</w:t>
      </w:r>
      <w:r>
        <w:t xml:space="preserve"> Corte Constitucional. Sentencia C-294 de 2024 y Auto </w:t>
      </w:r>
      <w:r>
        <w:t>705 de 2024.</w:t>
      </w:r>
    </w:p>
  </w:footnote>
  <w:footnote w:id="85">
    <w:p w:rsidR="003E6FE7" w:rsidRPr="00D33AF8" w:rsidRDefault="00E4401D" w:rsidP="003E6FE7">
      <w:pPr>
        <w:pStyle w:val="Textonotapie"/>
        <w:rPr>
          <w:lang w:val="es-ES_tradnl"/>
        </w:rPr>
      </w:pPr>
      <w:r>
        <w:rPr>
          <w:rStyle w:val="Refdenotaalpie"/>
        </w:rPr>
        <w:footnoteRef/>
      </w:r>
      <w:r w:rsidRPr="003E6FE7">
        <w:t xml:space="preserve"> </w:t>
      </w:r>
      <w:r>
        <w:rPr>
          <w:lang w:val="es-ES_tradnl"/>
        </w:rPr>
        <w:t xml:space="preserve">Artículo 54, Ley 975 de 2005. Adicionado por el artículo 13 de la Ley 1151 de 2007. </w:t>
      </w:r>
    </w:p>
  </w:footnote>
  <w:footnote w:id="86">
    <w:p w:rsidR="003E6FE7" w:rsidRPr="009D0193" w:rsidRDefault="00E4401D" w:rsidP="003E6FE7">
      <w:pPr>
        <w:pStyle w:val="Textonotapie"/>
        <w:rPr>
          <w:lang w:val="es-ES_tradnl"/>
        </w:rPr>
      </w:pPr>
      <w:r>
        <w:rPr>
          <w:rStyle w:val="Refdenotaalpie"/>
        </w:rPr>
        <w:footnoteRef/>
      </w:r>
      <w:r w:rsidRPr="003E6FE7">
        <w:t xml:space="preserve"> Artículos 17, 18 y 19, Decreto 4760 de 2005. </w:t>
      </w:r>
    </w:p>
  </w:footnote>
  <w:footnote w:id="87">
    <w:p w:rsidR="00B96223" w:rsidRPr="00635DFF" w:rsidRDefault="00E4401D">
      <w:pPr>
        <w:pStyle w:val="Textonotapie"/>
      </w:pPr>
      <w:r>
        <w:rPr>
          <w:rStyle w:val="Refdenotaalpie"/>
        </w:rPr>
        <w:footnoteRef/>
      </w:r>
      <w:r w:rsidRPr="00635DFF">
        <w:t xml:space="preserve"> </w:t>
      </w:r>
      <w:r>
        <w:t>Contraloría General de la República. (2024). Justicia y Paz en cifras: 2005 – junio 2024. Bogotá.</w:t>
      </w:r>
    </w:p>
  </w:footnote>
  <w:footnote w:id="88">
    <w:p w:rsidR="00873BFC" w:rsidRPr="00873BFC" w:rsidRDefault="00E4401D">
      <w:pPr>
        <w:pStyle w:val="Textonotapie"/>
        <w:rPr>
          <w:lang w:val="es-ES_tradnl"/>
        </w:rPr>
      </w:pPr>
      <w:r>
        <w:rPr>
          <w:rStyle w:val="Refdenotaalpie"/>
        </w:rPr>
        <w:footnoteRef/>
      </w:r>
      <w:r w:rsidRPr="00873BFC">
        <w:t xml:space="preserve"> </w:t>
      </w:r>
      <w:r>
        <w:rPr>
          <w:lang w:val="es-ES_tradnl"/>
        </w:rPr>
        <w:t xml:space="preserve">Este precio puede variar debido a la actualización de los avalúos. </w:t>
      </w:r>
    </w:p>
  </w:footnote>
  <w:footnote w:id="89">
    <w:p w:rsidR="003D6AC4" w:rsidRPr="003D6AC4" w:rsidRDefault="00E4401D">
      <w:pPr>
        <w:pStyle w:val="Textonotapie"/>
      </w:pPr>
      <w:r>
        <w:rPr>
          <w:rStyle w:val="Refdenotaalpie"/>
        </w:rPr>
        <w:footnoteRef/>
      </w:r>
      <w:r w:rsidRPr="003D6AC4">
        <w:t xml:space="preserve"> </w:t>
      </w:r>
      <w:r>
        <w:t>Contraloría General de la República. (2024). Justicia y Paz en cifras: 2005 – junio 2024. Bogotá,</w:t>
      </w:r>
      <w:r>
        <w:t xml:space="preserve"> pág. 21. </w:t>
      </w:r>
    </w:p>
  </w:footnote>
  <w:footnote w:id="90">
    <w:p w:rsidR="003D6AC4" w:rsidRPr="003D6AC4" w:rsidRDefault="00E4401D">
      <w:pPr>
        <w:pStyle w:val="Textonotapie"/>
      </w:pPr>
      <w:r>
        <w:rPr>
          <w:rStyle w:val="Refdenotaalpie"/>
        </w:rPr>
        <w:footnoteRef/>
      </w:r>
      <w:r w:rsidRPr="003D6AC4">
        <w:t xml:space="preserve"> </w:t>
      </w:r>
      <w:r>
        <w:t>Ibídem,</w:t>
      </w:r>
      <w:r>
        <w:t xml:space="preserve"> pág. 22. </w:t>
      </w:r>
    </w:p>
  </w:footnote>
  <w:footnote w:id="91">
    <w:p w:rsidR="009D724C" w:rsidRPr="00635DFF" w:rsidRDefault="00E4401D">
      <w:pPr>
        <w:pStyle w:val="Textonotapie"/>
      </w:pPr>
      <w:r>
        <w:rPr>
          <w:rStyle w:val="Refdenotaalpie"/>
        </w:rPr>
        <w:footnoteRef/>
      </w:r>
      <w:r w:rsidRPr="00635DFF">
        <w:t xml:space="preserve"> </w:t>
      </w:r>
      <w:r>
        <w:t xml:space="preserve">Ibídem, pág. 18. </w:t>
      </w:r>
    </w:p>
  </w:footnote>
  <w:footnote w:id="92">
    <w:p w:rsidR="00776394" w:rsidRPr="004A71D2" w:rsidRDefault="00E4401D" w:rsidP="004A71D2">
      <w:pPr>
        <w:pStyle w:val="Textonotapie"/>
        <w:jc w:val="both"/>
      </w:pPr>
      <w:r>
        <w:rPr>
          <w:rStyle w:val="Refdenotaalpie"/>
        </w:rPr>
        <w:footnoteRef/>
      </w:r>
      <w:r w:rsidRPr="00776394">
        <w:t xml:space="preserve"> </w:t>
      </w:r>
      <w:r>
        <w:rPr>
          <w:lang w:val="es-ES_tradnl"/>
        </w:rPr>
        <w:t>Previo a la monetización de los bien</w:t>
      </w:r>
      <w:r>
        <w:rPr>
          <w:lang w:val="es-ES_tradnl"/>
        </w:rPr>
        <w:t>es se surte el siguiente trámite: 1. Los postulados manifiestan su intención de entregar los bienes; 2. Se in</w:t>
      </w:r>
      <w:r>
        <w:rPr>
          <w:lang w:val="es-ES_tradnl"/>
        </w:rPr>
        <w:t>i</w:t>
      </w:r>
      <w:r>
        <w:rPr>
          <w:lang w:val="es-ES_tradnl"/>
        </w:rPr>
        <w:t xml:space="preserve">cia un trámite previo, en el </w:t>
      </w:r>
      <w:r>
        <w:rPr>
          <w:lang w:val="es-ES_tradnl"/>
        </w:rPr>
        <w:t>que quienes en los documentos de registro de los bienes aparezcan como propietarios, antes y después de que los biene</w:t>
      </w:r>
      <w:r>
        <w:rPr>
          <w:lang w:val="es-ES_tradnl"/>
        </w:rPr>
        <w:t>s figuren a nombre de los postulados, puedan comparecer libremente a proceso judicial para que probatoriamente se manifiesten sobre la legalidad del traspaso de títulos y el pago justo; 3. Los jueces imponen una medida cautelar sobre los bienes si encuentr</w:t>
      </w:r>
      <w:r>
        <w:rPr>
          <w:lang w:val="es-ES_tradnl"/>
        </w:rPr>
        <w:t>an que cumple con los requisitos para ingresar al Fondo para la Reparación a las Víctimas en audiencia de formulación de imputación; 4. Continúa el trámite y solo hasta la sentencia se extingue el derecho de dominio; 5. Extinto el derecho de dominio se pue</w:t>
      </w:r>
      <w:r>
        <w:rPr>
          <w:lang w:val="es-ES_tradnl"/>
        </w:rPr>
        <w:t xml:space="preserve">de proceder a la comercialización del </w:t>
      </w:r>
      <w:r>
        <w:rPr>
          <w:lang w:val="es-ES_tradnl"/>
        </w:rPr>
        <w:t>bien</w:t>
      </w:r>
      <w:r>
        <w:rPr>
          <w:lang w:val="es-ES_tradnl"/>
        </w:rPr>
        <w:t>. ICTJ. (2012). El proceso penal de Justicia y Paz: Compilación de autos y sentencias de la Sala de Casación Penal de la Corte Suprema de Justicia. Tomo IV. Bogotá</w:t>
      </w:r>
      <w:r>
        <w:rPr>
          <w:lang w:val="es-ES_tradnl"/>
        </w:rPr>
        <w:t xml:space="preserve">: ICTJ. </w:t>
      </w:r>
    </w:p>
  </w:footnote>
  <w:footnote w:id="93">
    <w:p w:rsidR="009F2548" w:rsidRPr="009F2548" w:rsidRDefault="00E4401D">
      <w:pPr>
        <w:pStyle w:val="Textonotapie"/>
      </w:pPr>
      <w:r>
        <w:rPr>
          <w:rStyle w:val="Refdenotaalpie"/>
        </w:rPr>
        <w:footnoteRef/>
      </w:r>
      <w:r w:rsidRPr="009F2548">
        <w:t xml:space="preserve"> </w:t>
      </w:r>
      <w:r>
        <w:t>Ibídem</w:t>
      </w:r>
      <w:r>
        <w:t xml:space="preserve">. </w:t>
      </w:r>
    </w:p>
  </w:footnote>
  <w:footnote w:id="94">
    <w:p w:rsidR="00C13488" w:rsidRPr="00C13488" w:rsidRDefault="00E4401D">
      <w:pPr>
        <w:pStyle w:val="Textonotapie"/>
      </w:pPr>
      <w:r>
        <w:rPr>
          <w:rStyle w:val="Refdenotaalpie"/>
        </w:rPr>
        <w:footnoteRef/>
      </w:r>
      <w:r w:rsidRPr="00C13488">
        <w:t xml:space="preserve"> </w:t>
      </w:r>
      <w:r>
        <w:t xml:space="preserve">Martínez, Wilson. (2016). La extinción de dominio en el posconflicto colombiano. Lecciones aprendidas de Justicia y Paz. Bogotá: Ministerio de Justicia y del Derecho, UNODC, pág. 41. </w:t>
      </w:r>
    </w:p>
  </w:footnote>
  <w:footnote w:id="95">
    <w:p w:rsidR="003E6FE7" w:rsidRPr="003E6FE7" w:rsidRDefault="00E4401D" w:rsidP="004A71D2">
      <w:pPr>
        <w:pStyle w:val="Textonotapie"/>
        <w:jc w:val="both"/>
      </w:pPr>
      <w:r w:rsidRPr="0F1DEB80">
        <w:rPr>
          <w:rStyle w:val="Refdenotaalpie"/>
        </w:rPr>
        <w:footnoteRef/>
      </w:r>
      <w:r w:rsidRPr="003E6FE7">
        <w:t xml:space="preserve"> Unidad para la Atención y Reparación Integral a las Víctimas. Noticia </w:t>
      </w:r>
      <w:r w:rsidRPr="003E6FE7">
        <w:t xml:space="preserve">de 16 de septiembre de 2024. Disponible en: </w:t>
      </w:r>
      <w:hyperlink r:id="rId1">
        <w:r w:rsidRPr="003E6FE7">
          <w:rPr>
            <w:rStyle w:val="Hipervnculo"/>
          </w:rPr>
          <w:t>https://www.unidadvi</w:t>
        </w:r>
        <w:r w:rsidRPr="003E6FE7">
          <w:rPr>
            <w:rStyle w:val="Hipervnculo"/>
          </w:rPr>
          <w:t>ctimas.gov.co/campesinos-victimas-seran-reparados-con-18-000-hectareas-a-traves-de-alianza-entre-unidad-para-las-victimas-y-agencia-nacional-de-tierras/</w:t>
        </w:r>
      </w:hyperlink>
    </w:p>
  </w:footnote>
  <w:footnote w:id="96">
    <w:p w:rsidR="005938CD" w:rsidRPr="00635DFF" w:rsidRDefault="00E4401D">
      <w:pPr>
        <w:pStyle w:val="Textonotapie"/>
        <w:rPr>
          <w:lang w:val="es-ES_tradnl"/>
        </w:rPr>
      </w:pPr>
      <w:r>
        <w:rPr>
          <w:rStyle w:val="Refdenotaalpie"/>
        </w:rPr>
        <w:footnoteRef/>
      </w:r>
      <w:r w:rsidRPr="00635DFF">
        <w:t xml:space="preserve"> </w:t>
      </w:r>
      <w:r>
        <w:t xml:space="preserve">Corte Constitucional, </w:t>
      </w:r>
      <w:r>
        <w:rPr>
          <w:lang w:val="es-ES_tradnl"/>
        </w:rPr>
        <w:t xml:space="preserve">Sentencia C-441 de 2021. </w:t>
      </w:r>
    </w:p>
  </w:footnote>
  <w:footnote w:id="97">
    <w:p w:rsidR="005938CD" w:rsidRPr="00635DFF" w:rsidRDefault="00E4401D" w:rsidP="00635DFF">
      <w:pPr>
        <w:jc w:val="both"/>
        <w:rPr>
          <w:color w:val="000000" w:themeColor="text1"/>
          <w:lang w:val="es-ES"/>
        </w:rPr>
      </w:pPr>
      <w:r>
        <w:rPr>
          <w:rStyle w:val="Refdenotaalpie"/>
        </w:rPr>
        <w:footnoteRef/>
      </w:r>
      <w:r>
        <w:t xml:space="preserve"> </w:t>
      </w:r>
      <w:r w:rsidRPr="00635DFF">
        <w:rPr>
          <w:sz w:val="20"/>
          <w:szCs w:val="20"/>
          <w:lang w:val="es-ES_tradnl"/>
        </w:rPr>
        <w:t xml:space="preserve">Por ejemplo, la </w:t>
      </w:r>
      <w:r>
        <w:rPr>
          <w:sz w:val="20"/>
          <w:szCs w:val="20"/>
          <w:lang w:val="es-ES_tradnl"/>
        </w:rPr>
        <w:t>S</w:t>
      </w:r>
      <w:r w:rsidRPr="00635DFF">
        <w:rPr>
          <w:sz w:val="20"/>
          <w:szCs w:val="20"/>
          <w:lang w:val="es-ES_tradnl"/>
        </w:rPr>
        <w:t>entencia C-261 de 2022 otorgó efec</w:t>
      </w:r>
      <w:r w:rsidRPr="00635DFF">
        <w:rPr>
          <w:sz w:val="20"/>
          <w:szCs w:val="20"/>
          <w:lang w:val="es-ES_tradnl"/>
        </w:rPr>
        <w:t>tos diferidos a una legislatura a la declaratoria de inexequibilidad del artículo 11 de la Ley 2277 de 2022, que extendía la vigencia de las licencias de conducción, con el fin de garantizar el funcionamiento adecuado del sistema del Registro Único Naciona</w:t>
      </w:r>
      <w:r w:rsidRPr="00635DFF">
        <w:rPr>
          <w:sz w:val="20"/>
          <w:szCs w:val="20"/>
          <w:lang w:val="es-ES_tradnl"/>
        </w:rPr>
        <w:t xml:space="preserve">l de Tránsito </w:t>
      </w:r>
      <w:r>
        <w:rPr>
          <w:sz w:val="20"/>
          <w:szCs w:val="20"/>
          <w:lang w:val="es-ES_tradnl"/>
        </w:rPr>
        <w:t>(</w:t>
      </w:r>
      <w:r w:rsidRPr="00635DFF">
        <w:rPr>
          <w:sz w:val="20"/>
          <w:szCs w:val="20"/>
          <w:lang w:val="es-ES_tradnl"/>
        </w:rPr>
        <w:t>RUNT</w:t>
      </w:r>
      <w:r>
        <w:rPr>
          <w:sz w:val="20"/>
          <w:szCs w:val="20"/>
          <w:lang w:val="es-ES_tradnl"/>
        </w:rPr>
        <w:t>)</w:t>
      </w:r>
      <w:r w:rsidRPr="00635DFF">
        <w:rPr>
          <w:sz w:val="20"/>
          <w:szCs w:val="20"/>
          <w:lang w:val="es-ES_tradnl"/>
        </w:rPr>
        <w:t>. Así, a juicio de la Corte, el trámite legislativo surtido por la norma analizada incurrió en un vicio de procedimiento contrario a los principios de consecutividad e identidad flexible, de forma que debía ser expulsada del ordenamient</w:t>
      </w:r>
      <w:r w:rsidRPr="00635DFF">
        <w:rPr>
          <w:sz w:val="20"/>
          <w:szCs w:val="20"/>
          <w:lang w:val="es-ES_tradnl"/>
        </w:rPr>
        <w:t>o jurídico. Sin embargo, la declaratoria de la inexequibilidad pura y simple de la norma podía “generar consecuencias negativas a las personas dedicadas a actividades que impliquen conducción de vehículos”, al igual que obstaculizar el debido funcionamient</w:t>
      </w:r>
      <w:r w:rsidRPr="00635DFF">
        <w:rPr>
          <w:sz w:val="20"/>
          <w:szCs w:val="20"/>
          <w:lang w:val="es-ES_tradnl"/>
        </w:rPr>
        <w:t>o del RUNT.</w:t>
      </w:r>
      <w:r>
        <w:rPr>
          <w:sz w:val="20"/>
          <w:szCs w:val="20"/>
          <w:lang w:val="es-ES_tradnl"/>
        </w:rPr>
        <w:t xml:space="preserve"> Ver también </w:t>
      </w:r>
      <w:r w:rsidRPr="00635DFF">
        <w:rPr>
          <w:sz w:val="20"/>
          <w:szCs w:val="20"/>
          <w:lang w:val="es-ES_tradnl"/>
        </w:rPr>
        <w:t>sentencias C-430 de 2024, C-019 de 2022, C-068 de 2020, C-441 de 2021, C-346 de 2021, C-047 de 2021, C-464 de 2020, C-484 de 2020</w:t>
      </w:r>
      <w:r>
        <w:rPr>
          <w:sz w:val="20"/>
          <w:szCs w:val="20"/>
          <w:lang w:val="es-ES_tradnl"/>
        </w:rPr>
        <w:t>,</w:t>
      </w:r>
      <w:r w:rsidRPr="00635DFF">
        <w:rPr>
          <w:sz w:val="20"/>
          <w:szCs w:val="20"/>
          <w:lang w:val="es-ES_tradnl"/>
        </w:rPr>
        <w:t xml:space="preserve"> C-510 de 2019</w:t>
      </w:r>
      <w:r>
        <w:rPr>
          <w:sz w:val="20"/>
          <w:szCs w:val="20"/>
          <w:lang w:val="es-ES_tradnl"/>
        </w:rPr>
        <w:t xml:space="preserve"> y</w:t>
      </w:r>
      <w:r w:rsidRPr="00635DFF">
        <w:rPr>
          <w:sz w:val="20"/>
          <w:szCs w:val="20"/>
          <w:lang w:val="es-ES_tradnl"/>
        </w:rPr>
        <w:t xml:space="preserve"> C-219 de 2019</w:t>
      </w:r>
      <w:r>
        <w:rPr>
          <w:sz w:val="20"/>
          <w:szCs w:val="20"/>
          <w:lang w:val="es-ES_tradnl"/>
        </w:rPr>
        <w:t xml:space="preserve">. </w:t>
      </w:r>
      <w:r>
        <w:rPr>
          <w:color w:val="000000" w:themeColor="text1"/>
          <w:highlight w:val="yellow"/>
          <w:lang w:val="es-ES"/>
        </w:rPr>
        <w:t xml:space="preserve"> </w:t>
      </w:r>
      <w:r>
        <w:rPr>
          <w:color w:val="000000" w:themeColor="text1"/>
          <w:lang w:val="es-ES"/>
        </w:rPr>
        <w:t xml:space="preserve">  </w:t>
      </w:r>
    </w:p>
  </w:footnote>
  <w:footnote w:id="98">
    <w:p w:rsidR="005938CD" w:rsidRPr="00635DFF" w:rsidRDefault="00E4401D">
      <w:pPr>
        <w:pStyle w:val="Textonotapie"/>
        <w:rPr>
          <w:lang w:val="es-ES_tradnl"/>
        </w:rPr>
      </w:pPr>
      <w:r>
        <w:rPr>
          <w:rStyle w:val="Refdenotaalpie"/>
        </w:rPr>
        <w:footnoteRef/>
      </w:r>
      <w:r w:rsidRPr="00635DFF">
        <w:t xml:space="preserve"> </w:t>
      </w:r>
      <w:r>
        <w:t xml:space="preserve">Corte Constitucional, </w:t>
      </w:r>
      <w:r>
        <w:rPr>
          <w:lang w:val="es-ES_tradnl"/>
        </w:rPr>
        <w:t xml:space="preserve">Sentencia C- 019 de 2022.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A0A7B"/>
    <w:multiLevelType w:val="hybridMultilevel"/>
    <w:tmpl w:val="D2521782"/>
    <w:lvl w:ilvl="0" w:tplc="9356D09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75C69C7"/>
    <w:multiLevelType w:val="hybridMultilevel"/>
    <w:tmpl w:val="B254BFFC"/>
    <w:lvl w:ilvl="0" w:tplc="B8CAC4BA">
      <w:start w:val="1"/>
      <w:numFmt w:val="bullet"/>
      <w:lvlText w:val=""/>
      <w:lvlJc w:val="left"/>
      <w:pPr>
        <w:ind w:left="720" w:hanging="360"/>
      </w:pPr>
      <w:rPr>
        <w:rFonts w:ascii="Symbol" w:eastAsia="Times New Roman" w:hAnsi="Symbol" w:cs="Times New Roman"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16319E3"/>
    <w:multiLevelType w:val="hybridMultilevel"/>
    <w:tmpl w:val="96E8D00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9FF46DE"/>
    <w:multiLevelType w:val="hybridMultilevel"/>
    <w:tmpl w:val="AAFC099A"/>
    <w:lvl w:ilvl="0" w:tplc="D99813CA">
      <w:start w:val="8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865001A"/>
    <w:multiLevelType w:val="hybridMultilevel"/>
    <w:tmpl w:val="2CDC4C82"/>
    <w:lvl w:ilvl="0" w:tplc="BEB6EBF8">
      <w:start w:val="4"/>
      <w:numFmt w:val="upperLetter"/>
      <w:lvlText w:val="%1."/>
      <w:lvlJc w:val="left"/>
      <w:pPr>
        <w:ind w:left="107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C5771AC"/>
    <w:multiLevelType w:val="hybridMultilevel"/>
    <w:tmpl w:val="AC7C993A"/>
    <w:lvl w:ilvl="0" w:tplc="7312F00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5D154B3"/>
    <w:multiLevelType w:val="hybridMultilevel"/>
    <w:tmpl w:val="D3E2260A"/>
    <w:lvl w:ilvl="0" w:tplc="3F142E80">
      <w:start w:val="1"/>
      <w:numFmt w:val="decimal"/>
      <w:lvlText w:val="%1."/>
      <w:lvlJc w:val="left"/>
      <w:pPr>
        <w:ind w:left="928" w:hanging="360"/>
      </w:pPr>
      <w:rPr>
        <w:rFonts w:hint="default"/>
        <w:b/>
        <w:bCs w:val="0"/>
        <w:i w:val="0"/>
        <w:iCs w:val="0"/>
        <w:sz w:val="28"/>
        <w:szCs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6B167FB1"/>
    <w:multiLevelType w:val="hybridMultilevel"/>
    <w:tmpl w:val="AD4E03DE"/>
    <w:lvl w:ilvl="0" w:tplc="6B528FF2">
      <w:start w:val="1"/>
      <w:numFmt w:val="upperLetter"/>
      <w:lvlText w:val="%1."/>
      <w:lvlJc w:val="left"/>
      <w:pPr>
        <w:ind w:left="277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E6B3B12"/>
    <w:multiLevelType w:val="multilevel"/>
    <w:tmpl w:val="F6221DCA"/>
    <w:lvl w:ilvl="0">
      <w:start w:val="1"/>
      <w:numFmt w:val="decimal"/>
      <w:pStyle w:val="Prrafonumerado"/>
      <w:lvlText w:val="%1."/>
      <w:lvlJc w:val="left"/>
      <w:pPr>
        <w:ind w:left="720" w:hanging="360"/>
      </w:pPr>
      <w:rPr>
        <w:rFonts w:eastAsia="Times New Roman"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EE220C7"/>
    <w:multiLevelType w:val="hybridMultilevel"/>
    <w:tmpl w:val="D58A8AF8"/>
    <w:lvl w:ilvl="0" w:tplc="DC763868">
      <w:start w:val="1"/>
      <w:numFmt w:val="upperRoman"/>
      <w:lvlText w:val="%1."/>
      <w:lvlJc w:val="left"/>
      <w:pPr>
        <w:ind w:left="1080" w:hanging="720"/>
      </w:pPr>
      <w:rPr>
        <w:rFonts w:hint="default"/>
        <w:color w:val="auto"/>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D6E37EA"/>
    <w:multiLevelType w:val="hybridMultilevel"/>
    <w:tmpl w:val="E7F8D64A"/>
    <w:lvl w:ilvl="0" w:tplc="3E2C961A">
      <w:start w:val="1"/>
      <w:numFmt w:val="lowerRoman"/>
      <w:lvlText w:val="(%1)"/>
      <w:lvlJc w:val="left"/>
      <w:pPr>
        <w:ind w:left="2670" w:hanging="720"/>
      </w:pPr>
      <w:rPr>
        <w:rFonts w:hint="default"/>
      </w:rPr>
    </w:lvl>
    <w:lvl w:ilvl="1" w:tplc="240A0019" w:tentative="1">
      <w:start w:val="1"/>
      <w:numFmt w:val="lowerLetter"/>
      <w:lvlText w:val="%2."/>
      <w:lvlJc w:val="left"/>
      <w:pPr>
        <w:ind w:left="3030" w:hanging="360"/>
      </w:pPr>
    </w:lvl>
    <w:lvl w:ilvl="2" w:tplc="240A001B" w:tentative="1">
      <w:start w:val="1"/>
      <w:numFmt w:val="lowerRoman"/>
      <w:lvlText w:val="%3."/>
      <w:lvlJc w:val="right"/>
      <w:pPr>
        <w:ind w:left="3750" w:hanging="180"/>
      </w:pPr>
    </w:lvl>
    <w:lvl w:ilvl="3" w:tplc="240A000F" w:tentative="1">
      <w:start w:val="1"/>
      <w:numFmt w:val="decimal"/>
      <w:lvlText w:val="%4."/>
      <w:lvlJc w:val="left"/>
      <w:pPr>
        <w:ind w:left="4470" w:hanging="360"/>
      </w:pPr>
    </w:lvl>
    <w:lvl w:ilvl="4" w:tplc="240A0019" w:tentative="1">
      <w:start w:val="1"/>
      <w:numFmt w:val="lowerLetter"/>
      <w:lvlText w:val="%5."/>
      <w:lvlJc w:val="left"/>
      <w:pPr>
        <w:ind w:left="5190" w:hanging="360"/>
      </w:pPr>
    </w:lvl>
    <w:lvl w:ilvl="5" w:tplc="240A001B" w:tentative="1">
      <w:start w:val="1"/>
      <w:numFmt w:val="lowerRoman"/>
      <w:lvlText w:val="%6."/>
      <w:lvlJc w:val="right"/>
      <w:pPr>
        <w:ind w:left="5910" w:hanging="180"/>
      </w:pPr>
    </w:lvl>
    <w:lvl w:ilvl="6" w:tplc="240A000F" w:tentative="1">
      <w:start w:val="1"/>
      <w:numFmt w:val="decimal"/>
      <w:lvlText w:val="%7."/>
      <w:lvlJc w:val="left"/>
      <w:pPr>
        <w:ind w:left="6630" w:hanging="360"/>
      </w:pPr>
    </w:lvl>
    <w:lvl w:ilvl="7" w:tplc="240A0019" w:tentative="1">
      <w:start w:val="1"/>
      <w:numFmt w:val="lowerLetter"/>
      <w:lvlText w:val="%8."/>
      <w:lvlJc w:val="left"/>
      <w:pPr>
        <w:ind w:left="7350" w:hanging="360"/>
      </w:pPr>
    </w:lvl>
    <w:lvl w:ilvl="8" w:tplc="240A001B" w:tentative="1">
      <w:start w:val="1"/>
      <w:numFmt w:val="lowerRoman"/>
      <w:lvlText w:val="%9."/>
      <w:lvlJc w:val="right"/>
      <w:pPr>
        <w:ind w:left="8070" w:hanging="180"/>
      </w:pPr>
    </w:lvl>
  </w:abstractNum>
  <w:num w:numId="1">
    <w:abstractNumId w:val="8"/>
  </w:num>
  <w:num w:numId="2">
    <w:abstractNumId w:val="9"/>
  </w:num>
  <w:num w:numId="3">
    <w:abstractNumId w:val="6"/>
  </w:num>
  <w:num w:numId="4">
    <w:abstractNumId w:val="5"/>
  </w:num>
  <w:num w:numId="5">
    <w:abstractNumId w:val="4"/>
  </w:num>
  <w:num w:numId="6">
    <w:abstractNumId w:val="7"/>
  </w:num>
  <w:num w:numId="7">
    <w:abstractNumId w:val="10"/>
  </w:num>
  <w:num w:numId="8">
    <w:abstractNumId w:val="1"/>
  </w:num>
  <w:num w:numId="9">
    <w:abstractNumId w:val="3"/>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DF3C2C"/>
    <w:rsid w:val="00A02EC8"/>
    <w:rsid w:val="00DF3C2C"/>
    <w:rsid w:val="00E440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3D2D5915-0F6F-4DB6-9E25-F94DCA6A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2B266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B324E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8F3EF5"/>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unhideWhenUsed/>
    <w:qFormat/>
    <w:rsid w:val="000663D0"/>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36247A"/>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D057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057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057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057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02DE3"/>
    <w:pPr>
      <w:tabs>
        <w:tab w:val="center" w:pos="4419"/>
        <w:tab w:val="right" w:pos="8838"/>
      </w:tabs>
    </w:pPr>
  </w:style>
  <w:style w:type="character" w:customStyle="1" w:styleId="EncabezadoCar">
    <w:name w:val="Encabezado Car"/>
    <w:basedOn w:val="Fuentedeprrafopredeter"/>
    <w:link w:val="Encabezado"/>
    <w:uiPriority w:val="99"/>
    <w:rsid w:val="00A02DE3"/>
  </w:style>
  <w:style w:type="paragraph" w:styleId="Piedepgina">
    <w:name w:val="footer"/>
    <w:basedOn w:val="Normal"/>
    <w:link w:val="PiedepginaCar"/>
    <w:uiPriority w:val="99"/>
    <w:unhideWhenUsed/>
    <w:rsid w:val="00A02DE3"/>
    <w:pPr>
      <w:tabs>
        <w:tab w:val="center" w:pos="4419"/>
        <w:tab w:val="right" w:pos="8838"/>
      </w:tabs>
    </w:pPr>
  </w:style>
  <w:style w:type="character" w:customStyle="1" w:styleId="PiedepginaCar">
    <w:name w:val="Pie de página Car"/>
    <w:basedOn w:val="Fuentedeprrafopredeter"/>
    <w:link w:val="Piedepgina"/>
    <w:uiPriority w:val="99"/>
    <w:rsid w:val="00A02DE3"/>
  </w:style>
  <w:style w:type="paragraph" w:customStyle="1" w:styleId="Style5">
    <w:name w:val="Style5"/>
    <w:basedOn w:val="Normal"/>
    <w:uiPriority w:val="99"/>
    <w:rsid w:val="003F7E3A"/>
    <w:pPr>
      <w:widowControl w:val="0"/>
      <w:autoSpaceDE w:val="0"/>
      <w:autoSpaceDN w:val="0"/>
      <w:adjustRightInd w:val="0"/>
      <w:spacing w:line="317" w:lineRule="exact"/>
      <w:jc w:val="both"/>
    </w:pPr>
  </w:style>
  <w:style w:type="character" w:customStyle="1" w:styleId="Ttulo1Car">
    <w:name w:val="Título 1 Car"/>
    <w:basedOn w:val="Fuentedeprrafopredeter"/>
    <w:link w:val="Ttulo1"/>
    <w:uiPriority w:val="9"/>
    <w:rsid w:val="002B266B"/>
    <w:rPr>
      <w:rFonts w:asciiTheme="majorHAnsi" w:eastAsiaTheme="majorEastAsia" w:hAnsiTheme="majorHAnsi" w:cstheme="majorBidi"/>
      <w:color w:val="2F5496" w:themeColor="accent1" w:themeShade="BF"/>
      <w:sz w:val="32"/>
      <w:szCs w:val="32"/>
      <w:lang w:eastAsia="es-ES_tradnl"/>
    </w:rPr>
  </w:style>
  <w:style w:type="character" w:customStyle="1" w:styleId="Ttulo2Car">
    <w:name w:val="Título 2 Car"/>
    <w:basedOn w:val="Fuentedeprrafopredeter"/>
    <w:link w:val="Ttulo2"/>
    <w:uiPriority w:val="9"/>
    <w:rsid w:val="00B324E6"/>
    <w:rPr>
      <w:rFonts w:asciiTheme="majorHAnsi" w:eastAsiaTheme="majorEastAsia" w:hAnsiTheme="majorHAnsi" w:cstheme="majorBidi"/>
      <w:color w:val="2F5496" w:themeColor="accent1" w:themeShade="BF"/>
      <w:sz w:val="26"/>
      <w:szCs w:val="26"/>
      <w:lang w:eastAsia="es-ES_tradnl"/>
    </w:rPr>
  </w:style>
  <w:style w:type="paragraph" w:styleId="Prrafodelista">
    <w:name w:val="List Paragraph"/>
    <w:aliases w:val="Colorful List - Accent 11,Ha,List Paragraph1,lp1,List Paragraph2,List1,titulo 3,Párrafo de lista1,Bullets,Párrafo de lista2,Lista vistosa - Énfasis 11,Cuadrícula clara - Énfasis 31,Dot pt,F5 List Paragraph,No Spacing1,párrafos sentencia"/>
    <w:basedOn w:val="Normal"/>
    <w:link w:val="PrrafodelistaCar"/>
    <w:uiPriority w:val="34"/>
    <w:qFormat/>
    <w:rsid w:val="008F3EF5"/>
    <w:pPr>
      <w:ind w:left="720"/>
      <w:contextualSpacing/>
    </w:pPr>
  </w:style>
  <w:style w:type="character" w:customStyle="1" w:styleId="Ttulo3Car">
    <w:name w:val="Título 3 Car"/>
    <w:basedOn w:val="Fuentedeprrafopredeter"/>
    <w:link w:val="Ttulo3"/>
    <w:uiPriority w:val="9"/>
    <w:rsid w:val="008F3EF5"/>
    <w:rPr>
      <w:rFonts w:asciiTheme="majorHAnsi" w:eastAsiaTheme="majorEastAsia" w:hAnsiTheme="majorHAnsi" w:cstheme="majorBidi"/>
      <w:color w:val="1F3763" w:themeColor="accent1" w:themeShade="7F"/>
      <w:sz w:val="24"/>
      <w:szCs w:val="24"/>
      <w:lang w:eastAsia="es-ES_tradnl"/>
    </w:rPr>
  </w:style>
  <w:style w:type="character" w:customStyle="1" w:styleId="Ttulo4Car">
    <w:name w:val="Título 4 Car"/>
    <w:basedOn w:val="Fuentedeprrafopredeter"/>
    <w:link w:val="Ttulo4"/>
    <w:uiPriority w:val="9"/>
    <w:rsid w:val="000663D0"/>
    <w:rPr>
      <w:rFonts w:asciiTheme="majorHAnsi" w:eastAsiaTheme="majorEastAsia" w:hAnsiTheme="majorHAnsi" w:cstheme="majorBidi"/>
      <w:i/>
      <w:iCs/>
      <w:color w:val="2F5496" w:themeColor="accent1" w:themeShade="BF"/>
      <w:sz w:val="24"/>
      <w:szCs w:val="24"/>
      <w:lang w:eastAsia="es-ES_tradnl"/>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3155F3"/>
    <w:rPr>
      <w:sz w:val="20"/>
      <w:szCs w:val="20"/>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1"/>
    <w:basedOn w:val="Fuentedeprrafopredeter"/>
    <w:link w:val="Textonotapie"/>
    <w:uiPriority w:val="99"/>
    <w:qFormat/>
    <w:rsid w:val="003155F3"/>
    <w:rPr>
      <w:rFonts w:eastAsia="Times New Roman"/>
      <w:lang w:eastAsia="es-ES_tradnl"/>
    </w:rPr>
  </w:style>
  <w:style w:type="character" w:styleId="Refdenotaalpie">
    <w:name w:val="footnote reference"/>
    <w:aliases w:val="Texto de nota al pie,Footnotes refss,Appel note de bas de page,referencia nota al pie,Footnote number,BVI fnr,f,Fago Fußnotenzeichen,Ref. de nota al pie 2,4_G,16 Point,Superscript 6 Point,Footnote symbol,Footnote,Ref,de nota al pie,R"/>
    <w:basedOn w:val="Fuentedeprrafopredeter"/>
    <w:link w:val="Piedepagina"/>
    <w:uiPriority w:val="99"/>
    <w:unhideWhenUsed/>
    <w:qFormat/>
    <w:rsid w:val="003155F3"/>
    <w:rPr>
      <w:vertAlign w:val="superscript"/>
    </w:rPr>
  </w:style>
  <w:style w:type="paragraph" w:customStyle="1" w:styleId="centrado">
    <w:name w:val="centrado"/>
    <w:basedOn w:val="Normal"/>
    <w:rsid w:val="00355438"/>
    <w:pPr>
      <w:spacing w:before="100" w:beforeAutospacing="1" w:after="100" w:afterAutospacing="1"/>
    </w:pPr>
  </w:style>
  <w:style w:type="character" w:customStyle="1" w:styleId="baj">
    <w:name w:val="b_aj"/>
    <w:basedOn w:val="Fuentedeprrafopredeter"/>
    <w:rsid w:val="00355438"/>
  </w:style>
  <w:style w:type="character" w:styleId="Hipervnculo">
    <w:name w:val="Hyperlink"/>
    <w:basedOn w:val="Fuentedeprrafopredeter"/>
    <w:uiPriority w:val="99"/>
    <w:unhideWhenUsed/>
    <w:rsid w:val="00355438"/>
    <w:rPr>
      <w:color w:val="0000FF"/>
      <w:u w:val="single"/>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w:uiPriority w:val="99"/>
    <w:locked/>
    <w:rsid w:val="00E817B1"/>
    <w:rPr>
      <w:rFonts w:ascii="Times New Roman" w:eastAsia="SimSun" w:hAnsi="Times New Roman" w:cs="Times New Roman"/>
      <w:sz w:val="20"/>
      <w:szCs w:val="20"/>
      <w:lang w:eastAsia="es-ES"/>
    </w:rPr>
  </w:style>
  <w:style w:type="paragraph" w:customStyle="1" w:styleId="Piedepagina">
    <w:name w:val="Pie de pagina"/>
    <w:aliases w:val="Ref. de nota al pie2"/>
    <w:basedOn w:val="Normal"/>
    <w:link w:val="Refdenotaalpie"/>
    <w:uiPriority w:val="99"/>
    <w:qFormat/>
    <w:rsid w:val="00E817B1"/>
    <w:pPr>
      <w:spacing w:line="240" w:lineRule="exact"/>
    </w:pPr>
    <w:rPr>
      <w:rFonts w:eastAsiaTheme="minorHAnsi"/>
      <w:sz w:val="20"/>
      <w:szCs w:val="20"/>
      <w:vertAlign w:val="superscript"/>
      <w:lang w:eastAsia="en-US"/>
    </w:rPr>
  </w:style>
  <w:style w:type="character" w:customStyle="1" w:styleId="PrrafodelistaCar">
    <w:name w:val="Párrafo de lista Car"/>
    <w:aliases w:val="Colorful List - Accent 11 Car,Ha Car,List Paragraph1 Car,lp1 Car,List Paragraph2 Car,List1 Car,titulo 3 Car,Párrafo de lista1 Car,Bullets Car,Párrafo de lista2 Car,Lista vistosa - Énfasis 11 Car,Cuadrícula clara - Énfasis 31 Car"/>
    <w:link w:val="Prrafodelista"/>
    <w:uiPriority w:val="34"/>
    <w:qFormat/>
    <w:locked/>
    <w:rsid w:val="00D851DC"/>
    <w:rPr>
      <w:rFonts w:eastAsia="Times New Roman"/>
      <w:sz w:val="24"/>
      <w:szCs w:val="24"/>
      <w:lang w:eastAsia="es-ES_tradnl"/>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D851DC"/>
    <w:pPr>
      <w:jc w:val="both"/>
    </w:pPr>
    <w:rPr>
      <w:rFonts w:eastAsiaTheme="minorHAnsi"/>
      <w:vertAlign w:val="superscript"/>
      <w:lang w:eastAsia="en-US"/>
    </w:rPr>
  </w:style>
  <w:style w:type="character" w:styleId="Refdecomentario">
    <w:name w:val="annotation reference"/>
    <w:basedOn w:val="Fuentedeprrafopredeter"/>
    <w:uiPriority w:val="99"/>
    <w:semiHidden/>
    <w:unhideWhenUsed/>
    <w:rsid w:val="00CC1A4F"/>
    <w:rPr>
      <w:sz w:val="16"/>
      <w:szCs w:val="16"/>
    </w:rPr>
  </w:style>
  <w:style w:type="paragraph" w:styleId="Textocomentario">
    <w:name w:val="annotation text"/>
    <w:basedOn w:val="Normal"/>
    <w:link w:val="TextocomentarioCar"/>
    <w:uiPriority w:val="99"/>
    <w:unhideWhenUsed/>
    <w:rsid w:val="00CC1A4F"/>
    <w:rPr>
      <w:sz w:val="20"/>
      <w:szCs w:val="20"/>
    </w:rPr>
  </w:style>
  <w:style w:type="character" w:customStyle="1" w:styleId="TextocomentarioCar">
    <w:name w:val="Texto comentario Car"/>
    <w:basedOn w:val="Fuentedeprrafopredeter"/>
    <w:link w:val="Textocomentario"/>
    <w:uiPriority w:val="99"/>
    <w:rsid w:val="00CC1A4F"/>
    <w:rPr>
      <w:rFonts w:eastAsia="Times New Roman"/>
      <w:lang w:eastAsia="es-ES_tradnl"/>
    </w:rPr>
  </w:style>
  <w:style w:type="paragraph" w:styleId="Asuntodelcomentario">
    <w:name w:val="annotation subject"/>
    <w:basedOn w:val="Textocomentario"/>
    <w:next w:val="Textocomentario"/>
    <w:link w:val="AsuntodelcomentarioCar"/>
    <w:uiPriority w:val="99"/>
    <w:semiHidden/>
    <w:unhideWhenUsed/>
    <w:rsid w:val="00CC1A4F"/>
    <w:rPr>
      <w:b/>
      <w:bCs/>
    </w:rPr>
  </w:style>
  <w:style w:type="character" w:customStyle="1" w:styleId="AsuntodelcomentarioCar">
    <w:name w:val="Asunto del comentario Car"/>
    <w:basedOn w:val="TextocomentarioCar"/>
    <w:link w:val="Asuntodelcomentario"/>
    <w:uiPriority w:val="99"/>
    <w:semiHidden/>
    <w:rsid w:val="00CC1A4F"/>
    <w:rPr>
      <w:rFonts w:eastAsia="Times New Roman"/>
      <w:b/>
      <w:bCs/>
      <w:lang w:eastAsia="es-ES_tradnl"/>
    </w:rPr>
  </w:style>
  <w:style w:type="table" w:styleId="Tablaconcuadrcula">
    <w:name w:val="Table Grid"/>
    <w:basedOn w:val="Tablanormal"/>
    <w:uiPriority w:val="39"/>
    <w:rsid w:val="006A5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63A64"/>
    <w:rPr>
      <w:rFonts w:eastAsia="Times New Roman"/>
      <w:sz w:val="24"/>
      <w:szCs w:val="24"/>
      <w:lang w:eastAsia="es-ES_tradnl"/>
    </w:rPr>
  </w:style>
  <w:style w:type="paragraph" w:styleId="NormalWeb">
    <w:name w:val="Normal (Web)"/>
    <w:basedOn w:val="Normal"/>
    <w:uiPriority w:val="99"/>
    <w:unhideWhenUsed/>
    <w:rsid w:val="00B94C4C"/>
    <w:pPr>
      <w:spacing w:before="100" w:beforeAutospacing="1" w:after="100" w:afterAutospacing="1"/>
    </w:pPr>
  </w:style>
  <w:style w:type="character" w:customStyle="1" w:styleId="user-highlighted-active">
    <w:name w:val="user-highlighted-active"/>
    <w:basedOn w:val="Fuentedeprrafopredeter"/>
    <w:rsid w:val="00B94C4C"/>
  </w:style>
  <w:style w:type="character" w:customStyle="1" w:styleId="cf01">
    <w:name w:val="cf01"/>
    <w:basedOn w:val="Fuentedeprrafopredeter"/>
    <w:rsid w:val="008B3D21"/>
    <w:rPr>
      <w:rFonts w:ascii="Segoe UI" w:hAnsi="Segoe UI" w:cs="Segoe UI" w:hint="default"/>
      <w:sz w:val="18"/>
      <w:szCs w:val="18"/>
    </w:rPr>
  </w:style>
  <w:style w:type="character" w:customStyle="1" w:styleId="FontStyle19">
    <w:name w:val="Font Style19"/>
    <w:basedOn w:val="Fuentedeprrafopredeter"/>
    <w:uiPriority w:val="99"/>
    <w:rsid w:val="00AB63FA"/>
    <w:rPr>
      <w:rFonts w:ascii="Times New Roman" w:hAnsi="Times New Roman" w:cs="Times New Roman"/>
      <w:sz w:val="26"/>
      <w:szCs w:val="26"/>
    </w:rPr>
  </w:style>
  <w:style w:type="paragraph" w:styleId="Textoindependiente">
    <w:name w:val="Body Text"/>
    <w:basedOn w:val="Normal"/>
    <w:link w:val="TextoindependienteCar"/>
    <w:uiPriority w:val="99"/>
    <w:unhideWhenUsed/>
    <w:rsid w:val="00B15A13"/>
    <w:pPr>
      <w:spacing w:after="120"/>
    </w:pPr>
  </w:style>
  <w:style w:type="character" w:customStyle="1" w:styleId="TextoindependienteCar">
    <w:name w:val="Texto independiente Car"/>
    <w:basedOn w:val="Fuentedeprrafopredeter"/>
    <w:link w:val="Textoindependiente"/>
    <w:uiPriority w:val="99"/>
    <w:rsid w:val="00B15A13"/>
    <w:rPr>
      <w:rFonts w:eastAsia="Times New Roman"/>
      <w:sz w:val="24"/>
      <w:szCs w:val="24"/>
      <w:lang w:eastAsia="es-ES_tradnl"/>
    </w:rPr>
  </w:style>
  <w:style w:type="paragraph" w:styleId="Sangradetextonormal">
    <w:name w:val="Body Text Indent"/>
    <w:basedOn w:val="Normal"/>
    <w:link w:val="SangradetextonormalCar"/>
    <w:uiPriority w:val="99"/>
    <w:semiHidden/>
    <w:unhideWhenUsed/>
    <w:rsid w:val="00B15A13"/>
    <w:pPr>
      <w:spacing w:after="120"/>
      <w:ind w:left="283"/>
    </w:pPr>
  </w:style>
  <w:style w:type="character" w:customStyle="1" w:styleId="SangradetextonormalCar">
    <w:name w:val="Sangría de texto normal Car"/>
    <w:basedOn w:val="Fuentedeprrafopredeter"/>
    <w:link w:val="Sangradetextonormal"/>
    <w:uiPriority w:val="99"/>
    <w:semiHidden/>
    <w:rsid w:val="00B15A13"/>
    <w:rPr>
      <w:rFonts w:eastAsia="Times New Roman"/>
      <w:sz w:val="24"/>
      <w:szCs w:val="24"/>
      <w:lang w:eastAsia="es-ES_tradnl"/>
    </w:rPr>
  </w:style>
  <w:style w:type="paragraph" w:styleId="Textoindependienteprimerasangra2">
    <w:name w:val="Body Text First Indent 2"/>
    <w:basedOn w:val="Sangradetextonormal"/>
    <w:link w:val="Textoindependienteprimerasangra2Car"/>
    <w:uiPriority w:val="99"/>
    <w:unhideWhenUsed/>
    <w:rsid w:val="00B15A1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15A13"/>
    <w:rPr>
      <w:rFonts w:eastAsia="Times New Roman"/>
      <w:sz w:val="24"/>
      <w:szCs w:val="24"/>
      <w:lang w:eastAsia="es-ES_tradnl"/>
    </w:rPr>
  </w:style>
  <w:style w:type="paragraph" w:styleId="Textonotaalfinal">
    <w:name w:val="endnote text"/>
    <w:basedOn w:val="Normal"/>
    <w:link w:val="TextonotaalfinalCar"/>
    <w:uiPriority w:val="99"/>
    <w:semiHidden/>
    <w:unhideWhenUsed/>
    <w:rsid w:val="004D7241"/>
    <w:rPr>
      <w:sz w:val="20"/>
      <w:szCs w:val="20"/>
    </w:rPr>
  </w:style>
  <w:style w:type="character" w:customStyle="1" w:styleId="TextonotaalfinalCar">
    <w:name w:val="Texto nota al final Car"/>
    <w:basedOn w:val="Fuentedeprrafopredeter"/>
    <w:link w:val="Textonotaalfinal"/>
    <w:uiPriority w:val="99"/>
    <w:semiHidden/>
    <w:rsid w:val="004D7241"/>
    <w:rPr>
      <w:rFonts w:eastAsia="Times New Roman"/>
      <w:lang w:eastAsia="es-ES_tradnl"/>
    </w:rPr>
  </w:style>
  <w:style w:type="character" w:styleId="Refdenotaalfinal">
    <w:name w:val="endnote reference"/>
    <w:basedOn w:val="Fuentedeprrafopredeter"/>
    <w:uiPriority w:val="99"/>
    <w:semiHidden/>
    <w:unhideWhenUsed/>
    <w:rsid w:val="004D7241"/>
    <w:rPr>
      <w:vertAlign w:val="superscript"/>
    </w:rPr>
  </w:style>
  <w:style w:type="paragraph" w:customStyle="1" w:styleId="Prrafonumerado">
    <w:name w:val="Párrafo numerado"/>
    <w:basedOn w:val="Prrafodelista"/>
    <w:link w:val="PrrafonumeradoChar1"/>
    <w:qFormat/>
    <w:rsid w:val="00AD348F"/>
    <w:pPr>
      <w:numPr>
        <w:numId w:val="1"/>
      </w:numPr>
      <w:tabs>
        <w:tab w:val="left" w:pos="426"/>
      </w:tabs>
      <w:ind w:left="0" w:firstLine="0"/>
      <w:jc w:val="both"/>
    </w:pPr>
    <w:rPr>
      <w:bCs/>
      <w:color w:val="000000" w:themeColor="text1"/>
      <w:sz w:val="28"/>
      <w:szCs w:val="28"/>
      <w:lang w:val="es-ES" w:eastAsia="es-ES"/>
    </w:rPr>
  </w:style>
  <w:style w:type="character" w:customStyle="1" w:styleId="PrrafonumeradoChar1">
    <w:name w:val="Párrafo numerado Char1"/>
    <w:basedOn w:val="Fuentedeprrafopredeter"/>
    <w:link w:val="Prrafonumerado"/>
    <w:rsid w:val="00AD348F"/>
    <w:rPr>
      <w:rFonts w:eastAsia="Times New Roman"/>
      <w:bCs/>
      <w:color w:val="000000" w:themeColor="text1"/>
      <w:sz w:val="28"/>
      <w:szCs w:val="28"/>
      <w:lang w:val="es-ES" w:eastAsia="es-ES"/>
    </w:rPr>
  </w:style>
  <w:style w:type="character" w:customStyle="1" w:styleId="iaj">
    <w:name w:val="iaj"/>
    <w:basedOn w:val="Fuentedeprrafopredeter"/>
    <w:rsid w:val="00D1457F"/>
  </w:style>
  <w:style w:type="character" w:styleId="Hipervnculovisitado">
    <w:name w:val="FollowedHyperlink"/>
    <w:basedOn w:val="Fuentedeprrafopredeter"/>
    <w:uiPriority w:val="99"/>
    <w:semiHidden/>
    <w:unhideWhenUsed/>
    <w:rsid w:val="0075771F"/>
    <w:rPr>
      <w:color w:val="954F72" w:themeColor="followedHyperlink"/>
      <w:u w:val="single"/>
    </w:rPr>
  </w:style>
  <w:style w:type="paragraph" w:customStyle="1" w:styleId="Piedepaginabsico">
    <w:name w:val="Pie de pagina básico"/>
    <w:basedOn w:val="Normal"/>
    <w:uiPriority w:val="99"/>
    <w:qFormat/>
    <w:rsid w:val="00FD4243"/>
    <w:pPr>
      <w:jc w:val="both"/>
    </w:pPr>
    <w:rPr>
      <w:vertAlign w:val="superscript"/>
      <w:lang w:eastAsia="en-US"/>
    </w:rPr>
  </w:style>
  <w:style w:type="character" w:customStyle="1" w:styleId="Ttulo5Car">
    <w:name w:val="Título 5 Car"/>
    <w:basedOn w:val="Fuentedeprrafopredeter"/>
    <w:link w:val="Ttulo5"/>
    <w:uiPriority w:val="9"/>
    <w:rsid w:val="0036247A"/>
    <w:rPr>
      <w:rFonts w:asciiTheme="majorHAnsi" w:eastAsiaTheme="majorEastAsia" w:hAnsiTheme="majorHAnsi" w:cstheme="majorBidi"/>
      <w:color w:val="2F5496" w:themeColor="accent1" w:themeShade="BF"/>
      <w:sz w:val="24"/>
      <w:szCs w:val="24"/>
      <w:lang w:eastAsia="es-ES_tradnl"/>
    </w:rPr>
  </w:style>
  <w:style w:type="paragraph" w:customStyle="1" w:styleId="Style7">
    <w:name w:val="Style7"/>
    <w:basedOn w:val="Normal"/>
    <w:uiPriority w:val="99"/>
    <w:rsid w:val="002366DD"/>
    <w:pPr>
      <w:widowControl w:val="0"/>
      <w:autoSpaceDE w:val="0"/>
      <w:autoSpaceDN w:val="0"/>
      <w:adjustRightInd w:val="0"/>
      <w:spacing w:line="324" w:lineRule="exact"/>
      <w:jc w:val="both"/>
    </w:pPr>
  </w:style>
  <w:style w:type="paragraph" w:styleId="Sangra3detindependiente">
    <w:name w:val="Body Text Indent 3"/>
    <w:basedOn w:val="Normal"/>
    <w:link w:val="Sangra3detindependienteCar"/>
    <w:uiPriority w:val="99"/>
    <w:semiHidden/>
    <w:unhideWhenUsed/>
    <w:rsid w:val="0090689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906897"/>
    <w:rPr>
      <w:rFonts w:eastAsia="Times New Roman"/>
      <w:sz w:val="16"/>
      <w:szCs w:val="16"/>
      <w:lang w:eastAsia="es-ES_tradnl"/>
    </w:rPr>
  </w:style>
  <w:style w:type="paragraph" w:styleId="Lista">
    <w:name w:val="List"/>
    <w:basedOn w:val="Normal"/>
    <w:uiPriority w:val="99"/>
    <w:unhideWhenUsed/>
    <w:rsid w:val="00964FC4"/>
    <w:pPr>
      <w:spacing w:after="200" w:line="276" w:lineRule="auto"/>
      <w:ind w:left="283" w:hanging="283"/>
      <w:contextualSpacing/>
    </w:pPr>
    <w:rPr>
      <w:sz w:val="28"/>
    </w:rPr>
  </w:style>
  <w:style w:type="character" w:customStyle="1" w:styleId="line-clamp-1">
    <w:name w:val="line-clamp-1"/>
    <w:basedOn w:val="Fuentedeprrafopredeter"/>
    <w:rsid w:val="00411E6A"/>
  </w:style>
  <w:style w:type="character" w:styleId="Textoennegrita">
    <w:name w:val="Strong"/>
    <w:basedOn w:val="Fuentedeprrafopredeter"/>
    <w:uiPriority w:val="22"/>
    <w:qFormat/>
    <w:rsid w:val="000E2842"/>
    <w:rPr>
      <w:b/>
      <w:bCs/>
    </w:rPr>
  </w:style>
  <w:style w:type="paragraph" w:customStyle="1" w:styleId="Sombreadovistoso-nfasis31">
    <w:name w:val="Sombreado vistoso - Énfasis 31"/>
    <w:basedOn w:val="Normal"/>
    <w:uiPriority w:val="34"/>
    <w:qFormat/>
    <w:rsid w:val="00830DBB"/>
    <w:pPr>
      <w:widowControl w:val="0"/>
      <w:ind w:left="720"/>
      <w:contextualSpacing/>
      <w:jc w:val="both"/>
    </w:pPr>
    <w:rPr>
      <w:color w:val="000000"/>
      <w:sz w:val="28"/>
      <w:szCs w:val="28"/>
      <w:lang w:val="es-ES" w:eastAsia="es-ES"/>
    </w:rPr>
  </w:style>
  <w:style w:type="paragraph" w:styleId="Descripcin">
    <w:name w:val="caption"/>
    <w:basedOn w:val="Normal"/>
    <w:next w:val="Normal"/>
    <w:uiPriority w:val="99"/>
    <w:qFormat/>
    <w:rsid w:val="00830DBB"/>
    <w:pPr>
      <w:overflowPunct w:val="0"/>
      <w:autoSpaceDE w:val="0"/>
      <w:autoSpaceDN w:val="0"/>
      <w:adjustRightInd w:val="0"/>
      <w:ind w:right="51"/>
      <w:jc w:val="center"/>
      <w:textAlignment w:val="baseline"/>
    </w:pPr>
    <w:rPr>
      <w:b/>
      <w:caps/>
      <w:sz w:val="28"/>
      <w:szCs w:val="20"/>
      <w:lang w:val="es-ES" w:eastAsia="es-ES"/>
    </w:rPr>
  </w:style>
  <w:style w:type="character" w:styleId="Mencinsinresolver">
    <w:name w:val="Unresolved Mention"/>
    <w:basedOn w:val="Fuentedeprrafopredeter"/>
    <w:uiPriority w:val="99"/>
    <w:semiHidden/>
    <w:unhideWhenUsed/>
    <w:rsid w:val="00F02F90"/>
    <w:rPr>
      <w:color w:val="605E5C"/>
      <w:shd w:val="clear" w:color="auto" w:fill="E1DFDD"/>
    </w:rPr>
  </w:style>
  <w:style w:type="character" w:customStyle="1" w:styleId="c-timestamplabel">
    <w:name w:val="c-timestamp__label"/>
    <w:basedOn w:val="Fuentedeprrafopredeter"/>
    <w:rsid w:val="00BC1C1F"/>
  </w:style>
  <w:style w:type="character" w:customStyle="1" w:styleId="offscreen">
    <w:name w:val="offscreen"/>
    <w:basedOn w:val="Fuentedeprrafopredeter"/>
    <w:rsid w:val="00BC1C1F"/>
  </w:style>
  <w:style w:type="paragraph" w:customStyle="1" w:styleId="paragraph">
    <w:name w:val="paragraph"/>
    <w:basedOn w:val="Normal"/>
    <w:rsid w:val="00FB0DB9"/>
    <w:pPr>
      <w:spacing w:before="100" w:beforeAutospacing="1" w:after="100" w:afterAutospacing="1"/>
    </w:pPr>
  </w:style>
  <w:style w:type="character" w:customStyle="1" w:styleId="normaltextrun">
    <w:name w:val="normaltextrun"/>
    <w:basedOn w:val="Fuentedeprrafopredeter"/>
    <w:rsid w:val="00FB0DB9"/>
  </w:style>
  <w:style w:type="character" w:customStyle="1" w:styleId="eop">
    <w:name w:val="eop"/>
    <w:basedOn w:val="Fuentedeprrafopredeter"/>
    <w:rsid w:val="00FB0DB9"/>
  </w:style>
  <w:style w:type="paragraph" w:styleId="Sinespaciado">
    <w:name w:val="No Spacing"/>
    <w:uiPriority w:val="1"/>
    <w:qFormat/>
    <w:rsid w:val="00707279"/>
    <w:pPr>
      <w:suppressAutoHyphens/>
      <w:spacing w:after="0" w:line="240" w:lineRule="auto"/>
    </w:pPr>
    <w:rPr>
      <w:sz w:val="24"/>
      <w:szCs w:val="24"/>
      <w:lang w:val="en-US"/>
    </w:rPr>
  </w:style>
  <w:style w:type="paragraph" w:styleId="Textodeglobo">
    <w:name w:val="Balloon Text"/>
    <w:basedOn w:val="Normal"/>
    <w:link w:val="TextodegloboCar"/>
    <w:uiPriority w:val="99"/>
    <w:semiHidden/>
    <w:unhideWhenUsed/>
    <w:rsid w:val="008478D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478D2"/>
    <w:rPr>
      <w:rFonts w:ascii="Segoe UI" w:hAnsi="Segoe UI" w:cs="Segoe UI"/>
      <w:sz w:val="18"/>
      <w:szCs w:val="18"/>
      <w:lang w:val="en-US"/>
    </w:rPr>
  </w:style>
  <w:style w:type="character" w:customStyle="1" w:styleId="c-messageeditedlabel">
    <w:name w:val="c-message__edited_label"/>
    <w:basedOn w:val="Fuentedeprrafopredeter"/>
    <w:rsid w:val="00F85DE4"/>
  </w:style>
  <w:style w:type="character" w:customStyle="1" w:styleId="Mencinsinresolver1">
    <w:name w:val="Mención sin resolver1"/>
    <w:basedOn w:val="Fuentedeprrafopredeter"/>
    <w:uiPriority w:val="99"/>
    <w:semiHidden/>
    <w:unhideWhenUsed/>
    <w:rsid w:val="00817B1B"/>
    <w:rPr>
      <w:color w:val="605E5C"/>
      <w:shd w:val="clear" w:color="auto" w:fill="E1DFDD"/>
    </w:rPr>
  </w:style>
  <w:style w:type="character" w:styleId="Nmerodepgina">
    <w:name w:val="page number"/>
    <w:basedOn w:val="Fuentedeprrafopredeter"/>
    <w:uiPriority w:val="99"/>
    <w:semiHidden/>
    <w:unhideWhenUsed/>
    <w:rsid w:val="00E478A6"/>
  </w:style>
  <w:style w:type="character" w:styleId="nfasis">
    <w:name w:val="Emphasis"/>
    <w:basedOn w:val="Fuentedeprrafopredeter"/>
    <w:uiPriority w:val="20"/>
    <w:qFormat/>
    <w:rsid w:val="000E2842"/>
    <w:rPr>
      <w:i/>
      <w:iCs/>
    </w:rPr>
  </w:style>
  <w:style w:type="paragraph" w:customStyle="1" w:styleId="Default">
    <w:name w:val="Default"/>
    <w:rsid w:val="00B00553"/>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Ttulo6Car">
    <w:name w:val="Título 6 Car"/>
    <w:basedOn w:val="Fuentedeprrafopredeter"/>
    <w:link w:val="Ttulo6"/>
    <w:uiPriority w:val="9"/>
    <w:semiHidden/>
    <w:rsid w:val="00D057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057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057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05732"/>
    <w:rPr>
      <w:rFonts w:eastAsiaTheme="majorEastAsia" w:cstheme="majorBidi"/>
      <w:color w:val="272727" w:themeColor="text1" w:themeTint="D8"/>
    </w:rPr>
  </w:style>
  <w:style w:type="paragraph" w:styleId="Ttulo">
    <w:name w:val="Title"/>
    <w:basedOn w:val="Normal"/>
    <w:next w:val="Normal"/>
    <w:link w:val="TtuloCar"/>
    <w:uiPriority w:val="10"/>
    <w:qFormat/>
    <w:rsid w:val="00D057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057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057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057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05732"/>
    <w:pPr>
      <w:spacing w:before="160"/>
      <w:jc w:val="center"/>
    </w:pPr>
    <w:rPr>
      <w:i/>
      <w:iCs/>
      <w:color w:val="404040" w:themeColor="text1" w:themeTint="BF"/>
    </w:rPr>
  </w:style>
  <w:style w:type="character" w:customStyle="1" w:styleId="CitaCar">
    <w:name w:val="Cita Car"/>
    <w:basedOn w:val="Fuentedeprrafopredeter"/>
    <w:link w:val="Cita"/>
    <w:uiPriority w:val="29"/>
    <w:rsid w:val="00D05732"/>
    <w:rPr>
      <w:i/>
      <w:iCs/>
      <w:color w:val="404040" w:themeColor="text1" w:themeTint="BF"/>
    </w:rPr>
  </w:style>
  <w:style w:type="character" w:styleId="nfasisintenso">
    <w:name w:val="Intense Emphasis"/>
    <w:basedOn w:val="Fuentedeprrafopredeter"/>
    <w:uiPriority w:val="21"/>
    <w:qFormat/>
    <w:rsid w:val="00D05732"/>
    <w:rPr>
      <w:i/>
      <w:iCs/>
      <w:color w:val="2F5496" w:themeColor="accent1" w:themeShade="BF"/>
    </w:rPr>
  </w:style>
  <w:style w:type="paragraph" w:styleId="Citadestacada">
    <w:name w:val="Intense Quote"/>
    <w:basedOn w:val="Normal"/>
    <w:next w:val="Normal"/>
    <w:link w:val="CitadestacadaCar"/>
    <w:uiPriority w:val="30"/>
    <w:qFormat/>
    <w:rsid w:val="00D057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05732"/>
    <w:rPr>
      <w:i/>
      <w:iCs/>
      <w:color w:val="2F5496" w:themeColor="accent1" w:themeShade="BF"/>
    </w:rPr>
  </w:style>
  <w:style w:type="character" w:styleId="Referenciaintensa">
    <w:name w:val="Intense Reference"/>
    <w:basedOn w:val="Fuentedeprrafopredeter"/>
    <w:uiPriority w:val="32"/>
    <w:qFormat/>
    <w:rsid w:val="00D05732"/>
    <w:rPr>
      <w:b/>
      <w:bCs/>
      <w:smallCaps/>
      <w:color w:val="2F5496" w:themeColor="accent1" w:themeShade="BF"/>
      <w:spacing w:val="5"/>
    </w:rPr>
  </w:style>
  <w:style w:type="paragraph" w:customStyle="1" w:styleId="Cuerpo">
    <w:name w:val="Cuerpo"/>
    <w:rsid w:val="00D0573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8"/>
      <w:szCs w:val="28"/>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unidadvictimas.gov.co/campesinos-victimas-seran-reparados-con-18-000-hectareas-a-traves-de-alianza-entre-unidad-para-las-victimas-y-agencia-nacional-de-tierr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37600</Words>
  <Characters>206800</Characters>
  <Application>Microsoft Office Word</Application>
  <DocSecurity>0</DocSecurity>
  <Lines>1723</Lines>
  <Paragraphs>487</Paragraphs>
  <ScaleCrop>false</ScaleCrop>
  <Company/>
  <LinksUpToDate>false</LinksUpToDate>
  <CharactersWithSpaces>243913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2026-04-28T15:26:00Z</dcterms:created>
  <dcterms:modified xsi:type="dcterms:W3CDTF">2026-04-28T15:26:00Z</dcterms:modified>
</cp:coreProperties>
</file>