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F09" w:rsidRPr="00597245" w:rsidRDefault="00B34F94">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97245">
        <w:rPr>
          <w:rFonts w:ascii="Times New Roman" w:hAnsi="Times New Roman" w:cs="Times New Roman"/>
          <w:sz w:val="28"/>
          <w:szCs w:val="24"/>
        </w:rPr>
        <w:t xml:space="preserve"> </w:t>
      </w:r>
    </w:p>
    <w:p w:rsidR="00907F09" w:rsidRPr="00597245" w:rsidRDefault="00907F09">
      <w:pPr>
        <w:widowControl w:val="0"/>
        <w:autoSpaceDE w:val="0"/>
        <w:autoSpaceDN w:val="0"/>
        <w:adjustRightInd w:val="0"/>
        <w:spacing w:after="0" w:line="240" w:lineRule="auto"/>
        <w:rPr>
          <w:rFonts w:ascii="Times New Roman" w:hAnsi="Times New Roman" w:cs="Times New Roman"/>
          <w:sz w:val="28"/>
          <w:szCs w:val="28"/>
        </w:rPr>
      </w:pPr>
    </w:p>
    <w:p w:rsidR="00907F09" w:rsidRPr="00597245" w:rsidRDefault="00B34F94">
      <w:pPr>
        <w:widowControl w:val="0"/>
        <w:autoSpaceDE w:val="0"/>
        <w:autoSpaceDN w:val="0"/>
        <w:adjustRightInd w:val="0"/>
        <w:spacing w:after="0" w:line="240" w:lineRule="auto"/>
        <w:jc w:val="center"/>
        <w:rPr>
          <w:rFonts w:ascii="Times New Roman" w:hAnsi="Times New Roman" w:cs="Times New Roman"/>
          <w:b/>
          <w:bCs/>
          <w:sz w:val="28"/>
          <w:szCs w:val="28"/>
        </w:rPr>
      </w:pPr>
      <w:r w:rsidRPr="00597245">
        <w:rPr>
          <w:rFonts w:ascii="Times New Roman" w:hAnsi="Times New Roman" w:cs="Times New Roman"/>
          <w:b/>
          <w:bCs/>
          <w:sz w:val="28"/>
          <w:szCs w:val="28"/>
        </w:rPr>
        <w:t xml:space="preserve">TEMAS-SUBTEMAS </w:t>
      </w:r>
    </w:p>
    <w:p w:rsidR="00907F09" w:rsidRPr="00597245" w:rsidRDefault="00907F09">
      <w:pPr>
        <w:widowControl w:val="0"/>
        <w:autoSpaceDE w:val="0"/>
        <w:autoSpaceDN w:val="0"/>
        <w:adjustRightInd w:val="0"/>
        <w:spacing w:after="0" w:line="240" w:lineRule="auto"/>
        <w:jc w:val="center"/>
        <w:rPr>
          <w:rFonts w:ascii="Times New Roman" w:hAnsi="Times New Roman" w:cs="Times New Roman"/>
          <w:b/>
          <w:bCs/>
          <w:sz w:val="28"/>
          <w:szCs w:val="28"/>
        </w:rPr>
      </w:pPr>
    </w:p>
    <w:p w:rsidR="00907F09" w:rsidRPr="00597245" w:rsidRDefault="00B34F94">
      <w:pPr>
        <w:widowControl w:val="0"/>
        <w:autoSpaceDE w:val="0"/>
        <w:autoSpaceDN w:val="0"/>
        <w:adjustRightInd w:val="0"/>
        <w:spacing w:after="0" w:line="240" w:lineRule="auto"/>
        <w:jc w:val="center"/>
        <w:rPr>
          <w:rFonts w:ascii="Times New Roman" w:hAnsi="Times New Roman" w:cs="Times New Roman"/>
          <w:sz w:val="28"/>
          <w:szCs w:val="28"/>
        </w:rPr>
      </w:pPr>
      <w:r w:rsidRPr="00597245">
        <w:rPr>
          <w:rFonts w:ascii="Times New Roman" w:hAnsi="Times New Roman" w:cs="Times New Roman"/>
          <w:b/>
          <w:bCs/>
          <w:sz w:val="28"/>
          <w:szCs w:val="28"/>
        </w:rPr>
        <w:t xml:space="preserve">Sentencia C-147/24 </w:t>
      </w:r>
    </w:p>
    <w:p w:rsidR="00907F09" w:rsidRPr="00597245" w:rsidRDefault="00907F09">
      <w:pPr>
        <w:widowControl w:val="0"/>
        <w:autoSpaceDE w:val="0"/>
        <w:autoSpaceDN w:val="0"/>
        <w:adjustRightInd w:val="0"/>
        <w:spacing w:after="0" w:line="240" w:lineRule="auto"/>
        <w:jc w:val="both"/>
        <w:rPr>
          <w:rFonts w:ascii="Times New Roman" w:hAnsi="Times New Roman" w:cs="Times New Roman"/>
          <w:sz w:val="28"/>
          <w:szCs w:val="28"/>
        </w:rPr>
      </w:pPr>
    </w:p>
    <w:p w:rsidR="00907F09" w:rsidRPr="00597245" w:rsidRDefault="00B34F94">
      <w:pPr>
        <w:widowControl w:val="0"/>
        <w:autoSpaceDE w:val="0"/>
        <w:autoSpaceDN w:val="0"/>
        <w:adjustRightInd w:val="0"/>
        <w:spacing w:after="0" w:line="240" w:lineRule="auto"/>
        <w:jc w:val="both"/>
        <w:rPr>
          <w:rFonts w:ascii="Times New Roman" w:hAnsi="Times New Roman" w:cs="Times New Roman"/>
          <w:sz w:val="28"/>
          <w:szCs w:val="28"/>
        </w:rPr>
      </w:pPr>
      <w:r w:rsidRPr="00597245">
        <w:rPr>
          <w:rFonts w:ascii="Times New Roman" w:hAnsi="Times New Roman" w:cs="Times New Roman"/>
          <w:b/>
          <w:bCs/>
          <w:sz w:val="28"/>
          <w:szCs w:val="28"/>
        </w:rPr>
        <w:t>DEMANDA DE INCONSTITUCIONALIDAD CONTRA LA LEY 2294 DE 2023</w:t>
      </w:r>
      <w:r w:rsidRPr="00597245">
        <w:rPr>
          <w:rFonts w:ascii="Times New Roman" w:hAnsi="Times New Roman" w:cs="Times New Roman"/>
          <w:sz w:val="28"/>
          <w:szCs w:val="28"/>
        </w:rPr>
        <w:t xml:space="preserve">-Estarse a lo resuelto en la sentencia C-537 de 2023 </w:t>
      </w:r>
    </w:p>
    <w:p w:rsidR="00907F09" w:rsidRPr="00597245" w:rsidRDefault="00907F09">
      <w:pPr>
        <w:widowControl w:val="0"/>
        <w:autoSpaceDE w:val="0"/>
        <w:autoSpaceDN w:val="0"/>
        <w:adjustRightInd w:val="0"/>
        <w:spacing w:after="0" w:line="240" w:lineRule="auto"/>
        <w:jc w:val="both"/>
        <w:rPr>
          <w:rFonts w:ascii="Times New Roman" w:hAnsi="Times New Roman" w:cs="Times New Roman"/>
          <w:sz w:val="28"/>
          <w:szCs w:val="28"/>
        </w:rPr>
      </w:pPr>
    </w:p>
    <w:p w:rsidR="00907F09" w:rsidRPr="00597245" w:rsidRDefault="00B34F94">
      <w:pPr>
        <w:widowControl w:val="0"/>
        <w:autoSpaceDE w:val="0"/>
        <w:autoSpaceDN w:val="0"/>
        <w:adjustRightInd w:val="0"/>
        <w:spacing w:after="0" w:line="240" w:lineRule="auto"/>
        <w:jc w:val="both"/>
        <w:rPr>
          <w:rFonts w:ascii="Times New Roman" w:hAnsi="Times New Roman" w:cs="Times New Roman"/>
          <w:sz w:val="28"/>
          <w:szCs w:val="28"/>
        </w:rPr>
      </w:pPr>
      <w:r w:rsidRPr="00597245">
        <w:rPr>
          <w:rFonts w:ascii="Times New Roman" w:hAnsi="Times New Roman" w:cs="Times New Roman"/>
          <w:b/>
          <w:bCs/>
          <w:sz w:val="28"/>
          <w:szCs w:val="28"/>
        </w:rPr>
        <w:t>COSA JUZGADA CONSTITUCIONAL ABSOLUTA</w:t>
      </w:r>
      <w:r w:rsidRPr="00597245">
        <w:rPr>
          <w:rFonts w:ascii="Times New Roman" w:hAnsi="Times New Roman" w:cs="Times New Roman"/>
          <w:sz w:val="28"/>
          <w:szCs w:val="28"/>
        </w:rPr>
        <w:t xml:space="preserve">-Configuración por declaratoria de inexequibilidad </w:t>
      </w:r>
    </w:p>
    <w:p w:rsidR="00907F09" w:rsidRPr="00597245" w:rsidRDefault="00907F09">
      <w:pPr>
        <w:widowControl w:val="0"/>
        <w:autoSpaceDE w:val="0"/>
        <w:autoSpaceDN w:val="0"/>
        <w:adjustRightInd w:val="0"/>
        <w:spacing w:after="0" w:line="240" w:lineRule="auto"/>
        <w:jc w:val="both"/>
        <w:rPr>
          <w:rFonts w:ascii="Times New Roman" w:hAnsi="Times New Roman" w:cs="Times New Roman"/>
          <w:sz w:val="28"/>
          <w:szCs w:val="28"/>
        </w:rPr>
      </w:pPr>
    </w:p>
    <w:p w:rsidR="00907F09" w:rsidRPr="00597245" w:rsidRDefault="00B34F94">
      <w:pPr>
        <w:widowControl w:val="0"/>
        <w:autoSpaceDE w:val="0"/>
        <w:autoSpaceDN w:val="0"/>
        <w:adjustRightInd w:val="0"/>
        <w:spacing w:after="0" w:line="240" w:lineRule="auto"/>
        <w:jc w:val="both"/>
        <w:rPr>
          <w:rFonts w:ascii="Times New Roman" w:hAnsi="Times New Roman" w:cs="Times New Roman"/>
          <w:sz w:val="28"/>
          <w:szCs w:val="28"/>
        </w:rPr>
      </w:pPr>
      <w:r w:rsidRPr="00597245">
        <w:rPr>
          <w:rFonts w:ascii="Times New Roman" w:hAnsi="Times New Roman" w:cs="Times New Roman"/>
          <w:b/>
          <w:bCs/>
          <w:sz w:val="28"/>
          <w:szCs w:val="28"/>
        </w:rPr>
        <w:t>COSA JUZGADA CONSTITUCIONAL</w:t>
      </w:r>
      <w:r w:rsidRPr="00597245">
        <w:rPr>
          <w:rFonts w:ascii="Times New Roman" w:hAnsi="Times New Roman" w:cs="Times New Roman"/>
          <w:sz w:val="28"/>
          <w:szCs w:val="28"/>
        </w:rPr>
        <w:t xml:space="preserve">-Tipología </w:t>
      </w:r>
    </w:p>
    <w:p w:rsidR="00907F09" w:rsidRPr="00597245" w:rsidRDefault="00907F09">
      <w:pPr>
        <w:widowControl w:val="0"/>
        <w:autoSpaceDE w:val="0"/>
        <w:autoSpaceDN w:val="0"/>
        <w:adjustRightInd w:val="0"/>
        <w:spacing w:after="0" w:line="240" w:lineRule="auto"/>
        <w:jc w:val="both"/>
        <w:rPr>
          <w:rFonts w:ascii="Times New Roman" w:hAnsi="Times New Roman" w:cs="Times New Roman"/>
          <w:sz w:val="28"/>
          <w:szCs w:val="28"/>
        </w:rPr>
      </w:pPr>
    </w:p>
    <w:p w:rsidR="00907F09" w:rsidRPr="00597245" w:rsidRDefault="00B34F94">
      <w:pPr>
        <w:widowControl w:val="0"/>
        <w:autoSpaceDE w:val="0"/>
        <w:autoSpaceDN w:val="0"/>
        <w:adjustRightInd w:val="0"/>
        <w:spacing w:after="0" w:line="240" w:lineRule="auto"/>
        <w:jc w:val="both"/>
        <w:rPr>
          <w:rFonts w:ascii="Times New Roman" w:hAnsi="Times New Roman" w:cs="Times New Roman"/>
          <w:sz w:val="28"/>
          <w:szCs w:val="28"/>
        </w:rPr>
      </w:pPr>
      <w:r w:rsidRPr="00597245">
        <w:rPr>
          <w:rFonts w:ascii="Times New Roman" w:hAnsi="Times New Roman" w:cs="Times New Roman"/>
          <w:b/>
          <w:bCs/>
          <w:sz w:val="28"/>
          <w:szCs w:val="28"/>
        </w:rPr>
        <w:t>COSA JUZGADA CONSTITUCIONAL</w:t>
      </w:r>
      <w:r w:rsidRPr="00597245">
        <w:rPr>
          <w:rFonts w:ascii="Times New Roman" w:hAnsi="Times New Roman" w:cs="Times New Roman"/>
          <w:sz w:val="28"/>
          <w:szCs w:val="28"/>
        </w:rPr>
        <w:t xml:space="preserve">-Efectos </w:t>
      </w:r>
    </w:p>
    <w:p w:rsidR="00907F09" w:rsidRPr="00597245" w:rsidRDefault="00907F09">
      <w:pPr>
        <w:widowControl w:val="0"/>
        <w:autoSpaceDE w:val="0"/>
        <w:autoSpaceDN w:val="0"/>
        <w:adjustRightInd w:val="0"/>
        <w:spacing w:after="0" w:line="240" w:lineRule="auto"/>
        <w:jc w:val="both"/>
        <w:rPr>
          <w:rFonts w:ascii="Times New Roman" w:hAnsi="Times New Roman" w:cs="Times New Roman"/>
          <w:sz w:val="28"/>
          <w:szCs w:val="28"/>
        </w:rPr>
      </w:pPr>
    </w:p>
    <w:p w:rsidR="00907F09" w:rsidRPr="00597245" w:rsidRDefault="00597245">
      <w:pPr>
        <w:widowControl w:val="0"/>
        <w:autoSpaceDE w:val="0"/>
        <w:autoSpaceDN w:val="0"/>
        <w:adjustRightInd w:val="0"/>
        <w:spacing w:after="0" w:line="240" w:lineRule="auto"/>
        <w:jc w:val="both"/>
        <w:rPr>
          <w:rFonts w:ascii="Times New Roman" w:hAnsi="Times New Roman" w:cs="Times New Roman"/>
          <w:sz w:val="28"/>
        </w:rPr>
      </w:pPr>
      <w:r w:rsidRPr="00597245">
        <w:rPr>
          <w:rFonts w:ascii="Times New Roman" w:hAnsi="Times New Roman" w:cs="Times New Roman"/>
          <w:sz w:val="28"/>
          <w:szCs w:val="28"/>
        </w:rPr>
        <w:pict>
          <v:rect id="_x0000_i1025" style="width:0;height:1.5pt" o:hralign="center" o:hrstd="t" o:hr="t" fillcolor="#a0a0a0" stroked="f"/>
        </w:pict>
      </w:r>
    </w:p>
    <w:p w:rsidR="0019028F" w:rsidRPr="00597245" w:rsidRDefault="00597245" w:rsidP="00AE6304">
      <w:pPr>
        <w:pStyle w:val="Ttulo"/>
        <w:ind w:left="708" w:right="0" w:hanging="708"/>
        <w:rPr>
          <w:rFonts w:ascii="Times New Roman" w:hAnsi="Times New Roman" w:cs="Times New Roman"/>
          <w:color w:val="000000" w:themeColor="text1"/>
          <w:sz w:val="28"/>
          <w:szCs w:val="28"/>
          <w:lang w:val="es-CO"/>
        </w:rPr>
      </w:pPr>
      <w:r w:rsidRPr="00597245">
        <w:rPr>
          <w:rFonts w:ascii="Times New Roman" w:hAnsi="Times New Roman" w:cs="Times New Roman"/>
          <w:color w:val="000000" w:themeColor="text1"/>
          <w:sz w:val="28"/>
          <w:szCs w:val="28"/>
          <w:lang w:val="es-CO"/>
        </w:rPr>
        <w:t>REPÚBLICA DE COLOMBIA</w:t>
      </w:r>
    </w:p>
    <w:p w:rsidR="0019028F" w:rsidRPr="00597245" w:rsidRDefault="00597245" w:rsidP="00AE6304">
      <w:pPr>
        <w:jc w:val="center"/>
        <w:rPr>
          <w:rFonts w:ascii="Times New Roman" w:hAnsi="Times New Roman" w:cs="Times New Roman"/>
          <w:noProof/>
          <w:color w:val="000000" w:themeColor="text1"/>
          <w:sz w:val="28"/>
          <w:szCs w:val="28"/>
          <w:lang w:val="es-ES" w:eastAsia="es-ES"/>
        </w:rPr>
      </w:pPr>
      <w:r w:rsidRPr="00597245">
        <w:rPr>
          <w:rFonts w:ascii="Times New Roman" w:hAnsi="Times New Roman" w:cs="Times New Roman"/>
          <w:noProof/>
          <w:color w:val="000000" w:themeColor="text1"/>
          <w:sz w:val="28"/>
          <w:szCs w:val="28"/>
        </w:rPr>
        <w:drawing>
          <wp:inline distT="0" distB="0" distL="0" distR="0" wp14:anchorId="555A00AF" wp14:editId="6D08751E">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19028F" w:rsidRPr="00597245" w:rsidRDefault="00597245" w:rsidP="00AE6304">
      <w:pPr>
        <w:pStyle w:val="Descripcin"/>
        <w:ind w:right="0"/>
        <w:outlineLvl w:val="0"/>
        <w:rPr>
          <w:rFonts w:ascii="Times New Roman" w:hAnsi="Times New Roman" w:cs="Times New Roman"/>
          <w:color w:val="000000" w:themeColor="text1"/>
          <w:szCs w:val="28"/>
          <w:lang w:val="es-CO"/>
        </w:rPr>
      </w:pPr>
      <w:r w:rsidRPr="00597245">
        <w:rPr>
          <w:rFonts w:ascii="Times New Roman" w:hAnsi="Times New Roman" w:cs="Times New Roman"/>
          <w:color w:val="000000" w:themeColor="text1"/>
          <w:szCs w:val="28"/>
          <w:lang w:val="es-CO"/>
        </w:rPr>
        <w:t>Corte Constitucional</w:t>
      </w:r>
    </w:p>
    <w:p w:rsidR="0019028F" w:rsidRPr="00597245" w:rsidRDefault="00597245" w:rsidP="00AE6304">
      <w:pPr>
        <w:jc w:val="center"/>
        <w:rPr>
          <w:rFonts w:ascii="Times New Roman" w:hAnsi="Times New Roman" w:cs="Times New Roman"/>
          <w:b/>
          <w:color w:val="000000" w:themeColor="text1"/>
          <w:sz w:val="28"/>
          <w:szCs w:val="28"/>
        </w:rPr>
      </w:pPr>
      <w:r w:rsidRPr="00597245">
        <w:rPr>
          <w:rFonts w:ascii="Times New Roman" w:hAnsi="Times New Roman" w:cs="Times New Roman"/>
          <w:b/>
          <w:color w:val="000000" w:themeColor="text1"/>
          <w:sz w:val="28"/>
          <w:szCs w:val="28"/>
        </w:rPr>
        <w:t>-Sala Plena-</w:t>
      </w:r>
    </w:p>
    <w:p w:rsidR="0019028F" w:rsidRPr="00597245" w:rsidRDefault="00597245" w:rsidP="0019028F">
      <w:pPr>
        <w:jc w:val="center"/>
        <w:rPr>
          <w:rFonts w:ascii="Times New Roman" w:hAnsi="Times New Roman" w:cs="Times New Roman"/>
          <w:b/>
          <w:color w:val="000000" w:themeColor="text1"/>
          <w:sz w:val="28"/>
          <w:szCs w:val="28"/>
        </w:rPr>
      </w:pPr>
    </w:p>
    <w:p w:rsidR="0019028F" w:rsidRPr="00597245" w:rsidRDefault="00597245" w:rsidP="0019028F">
      <w:pPr>
        <w:jc w:val="center"/>
        <w:outlineLvl w:val="0"/>
        <w:rPr>
          <w:rFonts w:ascii="Times New Roman" w:hAnsi="Times New Roman" w:cs="Times New Roman"/>
          <w:b/>
          <w:bCs/>
          <w:color w:val="000000" w:themeColor="text1"/>
          <w:sz w:val="28"/>
          <w:szCs w:val="28"/>
        </w:rPr>
      </w:pPr>
      <w:r w:rsidRPr="00597245">
        <w:rPr>
          <w:rFonts w:ascii="Times New Roman" w:hAnsi="Times New Roman" w:cs="Times New Roman"/>
          <w:b/>
          <w:bCs/>
          <w:color w:val="000000" w:themeColor="text1"/>
          <w:sz w:val="28"/>
          <w:szCs w:val="28"/>
        </w:rPr>
        <w:t>SENTENCIA C-147 de 2024</w:t>
      </w:r>
    </w:p>
    <w:p w:rsidR="0019028F" w:rsidRPr="00597245" w:rsidRDefault="00597245" w:rsidP="0019028F">
      <w:pPr>
        <w:rPr>
          <w:rFonts w:ascii="Times New Roman" w:hAnsi="Times New Roman" w:cs="Times New Roman"/>
          <w:b/>
          <w:color w:val="000000" w:themeColor="text1"/>
          <w:sz w:val="28"/>
          <w:szCs w:val="28"/>
        </w:rPr>
      </w:pPr>
    </w:p>
    <w:p w:rsidR="0019028F" w:rsidRPr="00597245" w:rsidRDefault="00597245" w:rsidP="0019028F">
      <w:pPr>
        <w:rPr>
          <w:rFonts w:ascii="Times New Roman" w:hAnsi="Times New Roman" w:cs="Times New Roman"/>
          <w:b/>
          <w:color w:val="000000" w:themeColor="text1"/>
          <w:sz w:val="28"/>
          <w:szCs w:val="28"/>
        </w:rPr>
      </w:pPr>
    </w:p>
    <w:p w:rsidR="0019028F" w:rsidRPr="00597245" w:rsidRDefault="00597245" w:rsidP="0019028F">
      <w:pPr>
        <w:ind w:left="4111"/>
        <w:rPr>
          <w:rFonts w:ascii="Times New Roman" w:hAnsi="Times New Roman" w:cs="Times New Roman"/>
          <w:color w:val="000000" w:themeColor="text1"/>
          <w:sz w:val="28"/>
          <w:szCs w:val="28"/>
        </w:rPr>
      </w:pPr>
      <w:r w:rsidRPr="00597245">
        <w:rPr>
          <w:rFonts w:ascii="Times New Roman" w:hAnsi="Times New Roman" w:cs="Times New Roman"/>
          <w:b/>
          <w:color w:val="000000" w:themeColor="text1"/>
          <w:sz w:val="28"/>
          <w:szCs w:val="28"/>
        </w:rPr>
        <w:t xml:space="preserve">Referencia: </w:t>
      </w:r>
      <w:r w:rsidRPr="00597245">
        <w:rPr>
          <w:rFonts w:ascii="Times New Roman" w:hAnsi="Times New Roman" w:cs="Times New Roman"/>
          <w:bCs/>
          <w:color w:val="000000" w:themeColor="text1"/>
          <w:sz w:val="28"/>
          <w:szCs w:val="28"/>
        </w:rPr>
        <w:t xml:space="preserve">Expediente </w:t>
      </w:r>
      <w:r w:rsidRPr="00597245">
        <w:rPr>
          <w:rFonts w:ascii="Times New Roman" w:hAnsi="Times New Roman" w:cs="Times New Roman"/>
          <w:color w:val="000000" w:themeColor="text1"/>
          <w:sz w:val="28"/>
          <w:szCs w:val="28"/>
        </w:rPr>
        <w:t>D-15373</w:t>
      </w:r>
    </w:p>
    <w:p w:rsidR="0019028F" w:rsidRPr="00597245" w:rsidRDefault="00597245" w:rsidP="0019028F">
      <w:pPr>
        <w:ind w:left="4111"/>
        <w:jc w:val="both"/>
        <w:rPr>
          <w:rFonts w:ascii="Times New Roman" w:hAnsi="Times New Roman" w:cs="Times New Roman"/>
          <w:bCs/>
          <w:color w:val="000000" w:themeColor="text1"/>
          <w:sz w:val="28"/>
          <w:szCs w:val="28"/>
        </w:rPr>
      </w:pPr>
    </w:p>
    <w:p w:rsidR="0019028F" w:rsidRPr="00597245" w:rsidRDefault="00597245" w:rsidP="0019028F">
      <w:pPr>
        <w:ind w:left="4111"/>
        <w:jc w:val="both"/>
        <w:rPr>
          <w:rFonts w:ascii="Times New Roman" w:hAnsi="Times New Roman" w:cs="Times New Roman"/>
          <w:color w:val="000000" w:themeColor="text1"/>
          <w:sz w:val="28"/>
          <w:szCs w:val="28"/>
        </w:rPr>
      </w:pPr>
      <w:r w:rsidRPr="00597245">
        <w:rPr>
          <w:rFonts w:ascii="Times New Roman" w:hAnsi="Times New Roman" w:cs="Times New Roman"/>
          <w:bCs/>
          <w:color w:val="000000" w:themeColor="text1"/>
          <w:sz w:val="28"/>
          <w:szCs w:val="28"/>
        </w:rPr>
        <w:t>Demanda de inconstitucionalidad contra el artículo 97 de la Ley 2294 de</w:t>
      </w:r>
      <w:r w:rsidRPr="00597245">
        <w:rPr>
          <w:rFonts w:ascii="Times New Roman" w:hAnsi="Times New Roman" w:cs="Times New Roman"/>
          <w:bCs/>
          <w:color w:val="000000" w:themeColor="text1"/>
          <w:sz w:val="28"/>
          <w:szCs w:val="28"/>
        </w:rPr>
        <w:t xml:space="preserve"> 2023, “[p]or el cual se expide el Plan Nacional de Desarrollo 2022 – 2026 ‘Colombia Potencia Mundial de la Vida’”.</w:t>
      </w:r>
    </w:p>
    <w:p w:rsidR="0019028F" w:rsidRPr="00597245" w:rsidRDefault="00597245" w:rsidP="0019028F">
      <w:pPr>
        <w:ind w:left="4111"/>
        <w:jc w:val="both"/>
        <w:rPr>
          <w:rFonts w:ascii="Times New Roman" w:hAnsi="Times New Roman" w:cs="Times New Roman"/>
          <w:bCs/>
          <w:color w:val="000000" w:themeColor="text1"/>
          <w:sz w:val="28"/>
          <w:szCs w:val="28"/>
        </w:rPr>
      </w:pPr>
    </w:p>
    <w:p w:rsidR="0019028F" w:rsidRPr="00597245" w:rsidRDefault="00597245" w:rsidP="0019028F">
      <w:pPr>
        <w:ind w:left="4111"/>
        <w:jc w:val="both"/>
        <w:rPr>
          <w:rFonts w:ascii="Times New Roman" w:hAnsi="Times New Roman" w:cs="Times New Roman"/>
          <w:bCs/>
          <w:color w:val="000000" w:themeColor="text1"/>
          <w:sz w:val="28"/>
          <w:szCs w:val="28"/>
        </w:rPr>
      </w:pPr>
      <w:r w:rsidRPr="00597245">
        <w:rPr>
          <w:rFonts w:ascii="Times New Roman" w:hAnsi="Times New Roman" w:cs="Times New Roman"/>
          <w:b/>
          <w:color w:val="000000" w:themeColor="text1"/>
          <w:sz w:val="28"/>
          <w:szCs w:val="28"/>
        </w:rPr>
        <w:t>Demandante:</w:t>
      </w:r>
      <w:r w:rsidRPr="00597245">
        <w:rPr>
          <w:rFonts w:ascii="Times New Roman" w:hAnsi="Times New Roman" w:cs="Times New Roman"/>
          <w:bCs/>
          <w:color w:val="000000" w:themeColor="text1"/>
          <w:sz w:val="28"/>
          <w:szCs w:val="28"/>
        </w:rPr>
        <w:t xml:space="preserve"> Kerly Mireya Tatiana Vivas Buitrago</w:t>
      </w:r>
    </w:p>
    <w:p w:rsidR="0019028F" w:rsidRPr="00597245" w:rsidRDefault="00597245" w:rsidP="0019028F">
      <w:pPr>
        <w:ind w:left="4111"/>
        <w:rPr>
          <w:rFonts w:ascii="Times New Roman" w:hAnsi="Times New Roman" w:cs="Times New Roman"/>
          <w:color w:val="000000" w:themeColor="text1"/>
          <w:sz w:val="28"/>
          <w:szCs w:val="28"/>
        </w:rPr>
      </w:pPr>
    </w:p>
    <w:p w:rsidR="0019028F" w:rsidRPr="00597245" w:rsidRDefault="00597245" w:rsidP="0019028F">
      <w:pPr>
        <w:ind w:left="4111"/>
        <w:rPr>
          <w:rFonts w:ascii="Times New Roman" w:hAnsi="Times New Roman" w:cs="Times New Roman"/>
          <w:b/>
          <w:color w:val="000000" w:themeColor="text1"/>
          <w:sz w:val="28"/>
          <w:szCs w:val="28"/>
        </w:rPr>
      </w:pPr>
      <w:r w:rsidRPr="00597245">
        <w:rPr>
          <w:rFonts w:ascii="Times New Roman" w:hAnsi="Times New Roman" w:cs="Times New Roman"/>
          <w:b/>
          <w:color w:val="000000" w:themeColor="text1"/>
          <w:sz w:val="28"/>
          <w:szCs w:val="28"/>
        </w:rPr>
        <w:t>Magistrada ponente:</w:t>
      </w:r>
    </w:p>
    <w:p w:rsidR="0019028F" w:rsidRPr="00597245" w:rsidRDefault="00597245" w:rsidP="0019028F">
      <w:pPr>
        <w:ind w:left="4111"/>
        <w:rPr>
          <w:rFonts w:ascii="Times New Roman" w:hAnsi="Times New Roman" w:cs="Times New Roman"/>
          <w:color w:val="000000" w:themeColor="text1"/>
          <w:sz w:val="28"/>
          <w:szCs w:val="28"/>
        </w:rPr>
      </w:pPr>
      <w:r w:rsidRPr="00597245">
        <w:rPr>
          <w:rFonts w:ascii="Times New Roman" w:hAnsi="Times New Roman" w:cs="Times New Roman"/>
          <w:color w:val="000000" w:themeColor="text1"/>
          <w:sz w:val="28"/>
          <w:szCs w:val="28"/>
        </w:rPr>
        <w:t>Natalia Ángel Cabo</w:t>
      </w:r>
    </w:p>
    <w:p w:rsidR="0019028F" w:rsidRPr="00597245" w:rsidRDefault="00597245" w:rsidP="0019028F">
      <w:pPr>
        <w:rPr>
          <w:rFonts w:ascii="Times New Roman" w:hAnsi="Times New Roman" w:cs="Times New Roman"/>
          <w:color w:val="000000" w:themeColor="text1"/>
          <w:sz w:val="28"/>
          <w:szCs w:val="28"/>
        </w:rPr>
      </w:pPr>
    </w:p>
    <w:p w:rsidR="0019028F" w:rsidRPr="00597245" w:rsidRDefault="00597245" w:rsidP="0019028F">
      <w:pPr>
        <w:rPr>
          <w:rFonts w:ascii="Times New Roman" w:hAnsi="Times New Roman" w:cs="Times New Roman"/>
          <w:color w:val="000000" w:themeColor="text1"/>
          <w:sz w:val="28"/>
          <w:szCs w:val="28"/>
        </w:rPr>
      </w:pPr>
    </w:p>
    <w:p w:rsidR="0019028F" w:rsidRPr="00597245" w:rsidRDefault="00597245" w:rsidP="0019028F">
      <w:pPr>
        <w:rPr>
          <w:rFonts w:ascii="Times New Roman" w:hAnsi="Times New Roman" w:cs="Times New Roman"/>
          <w:color w:val="000000" w:themeColor="text1"/>
          <w:sz w:val="28"/>
          <w:szCs w:val="28"/>
        </w:rPr>
      </w:pPr>
      <w:r w:rsidRPr="00597245">
        <w:rPr>
          <w:rFonts w:ascii="Times New Roman" w:hAnsi="Times New Roman" w:cs="Times New Roman"/>
          <w:color w:val="000000" w:themeColor="text1"/>
          <w:sz w:val="28"/>
          <w:szCs w:val="28"/>
        </w:rPr>
        <w:t>Bogotá, D. C., dos (02) de mayo de dos mil veinti</w:t>
      </w:r>
      <w:r w:rsidRPr="00597245">
        <w:rPr>
          <w:rFonts w:ascii="Times New Roman" w:hAnsi="Times New Roman" w:cs="Times New Roman"/>
          <w:color w:val="000000" w:themeColor="text1"/>
          <w:sz w:val="28"/>
          <w:szCs w:val="28"/>
        </w:rPr>
        <w:t>cuatro (2024)</w:t>
      </w:r>
    </w:p>
    <w:p w:rsidR="0019028F" w:rsidRPr="00597245" w:rsidRDefault="00597245" w:rsidP="0019028F">
      <w:pPr>
        <w:rPr>
          <w:rFonts w:ascii="Times New Roman" w:hAnsi="Times New Roman" w:cs="Times New Roman"/>
          <w:color w:val="000000" w:themeColor="text1"/>
          <w:sz w:val="28"/>
          <w:szCs w:val="28"/>
        </w:rPr>
      </w:pPr>
    </w:p>
    <w:p w:rsidR="0019028F" w:rsidRPr="00597245" w:rsidRDefault="00597245" w:rsidP="0019028F">
      <w:pPr>
        <w:jc w:val="both"/>
        <w:rPr>
          <w:rFonts w:ascii="Times New Roman" w:hAnsi="Times New Roman" w:cs="Times New Roman"/>
          <w:color w:val="000000" w:themeColor="text1"/>
          <w:sz w:val="28"/>
          <w:szCs w:val="28"/>
          <w:shd w:val="clear" w:color="auto" w:fill="FFFFFF"/>
        </w:rPr>
      </w:pPr>
      <w:r w:rsidRPr="00597245">
        <w:rPr>
          <w:rFonts w:ascii="Times New Roman" w:hAnsi="Times New Roman" w:cs="Times New Roman"/>
          <w:color w:val="000000" w:themeColor="text1"/>
          <w:sz w:val="28"/>
          <w:szCs w:val="28"/>
          <w:shd w:val="clear" w:color="auto" w:fill="FFFFFF"/>
        </w:rPr>
        <w:t>La Sala Plena de la Corte Constitucional, en ejercicio de sus atribuciones constitucionales contenidas en el artículo 241 de la Constitución y de los requisitos y trámites establecidos en el Decreto Ley 2067 de 1991, ha proferido la siguient</w:t>
      </w:r>
      <w:r w:rsidRPr="00597245">
        <w:rPr>
          <w:rFonts w:ascii="Times New Roman" w:hAnsi="Times New Roman" w:cs="Times New Roman"/>
          <w:color w:val="000000" w:themeColor="text1"/>
          <w:sz w:val="28"/>
          <w:szCs w:val="28"/>
          <w:shd w:val="clear" w:color="auto" w:fill="FFFFFF"/>
        </w:rPr>
        <w:t>e</w:t>
      </w:r>
    </w:p>
    <w:p w:rsidR="0019028F" w:rsidRPr="00597245" w:rsidRDefault="00597245" w:rsidP="0019028F">
      <w:pPr>
        <w:jc w:val="both"/>
        <w:rPr>
          <w:rFonts w:ascii="Times New Roman" w:hAnsi="Times New Roman" w:cs="Times New Roman"/>
          <w:color w:val="000000" w:themeColor="text1"/>
          <w:sz w:val="28"/>
          <w:szCs w:val="28"/>
        </w:rPr>
      </w:pPr>
    </w:p>
    <w:p w:rsidR="0019028F" w:rsidRPr="00597245" w:rsidRDefault="00597245" w:rsidP="0019028F">
      <w:pPr>
        <w:jc w:val="center"/>
        <w:rPr>
          <w:rFonts w:ascii="Times New Roman" w:hAnsi="Times New Roman" w:cs="Times New Roman"/>
          <w:b/>
          <w:color w:val="000000" w:themeColor="text1"/>
          <w:sz w:val="28"/>
          <w:szCs w:val="28"/>
        </w:rPr>
      </w:pPr>
      <w:r w:rsidRPr="00597245">
        <w:rPr>
          <w:rFonts w:ascii="Times New Roman" w:hAnsi="Times New Roman" w:cs="Times New Roman"/>
          <w:b/>
          <w:color w:val="000000" w:themeColor="text1"/>
          <w:sz w:val="28"/>
          <w:szCs w:val="28"/>
        </w:rPr>
        <w:t>SENTENCIA.</w:t>
      </w:r>
    </w:p>
    <w:p w:rsidR="0019028F" w:rsidRPr="00597245" w:rsidRDefault="00597245" w:rsidP="0019028F">
      <w:pPr>
        <w:rPr>
          <w:rFonts w:ascii="Times New Roman" w:hAnsi="Times New Roman" w:cs="Times New Roman"/>
          <w:b/>
          <w:color w:val="000000" w:themeColor="text1"/>
          <w:sz w:val="28"/>
          <w:szCs w:val="28"/>
        </w:rPr>
      </w:pPr>
    </w:p>
    <w:p w:rsidR="0019028F" w:rsidRPr="00597245" w:rsidRDefault="00597245" w:rsidP="0019028F">
      <w:pPr>
        <w:pStyle w:val="Prrafodelista"/>
        <w:ind w:left="1080"/>
        <w:rPr>
          <w:rFonts w:ascii="Times New Roman" w:hAnsi="Times New Roman" w:cs="Times New Roman"/>
          <w:b/>
          <w:bCs/>
          <w:bdr w:val="none" w:sz="0" w:space="0" w:color="auto" w:frame="1"/>
        </w:rPr>
      </w:pPr>
      <w:r w:rsidRPr="00597245">
        <w:rPr>
          <w:rFonts w:ascii="Times New Roman" w:hAnsi="Times New Roman" w:cs="Times New Roman"/>
          <w:b/>
          <w:bCs/>
          <w:bdr w:val="none" w:sz="0" w:space="0" w:color="auto" w:frame="1"/>
        </w:rPr>
        <w:t xml:space="preserve">SÍNTESIS </w:t>
      </w:r>
    </w:p>
    <w:p w:rsidR="0019028F" w:rsidRPr="00597245" w:rsidRDefault="00597245" w:rsidP="0019028F">
      <w:pPr>
        <w:spacing w:line="300" w:lineRule="atLeast"/>
        <w:rPr>
          <w:rFonts w:ascii="Times New Roman" w:hAnsi="Times New Roman" w:cs="Times New Roman"/>
          <w:sz w:val="28"/>
          <w:szCs w:val="28"/>
          <w:bdr w:val="none" w:sz="0" w:space="0" w:color="auto" w:frame="1"/>
        </w:rPr>
      </w:pPr>
    </w:p>
    <w:p w:rsidR="0019028F" w:rsidRPr="00597245" w:rsidRDefault="00597245" w:rsidP="0019028F">
      <w:pPr>
        <w:pStyle w:val="Prrafodelista"/>
        <w:widowControl/>
        <w:numPr>
          <w:ilvl w:val="0"/>
          <w:numId w:val="2"/>
        </w:numPr>
        <w:spacing w:line="300" w:lineRule="atLeast"/>
        <w:ind w:left="0" w:right="49" w:firstLine="0"/>
        <w:contextualSpacing/>
        <w:rPr>
          <w:rFonts w:ascii="Times New Roman" w:hAnsi="Times New Roman" w:cs="Times New Roman"/>
        </w:rPr>
      </w:pPr>
      <w:r w:rsidRPr="00597245">
        <w:rPr>
          <w:rFonts w:ascii="Times New Roman" w:hAnsi="Times New Roman" w:cs="Times New Roman"/>
          <w:bdr w:val="none" w:sz="0" w:space="0" w:color="auto" w:frame="1"/>
        </w:rPr>
        <w:t xml:space="preserve">En esta ocasión, la Sala Plena </w:t>
      </w:r>
      <w:r w:rsidRPr="00597245">
        <w:rPr>
          <w:rFonts w:ascii="Times New Roman" w:hAnsi="Times New Roman" w:cs="Times New Roman"/>
          <w:color w:val="000000" w:themeColor="text1"/>
        </w:rPr>
        <w:t xml:space="preserve">estudió la acción pública de inconstitucionalidad que presentó la ciudadana Kerly Mireya Tatiana Vivas Buitrago contra el artículo 97 de la Ley 2294 de 2023, “[p]or el cual se expide el Plan Nacional de Desarrollo 2022 – 2026 ‘Colombia Potencia Mundial de </w:t>
      </w:r>
      <w:r w:rsidRPr="00597245">
        <w:rPr>
          <w:rFonts w:ascii="Times New Roman" w:hAnsi="Times New Roman" w:cs="Times New Roman"/>
          <w:color w:val="000000" w:themeColor="text1"/>
        </w:rPr>
        <w:t xml:space="preserve">la Vida”. En la demanda, la ciudadana </w:t>
      </w:r>
      <w:r w:rsidRPr="00597245">
        <w:rPr>
          <w:rFonts w:ascii="Times New Roman" w:hAnsi="Times New Roman" w:cs="Times New Roman"/>
          <w:color w:val="000000" w:themeColor="text1"/>
          <w:lang w:val="es-CO"/>
        </w:rPr>
        <w:t>solicitó a la Corte declarar la inexequibilidad de la norma acusada por ser contraria a los artículos 158 y 333 de la Constitución Política</w:t>
      </w:r>
      <w:r w:rsidRPr="00597245">
        <w:rPr>
          <w:rFonts w:ascii="Times New Roman" w:hAnsi="Times New Roman" w:cs="Times New Roman"/>
          <w:color w:val="000000" w:themeColor="text1"/>
        </w:rPr>
        <w:t>.</w:t>
      </w:r>
    </w:p>
    <w:p w:rsidR="0019028F" w:rsidRPr="00597245" w:rsidRDefault="00597245" w:rsidP="0019028F">
      <w:pPr>
        <w:pStyle w:val="Prrafodelista"/>
        <w:widowControl/>
        <w:spacing w:line="300" w:lineRule="atLeast"/>
        <w:ind w:left="0" w:right="49"/>
        <w:contextualSpacing/>
        <w:rPr>
          <w:rFonts w:ascii="Times New Roman" w:hAnsi="Times New Roman" w:cs="Times New Roman"/>
        </w:rPr>
      </w:pPr>
    </w:p>
    <w:p w:rsidR="0019028F" w:rsidRPr="00597245" w:rsidRDefault="00597245" w:rsidP="0019028F">
      <w:pPr>
        <w:pStyle w:val="Prrafodelista"/>
        <w:widowControl/>
        <w:numPr>
          <w:ilvl w:val="0"/>
          <w:numId w:val="2"/>
        </w:numPr>
        <w:spacing w:line="300" w:lineRule="atLeast"/>
        <w:ind w:left="0" w:right="49" w:firstLine="0"/>
        <w:contextualSpacing/>
        <w:rPr>
          <w:rFonts w:ascii="Times New Roman" w:hAnsi="Times New Roman" w:cs="Times New Roman"/>
        </w:rPr>
      </w:pPr>
      <w:r w:rsidRPr="00597245">
        <w:rPr>
          <w:rFonts w:ascii="Times New Roman" w:hAnsi="Times New Roman" w:cs="Times New Roman"/>
          <w:shd w:val="clear" w:color="auto" w:fill="FFFFFF"/>
        </w:rPr>
        <w:t>Tras reiterar su jurisprudencia sobre la cosa juzgada constitucional, la Sal</w:t>
      </w:r>
      <w:r w:rsidRPr="00597245">
        <w:rPr>
          <w:rFonts w:ascii="Times New Roman" w:hAnsi="Times New Roman" w:cs="Times New Roman"/>
          <w:shd w:val="clear" w:color="auto" w:fill="FFFFFF"/>
        </w:rPr>
        <w:t>a destacó que en la Sentencia C-537 de 2023, la Corte declaró la inexequibilidad del artículo 97 objeto de demanda. Por lo tanto, tras confirmar la existencia de una cosa juzgada formal y absoluta y la supresión de dicho artículo del ordenamiento jurídico,</w:t>
      </w:r>
      <w:r w:rsidRPr="00597245">
        <w:rPr>
          <w:rFonts w:ascii="Times New Roman" w:hAnsi="Times New Roman" w:cs="Times New Roman"/>
          <w:shd w:val="clear" w:color="auto" w:fill="FFFFFF"/>
        </w:rPr>
        <w:t xml:space="preserve"> la Sala decidió estarse a lo resuelto en la mencionada Sentencia C-537 de 2023</w:t>
      </w:r>
      <w:r w:rsidRPr="00597245">
        <w:rPr>
          <w:rFonts w:ascii="Times New Roman" w:hAnsi="Times New Roman" w:cs="Times New Roman"/>
          <w:lang w:val="es-ES_tradnl"/>
        </w:rPr>
        <w:t>.</w:t>
      </w:r>
    </w:p>
    <w:p w:rsidR="0019028F" w:rsidRPr="00597245" w:rsidRDefault="00597245" w:rsidP="0019028F">
      <w:pPr>
        <w:rPr>
          <w:rFonts w:ascii="Times New Roman" w:hAnsi="Times New Roman" w:cs="Times New Roman"/>
          <w:b/>
          <w:color w:val="000000" w:themeColor="text1"/>
          <w:sz w:val="28"/>
          <w:szCs w:val="28"/>
        </w:rPr>
      </w:pPr>
    </w:p>
    <w:p w:rsidR="0019028F" w:rsidRPr="00597245" w:rsidRDefault="00597245" w:rsidP="0019028F">
      <w:pPr>
        <w:pStyle w:val="Sombreadovistoso-nfasis31"/>
        <w:numPr>
          <w:ilvl w:val="0"/>
          <w:numId w:val="3"/>
        </w:numPr>
        <w:tabs>
          <w:tab w:val="left" w:pos="567"/>
        </w:tabs>
        <w:ind w:left="0" w:firstLine="0"/>
        <w:rPr>
          <w:rFonts w:ascii="Times New Roman" w:hAnsi="Times New Roman" w:cs="Times New Roman"/>
          <w:color w:val="000000" w:themeColor="text1"/>
          <w:lang w:val="es-CO"/>
        </w:rPr>
      </w:pPr>
      <w:bookmarkStart w:id="1" w:name="_Ref117774108"/>
      <w:r w:rsidRPr="00597245">
        <w:rPr>
          <w:rFonts w:ascii="Times New Roman" w:hAnsi="Times New Roman" w:cs="Times New Roman"/>
          <w:b/>
          <w:color w:val="000000" w:themeColor="text1"/>
          <w:lang w:val="es-CO"/>
        </w:rPr>
        <w:t>ANTECEDENTES</w:t>
      </w:r>
      <w:bookmarkEnd w:id="1"/>
    </w:p>
    <w:p w:rsidR="0019028F" w:rsidRPr="00597245" w:rsidRDefault="00597245" w:rsidP="0019028F">
      <w:pPr>
        <w:rPr>
          <w:rFonts w:ascii="Times New Roman" w:hAnsi="Times New Roman" w:cs="Times New Roman"/>
          <w:color w:val="000000" w:themeColor="text1"/>
          <w:sz w:val="28"/>
          <w:szCs w:val="28"/>
        </w:rPr>
      </w:pPr>
    </w:p>
    <w:p w:rsidR="0019028F" w:rsidRPr="00597245" w:rsidRDefault="00597245" w:rsidP="0019028F">
      <w:pPr>
        <w:pStyle w:val="Prrafodelista"/>
        <w:numPr>
          <w:ilvl w:val="0"/>
          <w:numId w:val="2"/>
        </w:numPr>
        <w:tabs>
          <w:tab w:val="left" w:pos="567"/>
        </w:tabs>
        <w:ind w:left="0" w:firstLine="0"/>
        <w:rPr>
          <w:rFonts w:ascii="Times New Roman" w:hAnsi="Times New Roman" w:cs="Times New Roman"/>
          <w:color w:val="000000" w:themeColor="text1"/>
        </w:rPr>
      </w:pPr>
      <w:bookmarkStart w:id="2" w:name="_Ref87971094"/>
      <w:r w:rsidRPr="00597245">
        <w:rPr>
          <w:rFonts w:ascii="Times New Roman" w:hAnsi="Times New Roman" w:cs="Times New Roman"/>
          <w:color w:val="000000" w:themeColor="text1"/>
        </w:rPr>
        <w:t>En ejercicio de la acción pública de inconstitucionalidad, consagrada en los artículos 40.6, 241 y 242 de la Constitución Política de 1991, la ciudadana Kerly Mireya Tatiana Vivas Buitrago presentó una demanda de inconstitucionalidad con solicitud de suspe</w:t>
      </w:r>
      <w:r w:rsidRPr="00597245">
        <w:rPr>
          <w:rFonts w:ascii="Times New Roman" w:hAnsi="Times New Roman" w:cs="Times New Roman"/>
          <w:color w:val="000000" w:themeColor="text1"/>
        </w:rPr>
        <w:t xml:space="preserve">nsión provisional contra el artículo 97 de la Ley 2294 de 2023, “[p]or el cual se expide el Plan Nacional de Desarrollo 2022 – 2026 ‘Colombia Potencia Mundial de la Vida’”. </w:t>
      </w:r>
      <w:bookmarkEnd w:id="2"/>
    </w:p>
    <w:p w:rsidR="0019028F" w:rsidRPr="00597245" w:rsidRDefault="00597245" w:rsidP="0019028F">
      <w:pPr>
        <w:pStyle w:val="Prrafodelista"/>
        <w:tabs>
          <w:tab w:val="left" w:pos="567"/>
        </w:tabs>
        <w:ind w:left="0"/>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567"/>
        </w:tabs>
        <w:ind w:left="0" w:firstLine="0"/>
        <w:rPr>
          <w:rFonts w:ascii="Times New Roman" w:hAnsi="Times New Roman" w:cs="Times New Roman"/>
          <w:color w:val="000000" w:themeColor="text1"/>
        </w:rPr>
      </w:pPr>
      <w:r w:rsidRPr="00597245">
        <w:rPr>
          <w:rFonts w:ascii="Times New Roman" w:hAnsi="Times New Roman" w:cs="Times New Roman"/>
          <w:color w:val="000000" w:themeColor="text1"/>
        </w:rPr>
        <w:t xml:space="preserve">Mediante </w:t>
      </w:r>
      <w:bookmarkStart w:id="3" w:name="_Ref87000688"/>
      <w:r w:rsidRPr="00597245">
        <w:rPr>
          <w:rFonts w:ascii="Times New Roman" w:hAnsi="Times New Roman" w:cs="Times New Roman"/>
          <w:color w:val="000000" w:themeColor="text1"/>
        </w:rPr>
        <w:t>auto del 12 de julio de 2023</w:t>
      </w:r>
      <w:r w:rsidRPr="00597245">
        <w:rPr>
          <w:rStyle w:val="Refdenotaalpie"/>
          <w:rFonts w:ascii="Times New Roman" w:hAnsi="Times New Roman" w:cs="Times New Roman"/>
          <w:color w:val="000000" w:themeColor="text1"/>
        </w:rPr>
        <w:footnoteReference w:id="1"/>
      </w:r>
      <w:r w:rsidRPr="00597245">
        <w:rPr>
          <w:rFonts w:ascii="Times New Roman" w:hAnsi="Times New Roman" w:cs="Times New Roman"/>
          <w:color w:val="000000" w:themeColor="text1"/>
        </w:rPr>
        <w:t>, el entonces magistrado sustanciador</w:t>
      </w:r>
      <w:r w:rsidRPr="00597245">
        <w:rPr>
          <w:rStyle w:val="Refdenotaalpie"/>
          <w:rFonts w:ascii="Times New Roman" w:hAnsi="Times New Roman" w:cs="Times New Roman"/>
          <w:color w:val="000000" w:themeColor="text1"/>
        </w:rPr>
        <w:footnoteReference w:id="2"/>
      </w:r>
      <w:r w:rsidRPr="00597245">
        <w:rPr>
          <w:rFonts w:ascii="Times New Roman" w:hAnsi="Times New Roman" w:cs="Times New Roman"/>
          <w:color w:val="000000" w:themeColor="text1"/>
        </w:rPr>
        <w:t xml:space="preserve"> deci</w:t>
      </w:r>
      <w:r w:rsidRPr="00597245">
        <w:rPr>
          <w:rFonts w:ascii="Times New Roman" w:hAnsi="Times New Roman" w:cs="Times New Roman"/>
          <w:color w:val="000000" w:themeColor="text1"/>
        </w:rPr>
        <w:t>dió: (i) admitir la demanda; (ii) negar la solicitud de suspensión provisional de la norma demandada; (iii) correr traslado del expediente a la procuradora general de la Nación a fin de que emitiera el concepto correspondiente; (iv) fijar en lista el proce</w:t>
      </w:r>
      <w:r w:rsidRPr="00597245">
        <w:rPr>
          <w:rFonts w:ascii="Times New Roman" w:hAnsi="Times New Roman" w:cs="Times New Roman"/>
          <w:color w:val="000000" w:themeColor="text1"/>
        </w:rPr>
        <w:t>so para efectos de permitir la intervención ciudadana a que se refiere el artículo 7 del Decreto Ley 2067 de 1991; (v) comunicar de la admisión de la demanda al presidente del Congreso de la República, al presidente de la República, al ministro de Justicia</w:t>
      </w:r>
      <w:r w:rsidRPr="00597245">
        <w:rPr>
          <w:rFonts w:ascii="Times New Roman" w:hAnsi="Times New Roman" w:cs="Times New Roman"/>
          <w:color w:val="000000" w:themeColor="text1"/>
        </w:rPr>
        <w:t xml:space="preserve"> y del Derecho, a la ministra del Trabajo, al superintendente Financiero, al director del Departamento Nacional de Planeación y a la directora de la Agencia de Defensa Jurídica del Estado, para que, si a bien lo tenían, intervinieran en el proceso de la re</w:t>
      </w:r>
      <w:r w:rsidRPr="00597245">
        <w:rPr>
          <w:rFonts w:ascii="Times New Roman" w:hAnsi="Times New Roman" w:cs="Times New Roman"/>
          <w:color w:val="000000" w:themeColor="text1"/>
        </w:rPr>
        <w:t>ferencia; e (vi) invitar a diferentes organizaciones, a que, de considerarlo pertinente, emitieran concepto técnico especializado sobre la norma acusada y la materia objeto de impugnación</w:t>
      </w:r>
      <w:r w:rsidRPr="00597245">
        <w:rPr>
          <w:rStyle w:val="Refdenotaalpie"/>
          <w:rFonts w:ascii="Times New Roman" w:hAnsi="Times New Roman" w:cs="Times New Roman"/>
          <w:color w:val="000000" w:themeColor="text1"/>
        </w:rPr>
        <w:footnoteReference w:id="3"/>
      </w:r>
      <w:r w:rsidRPr="00597245">
        <w:rPr>
          <w:rFonts w:ascii="Times New Roman" w:hAnsi="Times New Roman" w:cs="Times New Roman"/>
          <w:color w:val="000000" w:themeColor="text1"/>
        </w:rPr>
        <w:t>.</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567"/>
        </w:tabs>
        <w:ind w:left="0" w:firstLine="0"/>
        <w:rPr>
          <w:rFonts w:ascii="Times New Roman" w:hAnsi="Times New Roman" w:cs="Times New Roman"/>
          <w:color w:val="000000" w:themeColor="text1"/>
        </w:rPr>
      </w:pPr>
      <w:r w:rsidRPr="00597245">
        <w:rPr>
          <w:rFonts w:ascii="Times New Roman" w:hAnsi="Times New Roman" w:cs="Times New Roman"/>
          <w:color w:val="000000" w:themeColor="text1"/>
        </w:rPr>
        <w:t>El proceso se fijó en lista</w:t>
      </w:r>
      <w:r w:rsidRPr="00597245">
        <w:rPr>
          <w:rStyle w:val="Refdenotaalpie"/>
          <w:rFonts w:ascii="Times New Roman" w:hAnsi="Times New Roman" w:cs="Times New Roman"/>
          <w:color w:val="000000" w:themeColor="text1"/>
        </w:rPr>
        <w:footnoteReference w:id="4"/>
      </w:r>
      <w:r w:rsidRPr="00597245">
        <w:rPr>
          <w:rFonts w:ascii="Times New Roman" w:hAnsi="Times New Roman" w:cs="Times New Roman"/>
          <w:color w:val="000000" w:themeColor="text1"/>
        </w:rPr>
        <w:t xml:space="preserve"> para permitir las intervenciones ciu</w:t>
      </w:r>
      <w:r w:rsidRPr="00597245">
        <w:rPr>
          <w:rFonts w:ascii="Times New Roman" w:hAnsi="Times New Roman" w:cs="Times New Roman"/>
          <w:color w:val="000000" w:themeColor="text1"/>
        </w:rPr>
        <w:t>dadanas, de conformidad con los numerales 1 y 2 del artículo 242 de la Constitución.</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567"/>
        </w:tabs>
        <w:ind w:left="0" w:firstLine="0"/>
        <w:rPr>
          <w:rFonts w:ascii="Times New Roman" w:hAnsi="Times New Roman" w:cs="Times New Roman"/>
          <w:color w:val="000000" w:themeColor="text1"/>
        </w:rPr>
      </w:pPr>
      <w:r w:rsidRPr="00597245">
        <w:rPr>
          <w:rFonts w:ascii="Times New Roman" w:hAnsi="Times New Roman" w:cs="Times New Roman"/>
          <w:color w:val="000000" w:themeColor="text1"/>
        </w:rPr>
        <w:t>Cumplidos los trámites constitucionales y legales, una vez recibido el concepto de la procuradora general de la Nación, la Sala procede a decidir el asunto.</w:t>
      </w:r>
    </w:p>
    <w:bookmarkEnd w:id="3"/>
    <w:p w:rsidR="0019028F" w:rsidRPr="00597245" w:rsidRDefault="00597245" w:rsidP="0019028F">
      <w:pPr>
        <w:tabs>
          <w:tab w:val="left" w:pos="567"/>
        </w:tabs>
        <w:jc w:val="both"/>
        <w:rPr>
          <w:rFonts w:ascii="Times New Roman" w:hAnsi="Times New Roman" w:cs="Times New Roman"/>
          <w:color w:val="000000" w:themeColor="text1"/>
          <w:sz w:val="28"/>
          <w:szCs w:val="28"/>
        </w:rPr>
      </w:pPr>
    </w:p>
    <w:p w:rsidR="0019028F" w:rsidRPr="00597245" w:rsidRDefault="00597245" w:rsidP="0019028F">
      <w:pPr>
        <w:pStyle w:val="Prrafodelista"/>
        <w:numPr>
          <w:ilvl w:val="0"/>
          <w:numId w:val="4"/>
        </w:numPr>
        <w:ind w:left="1134" w:hanging="567"/>
        <w:rPr>
          <w:rFonts w:ascii="Times New Roman" w:hAnsi="Times New Roman" w:cs="Times New Roman"/>
          <w:b/>
          <w:color w:val="000000" w:themeColor="text1"/>
          <w:lang w:val="es-CO"/>
        </w:rPr>
      </w:pPr>
      <w:r w:rsidRPr="00597245">
        <w:rPr>
          <w:rFonts w:ascii="Times New Roman" w:hAnsi="Times New Roman" w:cs="Times New Roman"/>
          <w:b/>
          <w:color w:val="000000" w:themeColor="text1"/>
          <w:lang w:val="es-CO"/>
        </w:rPr>
        <w:t xml:space="preserve">NORMA </w:t>
      </w:r>
      <w:r w:rsidRPr="00597245">
        <w:rPr>
          <w:rFonts w:ascii="Times New Roman" w:hAnsi="Times New Roman" w:cs="Times New Roman"/>
          <w:b/>
          <w:color w:val="000000" w:themeColor="text1"/>
          <w:lang w:val="es-CO"/>
        </w:rPr>
        <w:t>DEMANDADA</w:t>
      </w:r>
    </w:p>
    <w:p w:rsidR="0019028F" w:rsidRPr="00597245" w:rsidRDefault="00597245" w:rsidP="0019028F">
      <w:pPr>
        <w:pStyle w:val="Prrafodelista"/>
        <w:widowControl/>
        <w:ind w:left="0"/>
        <w:contextualSpacing/>
        <w:rPr>
          <w:rFonts w:ascii="Times New Roman" w:hAnsi="Times New Roman" w:cs="Times New Roman"/>
          <w:color w:val="000000" w:themeColor="text1"/>
          <w:shd w:val="clear" w:color="auto" w:fill="FFFFFF"/>
          <w:lang w:val="es-CO"/>
        </w:rPr>
      </w:pPr>
      <w:bookmarkStart w:id="4" w:name="_Ref120563188"/>
    </w:p>
    <w:p w:rsidR="0019028F" w:rsidRPr="00597245" w:rsidRDefault="00597245" w:rsidP="0019028F">
      <w:pPr>
        <w:pStyle w:val="Prrafodelista"/>
        <w:widowControl/>
        <w:numPr>
          <w:ilvl w:val="0"/>
          <w:numId w:val="2"/>
        </w:numPr>
        <w:ind w:left="0" w:hanging="11"/>
        <w:contextualSpacing/>
        <w:rPr>
          <w:rFonts w:ascii="Times New Roman" w:hAnsi="Times New Roman" w:cs="Times New Roman"/>
          <w:bCs/>
          <w:color w:val="000000" w:themeColor="text1"/>
          <w:lang w:val="es-CO"/>
        </w:rPr>
      </w:pPr>
      <w:r w:rsidRPr="00597245">
        <w:rPr>
          <w:rFonts w:ascii="Times New Roman" w:hAnsi="Times New Roman" w:cs="Times New Roman"/>
          <w:color w:val="000000" w:themeColor="text1"/>
          <w:shd w:val="clear" w:color="auto" w:fill="FFFFFF"/>
          <w:lang w:val="es-CO"/>
        </w:rPr>
        <w:t xml:space="preserve">A continuación, </w:t>
      </w:r>
      <w:bookmarkEnd w:id="4"/>
      <w:r w:rsidRPr="00597245">
        <w:rPr>
          <w:rFonts w:ascii="Times New Roman" w:hAnsi="Times New Roman" w:cs="Times New Roman"/>
          <w:color w:val="000000" w:themeColor="text1"/>
          <w:shd w:val="clear" w:color="auto" w:fill="FFFFFF"/>
          <w:lang w:val="es-CO"/>
        </w:rPr>
        <w:t>se transcribe la disposición demandada, tal como se publicó en el Diario Oficial No. 52.400 del 19 de mayo de 2023:</w:t>
      </w:r>
    </w:p>
    <w:p w:rsidR="0019028F" w:rsidRPr="00597245" w:rsidRDefault="00597245" w:rsidP="0019028F">
      <w:pPr>
        <w:tabs>
          <w:tab w:val="left" w:pos="426"/>
        </w:tabs>
        <w:jc w:val="both"/>
        <w:rPr>
          <w:rFonts w:ascii="Times New Roman" w:hAnsi="Times New Roman" w:cs="Times New Roman"/>
          <w:i/>
          <w:iCs/>
          <w:color w:val="000000" w:themeColor="text1"/>
          <w:sz w:val="28"/>
        </w:rPr>
      </w:pPr>
    </w:p>
    <w:p w:rsidR="0019028F" w:rsidRPr="00597245" w:rsidRDefault="00597245" w:rsidP="0019028F">
      <w:pPr>
        <w:ind w:left="567" w:right="567"/>
        <w:jc w:val="center"/>
        <w:rPr>
          <w:rFonts w:ascii="Times New Roman" w:hAnsi="Times New Roman" w:cs="Times New Roman"/>
          <w:color w:val="000000" w:themeColor="text1"/>
          <w:sz w:val="28"/>
        </w:rPr>
      </w:pPr>
      <w:r w:rsidRPr="00597245">
        <w:rPr>
          <w:rFonts w:ascii="Times New Roman" w:hAnsi="Times New Roman" w:cs="Times New Roman"/>
          <w:color w:val="000000" w:themeColor="text1"/>
          <w:sz w:val="28"/>
        </w:rPr>
        <w:t>Ley 2294 de 2023</w:t>
      </w:r>
    </w:p>
    <w:p w:rsidR="0019028F" w:rsidRPr="00597245" w:rsidRDefault="00597245" w:rsidP="0019028F">
      <w:pPr>
        <w:ind w:left="567" w:right="567"/>
        <w:jc w:val="center"/>
        <w:rPr>
          <w:rFonts w:ascii="Times New Roman" w:hAnsi="Times New Roman" w:cs="Times New Roman"/>
          <w:color w:val="000000" w:themeColor="text1"/>
          <w:sz w:val="28"/>
        </w:rPr>
      </w:pPr>
      <w:r w:rsidRPr="00597245">
        <w:rPr>
          <w:rFonts w:ascii="Times New Roman" w:hAnsi="Times New Roman" w:cs="Times New Roman"/>
          <w:color w:val="000000" w:themeColor="text1"/>
          <w:sz w:val="28"/>
        </w:rPr>
        <w:t>(19 de mayo)</w:t>
      </w:r>
    </w:p>
    <w:p w:rsidR="0019028F" w:rsidRPr="00597245" w:rsidRDefault="00597245" w:rsidP="0019028F">
      <w:pPr>
        <w:ind w:left="567" w:right="567"/>
        <w:jc w:val="center"/>
        <w:rPr>
          <w:rFonts w:ascii="Times New Roman" w:hAnsi="Times New Roman" w:cs="Times New Roman"/>
          <w:color w:val="000000" w:themeColor="text1"/>
          <w:sz w:val="28"/>
        </w:rPr>
      </w:pPr>
    </w:p>
    <w:p w:rsidR="0019028F" w:rsidRPr="00597245" w:rsidRDefault="00597245" w:rsidP="0019028F">
      <w:pPr>
        <w:ind w:left="567" w:right="567"/>
        <w:jc w:val="center"/>
        <w:rPr>
          <w:rFonts w:ascii="Times New Roman" w:hAnsi="Times New Roman" w:cs="Times New Roman"/>
          <w:color w:val="000000" w:themeColor="text1"/>
          <w:sz w:val="28"/>
        </w:rPr>
      </w:pPr>
      <w:r w:rsidRPr="00597245">
        <w:rPr>
          <w:rFonts w:ascii="Times New Roman" w:hAnsi="Times New Roman" w:cs="Times New Roman"/>
          <w:color w:val="000000" w:themeColor="text1"/>
          <w:sz w:val="28"/>
        </w:rPr>
        <w:t>Diario Oficial No. 52.400 del 19 de mayo de 2023</w:t>
      </w:r>
    </w:p>
    <w:p w:rsidR="0019028F" w:rsidRPr="00597245" w:rsidRDefault="00597245" w:rsidP="0019028F">
      <w:pPr>
        <w:ind w:left="567" w:right="567"/>
        <w:jc w:val="center"/>
        <w:rPr>
          <w:rFonts w:ascii="Times New Roman" w:hAnsi="Times New Roman" w:cs="Times New Roman"/>
          <w:color w:val="000000" w:themeColor="text1"/>
          <w:sz w:val="28"/>
        </w:rPr>
      </w:pPr>
      <w:r w:rsidRPr="00597245">
        <w:rPr>
          <w:rFonts w:ascii="Times New Roman" w:hAnsi="Times New Roman" w:cs="Times New Roman"/>
          <w:color w:val="000000" w:themeColor="text1"/>
          <w:sz w:val="28"/>
        </w:rPr>
        <w:t>Por el cual se expide el Plan Na</w:t>
      </w:r>
      <w:r w:rsidRPr="00597245">
        <w:rPr>
          <w:rFonts w:ascii="Times New Roman" w:hAnsi="Times New Roman" w:cs="Times New Roman"/>
          <w:color w:val="000000" w:themeColor="text1"/>
          <w:sz w:val="28"/>
        </w:rPr>
        <w:t>cional de Desarrollo 2022 – 2026 ‘Colombia Potencia mundial de la vida’</w:t>
      </w:r>
    </w:p>
    <w:p w:rsidR="0019028F" w:rsidRPr="00597245" w:rsidRDefault="00597245" w:rsidP="0019028F">
      <w:pPr>
        <w:ind w:left="567" w:right="567"/>
        <w:jc w:val="both"/>
        <w:rPr>
          <w:rFonts w:ascii="Times New Roman" w:hAnsi="Times New Roman" w:cs="Times New Roman"/>
          <w:color w:val="000000" w:themeColor="text1"/>
          <w:sz w:val="28"/>
        </w:rPr>
      </w:pPr>
    </w:p>
    <w:p w:rsidR="0019028F" w:rsidRPr="00597245" w:rsidRDefault="00597245" w:rsidP="0019028F">
      <w:pPr>
        <w:ind w:left="567" w:right="567"/>
        <w:jc w:val="both"/>
        <w:rPr>
          <w:rFonts w:ascii="Times New Roman" w:hAnsi="Times New Roman" w:cs="Times New Roman"/>
          <w:color w:val="000000" w:themeColor="text1"/>
          <w:sz w:val="28"/>
        </w:rPr>
      </w:pPr>
      <w:r w:rsidRPr="00597245">
        <w:rPr>
          <w:rFonts w:ascii="Times New Roman" w:hAnsi="Times New Roman" w:cs="Times New Roman"/>
          <w:color w:val="000000" w:themeColor="text1"/>
          <w:sz w:val="28"/>
        </w:rPr>
        <w:t>(…)</w:t>
      </w:r>
    </w:p>
    <w:p w:rsidR="0019028F" w:rsidRPr="00597245" w:rsidRDefault="00597245" w:rsidP="0019028F">
      <w:pPr>
        <w:ind w:left="567" w:right="567"/>
        <w:jc w:val="both"/>
        <w:rPr>
          <w:rFonts w:ascii="Times New Roman" w:hAnsi="Times New Roman" w:cs="Times New Roman"/>
          <w:color w:val="000000" w:themeColor="text1"/>
          <w:sz w:val="28"/>
        </w:rPr>
      </w:pPr>
      <w:r w:rsidRPr="00597245">
        <w:rPr>
          <w:rFonts w:ascii="Times New Roman" w:hAnsi="Times New Roman" w:cs="Times New Roman"/>
          <w:b/>
          <w:bCs/>
          <w:color w:val="000000" w:themeColor="text1"/>
          <w:sz w:val="28"/>
        </w:rPr>
        <w:t>Artículo 97. Afiliación de las Entidades Públicas al Sistema General de Riesgos Laborales.</w:t>
      </w:r>
      <w:r w:rsidRPr="00597245">
        <w:rPr>
          <w:rFonts w:ascii="Times New Roman" w:hAnsi="Times New Roman" w:cs="Times New Roman"/>
          <w:color w:val="000000" w:themeColor="text1"/>
          <w:sz w:val="28"/>
        </w:rPr>
        <w:t xml:space="preserve"> Con el fin de fortalecer el Sistema de aseguramiento público, de cara a la incorporación</w:t>
      </w:r>
      <w:r w:rsidRPr="00597245">
        <w:rPr>
          <w:rFonts w:ascii="Times New Roman" w:hAnsi="Times New Roman" w:cs="Times New Roman"/>
          <w:color w:val="000000" w:themeColor="text1"/>
          <w:sz w:val="28"/>
        </w:rPr>
        <w:t xml:space="preserve"> de nuevas poblaciones de la comunidad en general, a partir de la entrada en vigencia de la presente ley, todas las entidades y corporaciones públicas se afiliarán a la administradora de riesgos laborales de carácter público, Positiva Compañía de Seguros S</w:t>
      </w:r>
      <w:r w:rsidRPr="00597245">
        <w:rPr>
          <w:rFonts w:ascii="Times New Roman" w:hAnsi="Times New Roman" w:cs="Times New Roman"/>
          <w:color w:val="000000" w:themeColor="text1"/>
          <w:sz w:val="28"/>
        </w:rPr>
        <w:t>.A., o quien haga sus veces.</w:t>
      </w:r>
    </w:p>
    <w:p w:rsidR="0019028F" w:rsidRPr="00597245" w:rsidRDefault="00597245" w:rsidP="0019028F">
      <w:pPr>
        <w:ind w:left="567" w:right="567"/>
        <w:jc w:val="both"/>
        <w:rPr>
          <w:rFonts w:ascii="Times New Roman" w:hAnsi="Times New Roman" w:cs="Times New Roman"/>
          <w:color w:val="000000" w:themeColor="text1"/>
          <w:sz w:val="28"/>
        </w:rPr>
      </w:pPr>
      <w:r w:rsidRPr="00597245">
        <w:rPr>
          <w:rFonts w:ascii="Times New Roman" w:hAnsi="Times New Roman" w:cs="Times New Roman"/>
          <w:color w:val="000000" w:themeColor="text1"/>
          <w:sz w:val="28"/>
        </w:rPr>
        <w:t xml:space="preserve"> </w:t>
      </w:r>
    </w:p>
    <w:p w:rsidR="0019028F" w:rsidRPr="00597245" w:rsidRDefault="00597245" w:rsidP="0019028F">
      <w:pPr>
        <w:ind w:left="567" w:right="567"/>
        <w:jc w:val="both"/>
        <w:rPr>
          <w:rFonts w:ascii="Times New Roman" w:hAnsi="Times New Roman" w:cs="Times New Roman"/>
          <w:color w:val="000000" w:themeColor="text1"/>
          <w:sz w:val="28"/>
        </w:rPr>
      </w:pPr>
      <w:r w:rsidRPr="00597245">
        <w:rPr>
          <w:rFonts w:ascii="Times New Roman" w:hAnsi="Times New Roman" w:cs="Times New Roman"/>
          <w:color w:val="000000" w:themeColor="text1"/>
          <w:sz w:val="28"/>
        </w:rPr>
        <w:t>Las entidades y corporaciones públicas que se encuentran actualmente afiliadas a administradoras de riesgos laborales de carácter privado podrán mantener la afiliación hasta tanto se complete el plazo de los contratos celebra</w:t>
      </w:r>
      <w:r w:rsidRPr="00597245">
        <w:rPr>
          <w:rFonts w:ascii="Times New Roman" w:hAnsi="Times New Roman" w:cs="Times New Roman"/>
          <w:color w:val="000000" w:themeColor="text1"/>
          <w:sz w:val="28"/>
        </w:rPr>
        <w:t>dos con anterioridad a la entrada en vigencia de la presente ley. Vencido el plazo contractual, todas las entidades y corporaciones públicas deberán afiliarse a la administradora de riesgos laborales pública.</w:t>
      </w:r>
    </w:p>
    <w:p w:rsidR="0019028F" w:rsidRPr="00597245" w:rsidRDefault="00597245" w:rsidP="0019028F">
      <w:pPr>
        <w:tabs>
          <w:tab w:val="left" w:pos="567"/>
        </w:tabs>
        <w:ind w:left="360"/>
        <w:jc w:val="both"/>
        <w:rPr>
          <w:rFonts w:ascii="Times New Roman" w:hAnsi="Times New Roman" w:cs="Times New Roman"/>
          <w:color w:val="000000" w:themeColor="text1"/>
          <w:sz w:val="28"/>
        </w:rPr>
      </w:pPr>
    </w:p>
    <w:p w:rsidR="0019028F" w:rsidRPr="00597245" w:rsidRDefault="00597245" w:rsidP="0019028F">
      <w:pPr>
        <w:pStyle w:val="Prrafodelista"/>
        <w:numPr>
          <w:ilvl w:val="0"/>
          <w:numId w:val="4"/>
        </w:numPr>
        <w:ind w:left="1134" w:hanging="567"/>
        <w:rPr>
          <w:rFonts w:ascii="Times New Roman" w:hAnsi="Times New Roman" w:cs="Times New Roman"/>
          <w:b/>
          <w:color w:val="000000" w:themeColor="text1"/>
          <w:lang w:val="es-CO"/>
        </w:rPr>
      </w:pPr>
      <w:bookmarkStart w:id="5" w:name="_Ref118888436"/>
      <w:r w:rsidRPr="00597245">
        <w:rPr>
          <w:rFonts w:ascii="Times New Roman" w:hAnsi="Times New Roman" w:cs="Times New Roman"/>
          <w:b/>
          <w:color w:val="000000" w:themeColor="text1"/>
          <w:lang w:val="es-CO"/>
        </w:rPr>
        <w:t>LA DEMANDA</w:t>
      </w:r>
      <w:bookmarkEnd w:id="5"/>
    </w:p>
    <w:p w:rsidR="0019028F" w:rsidRPr="00597245" w:rsidRDefault="00597245" w:rsidP="0019028F">
      <w:pPr>
        <w:pStyle w:val="Sombreadovistoso-nfasis31"/>
        <w:ind w:left="0"/>
        <w:rPr>
          <w:rFonts w:ascii="Times New Roman" w:hAnsi="Times New Roman" w:cs="Times New Roman"/>
          <w:b/>
          <w:color w:val="000000" w:themeColor="text1"/>
          <w:lang w:val="es-CO"/>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demandante manifestó que la norma acusada resultaba contraria a los artículos 158 y 333 de la Constitución Política de Colombia, que se refieren, respectivamente, al principio de unidad de materia y a la libre competencia económica. Por lo tanto, la ciu</w:t>
      </w:r>
      <w:r w:rsidRPr="00597245">
        <w:rPr>
          <w:rFonts w:ascii="Times New Roman" w:hAnsi="Times New Roman" w:cs="Times New Roman"/>
          <w:color w:val="000000" w:themeColor="text1"/>
        </w:rPr>
        <w:t xml:space="preserve">dadana solicitó a la Corte declarar su inexequibilidad. En sustento de su pretensión, la demandante presentó los siguientes cargos. </w:t>
      </w:r>
    </w:p>
    <w:p w:rsidR="0019028F" w:rsidRPr="00597245" w:rsidRDefault="00597245" w:rsidP="0019028F">
      <w:pPr>
        <w:pStyle w:val="Prrafodelista"/>
        <w:tabs>
          <w:tab w:val="left" w:pos="142"/>
        </w:tabs>
        <w:ind w:left="0"/>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b/>
          <w:bCs/>
          <w:color w:val="000000" w:themeColor="text1"/>
        </w:rPr>
        <w:t>Primer cargo: el artículo 97 de la Ley 2294 de 2023 violó el principio de unidad de materia establecido en el artículo 158</w:t>
      </w:r>
      <w:r w:rsidRPr="00597245">
        <w:rPr>
          <w:rFonts w:ascii="Times New Roman" w:hAnsi="Times New Roman" w:cs="Times New Roman"/>
          <w:b/>
          <w:bCs/>
          <w:color w:val="000000" w:themeColor="text1"/>
        </w:rPr>
        <w:t xml:space="preserve"> de la Carta</w:t>
      </w:r>
      <w:r w:rsidRPr="00597245">
        <w:rPr>
          <w:rFonts w:ascii="Times New Roman" w:hAnsi="Times New Roman" w:cs="Times New Roman"/>
          <w:color w:val="000000" w:themeColor="text1"/>
        </w:rPr>
        <w:t>. En primer término, la demandante recordó que el artículo 158 de la Constitución Política establece que todo proyecto de ley debe referirse a una misma materia, y serán inadmisibles todas aquellas disposiciones que no se relacionen con ella. A</w:t>
      </w:r>
      <w:r w:rsidRPr="00597245">
        <w:rPr>
          <w:rFonts w:ascii="Times New Roman" w:hAnsi="Times New Roman" w:cs="Times New Roman"/>
          <w:color w:val="000000" w:themeColor="text1"/>
        </w:rPr>
        <w:t>l efecto, la actora puso de presente que la Corte Constitucional, en la sentencia C-095 de 2020, determinó que el principio de unidad de materia se ve satisfecho cuando las disposiciones de una ley de la República “guardan una relación de conexidad causal,</w:t>
      </w:r>
      <w:r w:rsidRPr="00597245">
        <w:rPr>
          <w:rFonts w:ascii="Times New Roman" w:hAnsi="Times New Roman" w:cs="Times New Roman"/>
          <w:color w:val="000000" w:themeColor="text1"/>
        </w:rPr>
        <w:t xml:space="preserve"> teleológica, temática o sistémica con la materia dominante”</w:t>
      </w:r>
      <w:r w:rsidRPr="00597245">
        <w:rPr>
          <w:rStyle w:val="Refdenotaalpie"/>
          <w:rFonts w:ascii="Times New Roman" w:hAnsi="Times New Roman" w:cs="Times New Roman"/>
          <w:color w:val="000000" w:themeColor="text1"/>
        </w:rPr>
        <w:footnoteReference w:id="5"/>
      </w:r>
      <w:r w:rsidRPr="00597245">
        <w:rPr>
          <w:rFonts w:ascii="Times New Roman" w:hAnsi="Times New Roman" w:cs="Times New Roman"/>
          <w:color w:val="000000" w:themeColor="text1"/>
        </w:rPr>
        <w:t xml:space="preserve"> de dicha ley. En sentido contrario, el principio de unidad de materia se ve vulnerado, por regla general, cuando no es posible “encontrar alguna relación entre el tema tratado en un artículo y l</w:t>
      </w:r>
      <w:r w:rsidRPr="00597245">
        <w:rPr>
          <w:rFonts w:ascii="Times New Roman" w:hAnsi="Times New Roman" w:cs="Times New Roman"/>
          <w:color w:val="000000" w:themeColor="text1"/>
        </w:rPr>
        <w:t>a materia de la ley”</w:t>
      </w:r>
      <w:r w:rsidRPr="00597245">
        <w:rPr>
          <w:rStyle w:val="Refdenotaalpie"/>
          <w:rFonts w:ascii="Times New Roman" w:hAnsi="Times New Roman" w:cs="Times New Roman"/>
          <w:color w:val="000000" w:themeColor="text1"/>
        </w:rPr>
        <w:footnoteReference w:id="6"/>
      </w:r>
      <w:r w:rsidRPr="00597245">
        <w:rPr>
          <w:rFonts w:ascii="Times New Roman" w:hAnsi="Times New Roman" w:cs="Times New Roman"/>
          <w:color w:val="000000" w:themeColor="text1"/>
        </w:rPr>
        <w:t>.</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La demandante manifestó que, al evaluar la satisfacción del principio de unidad de materia en las disposiciones de la ley del Plan Nacional de Desarrollo (PND), la Corte optó por recurrir a un estándar más exigente, que va más allá </w:t>
      </w:r>
      <w:r w:rsidRPr="00597245">
        <w:rPr>
          <w:rFonts w:ascii="Times New Roman" w:hAnsi="Times New Roman" w:cs="Times New Roman"/>
          <w:color w:val="000000" w:themeColor="text1"/>
        </w:rPr>
        <w:t>de la constatación de la existencia de una simple relación de conexidad entre la disposición evaluada y la materia predominante de que trata la ley a la que pertenece la aludida disposición. Esto pues, tratándose del PND, es imposible hablar de una materia</w:t>
      </w:r>
      <w:r w:rsidRPr="00597245">
        <w:rPr>
          <w:rFonts w:ascii="Times New Roman" w:hAnsi="Times New Roman" w:cs="Times New Roman"/>
          <w:color w:val="000000" w:themeColor="text1"/>
        </w:rPr>
        <w:t xml:space="preserve"> predominante, dado que la ley del PND contiene propósitos y objetivos de carácter general y de largo plazo, cubre variados asuntos y resulta, necesariamente, multitemática.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Por las características propias de la ley del PND, la actora recordó que la Cort</w:t>
      </w:r>
      <w:r w:rsidRPr="00597245">
        <w:rPr>
          <w:rFonts w:ascii="Times New Roman" w:hAnsi="Times New Roman" w:cs="Times New Roman"/>
          <w:color w:val="000000" w:themeColor="text1"/>
        </w:rPr>
        <w:t>e estableció criterios específicos para determinar si el principio de unidad de materia se ve -o no- satisfecho. Así, los mecanismos de ejecución del PND deben: (i) referirse a uno de los objetivos o programas de la parte general de la ley del PND; (ii) te</w:t>
      </w:r>
      <w:r w:rsidRPr="00597245">
        <w:rPr>
          <w:rFonts w:ascii="Times New Roman" w:hAnsi="Times New Roman" w:cs="Times New Roman"/>
          <w:color w:val="000000" w:themeColor="text1"/>
        </w:rPr>
        <w:t xml:space="preserve">ner una finalidad planificadora clara; (iii) respetar el contenido constitucional propio de la ley del PND; y (iv) guardar una relación de conexidad directa e inmediata con los objetivos o programas de la parte general de la ley del PND.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Según la demanda</w:t>
      </w:r>
      <w:r w:rsidRPr="00597245">
        <w:rPr>
          <w:rFonts w:ascii="Times New Roman" w:hAnsi="Times New Roman" w:cs="Times New Roman"/>
          <w:color w:val="000000" w:themeColor="text1"/>
        </w:rPr>
        <w:t>nte, el estándar establecido por la Corte es preciso y estricto: “se infringe el principio de unidad de materia cuando las normas acusadas del PND, correspondientes a los [mecanismos de ejecución del PND], no contienen medidas que inequívocamente operen co</w:t>
      </w:r>
      <w:r w:rsidRPr="00597245">
        <w:rPr>
          <w:rFonts w:ascii="Times New Roman" w:hAnsi="Times New Roman" w:cs="Times New Roman"/>
          <w:color w:val="000000" w:themeColor="text1"/>
        </w:rPr>
        <w:t>mo instrumentos para el logro de los contenidos de la parte general de la ley del plan”</w:t>
      </w:r>
      <w:r w:rsidRPr="00597245">
        <w:rPr>
          <w:rStyle w:val="Refdenotaalpie"/>
          <w:rFonts w:ascii="Times New Roman" w:hAnsi="Times New Roman" w:cs="Times New Roman"/>
          <w:color w:val="000000" w:themeColor="text1"/>
        </w:rPr>
        <w:footnoteReference w:id="7"/>
      </w:r>
      <w:r w:rsidRPr="00597245">
        <w:rPr>
          <w:rFonts w:ascii="Times New Roman" w:hAnsi="Times New Roman" w:cs="Times New Roman"/>
          <w:color w:val="000000" w:themeColor="text1"/>
        </w:rPr>
        <w:t xml:space="preserve">.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actora manifestó que el objetivo de la Ley 2294 de 2023 puede hallarse en los artículos 1, 3 y 4 de la Ley del Plan y, esencialmente, consiste en convertir a Col</w:t>
      </w:r>
      <w:r w:rsidRPr="00597245">
        <w:rPr>
          <w:rFonts w:ascii="Times New Roman" w:hAnsi="Times New Roman" w:cs="Times New Roman"/>
          <w:color w:val="000000" w:themeColor="text1"/>
        </w:rPr>
        <w:t>ombia en un país “líder de la protección de la vida a partir de la construcción de un nuevo contrato social”</w:t>
      </w:r>
      <w:r w:rsidRPr="00597245">
        <w:rPr>
          <w:rStyle w:val="Refdenotaalpie"/>
          <w:rFonts w:ascii="Times New Roman" w:hAnsi="Times New Roman" w:cs="Times New Roman"/>
          <w:color w:val="000000" w:themeColor="text1"/>
        </w:rPr>
        <w:footnoteReference w:id="8"/>
      </w:r>
      <w:r w:rsidRPr="00597245">
        <w:rPr>
          <w:rFonts w:ascii="Times New Roman" w:hAnsi="Times New Roman" w:cs="Times New Roman"/>
          <w:color w:val="000000" w:themeColor="text1"/>
        </w:rPr>
        <w:t>. Para ello, la Ley propone cinco instrumentos principales (ejes de transformación)</w:t>
      </w:r>
      <w:r w:rsidRPr="00597245">
        <w:rPr>
          <w:rStyle w:val="Refdenotaalpie"/>
          <w:rFonts w:ascii="Times New Roman" w:hAnsi="Times New Roman" w:cs="Times New Roman"/>
          <w:color w:val="000000" w:themeColor="text1"/>
        </w:rPr>
        <w:footnoteReference w:id="9"/>
      </w:r>
      <w:r w:rsidRPr="00597245">
        <w:rPr>
          <w:rFonts w:ascii="Times New Roman" w:hAnsi="Times New Roman" w:cs="Times New Roman"/>
          <w:color w:val="000000" w:themeColor="text1"/>
        </w:rPr>
        <w:t>: (i) el ordenamiento del territorio alrededor del agua; (ii) l</w:t>
      </w:r>
      <w:r w:rsidRPr="00597245">
        <w:rPr>
          <w:rFonts w:ascii="Times New Roman" w:hAnsi="Times New Roman" w:cs="Times New Roman"/>
          <w:color w:val="000000" w:themeColor="text1"/>
        </w:rPr>
        <w:t>a seguridad humana y la justicia social; (iii) el derecho humano a la alimentación; (iv) la transformación productiva, la internacionalización y la acción climática; y (v) la convergencia regional. Además, el artículo 4 de la Ley 2294 de 2023 propone tambi</w:t>
      </w:r>
      <w:r w:rsidRPr="00597245">
        <w:rPr>
          <w:rFonts w:ascii="Times New Roman" w:hAnsi="Times New Roman" w:cs="Times New Roman"/>
          <w:color w:val="000000" w:themeColor="text1"/>
        </w:rPr>
        <w:t>én cuatro instrumentos complementarios (ejes transversales) con los que se pretende contribuir al cumplimiento del objetivo del PND; estos son: (i) la paz total; (ii) los actores diferenciales para el cambio; (iii) la estabilidad macroeconómica y (iv) la p</w:t>
      </w:r>
      <w:r w:rsidRPr="00597245">
        <w:rPr>
          <w:rFonts w:ascii="Times New Roman" w:hAnsi="Times New Roman" w:cs="Times New Roman"/>
          <w:color w:val="000000" w:themeColor="text1"/>
        </w:rPr>
        <w:t xml:space="preserve">olítica exterior con enfoque de género.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ciudadana expuso entonces, tres motivos principales por los cuales la norma acusada, presuntamente, resultaba contraria al artículo 158 Superior (principio de unidad de materia). En primer lugar, la ciudadana ma</w:t>
      </w:r>
      <w:r w:rsidRPr="00597245">
        <w:rPr>
          <w:rFonts w:ascii="Times New Roman" w:hAnsi="Times New Roman" w:cs="Times New Roman"/>
          <w:color w:val="000000" w:themeColor="text1"/>
        </w:rPr>
        <w:t>nifestó que el título de la Ley 2294 de 2023</w:t>
      </w:r>
      <w:r w:rsidRPr="00597245">
        <w:rPr>
          <w:rStyle w:val="Refdenotaalpie"/>
          <w:rFonts w:ascii="Times New Roman" w:hAnsi="Times New Roman" w:cs="Times New Roman"/>
          <w:color w:val="000000" w:themeColor="text1"/>
        </w:rPr>
        <w:footnoteReference w:id="10"/>
      </w:r>
      <w:r w:rsidRPr="00597245">
        <w:rPr>
          <w:rFonts w:ascii="Times New Roman" w:hAnsi="Times New Roman" w:cs="Times New Roman"/>
          <w:color w:val="000000" w:themeColor="text1"/>
        </w:rPr>
        <w:t xml:space="preserve"> no tenía ninguna “relación o correspondencia directa e inmediata con su artículo 97”</w:t>
      </w:r>
      <w:r w:rsidRPr="00597245">
        <w:rPr>
          <w:rStyle w:val="Refdenotaalpie"/>
          <w:rFonts w:ascii="Times New Roman" w:hAnsi="Times New Roman" w:cs="Times New Roman"/>
          <w:color w:val="000000" w:themeColor="text1"/>
        </w:rPr>
        <w:footnoteReference w:id="11"/>
      </w:r>
      <w:r w:rsidRPr="00597245">
        <w:rPr>
          <w:rFonts w:ascii="Times New Roman" w:hAnsi="Times New Roman" w:cs="Times New Roman"/>
          <w:color w:val="000000" w:themeColor="text1"/>
        </w:rPr>
        <w:t xml:space="preserve">, pues la expedición de un Plan de Desarrollo nada tiene que ver con la afiliación de las entidades públicas “al sistema </w:t>
      </w:r>
      <w:r w:rsidRPr="00597245">
        <w:rPr>
          <w:rFonts w:ascii="Times New Roman" w:hAnsi="Times New Roman" w:cs="Times New Roman"/>
          <w:color w:val="000000" w:themeColor="text1"/>
        </w:rPr>
        <w:t>general de riesgos laborales”</w:t>
      </w:r>
      <w:r w:rsidRPr="00597245">
        <w:rPr>
          <w:rStyle w:val="Refdenotaalpie"/>
          <w:rFonts w:ascii="Times New Roman" w:hAnsi="Times New Roman" w:cs="Times New Roman"/>
          <w:color w:val="000000" w:themeColor="text1"/>
        </w:rPr>
        <w:footnoteReference w:id="12"/>
      </w:r>
      <w:r w:rsidRPr="00597245">
        <w:rPr>
          <w:rFonts w:ascii="Times New Roman" w:hAnsi="Times New Roman" w:cs="Times New Roman"/>
          <w:color w:val="000000" w:themeColor="text1"/>
        </w:rPr>
        <w:t xml:space="preserve">. Así, a juicio de la actora, el artículo demandado no guarda relación alguna con la materia de la ley.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En segundo lugar, la demandante señaló que la norma cuestionada no guardaba relación directa o indirecta ni con el objet</w:t>
      </w:r>
      <w:r w:rsidRPr="00597245">
        <w:rPr>
          <w:rFonts w:ascii="Times New Roman" w:hAnsi="Times New Roman" w:cs="Times New Roman"/>
          <w:color w:val="000000" w:themeColor="text1"/>
        </w:rPr>
        <w:t>ivo ni con los ejes de la Ley 2294 de 2023, plasmados en la Parte General de la Ley del Plan. La ciudadana indicó que resultaba imposible comprender cómo una disposición que establece que Positiva Compañía de Seguros S.A. es la única entidad que puede ofre</w:t>
      </w:r>
      <w:r w:rsidRPr="00597245">
        <w:rPr>
          <w:rFonts w:ascii="Times New Roman" w:hAnsi="Times New Roman" w:cs="Times New Roman"/>
          <w:color w:val="000000" w:themeColor="text1"/>
        </w:rPr>
        <w:t>cer el servicio de afiliación al sistema general de riesgos laborales a las entidades públicas, resultaba propicia para convertir a Colombia en un líder de la protección de la vida, con base en los cinco ejes de transformación y los cuatro ejes transversal</w:t>
      </w:r>
      <w:r w:rsidRPr="00597245">
        <w:rPr>
          <w:rFonts w:ascii="Times New Roman" w:hAnsi="Times New Roman" w:cs="Times New Roman"/>
          <w:color w:val="000000" w:themeColor="text1"/>
        </w:rPr>
        <w:t xml:space="preserve">es anteriormente mencionados.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En tercer lugar, la actora indicó que la norma acusada era de carácter instrumental y que, en vez de propender por la paz, la eliminación de las injusticias y exclusiones históricas y evitar el conflicto armado -objetivos es</w:t>
      </w:r>
      <w:r w:rsidRPr="00597245">
        <w:rPr>
          <w:rFonts w:ascii="Times New Roman" w:hAnsi="Times New Roman" w:cs="Times New Roman"/>
          <w:color w:val="000000" w:themeColor="text1"/>
        </w:rPr>
        <w:t>tos de la Ley del Plan a la que la norma pertenece-, “promueve la exclusión y niega la participación como quiera que impide que empresas del sector privado compitan en igualdad de condiciones en el mercado […] a efectos de ofrecer el servicio de afiliación</w:t>
      </w:r>
      <w:r w:rsidRPr="00597245">
        <w:rPr>
          <w:rFonts w:ascii="Times New Roman" w:hAnsi="Times New Roman" w:cs="Times New Roman"/>
          <w:color w:val="000000" w:themeColor="text1"/>
        </w:rPr>
        <w:t xml:space="preserve"> al [S]istema [G]eneral de [R]iesgos [L]aborales”</w:t>
      </w:r>
      <w:r w:rsidRPr="00597245">
        <w:rPr>
          <w:rStyle w:val="Refdenotaalpie"/>
          <w:rFonts w:ascii="Times New Roman" w:hAnsi="Times New Roman" w:cs="Times New Roman"/>
          <w:color w:val="000000" w:themeColor="text1"/>
        </w:rPr>
        <w:footnoteReference w:id="13"/>
      </w:r>
      <w:r w:rsidRPr="00597245">
        <w:rPr>
          <w:rFonts w:ascii="Times New Roman" w:hAnsi="Times New Roman" w:cs="Times New Roman"/>
          <w:color w:val="000000" w:themeColor="text1"/>
        </w:rPr>
        <w:t>.</w:t>
      </w:r>
    </w:p>
    <w:p w:rsidR="0019028F" w:rsidRPr="00597245" w:rsidRDefault="00597245" w:rsidP="0019028F">
      <w:pPr>
        <w:pStyle w:val="Prrafodelista"/>
        <w:tabs>
          <w:tab w:val="left" w:pos="142"/>
        </w:tabs>
        <w:ind w:left="0"/>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b/>
          <w:bCs/>
          <w:color w:val="000000" w:themeColor="text1"/>
        </w:rPr>
        <w:t>Segundo cargo: el artículo 97 de la Ley 2294 de 2023 vulneró la libre competencia económica establecida en el artículo 333 de la Carta</w:t>
      </w:r>
      <w:r w:rsidRPr="00597245">
        <w:rPr>
          <w:rFonts w:ascii="Times New Roman" w:hAnsi="Times New Roman" w:cs="Times New Roman"/>
          <w:color w:val="000000" w:themeColor="text1"/>
        </w:rPr>
        <w:t xml:space="preserve">. La demandante recordó que el artículo 333 de la Constitución </w:t>
      </w:r>
      <w:r w:rsidRPr="00597245">
        <w:rPr>
          <w:rFonts w:ascii="Times New Roman" w:hAnsi="Times New Roman" w:cs="Times New Roman"/>
          <w:color w:val="000000" w:themeColor="text1"/>
        </w:rPr>
        <w:t>Política de 1991 establece que la libre competencia económica y la iniciativa privada “son libres dentro de los límites del bien común”</w:t>
      </w:r>
      <w:r w:rsidRPr="00597245">
        <w:rPr>
          <w:rStyle w:val="Refdenotaalpie"/>
          <w:rFonts w:ascii="Times New Roman" w:hAnsi="Times New Roman" w:cs="Times New Roman"/>
          <w:color w:val="000000" w:themeColor="text1"/>
        </w:rPr>
        <w:footnoteReference w:id="14"/>
      </w:r>
      <w:r w:rsidRPr="00597245">
        <w:rPr>
          <w:rFonts w:ascii="Times New Roman" w:hAnsi="Times New Roman" w:cs="Times New Roman"/>
          <w:color w:val="000000" w:themeColor="text1"/>
        </w:rPr>
        <w:t xml:space="preserve">, así como que le corresponde al Estado colombiano estimular el desarrollo empresarial.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ciudadana señaló que existí</w:t>
      </w:r>
      <w:r w:rsidRPr="00597245">
        <w:rPr>
          <w:rFonts w:ascii="Times New Roman" w:hAnsi="Times New Roman" w:cs="Times New Roman"/>
          <w:color w:val="000000" w:themeColor="text1"/>
        </w:rPr>
        <w:t xml:space="preserve">an empresas pertenecientes al sector privado que ofrecían el servicio de afiliación al Sistema General de Riesgos Laborales a favor de entidades públicas. Además, para la señora Kerly Mireya Tatiana Vivas Buitrago, esta actividad se realiza en el marco de </w:t>
      </w:r>
      <w:r w:rsidRPr="00597245">
        <w:rPr>
          <w:rFonts w:ascii="Times New Roman" w:hAnsi="Times New Roman" w:cs="Times New Roman"/>
          <w:color w:val="000000" w:themeColor="text1"/>
        </w:rPr>
        <w:t>la libre competencia económica consagrada en el artículo 333 Superior, y siempre con sujeción a la legislación que regula la contratación estatal. Sin embargo, la actora argumentó que, con la expedición de la norma demandada, el Estado optó por monopolizar</w:t>
      </w:r>
      <w:r w:rsidRPr="00597245">
        <w:rPr>
          <w:rFonts w:ascii="Times New Roman" w:hAnsi="Times New Roman" w:cs="Times New Roman"/>
          <w:color w:val="000000" w:themeColor="text1"/>
        </w:rPr>
        <w:t xml:space="preserve"> el servicio de afiliación al Sistema General de Riesgos Laborales, al impedir que empresas diferentes a Positiva Compañía de Seguros S.A. presten dicho servicio a las entidades públicas.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Por último, la señora Kerly Mireya Tatiana Vivas Buitrago propuso </w:t>
      </w:r>
      <w:r w:rsidRPr="00597245">
        <w:rPr>
          <w:rFonts w:ascii="Times New Roman" w:hAnsi="Times New Roman" w:cs="Times New Roman"/>
          <w:color w:val="000000" w:themeColor="text1"/>
        </w:rPr>
        <w:t>que la norma acusada desconocía particularmente el inciso 4 del artículo 333 de la Constitución, toda vez que este establece que “el Estado, por mandato de la ley, impedirá que se obstruya o se restrinja la libertad económica”. La actora manifestó que, ade</w:t>
      </w:r>
      <w:r w:rsidRPr="00597245">
        <w:rPr>
          <w:rFonts w:ascii="Times New Roman" w:hAnsi="Times New Roman" w:cs="Times New Roman"/>
          <w:color w:val="000000" w:themeColor="text1"/>
        </w:rPr>
        <w:t>más, esa presunta vulneración del artículo 333 de la Carta se veía agravada por el hecho de que el Plan Nacional de Desarrollo no “previó recursos económicos para que Positiva Compañía de Seguros pueda llevar a cabo el proceso de afiliación de todas las en</w:t>
      </w:r>
      <w:r w:rsidRPr="00597245">
        <w:rPr>
          <w:rFonts w:ascii="Times New Roman" w:hAnsi="Times New Roman" w:cs="Times New Roman"/>
          <w:color w:val="000000" w:themeColor="text1"/>
        </w:rPr>
        <w:t>tidades públicas del país”</w:t>
      </w:r>
      <w:r w:rsidRPr="00597245">
        <w:rPr>
          <w:rStyle w:val="Refdenotaalpie"/>
          <w:rFonts w:ascii="Times New Roman" w:hAnsi="Times New Roman" w:cs="Times New Roman"/>
          <w:color w:val="000000" w:themeColor="text1"/>
        </w:rPr>
        <w:footnoteReference w:id="15"/>
      </w:r>
      <w:r w:rsidRPr="00597245">
        <w:rPr>
          <w:rFonts w:ascii="Times New Roman" w:hAnsi="Times New Roman" w:cs="Times New Roman"/>
          <w:color w:val="000000" w:themeColor="text1"/>
        </w:rPr>
        <w:t>, lo cual ponía en riesgo a los trabajadores del sector público colombiano, pues quedarán, supuestamente, expuestos a la improvisación de Positiva, entidad que, según la demandante, no cuenta con la capacidad operativa para asumi</w:t>
      </w:r>
      <w:r w:rsidRPr="00597245">
        <w:rPr>
          <w:rFonts w:ascii="Times New Roman" w:hAnsi="Times New Roman" w:cs="Times New Roman"/>
          <w:color w:val="000000" w:themeColor="text1"/>
        </w:rPr>
        <w:t>r el monopolio de la afiliación a riesgos laborales de la totalidad del sector estatal.</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numPr>
          <w:ilvl w:val="0"/>
          <w:numId w:val="2"/>
        </w:numPr>
        <w:tabs>
          <w:tab w:val="left" w:pos="142"/>
        </w:tabs>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En suma, los cargos de inconstitucionalidad formulados por la demandante se pueden sintetizar de la siguiente manera:</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jc w:val="center"/>
        <w:rPr>
          <w:rFonts w:ascii="Times New Roman" w:hAnsi="Times New Roman" w:cs="Times New Roman"/>
          <w:b/>
          <w:bCs/>
          <w:color w:val="000000" w:themeColor="text1"/>
          <w:szCs w:val="24"/>
        </w:rPr>
      </w:pPr>
      <w:r w:rsidRPr="00597245">
        <w:rPr>
          <w:rFonts w:ascii="Times New Roman" w:hAnsi="Times New Roman" w:cs="Times New Roman"/>
          <w:b/>
          <w:bCs/>
          <w:color w:val="000000" w:themeColor="text1"/>
          <w:szCs w:val="24"/>
        </w:rPr>
        <w:t>Tabla 1 – Síntesis de los cargos</w:t>
      </w:r>
    </w:p>
    <w:tbl>
      <w:tblPr>
        <w:tblStyle w:val="Tablaconcuadrcula"/>
        <w:tblW w:w="0" w:type="auto"/>
        <w:tblLook w:val="04A0" w:firstRow="1" w:lastRow="0" w:firstColumn="1" w:lastColumn="0" w:noHBand="0" w:noVBand="1"/>
      </w:tblPr>
      <w:tblGrid>
        <w:gridCol w:w="1429"/>
        <w:gridCol w:w="2407"/>
        <w:gridCol w:w="4992"/>
      </w:tblGrid>
      <w:tr w:rsidR="0019028F" w:rsidRPr="00597245" w:rsidTr="006156C4">
        <w:tc>
          <w:tcPr>
            <w:tcW w:w="1413" w:type="dxa"/>
            <w:shd w:val="clear" w:color="auto" w:fill="DEEAF6" w:themeFill="accent1" w:themeFillTint="33"/>
          </w:tcPr>
          <w:p w:rsidR="0019028F" w:rsidRPr="00597245" w:rsidRDefault="00597245" w:rsidP="006156C4">
            <w:pPr>
              <w:pStyle w:val="Prrafodelista"/>
              <w:tabs>
                <w:tab w:val="left" w:pos="142"/>
              </w:tabs>
              <w:ind w:left="0"/>
              <w:jc w:val="center"/>
              <w:rPr>
                <w:rFonts w:ascii="Times New Roman" w:hAnsi="Times New Roman"/>
                <w:b/>
                <w:bCs/>
                <w:color w:val="000000" w:themeColor="text1"/>
                <w:szCs w:val="24"/>
              </w:rPr>
            </w:pPr>
          </w:p>
          <w:p w:rsidR="0019028F" w:rsidRPr="00597245" w:rsidRDefault="00597245" w:rsidP="006156C4">
            <w:pPr>
              <w:pStyle w:val="Prrafodelista"/>
              <w:tabs>
                <w:tab w:val="left" w:pos="142"/>
              </w:tabs>
              <w:ind w:left="0"/>
              <w:jc w:val="center"/>
              <w:rPr>
                <w:rFonts w:ascii="Times New Roman" w:hAnsi="Times New Roman"/>
                <w:b/>
                <w:bCs/>
                <w:color w:val="000000" w:themeColor="text1"/>
                <w:szCs w:val="24"/>
              </w:rPr>
            </w:pPr>
            <w:r w:rsidRPr="00597245">
              <w:rPr>
                <w:rFonts w:ascii="Times New Roman" w:hAnsi="Times New Roman"/>
                <w:b/>
                <w:bCs/>
                <w:color w:val="000000" w:themeColor="text1"/>
                <w:szCs w:val="24"/>
              </w:rPr>
              <w:t>Cargo</w:t>
            </w:r>
          </w:p>
        </w:tc>
        <w:tc>
          <w:tcPr>
            <w:tcW w:w="2410" w:type="dxa"/>
            <w:shd w:val="clear" w:color="auto" w:fill="DEEAF6" w:themeFill="accent1" w:themeFillTint="33"/>
          </w:tcPr>
          <w:p w:rsidR="0019028F" w:rsidRPr="00597245" w:rsidRDefault="00597245" w:rsidP="006156C4">
            <w:pPr>
              <w:pStyle w:val="Prrafodelista"/>
              <w:tabs>
                <w:tab w:val="left" w:pos="142"/>
              </w:tabs>
              <w:ind w:left="0"/>
              <w:jc w:val="center"/>
              <w:rPr>
                <w:rFonts w:ascii="Times New Roman" w:hAnsi="Times New Roman"/>
                <w:b/>
                <w:bCs/>
                <w:color w:val="000000" w:themeColor="text1"/>
                <w:szCs w:val="24"/>
              </w:rPr>
            </w:pPr>
            <w:r w:rsidRPr="00597245">
              <w:rPr>
                <w:rFonts w:ascii="Times New Roman" w:hAnsi="Times New Roman"/>
                <w:b/>
                <w:bCs/>
                <w:color w:val="000000" w:themeColor="text1"/>
                <w:szCs w:val="24"/>
              </w:rPr>
              <w:t>Norma co</w:t>
            </w:r>
            <w:r w:rsidRPr="00597245">
              <w:rPr>
                <w:rFonts w:ascii="Times New Roman" w:hAnsi="Times New Roman"/>
                <w:b/>
                <w:bCs/>
                <w:color w:val="000000" w:themeColor="text1"/>
                <w:szCs w:val="24"/>
              </w:rPr>
              <w:t>nstitucional invocada como violada</w:t>
            </w:r>
          </w:p>
        </w:tc>
        <w:tc>
          <w:tcPr>
            <w:tcW w:w="5005" w:type="dxa"/>
            <w:shd w:val="clear" w:color="auto" w:fill="DEEAF6" w:themeFill="accent1" w:themeFillTint="33"/>
          </w:tcPr>
          <w:p w:rsidR="0019028F" w:rsidRPr="00597245" w:rsidRDefault="00597245" w:rsidP="006156C4">
            <w:pPr>
              <w:pStyle w:val="Prrafodelista"/>
              <w:tabs>
                <w:tab w:val="left" w:pos="142"/>
              </w:tabs>
              <w:ind w:left="0"/>
              <w:jc w:val="center"/>
              <w:rPr>
                <w:rFonts w:ascii="Times New Roman" w:hAnsi="Times New Roman"/>
                <w:b/>
                <w:bCs/>
                <w:color w:val="000000" w:themeColor="text1"/>
                <w:szCs w:val="24"/>
              </w:rPr>
            </w:pPr>
          </w:p>
          <w:p w:rsidR="0019028F" w:rsidRPr="00597245" w:rsidRDefault="00597245" w:rsidP="006156C4">
            <w:pPr>
              <w:pStyle w:val="Prrafodelista"/>
              <w:tabs>
                <w:tab w:val="left" w:pos="142"/>
              </w:tabs>
              <w:ind w:left="0"/>
              <w:jc w:val="center"/>
              <w:rPr>
                <w:rFonts w:ascii="Times New Roman" w:hAnsi="Times New Roman"/>
                <w:b/>
                <w:bCs/>
                <w:color w:val="000000" w:themeColor="text1"/>
                <w:szCs w:val="24"/>
              </w:rPr>
            </w:pPr>
            <w:r w:rsidRPr="00597245">
              <w:rPr>
                <w:rFonts w:ascii="Times New Roman" w:hAnsi="Times New Roman"/>
                <w:b/>
                <w:bCs/>
                <w:color w:val="000000" w:themeColor="text1"/>
                <w:szCs w:val="24"/>
              </w:rPr>
              <w:t>Razones de la violación</w:t>
            </w:r>
          </w:p>
        </w:tc>
      </w:tr>
      <w:tr w:rsidR="0019028F" w:rsidRPr="00597245" w:rsidTr="006156C4">
        <w:tc>
          <w:tcPr>
            <w:tcW w:w="1413" w:type="dxa"/>
          </w:tcPr>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r w:rsidRPr="00597245">
              <w:rPr>
                <w:rFonts w:ascii="Times New Roman" w:hAnsi="Times New Roman"/>
                <w:color w:val="000000" w:themeColor="text1"/>
                <w:szCs w:val="24"/>
              </w:rPr>
              <w:t xml:space="preserve">Violación del principio de unidad de materia </w:t>
            </w:r>
          </w:p>
        </w:tc>
        <w:tc>
          <w:tcPr>
            <w:tcW w:w="2410" w:type="dxa"/>
          </w:tcPr>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r w:rsidRPr="00597245">
              <w:rPr>
                <w:rFonts w:ascii="Times New Roman" w:hAnsi="Times New Roman"/>
                <w:color w:val="000000" w:themeColor="text1"/>
                <w:szCs w:val="24"/>
              </w:rPr>
              <w:t>Artículo 158 de la Constitución</w:t>
            </w:r>
          </w:p>
        </w:tc>
        <w:tc>
          <w:tcPr>
            <w:tcW w:w="5005" w:type="dxa"/>
          </w:tcPr>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numPr>
                <w:ilvl w:val="0"/>
                <w:numId w:val="5"/>
              </w:numPr>
              <w:ind w:left="35" w:firstLine="0"/>
              <w:rPr>
                <w:rFonts w:ascii="Times New Roman" w:hAnsi="Times New Roman"/>
                <w:color w:val="000000" w:themeColor="text1"/>
                <w:szCs w:val="24"/>
                <w:lang w:val="es-ES_tradnl"/>
              </w:rPr>
            </w:pPr>
            <w:r w:rsidRPr="00597245">
              <w:rPr>
                <w:rFonts w:ascii="Times New Roman" w:hAnsi="Times New Roman"/>
                <w:color w:val="000000" w:themeColor="text1"/>
                <w:szCs w:val="24"/>
                <w:lang w:val="es-ES_tradnl"/>
              </w:rPr>
              <w:t>El título de la Ley 2294 de 2023</w:t>
            </w:r>
            <w:r w:rsidRPr="00597245">
              <w:rPr>
                <w:rFonts w:ascii="Times New Roman" w:hAnsi="Times New Roman"/>
                <w:szCs w:val="24"/>
                <w:vertAlign w:val="superscript"/>
              </w:rPr>
              <w:footnoteReference w:id="16"/>
            </w:r>
            <w:r w:rsidRPr="00597245">
              <w:rPr>
                <w:rFonts w:ascii="Times New Roman" w:hAnsi="Times New Roman"/>
                <w:color w:val="000000" w:themeColor="text1"/>
                <w:szCs w:val="24"/>
                <w:lang w:val="es-ES_tradnl"/>
              </w:rPr>
              <w:t xml:space="preserve"> no tiene ninguna relación o correspondencia directa e inmediata con su artículo 97 pues la expedición de un Plan de Desarrollo nada tiene que ver con la afiliación de las entidades públicas al Sistema General de Riesgos Laborales. El artículo demandado no</w:t>
            </w:r>
            <w:r w:rsidRPr="00597245">
              <w:rPr>
                <w:rFonts w:ascii="Times New Roman" w:hAnsi="Times New Roman"/>
                <w:color w:val="000000" w:themeColor="text1"/>
                <w:szCs w:val="24"/>
                <w:lang w:val="es-ES_tradnl"/>
              </w:rPr>
              <w:t xml:space="preserve"> guarda relación alguna con la materia de la ley.</w:t>
            </w:r>
          </w:p>
          <w:p w:rsidR="0019028F" w:rsidRPr="00597245" w:rsidRDefault="00597245" w:rsidP="006156C4">
            <w:pPr>
              <w:pStyle w:val="Prrafodelista"/>
              <w:ind w:left="35"/>
              <w:rPr>
                <w:rFonts w:ascii="Times New Roman" w:hAnsi="Times New Roman"/>
                <w:color w:val="000000" w:themeColor="text1"/>
                <w:szCs w:val="24"/>
                <w:lang w:val="es-ES_tradnl"/>
              </w:rPr>
            </w:pPr>
          </w:p>
          <w:p w:rsidR="0019028F" w:rsidRPr="00597245" w:rsidRDefault="00597245" w:rsidP="006156C4">
            <w:pPr>
              <w:pStyle w:val="Prrafodelista"/>
              <w:numPr>
                <w:ilvl w:val="0"/>
                <w:numId w:val="5"/>
              </w:numPr>
              <w:ind w:left="35" w:firstLine="0"/>
              <w:rPr>
                <w:rFonts w:ascii="Times New Roman" w:hAnsi="Times New Roman"/>
                <w:color w:val="000000" w:themeColor="text1"/>
                <w:szCs w:val="24"/>
                <w:lang w:val="es-ES_tradnl"/>
              </w:rPr>
            </w:pPr>
            <w:r w:rsidRPr="00597245">
              <w:rPr>
                <w:rFonts w:ascii="Times New Roman" w:hAnsi="Times New Roman"/>
                <w:color w:val="000000" w:themeColor="text1"/>
                <w:szCs w:val="24"/>
              </w:rPr>
              <w:t>La norma cuestionada no guarda relación directa o indirecta ni con el objetivo ni con los ejes de la Ley 2294 de 2023, plasmados en la Parte General de la Ley del Plan.</w:t>
            </w:r>
          </w:p>
          <w:p w:rsidR="0019028F" w:rsidRPr="00597245" w:rsidRDefault="00597245" w:rsidP="006156C4">
            <w:pPr>
              <w:pStyle w:val="Prrafodelista"/>
              <w:rPr>
                <w:rFonts w:ascii="Times New Roman" w:hAnsi="Times New Roman"/>
                <w:color w:val="000000" w:themeColor="text1"/>
                <w:szCs w:val="24"/>
                <w:lang w:val="es-ES_tradnl"/>
              </w:rPr>
            </w:pPr>
          </w:p>
          <w:p w:rsidR="0019028F" w:rsidRPr="00597245" w:rsidRDefault="00597245" w:rsidP="006156C4">
            <w:pPr>
              <w:pStyle w:val="Prrafodelista"/>
              <w:numPr>
                <w:ilvl w:val="0"/>
                <w:numId w:val="5"/>
              </w:numPr>
              <w:ind w:left="35" w:firstLine="0"/>
              <w:rPr>
                <w:rFonts w:ascii="Times New Roman" w:hAnsi="Times New Roman"/>
                <w:color w:val="000000" w:themeColor="text1"/>
                <w:szCs w:val="24"/>
                <w:lang w:val="es-ES_tradnl"/>
              </w:rPr>
            </w:pPr>
            <w:r w:rsidRPr="00597245">
              <w:rPr>
                <w:rFonts w:ascii="Times New Roman" w:hAnsi="Times New Roman"/>
                <w:color w:val="000000" w:themeColor="text1"/>
                <w:szCs w:val="24"/>
                <w:lang w:val="es-CO"/>
              </w:rPr>
              <w:t>La norma acusada no propende por la</w:t>
            </w:r>
            <w:r w:rsidRPr="00597245">
              <w:rPr>
                <w:rFonts w:ascii="Times New Roman" w:hAnsi="Times New Roman"/>
                <w:color w:val="000000" w:themeColor="text1"/>
                <w:szCs w:val="24"/>
                <w:lang w:val="es-CO"/>
              </w:rPr>
              <w:t xml:space="preserve"> paz, la eliminación de las injusticias y exclusiones históricas y tampoco evitar el conflicto armado -objetivos estos de la Ley del Plan a la que la norma pertenece-. Por el contrario, la norma “promueve la exclusión y niega la participación como quiera q</w:t>
            </w:r>
            <w:r w:rsidRPr="00597245">
              <w:rPr>
                <w:rFonts w:ascii="Times New Roman" w:hAnsi="Times New Roman"/>
                <w:color w:val="000000" w:themeColor="text1"/>
                <w:szCs w:val="24"/>
                <w:lang w:val="es-CO"/>
              </w:rPr>
              <w:t>ue impide que empresas del sector privado compitan en igualdad de condiciones en el mercado […] a efectos de ofrecer el servicio de afiliación al [S]istema [G]eneral de [R]iesgos [L]aborales”</w:t>
            </w:r>
            <w:r w:rsidRPr="00597245">
              <w:rPr>
                <w:rFonts w:ascii="Times New Roman" w:hAnsi="Times New Roman"/>
                <w:color w:val="000000" w:themeColor="text1"/>
                <w:szCs w:val="24"/>
                <w:vertAlign w:val="superscript"/>
                <w:lang w:val="es-CO"/>
              </w:rPr>
              <w:footnoteReference w:id="17"/>
            </w:r>
            <w:r w:rsidRPr="00597245">
              <w:rPr>
                <w:rFonts w:ascii="Times New Roman" w:hAnsi="Times New Roman"/>
                <w:color w:val="000000" w:themeColor="text1"/>
                <w:szCs w:val="24"/>
                <w:lang w:val="es-CO"/>
              </w:rPr>
              <w:t>.</w:t>
            </w:r>
          </w:p>
        </w:tc>
      </w:tr>
      <w:tr w:rsidR="0019028F" w:rsidRPr="00597245" w:rsidTr="006156C4">
        <w:tc>
          <w:tcPr>
            <w:tcW w:w="1413" w:type="dxa"/>
          </w:tcPr>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r w:rsidRPr="00597245">
              <w:rPr>
                <w:rFonts w:ascii="Times New Roman" w:hAnsi="Times New Roman"/>
                <w:color w:val="000000" w:themeColor="text1"/>
                <w:szCs w:val="24"/>
              </w:rPr>
              <w:t xml:space="preserve">Violación de la libre competencia económica </w:t>
            </w:r>
          </w:p>
        </w:tc>
        <w:tc>
          <w:tcPr>
            <w:tcW w:w="2410" w:type="dxa"/>
          </w:tcPr>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p>
          <w:p w:rsidR="0019028F" w:rsidRPr="00597245" w:rsidRDefault="00597245" w:rsidP="006156C4">
            <w:pPr>
              <w:pStyle w:val="Prrafodelista"/>
              <w:tabs>
                <w:tab w:val="left" w:pos="142"/>
              </w:tabs>
              <w:ind w:left="0"/>
              <w:rPr>
                <w:rFonts w:ascii="Times New Roman" w:hAnsi="Times New Roman"/>
                <w:color w:val="000000" w:themeColor="text1"/>
                <w:szCs w:val="24"/>
              </w:rPr>
            </w:pPr>
            <w:r w:rsidRPr="00597245">
              <w:rPr>
                <w:rFonts w:ascii="Times New Roman" w:hAnsi="Times New Roman"/>
                <w:color w:val="000000" w:themeColor="text1"/>
                <w:szCs w:val="24"/>
              </w:rPr>
              <w:t xml:space="preserve">Artículo 333 de la Constitución Política </w:t>
            </w:r>
          </w:p>
        </w:tc>
        <w:tc>
          <w:tcPr>
            <w:tcW w:w="5005" w:type="dxa"/>
          </w:tcPr>
          <w:p w:rsidR="0019028F" w:rsidRPr="00597245" w:rsidRDefault="00597245" w:rsidP="006156C4">
            <w:pPr>
              <w:pStyle w:val="Prrafodelista"/>
              <w:tabs>
                <w:tab w:val="left" w:pos="727"/>
              </w:tabs>
              <w:ind w:left="18"/>
              <w:rPr>
                <w:rFonts w:ascii="Times New Roman" w:hAnsi="Times New Roman"/>
                <w:color w:val="000000" w:themeColor="text1"/>
                <w:szCs w:val="24"/>
              </w:rPr>
            </w:pPr>
          </w:p>
          <w:p w:rsidR="0019028F" w:rsidRPr="00597245" w:rsidRDefault="00597245" w:rsidP="006156C4">
            <w:pPr>
              <w:pStyle w:val="Prrafodelista"/>
              <w:numPr>
                <w:ilvl w:val="0"/>
                <w:numId w:val="5"/>
              </w:numPr>
              <w:tabs>
                <w:tab w:val="left" w:pos="727"/>
              </w:tabs>
              <w:ind w:left="18" w:firstLine="0"/>
              <w:rPr>
                <w:rFonts w:ascii="Times New Roman" w:hAnsi="Times New Roman"/>
                <w:color w:val="000000" w:themeColor="text1"/>
                <w:szCs w:val="24"/>
              </w:rPr>
            </w:pPr>
            <w:r w:rsidRPr="00597245">
              <w:rPr>
                <w:rFonts w:ascii="Times New Roman" w:hAnsi="Times New Roman"/>
                <w:color w:val="000000" w:themeColor="text1"/>
                <w:szCs w:val="24"/>
                <w:lang w:val="es-CO"/>
              </w:rPr>
              <w:t xml:space="preserve">El Estado optó por monopolizar el servicio de afiliación al Sistema General de Riesgos Laborales, al impedir que empresas diferentes a Positiva Compañía de Seguros S.A. presten dicho servicio a las entidades </w:t>
            </w:r>
            <w:r w:rsidRPr="00597245">
              <w:rPr>
                <w:rFonts w:ascii="Times New Roman" w:hAnsi="Times New Roman"/>
                <w:color w:val="000000" w:themeColor="text1"/>
                <w:szCs w:val="24"/>
                <w:lang w:val="es-CO"/>
              </w:rPr>
              <w:t>públicas.</w:t>
            </w:r>
          </w:p>
          <w:p w:rsidR="0019028F" w:rsidRPr="00597245" w:rsidRDefault="00597245" w:rsidP="006156C4">
            <w:pPr>
              <w:pStyle w:val="Prrafodelista"/>
              <w:tabs>
                <w:tab w:val="left" w:pos="142"/>
              </w:tabs>
              <w:ind w:left="18"/>
              <w:rPr>
                <w:rFonts w:ascii="Times New Roman" w:hAnsi="Times New Roman"/>
                <w:color w:val="000000" w:themeColor="text1"/>
                <w:szCs w:val="24"/>
              </w:rPr>
            </w:pPr>
          </w:p>
          <w:p w:rsidR="0019028F" w:rsidRPr="00597245" w:rsidRDefault="00597245" w:rsidP="006156C4">
            <w:pPr>
              <w:pStyle w:val="Prrafodelista"/>
              <w:numPr>
                <w:ilvl w:val="0"/>
                <w:numId w:val="5"/>
              </w:numPr>
              <w:ind w:left="18" w:firstLine="0"/>
              <w:rPr>
                <w:rFonts w:ascii="Times New Roman" w:hAnsi="Times New Roman"/>
                <w:color w:val="000000" w:themeColor="text1"/>
                <w:szCs w:val="24"/>
              </w:rPr>
            </w:pPr>
            <w:r w:rsidRPr="00597245">
              <w:rPr>
                <w:rFonts w:ascii="Times New Roman" w:hAnsi="Times New Roman"/>
                <w:color w:val="000000" w:themeColor="text1"/>
                <w:szCs w:val="24"/>
              </w:rPr>
              <w:t>El PND no otorgó recursos económicos para que Positiva Compañía de Seguros lleve a cabo el proceso de afiliación de todas las entidades públicas del país. Se pone en riesgo a los trabajadores del sector público colombiano ya que la entidad no cu</w:t>
            </w:r>
            <w:r w:rsidRPr="00597245">
              <w:rPr>
                <w:rFonts w:ascii="Times New Roman" w:hAnsi="Times New Roman"/>
                <w:color w:val="000000" w:themeColor="text1"/>
                <w:szCs w:val="24"/>
              </w:rPr>
              <w:t>enta con la capacidad operativa para asumir el monopolio de la afiliación a riesgos laborales de la totalidad del sector estatal.</w:t>
            </w:r>
          </w:p>
          <w:p w:rsidR="0019028F" w:rsidRPr="00597245" w:rsidRDefault="00597245" w:rsidP="006156C4">
            <w:pPr>
              <w:tabs>
                <w:tab w:val="left" w:pos="142"/>
              </w:tabs>
              <w:ind w:left="18"/>
              <w:rPr>
                <w:rFonts w:ascii="Times New Roman" w:hAnsi="Times New Roman"/>
                <w:color w:val="000000" w:themeColor="text1"/>
                <w:sz w:val="28"/>
              </w:rPr>
            </w:pPr>
          </w:p>
        </w:tc>
      </w:tr>
    </w:tbl>
    <w:p w:rsidR="0019028F" w:rsidRPr="00597245" w:rsidRDefault="00597245" w:rsidP="0019028F">
      <w:pPr>
        <w:pStyle w:val="Prrafodelista"/>
        <w:ind w:left="0"/>
        <w:rPr>
          <w:rFonts w:ascii="Times New Roman" w:hAnsi="Times New Roman" w:cs="Times New Roman"/>
          <w:color w:val="000000" w:themeColor="text1"/>
        </w:rPr>
      </w:pPr>
      <w:bookmarkStart w:id="6" w:name="_Ref94867817"/>
    </w:p>
    <w:bookmarkEnd w:id="6"/>
    <w:p w:rsidR="0019028F" w:rsidRPr="00597245" w:rsidRDefault="00597245" w:rsidP="0019028F">
      <w:pPr>
        <w:pStyle w:val="Prrafodelista"/>
        <w:numPr>
          <w:ilvl w:val="0"/>
          <w:numId w:val="4"/>
        </w:numPr>
        <w:ind w:left="1134" w:hanging="567"/>
        <w:rPr>
          <w:rFonts w:ascii="Times New Roman" w:hAnsi="Times New Roman" w:cs="Times New Roman"/>
          <w:b/>
          <w:color w:val="000000" w:themeColor="text1"/>
          <w:lang w:val="es-CO"/>
        </w:rPr>
      </w:pPr>
      <w:r w:rsidRPr="00597245">
        <w:rPr>
          <w:rFonts w:ascii="Times New Roman" w:hAnsi="Times New Roman" w:cs="Times New Roman"/>
          <w:b/>
          <w:color w:val="000000" w:themeColor="text1"/>
          <w:lang w:val="es-CO"/>
        </w:rPr>
        <w:t>INTERVENCIONES</w:t>
      </w:r>
    </w:p>
    <w:p w:rsidR="0019028F" w:rsidRPr="00597245" w:rsidRDefault="00597245" w:rsidP="0019028F">
      <w:pPr>
        <w:pStyle w:val="Sombreadovistoso-nfasis31"/>
        <w:ind w:left="0"/>
        <w:rPr>
          <w:rFonts w:ascii="Times New Roman" w:hAnsi="Times New Roman" w:cs="Times New Roman"/>
          <w:b/>
          <w:color w:val="000000" w:themeColor="text1"/>
          <w:lang w:val="es-CO"/>
        </w:rPr>
      </w:pPr>
    </w:p>
    <w:p w:rsidR="0019028F" w:rsidRPr="00597245" w:rsidRDefault="00597245" w:rsidP="0019028F">
      <w:pPr>
        <w:pStyle w:val="Sombreadovistoso-nfasis31"/>
        <w:numPr>
          <w:ilvl w:val="0"/>
          <w:numId w:val="2"/>
        </w:numPr>
        <w:ind w:left="0" w:firstLine="0"/>
        <w:rPr>
          <w:rFonts w:ascii="Times New Roman" w:hAnsi="Times New Roman" w:cs="Times New Roman"/>
          <w:bCs/>
          <w:color w:val="000000" w:themeColor="text1"/>
          <w:lang w:val="es-CO"/>
        </w:rPr>
      </w:pPr>
      <w:r w:rsidRPr="00597245">
        <w:rPr>
          <w:rFonts w:ascii="Times New Roman" w:hAnsi="Times New Roman" w:cs="Times New Roman"/>
          <w:bCs/>
          <w:color w:val="000000" w:themeColor="text1"/>
          <w:lang w:val="es-CO"/>
        </w:rPr>
        <w:t>Durante el término para intervenir</w:t>
      </w:r>
      <w:r w:rsidRPr="00597245">
        <w:rPr>
          <w:rStyle w:val="Refdenotaalpie"/>
          <w:rFonts w:ascii="Times New Roman" w:hAnsi="Times New Roman" w:cs="Times New Roman"/>
          <w:bCs/>
          <w:color w:val="000000" w:themeColor="text1"/>
          <w:lang w:val="es-CO"/>
        </w:rPr>
        <w:footnoteReference w:id="18"/>
      </w:r>
      <w:r w:rsidRPr="00597245">
        <w:rPr>
          <w:rFonts w:ascii="Times New Roman" w:hAnsi="Times New Roman" w:cs="Times New Roman"/>
          <w:bCs/>
          <w:color w:val="000000" w:themeColor="text1"/>
          <w:lang w:val="es-CO"/>
        </w:rPr>
        <w:t xml:space="preserve"> se recibieron tres (3) escritos, provenientes de </w:t>
      </w:r>
      <w:r w:rsidRPr="00597245">
        <w:rPr>
          <w:rFonts w:ascii="Times New Roman" w:hAnsi="Times New Roman" w:cs="Times New Roman"/>
          <w:color w:val="000000" w:themeColor="text1"/>
          <w:lang w:val="es-CO"/>
        </w:rPr>
        <w:t xml:space="preserve">Positiva Compañía de </w:t>
      </w:r>
      <w:r w:rsidRPr="00597245">
        <w:rPr>
          <w:rFonts w:ascii="Times New Roman" w:hAnsi="Times New Roman" w:cs="Times New Roman"/>
          <w:color w:val="000000" w:themeColor="text1"/>
          <w:lang w:val="es-CO"/>
        </w:rPr>
        <w:t>Seguros S.A.,</w:t>
      </w:r>
      <w:r w:rsidRPr="00597245">
        <w:rPr>
          <w:rFonts w:ascii="Times New Roman" w:hAnsi="Times New Roman" w:cs="Times New Roman"/>
          <w:bCs/>
          <w:color w:val="000000" w:themeColor="text1"/>
          <w:lang w:val="es-CO"/>
        </w:rPr>
        <w:t xml:space="preserve"> el ciudadano Diego Escallón Arango y Colmena Riesgos Laborales S.A. de conformidad con lo establecido en el artículo 7 del Decreto Ley 2067 de 1991. Además, durante el término otorgado en el auto del 12 de julio de 2023 se recibieron las inte</w:t>
      </w:r>
      <w:r w:rsidRPr="00597245">
        <w:rPr>
          <w:rFonts w:ascii="Times New Roman" w:hAnsi="Times New Roman" w:cs="Times New Roman"/>
          <w:bCs/>
          <w:color w:val="000000" w:themeColor="text1"/>
          <w:lang w:val="es-CO"/>
        </w:rPr>
        <w:t xml:space="preserve">rvenciones del </w:t>
      </w:r>
      <w:r w:rsidRPr="00597245">
        <w:rPr>
          <w:rFonts w:ascii="Times New Roman" w:hAnsi="Times New Roman" w:cs="Times New Roman"/>
          <w:color w:val="000000" w:themeColor="text1"/>
          <w:lang w:val="es-CO"/>
        </w:rPr>
        <w:t>Departamento Nacional de Planeación y el Departamento Administrativo de la Presidencia de la República de conformidad con lo establecido en el artículo 11 del Decreto Ley 2067 de 1991</w:t>
      </w:r>
      <w:r w:rsidRPr="00597245">
        <w:rPr>
          <w:rStyle w:val="Refdenotaalpie"/>
          <w:rFonts w:ascii="Times New Roman" w:hAnsi="Times New Roman" w:cs="Times New Roman"/>
          <w:color w:val="000000" w:themeColor="text1"/>
          <w:lang w:val="es-CO"/>
        </w:rPr>
        <w:footnoteReference w:id="19"/>
      </w:r>
      <w:r w:rsidRPr="00597245">
        <w:rPr>
          <w:rFonts w:ascii="Times New Roman" w:hAnsi="Times New Roman" w:cs="Times New Roman"/>
          <w:color w:val="000000" w:themeColor="text1"/>
          <w:lang w:val="es-CO"/>
        </w:rPr>
        <w:t>.</w:t>
      </w:r>
      <w:r w:rsidRPr="00597245">
        <w:rPr>
          <w:rFonts w:ascii="Times New Roman" w:hAnsi="Times New Roman" w:cs="Times New Roman"/>
          <w:bCs/>
          <w:color w:val="000000" w:themeColor="text1"/>
          <w:lang w:val="es-CO"/>
        </w:rPr>
        <w:t xml:space="preserve"> Finalmente, en cumplimiento de lo establecido en el art</w:t>
      </w:r>
      <w:r w:rsidRPr="00597245">
        <w:rPr>
          <w:rFonts w:ascii="Times New Roman" w:hAnsi="Times New Roman" w:cs="Times New Roman"/>
          <w:bCs/>
          <w:color w:val="000000" w:themeColor="text1"/>
          <w:lang w:val="es-CO"/>
        </w:rPr>
        <w:t xml:space="preserve">ículo 13 del Decreto Ley 2067 de 1991 y durante el término otorgado en el auto de admisión, la </w:t>
      </w:r>
      <w:r w:rsidRPr="00597245">
        <w:rPr>
          <w:rFonts w:ascii="Times New Roman" w:hAnsi="Times New Roman" w:cs="Times New Roman"/>
          <w:color w:val="000000" w:themeColor="text1"/>
          <w:lang w:val="es-CO"/>
        </w:rPr>
        <w:t>Federación de Aseguradores Colombianos allegó un concepto técnico, mientras que el Semillero de Derecho Laboral de la Pontificia Universidad Javeriana envió su c</w:t>
      </w:r>
      <w:r w:rsidRPr="00597245">
        <w:rPr>
          <w:rFonts w:ascii="Times New Roman" w:hAnsi="Times New Roman" w:cs="Times New Roman"/>
          <w:color w:val="000000" w:themeColor="text1"/>
          <w:lang w:val="es-CO"/>
        </w:rPr>
        <w:t>oncepto por fuera del término otorgado.</w:t>
      </w:r>
      <w:r w:rsidRPr="00597245">
        <w:rPr>
          <w:rFonts w:ascii="Times New Roman" w:hAnsi="Times New Roman" w:cs="Times New Roman"/>
          <w:bCs/>
          <w:color w:val="000000" w:themeColor="text1"/>
          <w:lang w:val="es-CO"/>
        </w:rPr>
        <w:t xml:space="preserve"> A continuación,</w:t>
      </w:r>
      <w:r w:rsidRPr="00597245">
        <w:rPr>
          <w:rFonts w:ascii="Times New Roman" w:hAnsi="Times New Roman" w:cs="Times New Roman"/>
          <w:bCs/>
          <w:color w:val="000000" w:themeColor="text1"/>
          <w:lang w:val="es-ES_tradnl"/>
        </w:rPr>
        <w:t xml:space="preserve"> se relacionan las intervenciones. </w:t>
      </w:r>
    </w:p>
    <w:p w:rsidR="0019028F" w:rsidRPr="00597245" w:rsidRDefault="00597245" w:rsidP="0019028F">
      <w:pPr>
        <w:pStyle w:val="Sombreadovistoso-nfasis31"/>
        <w:ind w:left="0"/>
        <w:rPr>
          <w:rFonts w:ascii="Times New Roman" w:hAnsi="Times New Roman" w:cs="Times New Roman"/>
          <w:bCs/>
          <w:color w:val="000000" w:themeColor="text1"/>
          <w:lang w:val="es-CO"/>
        </w:rPr>
      </w:pPr>
    </w:p>
    <w:p w:rsidR="0019028F" w:rsidRPr="00597245" w:rsidRDefault="00597245" w:rsidP="0019028F">
      <w:pPr>
        <w:pStyle w:val="Sombreadovistoso-nfasis31"/>
        <w:ind w:left="0"/>
        <w:rPr>
          <w:rFonts w:ascii="Times New Roman" w:hAnsi="Times New Roman" w:cs="Times New Roman"/>
          <w:b/>
          <w:bCs/>
          <w:color w:val="000000" w:themeColor="text1"/>
        </w:rPr>
      </w:pPr>
      <w:r w:rsidRPr="00597245">
        <w:rPr>
          <w:rFonts w:ascii="Times New Roman" w:hAnsi="Times New Roman" w:cs="Times New Roman"/>
          <w:b/>
          <w:bCs/>
          <w:color w:val="000000" w:themeColor="text1"/>
        </w:rPr>
        <w:t>Positiva Compañía de Seguros S.A.</w:t>
      </w:r>
      <w:r w:rsidRPr="00597245">
        <w:rPr>
          <w:rStyle w:val="Refdenotaalpie"/>
          <w:rFonts w:ascii="Times New Roman" w:hAnsi="Times New Roman" w:cs="Times New Roman"/>
          <w:b/>
          <w:bCs/>
          <w:color w:val="000000" w:themeColor="text1"/>
        </w:rPr>
        <w:footnoteReference w:id="20"/>
      </w:r>
      <w:r w:rsidRPr="00597245">
        <w:rPr>
          <w:rFonts w:ascii="Times New Roman" w:hAnsi="Times New Roman" w:cs="Times New Roman"/>
          <w:b/>
          <w:bCs/>
          <w:color w:val="000000" w:themeColor="text1"/>
        </w:rPr>
        <w:t xml:space="preserve"> </w:t>
      </w:r>
    </w:p>
    <w:p w:rsidR="0019028F" w:rsidRPr="00597245" w:rsidRDefault="00597245" w:rsidP="0019028F">
      <w:pPr>
        <w:pStyle w:val="Sombreadovistoso-nfasis31"/>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La compañía de seguros solicitó que se declare la exequibilidad de la norma demandada. En lo referente al primer cargo, el </w:t>
      </w:r>
      <w:r w:rsidRPr="00597245">
        <w:rPr>
          <w:rFonts w:ascii="Times New Roman" w:hAnsi="Times New Roman" w:cs="Times New Roman"/>
          <w:color w:val="000000" w:themeColor="text1"/>
        </w:rPr>
        <w:t>interviniente indicó que el artículo cuestionado respeta el principio de unidad de materia, comoquiera que guarda una relación “real y estrecha”</w:t>
      </w:r>
      <w:r w:rsidRPr="00597245">
        <w:rPr>
          <w:rStyle w:val="Refdenotaalpie"/>
          <w:rFonts w:ascii="Times New Roman" w:hAnsi="Times New Roman" w:cs="Times New Roman"/>
          <w:color w:val="000000" w:themeColor="text1"/>
        </w:rPr>
        <w:footnoteReference w:id="21"/>
      </w:r>
      <w:r w:rsidRPr="00597245">
        <w:rPr>
          <w:rFonts w:ascii="Times New Roman" w:hAnsi="Times New Roman" w:cs="Times New Roman"/>
          <w:color w:val="000000" w:themeColor="text1"/>
        </w:rPr>
        <w:t xml:space="preserve"> con el contenido del PND, tanto en su parte general como en su parte específica. En este sentido, la norma dem</w:t>
      </w:r>
      <w:r w:rsidRPr="00597245">
        <w:rPr>
          <w:rFonts w:ascii="Times New Roman" w:hAnsi="Times New Roman" w:cs="Times New Roman"/>
          <w:color w:val="000000" w:themeColor="text1"/>
        </w:rPr>
        <w:t>andada tiene un vínculo muy fuerte con el eje de transformación del PND correspondiente a la “Seguridad Humana y Justicia Social”. Este eje hace énfasis en que el país requiere un rediseño de su sistema de protección social, así como una reforma a la segur</w:t>
      </w:r>
      <w:r w:rsidRPr="00597245">
        <w:rPr>
          <w:rFonts w:ascii="Times New Roman" w:hAnsi="Times New Roman" w:cs="Times New Roman"/>
          <w:color w:val="000000" w:themeColor="text1"/>
        </w:rPr>
        <w:t>idad social, que logre garantizar una protección universal frente a riesgos laborales, de salud, de desempleo y de vejez. Entonces, para la entidad resultaba válido modificar el régimen de aseguramiento de riesgos laborales de los trabajadores de todas las</w:t>
      </w:r>
      <w:r w:rsidRPr="00597245">
        <w:rPr>
          <w:rFonts w:ascii="Times New Roman" w:hAnsi="Times New Roman" w:cs="Times New Roman"/>
          <w:color w:val="000000" w:themeColor="text1"/>
        </w:rPr>
        <w:t xml:space="preserve"> entidades públicas del país.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Además, la compañía de seguros argumentó que la estabilidad macroeconómica constituye uno de los ejes transversales del PND. Así, el fortalecimiento de una sociedad de economía mixta, cual es Positiva Compañía de Seguros S.A</w:t>
      </w:r>
      <w:r w:rsidRPr="00597245">
        <w:rPr>
          <w:rFonts w:ascii="Times New Roman" w:hAnsi="Times New Roman" w:cs="Times New Roman"/>
          <w:color w:val="000000" w:themeColor="text1"/>
        </w:rPr>
        <w:t xml:space="preserve">., hace posible la ejecución de los planes, programas y metas que aquél se propone.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Positiva Compañía de Seguros S.A. añadió que la norma demandada se adaptaba al juicio de unidad de materia propuesto por la jurisprudencia constitucional, toda vez que: (</w:t>
      </w:r>
      <w:r w:rsidRPr="00597245">
        <w:rPr>
          <w:rFonts w:ascii="Times New Roman" w:hAnsi="Times New Roman" w:cs="Times New Roman"/>
          <w:color w:val="000000" w:themeColor="text1"/>
        </w:rPr>
        <w:t>i) es de carácter instrumental y constituye un medio para lograr fines específicos del PND; (ii) se relaciona con los objetivos, metas, planes y estrategias de la parte general de la Ley del Plan, “toda vez que mediante la afiliación de los trabajadores de</w:t>
      </w:r>
      <w:r w:rsidRPr="00597245">
        <w:rPr>
          <w:rFonts w:ascii="Times New Roman" w:hAnsi="Times New Roman" w:cs="Times New Roman"/>
          <w:color w:val="000000" w:themeColor="text1"/>
        </w:rPr>
        <w:t>l sector público a la ARL pública, se generan varias consecuencias, dentro de las que se destaca la garantía de la seguridad en el trabajo por parte del aseguramiento público y el aumento de recursos para la financiación de los programas que buscan incluir</w:t>
      </w:r>
      <w:r w:rsidRPr="00597245">
        <w:rPr>
          <w:rFonts w:ascii="Times New Roman" w:hAnsi="Times New Roman" w:cs="Times New Roman"/>
          <w:color w:val="000000" w:themeColor="text1"/>
        </w:rPr>
        <w:t xml:space="preserve"> e incorporar a nuevas poblaciones de la comunidad al sistema de riesgos laborales”</w:t>
      </w:r>
      <w:r w:rsidRPr="00597245">
        <w:rPr>
          <w:rStyle w:val="Refdenotaalpie"/>
          <w:rFonts w:ascii="Times New Roman" w:hAnsi="Times New Roman" w:cs="Times New Roman"/>
          <w:color w:val="000000" w:themeColor="text1"/>
        </w:rPr>
        <w:footnoteReference w:id="22"/>
      </w:r>
      <w:r w:rsidRPr="00597245">
        <w:rPr>
          <w:rFonts w:ascii="Times New Roman" w:hAnsi="Times New Roman" w:cs="Times New Roman"/>
          <w:color w:val="000000" w:themeColor="text1"/>
        </w:rPr>
        <w:t xml:space="preserve">; y (iii) está estrecha, directa e inmediatamente relacionada con los objetivos y metas de la Ley del Plan.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Frente al segundo cargo, la interviniente manifestó que, efect</w:t>
      </w:r>
      <w:r w:rsidRPr="00597245">
        <w:rPr>
          <w:rFonts w:ascii="Times New Roman" w:hAnsi="Times New Roman" w:cs="Times New Roman"/>
          <w:color w:val="000000" w:themeColor="text1"/>
        </w:rPr>
        <w:t>ivamente, se trata de una restricción a la libre competencia económica consagrada en el artículo 333 Superior pero que dicha restricción obedece a una finalidad constitucional, cual es la de garantizar la prestación de servicios de seguridad social por par</w:t>
      </w:r>
      <w:r w:rsidRPr="00597245">
        <w:rPr>
          <w:rFonts w:ascii="Times New Roman" w:hAnsi="Times New Roman" w:cs="Times New Roman"/>
          <w:color w:val="000000" w:themeColor="text1"/>
        </w:rPr>
        <w:t>te de entidades públicas. Positiva Compañía de Seguros S.A señaló que la restricción se veía justificada por el intento de garantizar los principios de universalidad y de progresividad en materia de seguridad social, lo cual puede lograrse mediante el fort</w:t>
      </w:r>
      <w:r w:rsidRPr="00597245">
        <w:rPr>
          <w:rFonts w:ascii="Times New Roman" w:hAnsi="Times New Roman" w:cs="Times New Roman"/>
          <w:color w:val="000000" w:themeColor="text1"/>
        </w:rPr>
        <w:t xml:space="preserve">alecimiento del sistema de aseguramiento público de riesgos laborales.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Adicionalmente, la interviniente indicó que la norma no afecta el núcleo esencial de la libre competencia, pues éste está constituido por la posibilidad de que los oferentes puedan ac</w:t>
      </w:r>
      <w:r w:rsidRPr="00597245">
        <w:rPr>
          <w:rFonts w:ascii="Times New Roman" w:hAnsi="Times New Roman" w:cs="Times New Roman"/>
          <w:color w:val="000000" w:themeColor="text1"/>
        </w:rPr>
        <w:t>ceder al mercado sin barreras injustificadas. En el caso bajo examen, según el interviniente, la barrera de acceso al mercado está plenamente justificada, pero, además, las empresas privadas no fueron excluidas completamente del mercado asegurador, “pues m</w:t>
      </w:r>
      <w:r w:rsidRPr="00597245">
        <w:rPr>
          <w:rFonts w:ascii="Times New Roman" w:hAnsi="Times New Roman" w:cs="Times New Roman"/>
          <w:color w:val="000000" w:themeColor="text1"/>
        </w:rPr>
        <w:t>antiene intacta su actividad en el aseguramiento de riesgos laborales del sector privado”</w:t>
      </w:r>
      <w:r w:rsidRPr="00597245">
        <w:rPr>
          <w:rStyle w:val="Refdenotaalpie"/>
          <w:rFonts w:ascii="Times New Roman" w:hAnsi="Times New Roman" w:cs="Times New Roman"/>
          <w:color w:val="000000" w:themeColor="text1"/>
        </w:rPr>
        <w:footnoteReference w:id="23"/>
      </w:r>
      <w:r w:rsidRPr="00597245">
        <w:rPr>
          <w:rFonts w:ascii="Times New Roman" w:hAnsi="Times New Roman" w:cs="Times New Roman"/>
          <w:color w:val="000000" w:themeColor="text1"/>
        </w:rPr>
        <w:t xml:space="preserve"> que, además, es más extenso que el sector público.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ind w:left="0"/>
        <w:rPr>
          <w:rFonts w:ascii="Times New Roman" w:hAnsi="Times New Roman" w:cs="Times New Roman"/>
          <w:b/>
          <w:bCs/>
          <w:color w:val="000000" w:themeColor="text1"/>
        </w:rPr>
      </w:pPr>
      <w:r w:rsidRPr="00597245">
        <w:rPr>
          <w:rFonts w:ascii="Times New Roman" w:hAnsi="Times New Roman" w:cs="Times New Roman"/>
          <w:b/>
          <w:bCs/>
          <w:color w:val="000000" w:themeColor="text1"/>
        </w:rPr>
        <w:t>Departamento Nacional de Planeación (DNP)</w:t>
      </w:r>
      <w:r w:rsidRPr="00597245">
        <w:rPr>
          <w:rStyle w:val="Refdenotaalpie"/>
          <w:rFonts w:ascii="Times New Roman" w:hAnsi="Times New Roman" w:cs="Times New Roman"/>
          <w:b/>
          <w:bCs/>
          <w:color w:val="000000" w:themeColor="text1"/>
        </w:rPr>
        <w:footnoteReference w:id="24"/>
      </w:r>
      <w:r w:rsidRPr="00597245">
        <w:rPr>
          <w:rFonts w:ascii="Times New Roman" w:hAnsi="Times New Roman" w:cs="Times New Roman"/>
          <w:b/>
          <w:bCs/>
          <w:color w:val="000000" w:themeColor="text1"/>
        </w:rPr>
        <w:t xml:space="preserve"> </w:t>
      </w:r>
    </w:p>
    <w:p w:rsidR="0019028F" w:rsidRPr="00597245" w:rsidRDefault="00597245" w:rsidP="0019028F">
      <w:pPr>
        <w:pStyle w:val="Sombreadovistoso-nfasis31"/>
        <w:ind w:left="0"/>
        <w:rPr>
          <w:rFonts w:ascii="Times New Roman" w:hAnsi="Times New Roman" w:cs="Times New Roman"/>
          <w:b/>
          <w:bCs/>
          <w:color w:val="000000" w:themeColor="text1"/>
        </w:rPr>
      </w:pP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rPr>
      </w:pPr>
      <w:r w:rsidRPr="00597245">
        <w:rPr>
          <w:rFonts w:ascii="Times New Roman" w:hAnsi="Times New Roman" w:cs="Times New Roman"/>
          <w:color w:val="000000" w:themeColor="text1"/>
        </w:rPr>
        <w:t>El DNP solicitó que se declare la exequibilidad de la norma demanda</w:t>
      </w:r>
      <w:r w:rsidRPr="00597245">
        <w:rPr>
          <w:rFonts w:ascii="Times New Roman" w:hAnsi="Times New Roman" w:cs="Times New Roman"/>
          <w:color w:val="000000" w:themeColor="text1"/>
        </w:rPr>
        <w:t>da. Frente al primer cargo (violación del principio de unidad de materia establecido en el artículo 158 de la Constitución Política), el DNP señaló que resulta necesario demostrar el cumplimiento de los presupuestos definidos por la jurisprudencia constitu</w:t>
      </w:r>
      <w:r w:rsidRPr="00597245">
        <w:rPr>
          <w:rFonts w:ascii="Times New Roman" w:hAnsi="Times New Roman" w:cs="Times New Roman"/>
          <w:color w:val="000000" w:themeColor="text1"/>
        </w:rPr>
        <w:t>cional a efectos de determinar si una norma del Plan Nacional de Desarrollo respeta o no el principio de unidad de materia.</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Así, el DNP indicó que se trataba de una disposición instrumental, que pertenece al Título III de la Ley 2294 de 2023, “Mecanismos </w:t>
      </w:r>
      <w:r w:rsidRPr="00597245">
        <w:rPr>
          <w:rFonts w:ascii="Times New Roman" w:hAnsi="Times New Roman" w:cs="Times New Roman"/>
          <w:color w:val="000000" w:themeColor="text1"/>
        </w:rPr>
        <w:t>de ejecución del Plan”, “de lo cual se desprende que la norma acusada fue concebida por el legislador como un medio para ejecutar el Plan”</w:t>
      </w:r>
      <w:r w:rsidRPr="00597245">
        <w:rPr>
          <w:rStyle w:val="Refdenotaalpie"/>
          <w:rFonts w:ascii="Times New Roman" w:hAnsi="Times New Roman" w:cs="Times New Roman"/>
          <w:color w:val="000000" w:themeColor="text1"/>
        </w:rPr>
        <w:footnoteReference w:id="25"/>
      </w:r>
      <w:r w:rsidRPr="00597245">
        <w:rPr>
          <w:rFonts w:ascii="Times New Roman" w:hAnsi="Times New Roman" w:cs="Times New Roman"/>
          <w:color w:val="000000" w:themeColor="text1"/>
        </w:rPr>
        <w:t>. Además, en concepto del interviniente, la norma puede relacionarse con diversos objetivos, metas, planes o estrateg</w:t>
      </w:r>
      <w:r w:rsidRPr="00597245">
        <w:rPr>
          <w:rFonts w:ascii="Times New Roman" w:hAnsi="Times New Roman" w:cs="Times New Roman"/>
          <w:color w:val="000000" w:themeColor="text1"/>
        </w:rPr>
        <w:t>ias contenidos en la Ley del Plan, como el eje de transformación denominado “Seguridad Humana y Justicia Social”, que tiene, entre otros objetivos, el de fortalecer el aseguramiento público en materia de riesgos laborales. Finalmente, el DNP adujo que exis</w:t>
      </w:r>
      <w:r w:rsidRPr="00597245">
        <w:rPr>
          <w:rFonts w:ascii="Times New Roman" w:hAnsi="Times New Roman" w:cs="Times New Roman"/>
          <w:color w:val="000000" w:themeColor="text1"/>
        </w:rPr>
        <w:t>tía una conexidad estrecha, directa e inmediata entre la norma acusada y los objetivos, metas o estrategias de la parte general del PND. Como fundamento de esta afirmación, la entidad señaló que “la designación de ARL Positiva como el administrador de ries</w:t>
      </w:r>
      <w:r w:rsidRPr="00597245">
        <w:rPr>
          <w:rFonts w:ascii="Times New Roman" w:hAnsi="Times New Roman" w:cs="Times New Roman"/>
          <w:color w:val="000000" w:themeColor="text1"/>
        </w:rPr>
        <w:t>gos laborales para los servidores públicos constituye un mecanismo idóneo para fortalecer el sistema de aseguramiento público en materia de riesgos laborales, pues en la medida en que se incrementa el número de afiliados de la aseguradora pública, se aumen</w:t>
      </w:r>
      <w:r w:rsidRPr="00597245">
        <w:rPr>
          <w:rFonts w:ascii="Times New Roman" w:hAnsi="Times New Roman" w:cs="Times New Roman"/>
          <w:color w:val="000000" w:themeColor="text1"/>
        </w:rPr>
        <w:t>ta el monto de las cotizaciones o primas que esta recauda, y por consiguiente su capacidad financiera para atender el acaecimiento de los riesgos cubiertos para la población asegurada”</w:t>
      </w:r>
      <w:r w:rsidRPr="00597245">
        <w:rPr>
          <w:rStyle w:val="Refdenotaalpie"/>
          <w:rFonts w:ascii="Times New Roman" w:hAnsi="Times New Roman" w:cs="Times New Roman"/>
          <w:color w:val="000000" w:themeColor="text1"/>
        </w:rPr>
        <w:footnoteReference w:id="26"/>
      </w:r>
      <w:r w:rsidRPr="00597245">
        <w:rPr>
          <w:rFonts w:ascii="Times New Roman" w:hAnsi="Times New Roman" w:cs="Times New Roman"/>
          <w:color w:val="000000" w:themeColor="text1"/>
        </w:rPr>
        <w:t>.</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Con relación al segundo cargo de inconstitucionalidad, el intervinie</w:t>
      </w:r>
      <w:r w:rsidRPr="00597245">
        <w:rPr>
          <w:rFonts w:ascii="Times New Roman" w:hAnsi="Times New Roman" w:cs="Times New Roman"/>
          <w:color w:val="000000" w:themeColor="text1"/>
        </w:rPr>
        <w:t>nte manifestó que la norma acusada no vulneraba la libre competencia económica consagrada en el artículo 333 de la Carta, porque la restricción impuesta mediante el artículo 97 de la Ley 2294 de 2023 obedece a la libertad contractual de que goza el Estado,</w:t>
      </w:r>
      <w:r w:rsidRPr="00597245">
        <w:rPr>
          <w:rFonts w:ascii="Times New Roman" w:hAnsi="Times New Roman" w:cs="Times New Roman"/>
          <w:color w:val="000000" w:themeColor="text1"/>
        </w:rPr>
        <w:t xml:space="preserve"> en virtud de la cual puede “escoger de manera discrecional la entidad aseguradora mediante la cual vinculará a sus trabajadores al sistema de riesgos laborales”</w:t>
      </w:r>
      <w:r w:rsidRPr="00597245">
        <w:rPr>
          <w:rStyle w:val="Refdenotaalpie"/>
          <w:rFonts w:ascii="Times New Roman" w:hAnsi="Times New Roman" w:cs="Times New Roman"/>
          <w:color w:val="000000" w:themeColor="text1"/>
        </w:rPr>
        <w:footnoteReference w:id="27"/>
      </w:r>
      <w:r w:rsidRPr="00597245">
        <w:rPr>
          <w:rFonts w:ascii="Times New Roman" w:hAnsi="Times New Roman" w:cs="Times New Roman"/>
          <w:color w:val="000000" w:themeColor="text1"/>
        </w:rPr>
        <w:t xml:space="preserve">. Además, el DNP manifestó que la norma: (i) está debidamente justificada, pues la afiliación </w:t>
      </w:r>
      <w:r w:rsidRPr="00597245">
        <w:rPr>
          <w:rFonts w:ascii="Times New Roman" w:hAnsi="Times New Roman" w:cs="Times New Roman"/>
          <w:color w:val="000000" w:themeColor="text1"/>
        </w:rPr>
        <w:t>obligatoria de las entidades públicas a Positiva ARL persigue un objetivo no prohibido constitucionalmente, cual es garantizar la sostenibilidad financiera de dicha entidad y, así, fortalecer el sistema de aseguramiento público de riesgos laborales; (ii) r</w:t>
      </w:r>
      <w:r w:rsidRPr="00597245">
        <w:rPr>
          <w:rFonts w:ascii="Times New Roman" w:hAnsi="Times New Roman" w:cs="Times New Roman"/>
          <w:color w:val="000000" w:themeColor="text1"/>
        </w:rPr>
        <w:t>espeta el núcleo esencial de la libre competencia económica, pues permite que empresas del sector privado aseguren los riesgos laborales de trabajadores del sector privado, que representan la mayor parte del mercado laboral; y (iii) responde a criterios de</w:t>
      </w:r>
      <w:r w:rsidRPr="00597245">
        <w:rPr>
          <w:rFonts w:ascii="Times New Roman" w:hAnsi="Times New Roman" w:cs="Times New Roman"/>
          <w:color w:val="000000" w:themeColor="text1"/>
        </w:rPr>
        <w:t xml:space="preserve"> razonabilidad y proporcionalidad.</w:t>
      </w:r>
    </w:p>
    <w:p w:rsidR="0019028F" w:rsidRPr="00597245" w:rsidRDefault="00597245" w:rsidP="0019028F">
      <w:pPr>
        <w:pStyle w:val="Sombreadovistoso-nfasis31"/>
        <w:ind w:left="0"/>
        <w:rPr>
          <w:rFonts w:ascii="Times New Roman" w:hAnsi="Times New Roman" w:cs="Times New Roman"/>
          <w:b/>
          <w:bCs/>
          <w:color w:val="000000" w:themeColor="text1"/>
        </w:rPr>
      </w:pPr>
    </w:p>
    <w:p w:rsidR="0019028F" w:rsidRPr="00597245" w:rsidRDefault="00597245" w:rsidP="0019028F">
      <w:pPr>
        <w:pStyle w:val="Sombreadovistoso-nfasis31"/>
        <w:ind w:left="0"/>
        <w:rPr>
          <w:rFonts w:ascii="Times New Roman" w:hAnsi="Times New Roman" w:cs="Times New Roman"/>
          <w:b/>
          <w:bCs/>
          <w:color w:val="000000" w:themeColor="text1"/>
        </w:rPr>
      </w:pPr>
      <w:r w:rsidRPr="00597245">
        <w:rPr>
          <w:rFonts w:ascii="Times New Roman" w:hAnsi="Times New Roman" w:cs="Times New Roman"/>
          <w:b/>
          <w:bCs/>
          <w:color w:val="000000" w:themeColor="text1"/>
        </w:rPr>
        <w:t>Departamento Administrativo de la Presidencia de la República (DAPRE)</w:t>
      </w:r>
      <w:r w:rsidRPr="00597245">
        <w:rPr>
          <w:rStyle w:val="Refdenotaalpie"/>
          <w:rFonts w:ascii="Times New Roman" w:hAnsi="Times New Roman" w:cs="Times New Roman"/>
          <w:b/>
          <w:bCs/>
          <w:color w:val="000000" w:themeColor="text1"/>
        </w:rPr>
        <w:footnoteReference w:id="28"/>
      </w:r>
    </w:p>
    <w:p w:rsidR="0019028F" w:rsidRPr="00597245" w:rsidRDefault="00597245" w:rsidP="0019028F">
      <w:pPr>
        <w:pStyle w:val="Sombreadovistoso-nfasis31"/>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El DAPRE solicitó a la Corte que se declare inhibida para pronunciarse de fondo y que, subsidiariamente, declare la exequibilidad de la norma </w:t>
      </w:r>
      <w:r w:rsidRPr="00597245">
        <w:rPr>
          <w:rFonts w:ascii="Times New Roman" w:hAnsi="Times New Roman" w:cs="Times New Roman"/>
          <w:color w:val="000000" w:themeColor="text1"/>
        </w:rPr>
        <w:t>demandada. Con respecto a la primera petición, en concepto del interviniente la demanda no satisfizo los requisitos de pertinencia, claridad y suficiencia, toda vez que no confrontó al texto acusado con las normas constitucionales presuntamente vulneradas,</w:t>
      </w:r>
      <w:r w:rsidRPr="00597245">
        <w:rPr>
          <w:rFonts w:ascii="Times New Roman" w:hAnsi="Times New Roman" w:cs="Times New Roman"/>
          <w:color w:val="000000" w:themeColor="text1"/>
        </w:rPr>
        <w:t xml:space="preserve"> sino que se limitó a “expresar puntos de vista subjetivos”</w:t>
      </w:r>
      <w:r w:rsidRPr="00597245">
        <w:rPr>
          <w:rStyle w:val="Refdenotaalpie"/>
          <w:rFonts w:ascii="Times New Roman" w:hAnsi="Times New Roman" w:cs="Times New Roman"/>
          <w:color w:val="000000" w:themeColor="text1"/>
        </w:rPr>
        <w:footnoteReference w:id="29"/>
      </w:r>
      <w:r w:rsidRPr="00597245">
        <w:rPr>
          <w:rFonts w:ascii="Times New Roman" w:hAnsi="Times New Roman" w:cs="Times New Roman"/>
          <w:color w:val="000000" w:themeColor="text1"/>
        </w:rPr>
        <w:t>, en vez de esgrimir argumentos de carácter constitucional.</w:t>
      </w:r>
    </w:p>
    <w:p w:rsidR="0019028F" w:rsidRPr="00597245" w:rsidRDefault="00597245" w:rsidP="0019028F">
      <w:pPr>
        <w:pStyle w:val="Sombreadovistoso-nfasis31"/>
        <w:ind w:left="0"/>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Frente al cargo de inconstitucionalidad por la presunta violación del principio de unidad de materia, el interviniente manifestó que la</w:t>
      </w:r>
      <w:r w:rsidRPr="00597245">
        <w:rPr>
          <w:rFonts w:ascii="Times New Roman" w:hAnsi="Times New Roman" w:cs="Times New Roman"/>
          <w:color w:val="000000" w:themeColor="text1"/>
        </w:rPr>
        <w:t xml:space="preserve"> norma acusada guardaba conexidad directa con los objetivos, metas, planes y estrategias de la parte general del PND, y además se trataba de una disposición de carácter instrumental que pretendía cumplir con lo dispuesto en su parte general. Por lo tanto, </w:t>
      </w:r>
      <w:r w:rsidRPr="00597245">
        <w:rPr>
          <w:rFonts w:ascii="Times New Roman" w:hAnsi="Times New Roman" w:cs="Times New Roman"/>
          <w:color w:val="000000" w:themeColor="text1"/>
        </w:rPr>
        <w:t xml:space="preserve">consideró que la demanda no debería prosperar.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Así, el interviniente recordó que uno de los ejes de transformación del PND es aquel denominado “Seguridad Humana y Justicia Social” y que uno de sus componentes es precisamente la creación de una “política </w:t>
      </w:r>
      <w:r w:rsidRPr="00597245">
        <w:rPr>
          <w:rFonts w:ascii="Times New Roman" w:hAnsi="Times New Roman" w:cs="Times New Roman"/>
          <w:color w:val="000000" w:themeColor="text1"/>
        </w:rPr>
        <w:t>pública del trabajo digno y decente”. El DAPRE agregó que, en aras de lograr la materialización de dicha política pública, resulta necesario empezar por fortalecer el sistema público de aseguramiento de riesgos laborales. Concluyó que la norma tiene un car</w:t>
      </w:r>
      <w:r w:rsidRPr="00597245">
        <w:rPr>
          <w:rFonts w:ascii="Times New Roman" w:hAnsi="Times New Roman" w:cs="Times New Roman"/>
          <w:color w:val="000000" w:themeColor="text1"/>
        </w:rPr>
        <w:t>ácter instrumental, se puede relacionar con objetivos, metas, planes o estrategias de la parte general del PND y que la conexidad entre tales objetivos, metas, planes o estrategias y la norma demandada es directa, inmediata y estrecha.</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Frente al segundo c</w:t>
      </w:r>
      <w:r w:rsidRPr="00597245">
        <w:rPr>
          <w:rFonts w:ascii="Times New Roman" w:hAnsi="Times New Roman" w:cs="Times New Roman"/>
          <w:color w:val="000000" w:themeColor="text1"/>
        </w:rPr>
        <w:t xml:space="preserve">argo, el interviniente propuso que la norma demandada no vulneraba la libre competencia económica consagrada en el artículo 333 constitucional. Esencialmente, el DAPRE fundamentó su argumentación en el hecho de que el Estado, en su condición de empleador, </w:t>
      </w:r>
      <w:r w:rsidRPr="00597245">
        <w:rPr>
          <w:rFonts w:ascii="Times New Roman" w:hAnsi="Times New Roman" w:cs="Times New Roman"/>
          <w:color w:val="000000" w:themeColor="text1"/>
        </w:rPr>
        <w:t>puede elegir libremente con qué entidad asegurar los riesgos laborales de los trabajadores del sector público colombiano. Adicionalmente, la entidad indicó que la norma acusada no vulneraba el núcleo esencial de la libre competencia económica, pues no obli</w:t>
      </w:r>
      <w:r w:rsidRPr="00597245">
        <w:rPr>
          <w:rFonts w:ascii="Times New Roman" w:hAnsi="Times New Roman" w:cs="Times New Roman"/>
          <w:color w:val="000000" w:themeColor="text1"/>
        </w:rPr>
        <w:t>gaba a empresas privadas dedicadas al aseguramiento de riesgos laborales a retirarse del mercado. Al contrario, para el interviniente, la norma les permitía seguir concurriendo al mismo con el fin de asegurar los riesgos laborales de los trabajadores del s</w:t>
      </w:r>
      <w:r w:rsidRPr="00597245">
        <w:rPr>
          <w:rFonts w:ascii="Times New Roman" w:hAnsi="Times New Roman" w:cs="Times New Roman"/>
          <w:color w:val="000000" w:themeColor="text1"/>
        </w:rPr>
        <w:t>ector privado. Por último, la entidad indicó que la norma estaba debidamente justificada</w:t>
      </w:r>
      <w:r w:rsidRPr="00597245">
        <w:rPr>
          <w:rStyle w:val="Refdenotaalpie"/>
          <w:rFonts w:ascii="Times New Roman" w:hAnsi="Times New Roman" w:cs="Times New Roman"/>
          <w:color w:val="000000" w:themeColor="text1"/>
        </w:rPr>
        <w:footnoteReference w:id="30"/>
      </w:r>
      <w:r w:rsidRPr="00597245">
        <w:rPr>
          <w:rFonts w:ascii="Times New Roman" w:hAnsi="Times New Roman" w:cs="Times New Roman"/>
          <w:color w:val="000000" w:themeColor="text1"/>
        </w:rPr>
        <w:t>, pues obedecía a la necesidad de: (i) superar inequidades sociales; (ii) preservar y garantizar la continuidad del aseguramiento público de los riesgos laborales en e</w:t>
      </w:r>
      <w:r w:rsidRPr="00597245">
        <w:rPr>
          <w:rFonts w:ascii="Times New Roman" w:hAnsi="Times New Roman" w:cs="Times New Roman"/>
          <w:color w:val="000000" w:themeColor="text1"/>
        </w:rPr>
        <w:t>l mercado; y (iii) proteger la seguridad social en materia de riesgos laborales como servicio público esencial y derecho fundamental “que le [sic] asiste a los trabajadores”</w:t>
      </w:r>
      <w:r w:rsidRPr="00597245">
        <w:rPr>
          <w:rStyle w:val="Refdenotaalpie"/>
          <w:rFonts w:ascii="Times New Roman" w:hAnsi="Times New Roman" w:cs="Times New Roman"/>
          <w:color w:val="000000" w:themeColor="text1"/>
        </w:rPr>
        <w:footnoteReference w:id="31"/>
      </w:r>
      <w:r w:rsidRPr="00597245">
        <w:rPr>
          <w:rFonts w:ascii="Times New Roman" w:hAnsi="Times New Roman" w:cs="Times New Roman"/>
          <w:color w:val="000000" w:themeColor="text1"/>
        </w:rPr>
        <w:t xml:space="preserve">.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ind w:left="0"/>
        <w:rPr>
          <w:rFonts w:ascii="Times New Roman" w:hAnsi="Times New Roman" w:cs="Times New Roman"/>
          <w:b/>
          <w:bCs/>
          <w:color w:val="000000" w:themeColor="text1"/>
        </w:rPr>
      </w:pPr>
      <w:r w:rsidRPr="00597245">
        <w:rPr>
          <w:rFonts w:ascii="Times New Roman" w:hAnsi="Times New Roman" w:cs="Times New Roman"/>
          <w:b/>
          <w:bCs/>
          <w:color w:val="000000" w:themeColor="text1"/>
        </w:rPr>
        <w:t>Colmena Riesgos Laborales S.A.</w:t>
      </w:r>
      <w:r w:rsidRPr="00597245">
        <w:rPr>
          <w:rStyle w:val="Refdenotaalpie"/>
          <w:rFonts w:ascii="Times New Roman" w:hAnsi="Times New Roman" w:cs="Times New Roman"/>
          <w:b/>
          <w:bCs/>
          <w:color w:val="000000" w:themeColor="text1"/>
        </w:rPr>
        <w:footnoteReference w:id="32"/>
      </w:r>
      <w:r w:rsidRPr="00597245">
        <w:rPr>
          <w:rFonts w:ascii="Times New Roman" w:hAnsi="Times New Roman" w:cs="Times New Roman"/>
          <w:b/>
          <w:bCs/>
          <w:color w:val="000000" w:themeColor="text1"/>
        </w:rPr>
        <w:t xml:space="preserve"> </w:t>
      </w:r>
    </w:p>
    <w:p w:rsidR="0019028F" w:rsidRPr="00597245" w:rsidRDefault="00597245" w:rsidP="0019028F">
      <w:pPr>
        <w:pStyle w:val="Sombreadovistoso-nfasis31"/>
        <w:ind w:left="0"/>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aseguradora solicitó que se declare la in</w:t>
      </w:r>
      <w:r w:rsidRPr="00597245">
        <w:rPr>
          <w:rFonts w:ascii="Times New Roman" w:hAnsi="Times New Roman" w:cs="Times New Roman"/>
          <w:color w:val="000000" w:themeColor="text1"/>
        </w:rPr>
        <w:t>exequibilidad con efectos retroactivos de la norma demandada. El interviniente solo se refirió al segundo cargo, referente a la presunta violación del artículo 333 de la Constitución Política. En la misma línea de la demanda, la empresa argumentó que la li</w:t>
      </w:r>
      <w:r w:rsidRPr="00597245">
        <w:rPr>
          <w:rFonts w:ascii="Times New Roman" w:hAnsi="Times New Roman" w:cs="Times New Roman"/>
          <w:color w:val="000000" w:themeColor="text1"/>
        </w:rPr>
        <w:t>bre competencia económica sí se veía vulnerada por el artículo 97 de la Ley 2294 de 2023. A juicio de la interviniente, la norma acusada implicaba que una empresa del Estado, que venía compitiendo y prestando sus servicios en términos similares a los priva</w:t>
      </w:r>
      <w:r w:rsidRPr="00597245">
        <w:rPr>
          <w:rFonts w:ascii="Times New Roman" w:hAnsi="Times New Roman" w:cs="Times New Roman"/>
          <w:color w:val="000000" w:themeColor="text1"/>
        </w:rPr>
        <w:t>dos, “reciba unos afiliados por virtud de la ley, sin siquiera mantener o generar valores agregados a su oferta”</w:t>
      </w:r>
      <w:r w:rsidRPr="00597245">
        <w:rPr>
          <w:rStyle w:val="Refdenotaalpie"/>
          <w:rFonts w:ascii="Times New Roman" w:hAnsi="Times New Roman" w:cs="Times New Roman"/>
          <w:color w:val="000000" w:themeColor="text1"/>
        </w:rPr>
        <w:footnoteReference w:id="33"/>
      </w:r>
      <w:r w:rsidRPr="00597245">
        <w:rPr>
          <w:rFonts w:ascii="Times New Roman" w:hAnsi="Times New Roman" w:cs="Times New Roman"/>
          <w:color w:val="000000" w:themeColor="text1"/>
        </w:rPr>
        <w:t>, en detrimento de empresas privadas que ofrecen los mismos servicios, con las mismas capacidades técnicas y operativas. Colmena Riesgos Labora</w:t>
      </w:r>
      <w:r w:rsidRPr="00597245">
        <w:rPr>
          <w:rFonts w:ascii="Times New Roman" w:hAnsi="Times New Roman" w:cs="Times New Roman"/>
          <w:color w:val="000000" w:themeColor="text1"/>
        </w:rPr>
        <w:t>les S.A. también señaló que “la implementación del artículo 97 del PND terminará debilitando a las ARL privadas y puede implicar que se esté abonando el terreno para que en el futuro se imponga un sistema de única ARL, lo que generaría un monopolio a espal</w:t>
      </w:r>
      <w:r w:rsidRPr="00597245">
        <w:rPr>
          <w:rFonts w:ascii="Times New Roman" w:hAnsi="Times New Roman" w:cs="Times New Roman"/>
          <w:color w:val="000000" w:themeColor="text1"/>
        </w:rPr>
        <w:t>das de la Constitución Política”</w:t>
      </w:r>
      <w:r w:rsidRPr="00597245">
        <w:rPr>
          <w:rStyle w:val="Refdenotaalpie"/>
          <w:rFonts w:ascii="Times New Roman" w:hAnsi="Times New Roman" w:cs="Times New Roman"/>
          <w:color w:val="000000" w:themeColor="text1"/>
        </w:rPr>
        <w:footnoteReference w:id="34"/>
      </w:r>
      <w:r w:rsidRPr="00597245">
        <w:rPr>
          <w:rFonts w:ascii="Times New Roman" w:hAnsi="Times New Roman" w:cs="Times New Roman"/>
          <w:color w:val="000000" w:themeColor="text1"/>
        </w:rPr>
        <w:t>.</w:t>
      </w:r>
    </w:p>
    <w:p w:rsidR="0019028F" w:rsidRPr="00597245" w:rsidRDefault="00597245" w:rsidP="0019028F">
      <w:pPr>
        <w:pStyle w:val="Sombreadovistoso-nfasis31"/>
        <w:ind w:left="0"/>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Además, la empresa indicó que el cambio en las reglas que gobernaban el sistema de riesgos laborales ponía en riesgo el principio de progresividad de los derechos económicos, sociales y culturales, pues los usuarios del </w:t>
      </w:r>
      <w:r w:rsidRPr="00597245">
        <w:rPr>
          <w:rFonts w:ascii="Times New Roman" w:hAnsi="Times New Roman" w:cs="Times New Roman"/>
          <w:color w:val="000000" w:themeColor="text1"/>
        </w:rPr>
        <w:t xml:space="preserve">servicio perdían la posibilidad de elegir la mejor opción de aseguramiento, con lo cual la seguridad social de los trabajadores del sector público se veía potencialmente expuesta a una reducción de calidad.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Por último, la interviniente solicitó a la Cort</w:t>
      </w:r>
      <w:r w:rsidRPr="00597245">
        <w:rPr>
          <w:rFonts w:ascii="Times New Roman" w:hAnsi="Times New Roman" w:cs="Times New Roman"/>
          <w:color w:val="000000" w:themeColor="text1"/>
        </w:rPr>
        <w:t xml:space="preserve">e que modulara los efectos del fallo en el tiempo y declarara la retroactividad de la decisión para “restablecer los eventos al estado en que se encontraban antes de la entrada en vigencia de la norma demandada y, por tanto, dispon[ga] que la ARL Positiva </w:t>
      </w:r>
      <w:r w:rsidRPr="00597245">
        <w:rPr>
          <w:rFonts w:ascii="Times New Roman" w:hAnsi="Times New Roman" w:cs="Times New Roman"/>
          <w:color w:val="000000" w:themeColor="text1"/>
        </w:rPr>
        <w:t>de [sic] por terminados los contratos que suscribió con las entidades y corporaciones públicas con ocasión de dicha norma, o en su defecto permit[a] a las entidades públicas que procedan libremente a contratar con la ARL que más se ajuste a sus necesidades</w:t>
      </w:r>
      <w:r w:rsidRPr="00597245">
        <w:rPr>
          <w:rFonts w:ascii="Times New Roman" w:hAnsi="Times New Roman" w:cs="Times New Roman"/>
          <w:color w:val="000000" w:themeColor="text1"/>
        </w:rPr>
        <w:t xml:space="preserve"> y las de sus empleados, trabajadores y contratistas, sin tener en cuenta un plazo mínimo de permanencia o un término de vigencia de los contratos que se hayan suscrito”</w:t>
      </w:r>
      <w:r w:rsidRPr="00597245">
        <w:rPr>
          <w:rStyle w:val="Refdenotaalpie"/>
          <w:rFonts w:ascii="Times New Roman" w:hAnsi="Times New Roman" w:cs="Times New Roman"/>
          <w:color w:val="000000" w:themeColor="text1"/>
        </w:rPr>
        <w:footnoteReference w:id="35"/>
      </w:r>
      <w:r w:rsidRPr="00597245">
        <w:rPr>
          <w:rFonts w:ascii="Times New Roman" w:hAnsi="Times New Roman" w:cs="Times New Roman"/>
          <w:color w:val="000000" w:themeColor="text1"/>
        </w:rPr>
        <w:t>.</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En desarrollo de su argumentación, la interviniente manifestó que, de no declararse</w:t>
      </w:r>
      <w:r w:rsidRPr="00597245">
        <w:rPr>
          <w:rFonts w:ascii="Times New Roman" w:hAnsi="Times New Roman" w:cs="Times New Roman"/>
          <w:color w:val="000000" w:themeColor="text1"/>
        </w:rPr>
        <w:t xml:space="preserve"> la inexequibilidad de la norma con efectos retroactivos, al momento del pronunciamiento de la Corte la Constitución ya se vería afectada la libre competencia. A juicio de la empresa, las entidades públicas habrán aprovechado para contratar con ARL Positiv</w:t>
      </w:r>
      <w:r w:rsidRPr="00597245">
        <w:rPr>
          <w:rFonts w:ascii="Times New Roman" w:hAnsi="Times New Roman" w:cs="Times New Roman"/>
          <w:color w:val="000000" w:themeColor="text1"/>
        </w:rPr>
        <w:t>a, lo que generaría una exclusión de las ARL privadas y este efecto que se prolongaría hasta que vencieran los contratos recién suscritos entre aquélla y las entidades públicas.</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ind w:left="0"/>
        <w:rPr>
          <w:rFonts w:ascii="Times New Roman" w:hAnsi="Times New Roman" w:cs="Times New Roman"/>
          <w:b/>
          <w:bCs/>
          <w:color w:val="000000" w:themeColor="text1"/>
        </w:rPr>
      </w:pPr>
      <w:r w:rsidRPr="00597245">
        <w:rPr>
          <w:rFonts w:ascii="Times New Roman" w:hAnsi="Times New Roman" w:cs="Times New Roman"/>
          <w:b/>
          <w:bCs/>
          <w:color w:val="000000" w:themeColor="text1"/>
        </w:rPr>
        <w:t>Federación de Aseguradores Colombianos (FASECOLDA)</w:t>
      </w:r>
      <w:r w:rsidRPr="00597245">
        <w:rPr>
          <w:rStyle w:val="Refdenotaalpie"/>
          <w:rFonts w:ascii="Times New Roman" w:hAnsi="Times New Roman" w:cs="Times New Roman"/>
          <w:b/>
          <w:bCs/>
          <w:color w:val="000000" w:themeColor="text1"/>
        </w:rPr>
        <w:footnoteReference w:id="36"/>
      </w:r>
    </w:p>
    <w:p w:rsidR="0019028F" w:rsidRPr="00597245" w:rsidRDefault="00597245" w:rsidP="0019028F">
      <w:pPr>
        <w:pStyle w:val="Sombreadovistoso-nfasis31"/>
        <w:ind w:left="0"/>
        <w:rPr>
          <w:rFonts w:ascii="Times New Roman" w:hAnsi="Times New Roman" w:cs="Times New Roman"/>
          <w:b/>
          <w:bCs/>
          <w:i/>
          <w:iCs/>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Federación solicitó q</w:t>
      </w:r>
      <w:r w:rsidRPr="00597245">
        <w:rPr>
          <w:rFonts w:ascii="Times New Roman" w:hAnsi="Times New Roman" w:cs="Times New Roman"/>
          <w:color w:val="000000" w:themeColor="text1"/>
        </w:rPr>
        <w:t>ue se declare la inexequibilidad de la norma demandada. FASECOLDA manifestó, en primer lugar, que la norma demandada efectivamente desconocía el principio de unidad de materia consagrado en el artículo 158 de la Constitución. La Federación indicó, al efect</w:t>
      </w:r>
      <w:r w:rsidRPr="00597245">
        <w:rPr>
          <w:rFonts w:ascii="Times New Roman" w:hAnsi="Times New Roman" w:cs="Times New Roman"/>
          <w:color w:val="000000" w:themeColor="text1"/>
        </w:rPr>
        <w:t>o, que el artículo 97 de la Ley 2294 de 2023 es de carácter instrumental y cumple, entonces, con el primero de los requisitos que ha establecido la Corte Constitucional para evaluar si una norma de la Ley del PND respeta o no el principio de unidad de mate</w:t>
      </w:r>
      <w:r w:rsidRPr="00597245">
        <w:rPr>
          <w:rFonts w:ascii="Times New Roman" w:hAnsi="Times New Roman" w:cs="Times New Roman"/>
          <w:color w:val="000000" w:themeColor="text1"/>
        </w:rPr>
        <w:t>ria. Sin embargo, según la interviniente, la norma no se relaciona con ninguno de los programas o proyectos del PND ni guarda conexidad directa o inmediata con sus metas, objetivos, planes o estrategias. En efecto, según FASECOLDA de la ejecución de la nor</w:t>
      </w:r>
      <w:r w:rsidRPr="00597245">
        <w:rPr>
          <w:rFonts w:ascii="Times New Roman" w:hAnsi="Times New Roman" w:cs="Times New Roman"/>
          <w:color w:val="000000" w:themeColor="text1"/>
        </w:rPr>
        <w:t>ma demandada no se desprende una contribución al cumplimiento de los logros propuestos por la Ley del Plan.</w:t>
      </w:r>
    </w:p>
    <w:p w:rsidR="0019028F" w:rsidRPr="00597245" w:rsidRDefault="00597245" w:rsidP="0019028F">
      <w:pPr>
        <w:pStyle w:val="Sombreadovistoso-nfasis31"/>
        <w:ind w:left="0"/>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Además, la interviniente resaltó que podría argumentarse que el artículo cuestionado se relaciona con la “política pública y de trabajo digno y </w:t>
      </w:r>
      <w:r w:rsidRPr="00597245">
        <w:rPr>
          <w:rFonts w:ascii="Times New Roman" w:hAnsi="Times New Roman" w:cs="Times New Roman"/>
          <w:color w:val="000000" w:themeColor="text1"/>
        </w:rPr>
        <w:t>decente”, contenida en el PND. Sin embargo, el legislador no explicó la relación de conexidad directa e inmediata entre la norma demandada y dicho objetivo del Plan, motivo por el cual resultaría forzada cualquier interpretación que pretenda establecer dic</w:t>
      </w:r>
      <w:r w:rsidRPr="00597245">
        <w:rPr>
          <w:rFonts w:ascii="Times New Roman" w:hAnsi="Times New Roman" w:cs="Times New Roman"/>
          <w:color w:val="000000" w:themeColor="text1"/>
        </w:rPr>
        <w:t>ho vínculo.</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Frente al cargo por presunta vulneración de la libre competencia económica consagrada en el artículo 333 Superior, FASECOLDA adujo que, no se trataba de una restricción absoluta de dicha libertad económica. No obstante “la medida restrictiva c</w:t>
      </w:r>
      <w:r w:rsidRPr="00597245">
        <w:rPr>
          <w:rFonts w:ascii="Times New Roman" w:hAnsi="Times New Roman" w:cs="Times New Roman"/>
          <w:color w:val="000000" w:themeColor="text1"/>
        </w:rPr>
        <w:t>arece de una justificación adecuada y suficiente puesto que, revisadas las gacetas del proyecto de ley, no obran las razones por las cuales el Legislador decidió excluir a las ARL de naturaleza privada de la prestación de sus servicios a las entidades públ</w:t>
      </w:r>
      <w:r w:rsidRPr="00597245">
        <w:rPr>
          <w:rFonts w:ascii="Times New Roman" w:hAnsi="Times New Roman" w:cs="Times New Roman"/>
          <w:color w:val="000000" w:themeColor="text1"/>
        </w:rPr>
        <w:t>icas”</w:t>
      </w:r>
      <w:r w:rsidRPr="00597245">
        <w:rPr>
          <w:rStyle w:val="Refdenotaalpie"/>
          <w:rFonts w:ascii="Times New Roman" w:hAnsi="Times New Roman" w:cs="Times New Roman"/>
          <w:color w:val="000000" w:themeColor="text1"/>
        </w:rPr>
        <w:footnoteReference w:id="37"/>
      </w:r>
      <w:r w:rsidRPr="00597245">
        <w:rPr>
          <w:rFonts w:ascii="Times New Roman" w:hAnsi="Times New Roman" w:cs="Times New Roman"/>
          <w:color w:val="000000" w:themeColor="text1"/>
        </w:rPr>
        <w:t>. FASECOLDA señaló que, adicionalmente, esa ausencia de justificación adecuada y suficiente conllevaba un desconocimiento de los criterios de razonabilidad y de proporcionalidad en la limitación de libertades económicas.</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Por último, la interviniente</w:t>
      </w:r>
      <w:r w:rsidRPr="00597245">
        <w:rPr>
          <w:rFonts w:ascii="Times New Roman" w:hAnsi="Times New Roman" w:cs="Times New Roman"/>
          <w:color w:val="000000" w:themeColor="text1"/>
        </w:rPr>
        <w:t xml:space="preserve"> indicó que la disposición impugnada violaba el núcleo esencial del derecho a la libre competencia. Con base en las sentencias C-516 de 2004 y C-289 de 2008, la interviniente argumentó que dicho núcleo se vulnera cuando “se le impide a las ARL privadas con</w:t>
      </w:r>
      <w:r w:rsidRPr="00597245">
        <w:rPr>
          <w:rFonts w:ascii="Times New Roman" w:hAnsi="Times New Roman" w:cs="Times New Roman"/>
          <w:color w:val="000000" w:themeColor="text1"/>
        </w:rPr>
        <w:t>tratar con el Estado y s[e] le[s] impone a los empleadores la obligación de afiliarse a determinada aseguradora, que es justo lo que hace el artículo […] cuestionado”</w:t>
      </w:r>
      <w:r w:rsidRPr="00597245">
        <w:rPr>
          <w:rStyle w:val="Refdenotaalpie"/>
          <w:rFonts w:ascii="Times New Roman" w:hAnsi="Times New Roman" w:cs="Times New Roman"/>
          <w:color w:val="000000" w:themeColor="text1"/>
        </w:rPr>
        <w:footnoteReference w:id="38"/>
      </w:r>
      <w:r w:rsidRPr="00597245">
        <w:rPr>
          <w:rFonts w:ascii="Times New Roman" w:hAnsi="Times New Roman" w:cs="Times New Roman"/>
          <w:color w:val="000000" w:themeColor="text1"/>
        </w:rPr>
        <w:t>.</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ind w:left="0"/>
        <w:rPr>
          <w:rFonts w:ascii="Times New Roman" w:hAnsi="Times New Roman" w:cs="Times New Roman"/>
          <w:b/>
          <w:bCs/>
          <w:color w:val="000000" w:themeColor="text1"/>
        </w:rPr>
      </w:pPr>
    </w:p>
    <w:p w:rsidR="0019028F" w:rsidRPr="00597245" w:rsidRDefault="00597245" w:rsidP="0019028F">
      <w:pPr>
        <w:pStyle w:val="Sombreadovistoso-nfasis31"/>
        <w:ind w:left="0"/>
        <w:rPr>
          <w:rFonts w:ascii="Times New Roman" w:hAnsi="Times New Roman" w:cs="Times New Roman"/>
          <w:b/>
          <w:bCs/>
          <w:color w:val="000000" w:themeColor="text1"/>
        </w:rPr>
      </w:pPr>
    </w:p>
    <w:p w:rsidR="0019028F" w:rsidRPr="00597245" w:rsidRDefault="00597245" w:rsidP="0019028F">
      <w:pPr>
        <w:pStyle w:val="Sombreadovistoso-nfasis31"/>
        <w:ind w:left="0"/>
        <w:rPr>
          <w:rFonts w:ascii="Times New Roman" w:hAnsi="Times New Roman" w:cs="Times New Roman"/>
          <w:b/>
          <w:bCs/>
          <w:color w:val="000000" w:themeColor="text1"/>
        </w:rPr>
      </w:pPr>
      <w:r w:rsidRPr="00597245">
        <w:rPr>
          <w:rFonts w:ascii="Times New Roman" w:hAnsi="Times New Roman" w:cs="Times New Roman"/>
          <w:b/>
          <w:bCs/>
          <w:color w:val="000000" w:themeColor="text1"/>
        </w:rPr>
        <w:t>Semillero de Derecho Laboral de la Pontificia Universidad Javeriana</w:t>
      </w:r>
      <w:r w:rsidRPr="00597245">
        <w:rPr>
          <w:rStyle w:val="Refdenotaalpie"/>
          <w:rFonts w:ascii="Times New Roman" w:hAnsi="Times New Roman" w:cs="Times New Roman"/>
          <w:b/>
          <w:bCs/>
          <w:color w:val="000000" w:themeColor="text1"/>
        </w:rPr>
        <w:footnoteReference w:id="39"/>
      </w:r>
    </w:p>
    <w:p w:rsidR="0019028F" w:rsidRPr="00597245" w:rsidRDefault="00597245" w:rsidP="0019028F">
      <w:pPr>
        <w:pStyle w:val="Sombreadovistoso-nfasis31"/>
        <w:ind w:left="0"/>
        <w:rPr>
          <w:rFonts w:ascii="Times New Roman" w:hAnsi="Times New Roman" w:cs="Times New Roman"/>
          <w:i/>
          <w:iCs/>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El Semillero solicitó que se declare la inexequibilidad de la norma demandada. El interviniente señaló que existe una vulneración del principio constitucional de unidad de materia, consagrado en el artículo 158 Superior, toda vez que, en su concepto, resul</w:t>
      </w:r>
      <w:r w:rsidRPr="00597245">
        <w:rPr>
          <w:rFonts w:ascii="Times New Roman" w:hAnsi="Times New Roman" w:cs="Times New Roman"/>
          <w:color w:val="000000" w:themeColor="text1"/>
        </w:rPr>
        <w:t xml:space="preserve">taba imposible encontrar un vínculo de conexidad o directo o inmediato entre la disposición acusada y el contenido general -planes, metas, objetivos o estrategias- del PND. Al efecto, el Semillero indicó que nada tiene que ver una norma que obliga a todas </w:t>
      </w:r>
      <w:r w:rsidRPr="00597245">
        <w:rPr>
          <w:rFonts w:ascii="Times New Roman" w:hAnsi="Times New Roman" w:cs="Times New Roman"/>
          <w:color w:val="000000" w:themeColor="text1"/>
        </w:rPr>
        <w:t>las entidades públicas a contratar el aseguramiento de riesgos laborales con Positiva Compañía de Seguros S.A. con el liderazgo en la protección de la vida, la superación de injusticias y exclusiones históricas, la no repetición del conflicto y la transfor</w:t>
      </w:r>
      <w:r w:rsidRPr="00597245">
        <w:rPr>
          <w:rFonts w:ascii="Times New Roman" w:hAnsi="Times New Roman" w:cs="Times New Roman"/>
          <w:color w:val="000000" w:themeColor="text1"/>
        </w:rPr>
        <w:t xml:space="preserve">mación productiva, que son los ejes de transformación propuestos en la parte general de la Ley del Plan.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Respecto al segundo cargo, el interviniente estuvo de acuerdo con la demandante al considerar que sí se vulneró la libre competencia económica al imp</w:t>
      </w:r>
      <w:r w:rsidRPr="00597245">
        <w:rPr>
          <w:rFonts w:ascii="Times New Roman" w:hAnsi="Times New Roman" w:cs="Times New Roman"/>
          <w:color w:val="000000" w:themeColor="text1"/>
        </w:rPr>
        <w:t>edir que las ARL privadas puedan prestar sus servicios a entidades del sector público. El Semillero recordó que, según la propia Corte Constitucional, la libre competencia económica implicaba la facultad de participación en el mercado, que se ve injustific</w:t>
      </w:r>
      <w:r w:rsidRPr="00597245">
        <w:rPr>
          <w:rFonts w:ascii="Times New Roman" w:hAnsi="Times New Roman" w:cs="Times New Roman"/>
          <w:color w:val="000000" w:themeColor="text1"/>
        </w:rPr>
        <w:t xml:space="preserve">adamente restringida al prohibir a las entidades públicas que opten por aseguradoras del mercado diferentes a la ARL Positiva, aseguradora ésta de carácter público.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ind w:left="0"/>
        <w:rPr>
          <w:rFonts w:ascii="Times New Roman" w:hAnsi="Times New Roman" w:cs="Times New Roman"/>
          <w:b/>
          <w:bCs/>
          <w:color w:val="000000" w:themeColor="text1"/>
        </w:rPr>
      </w:pPr>
      <w:r w:rsidRPr="00597245">
        <w:rPr>
          <w:rFonts w:ascii="Times New Roman" w:hAnsi="Times New Roman" w:cs="Times New Roman"/>
          <w:b/>
          <w:bCs/>
          <w:color w:val="000000" w:themeColor="text1"/>
        </w:rPr>
        <w:t>Diego Escallón Arango</w:t>
      </w:r>
      <w:r w:rsidRPr="00597245">
        <w:rPr>
          <w:rStyle w:val="Refdenotaalpie"/>
          <w:rFonts w:ascii="Times New Roman" w:hAnsi="Times New Roman" w:cs="Times New Roman"/>
          <w:b/>
          <w:bCs/>
          <w:color w:val="000000" w:themeColor="text1"/>
        </w:rPr>
        <w:footnoteReference w:id="40"/>
      </w:r>
      <w:r w:rsidRPr="00597245">
        <w:rPr>
          <w:rFonts w:ascii="Times New Roman" w:hAnsi="Times New Roman" w:cs="Times New Roman"/>
          <w:b/>
          <w:bCs/>
          <w:color w:val="000000" w:themeColor="text1"/>
        </w:rPr>
        <w:t xml:space="preserve"> </w:t>
      </w:r>
    </w:p>
    <w:p w:rsidR="0019028F" w:rsidRPr="00597245" w:rsidRDefault="00597245" w:rsidP="0019028F">
      <w:pPr>
        <w:pStyle w:val="Sombreadovistoso-nfasis31"/>
        <w:ind w:left="0"/>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El ciudadano solicitó que se declare la inexequibilidad de la no</w:t>
      </w:r>
      <w:r w:rsidRPr="00597245">
        <w:rPr>
          <w:rFonts w:ascii="Times New Roman" w:hAnsi="Times New Roman" w:cs="Times New Roman"/>
          <w:color w:val="000000" w:themeColor="text1"/>
        </w:rPr>
        <w:t xml:space="preserve">rma demandada. En primer lugar, el señor Escallón Arango argumentó que la norma acusada “no tiene conexión alguna con los ejes de transformación y transversales del Plan Nacional de Desarrollo ni puede sostenerse la existencia de una relación hipotética o </w:t>
      </w:r>
      <w:r w:rsidRPr="00597245">
        <w:rPr>
          <w:rFonts w:ascii="Times New Roman" w:hAnsi="Times New Roman" w:cs="Times New Roman"/>
          <w:color w:val="000000" w:themeColor="text1"/>
        </w:rPr>
        <w:t>eventual”</w:t>
      </w:r>
      <w:r w:rsidRPr="00597245">
        <w:rPr>
          <w:rStyle w:val="Refdenotaalpie"/>
          <w:rFonts w:ascii="Times New Roman" w:hAnsi="Times New Roman" w:cs="Times New Roman"/>
          <w:color w:val="000000" w:themeColor="text1"/>
        </w:rPr>
        <w:footnoteReference w:id="41"/>
      </w:r>
      <w:r w:rsidRPr="00597245">
        <w:rPr>
          <w:rFonts w:ascii="Times New Roman" w:hAnsi="Times New Roman" w:cs="Times New Roman"/>
          <w:color w:val="000000" w:themeColor="text1"/>
        </w:rPr>
        <w:t>. El ciudadano reconoció que, quizás, podría pensarse que existe alguna relación entre la norma acusada y el eje de transformación de “Seguridad Humana y Justicia Social”. Sin embargo, el interviniente adujo que el alcance de dicho eje de transfo</w:t>
      </w:r>
      <w:r w:rsidRPr="00597245">
        <w:rPr>
          <w:rFonts w:ascii="Times New Roman" w:hAnsi="Times New Roman" w:cs="Times New Roman"/>
          <w:color w:val="000000" w:themeColor="text1"/>
        </w:rPr>
        <w:t>rmación está planteado para propender a la universalización de la afiliación al sistema de salud y de la seguridad social, pero no tiene el objetivo de incidir directamente sobre el sistema de riesgos laborales. El ciudadano manifestó que se trataba de una</w:t>
      </w:r>
      <w:r w:rsidRPr="00597245">
        <w:rPr>
          <w:rFonts w:ascii="Times New Roman" w:hAnsi="Times New Roman" w:cs="Times New Roman"/>
          <w:color w:val="000000" w:themeColor="text1"/>
        </w:rPr>
        <w:t xml:space="preserve"> medida que no tenía un carácter instrumental, pues no pretendía servir en la ejecución de los propósitos y las bases contenidas en la parte general de la Ley del PND.</w:t>
      </w:r>
    </w:p>
    <w:p w:rsidR="0019028F" w:rsidRPr="00597245" w:rsidRDefault="00597245" w:rsidP="0019028F">
      <w:pPr>
        <w:pStyle w:val="Sombreadovistoso-nfasis31"/>
        <w:ind w:left="0"/>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El señor Escallón Arango señaló, adicionalmente, que el debate de la norma acusada care</w:t>
      </w:r>
      <w:r w:rsidRPr="00597245">
        <w:rPr>
          <w:rFonts w:ascii="Times New Roman" w:hAnsi="Times New Roman" w:cs="Times New Roman"/>
          <w:color w:val="000000" w:themeColor="text1"/>
        </w:rPr>
        <w:t>ció de análisis sustantivo, responsable y democrático y, por consiguiente, omitió justificar de manera adecuada tanto: (i) la conexidad entre dicha disposición y la parte general del PND; como (ii) la necesidad, proporcionalidad y razonabilidad de la restr</w:t>
      </w:r>
      <w:r w:rsidRPr="00597245">
        <w:rPr>
          <w:rFonts w:ascii="Times New Roman" w:hAnsi="Times New Roman" w:cs="Times New Roman"/>
          <w:color w:val="000000" w:themeColor="text1"/>
        </w:rPr>
        <w:t xml:space="preserve">icción de la libre competencia que implica la norma bajo examen. Además, el ciudadano indicó que el artículo demandado tenía un carácter permanente y no transitorio por un periodo de gobierno, de lo cual se desprendía que se trataba de una norma ordinaria </w:t>
      </w:r>
      <w:r w:rsidRPr="00597245">
        <w:rPr>
          <w:rFonts w:ascii="Times New Roman" w:hAnsi="Times New Roman" w:cs="Times New Roman"/>
          <w:color w:val="000000" w:themeColor="text1"/>
        </w:rPr>
        <w:t xml:space="preserve">y no de una norma propia de un PND. </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Frente al segundo cargo, el ciudadano manifestó que efectivamente la norma demandada contrariaba la libre competencia económica consagrada en el artículo 333 de la Carta. El señor Diego Escallón Arango señaló que tanto</w:t>
      </w:r>
      <w:r w:rsidRPr="00597245">
        <w:rPr>
          <w:rFonts w:ascii="Times New Roman" w:hAnsi="Times New Roman" w:cs="Times New Roman"/>
          <w:color w:val="000000" w:themeColor="text1"/>
        </w:rPr>
        <w:t xml:space="preserve"> ARL Positiva como las ARL privadas cumplen con el mismo objeto social y cuentan con las mismas capacidades jurídicas para el desempeño de sus labores, de manera que les deben aplicar las mismas reglas y limitaciones en igualdad de condiciones. Finalmente,</w:t>
      </w:r>
      <w:r w:rsidRPr="00597245">
        <w:rPr>
          <w:rFonts w:ascii="Times New Roman" w:hAnsi="Times New Roman" w:cs="Times New Roman"/>
          <w:color w:val="000000" w:themeColor="text1"/>
        </w:rPr>
        <w:t xml:space="preserve"> el ciudadano enfatizó en que “otorgarle una prerrogativa a un competidor sin ninguna justificación objetiva y sin el debate meritorio para esto vulnera la Constitución […] y supone en la práctica establecer un abuso de la posición dominante del actor esta</w:t>
      </w:r>
      <w:r w:rsidRPr="00597245">
        <w:rPr>
          <w:rFonts w:ascii="Times New Roman" w:hAnsi="Times New Roman" w:cs="Times New Roman"/>
          <w:color w:val="000000" w:themeColor="text1"/>
        </w:rPr>
        <w:t>tal dentro de un mercado en libre competencia”</w:t>
      </w:r>
      <w:r w:rsidRPr="00597245">
        <w:rPr>
          <w:rStyle w:val="Refdenotaalpie"/>
          <w:rFonts w:ascii="Times New Roman" w:hAnsi="Times New Roman" w:cs="Times New Roman"/>
          <w:color w:val="000000" w:themeColor="text1"/>
        </w:rPr>
        <w:footnoteReference w:id="42"/>
      </w:r>
      <w:r w:rsidRPr="00597245">
        <w:rPr>
          <w:rFonts w:ascii="Times New Roman" w:hAnsi="Times New Roman" w:cs="Times New Roman"/>
          <w:color w:val="000000" w:themeColor="text1"/>
        </w:rPr>
        <w:t>.</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A continuación, se reseñan las intervenciones recibidas durante el trámite:</w:t>
      </w:r>
    </w:p>
    <w:p w:rsidR="0019028F" w:rsidRPr="00597245" w:rsidRDefault="00597245" w:rsidP="0019028F">
      <w:pPr>
        <w:rPr>
          <w:rFonts w:ascii="Times New Roman" w:hAnsi="Times New Roman" w:cs="Times New Roman"/>
          <w:color w:val="000000" w:themeColor="text1"/>
          <w:sz w:val="28"/>
        </w:rPr>
      </w:pPr>
    </w:p>
    <w:p w:rsidR="0019028F" w:rsidRPr="00597245" w:rsidRDefault="00597245" w:rsidP="0019028F">
      <w:pPr>
        <w:jc w:val="center"/>
        <w:rPr>
          <w:rFonts w:ascii="Times New Roman" w:hAnsi="Times New Roman" w:cs="Times New Roman"/>
          <w:b/>
          <w:bCs/>
          <w:color w:val="000000" w:themeColor="text1"/>
          <w:sz w:val="28"/>
        </w:rPr>
      </w:pPr>
      <w:r w:rsidRPr="00597245">
        <w:rPr>
          <w:rFonts w:ascii="Times New Roman" w:hAnsi="Times New Roman" w:cs="Times New Roman"/>
          <w:b/>
          <w:bCs/>
          <w:color w:val="000000" w:themeColor="text1"/>
          <w:sz w:val="28"/>
        </w:rPr>
        <w:t>Tabla 2 – Síntesis de los escritos de intervención</w:t>
      </w:r>
    </w:p>
    <w:tbl>
      <w:tblPr>
        <w:tblStyle w:val="Tablaconcuadrcula"/>
        <w:tblW w:w="0" w:type="auto"/>
        <w:tblLook w:val="04A0" w:firstRow="1" w:lastRow="0" w:firstColumn="1" w:lastColumn="0" w:noHBand="0" w:noVBand="1"/>
      </w:tblPr>
      <w:tblGrid>
        <w:gridCol w:w="4414"/>
        <w:gridCol w:w="4414"/>
      </w:tblGrid>
      <w:tr w:rsidR="0019028F" w:rsidRPr="00597245" w:rsidTr="006156C4">
        <w:tc>
          <w:tcPr>
            <w:tcW w:w="4414" w:type="dxa"/>
            <w:shd w:val="clear" w:color="auto" w:fill="DEEAF6" w:themeFill="accent1" w:themeFillTint="33"/>
          </w:tcPr>
          <w:p w:rsidR="0019028F" w:rsidRPr="00597245" w:rsidRDefault="00597245" w:rsidP="006156C4">
            <w:pPr>
              <w:pStyle w:val="Sombreadovistoso-nfasis31"/>
              <w:ind w:left="0"/>
              <w:jc w:val="center"/>
              <w:rPr>
                <w:rFonts w:ascii="Times New Roman" w:hAnsi="Times New Roman"/>
                <w:b/>
                <w:bCs/>
                <w:color w:val="000000" w:themeColor="text1"/>
                <w:szCs w:val="24"/>
              </w:rPr>
            </w:pPr>
            <w:r w:rsidRPr="00597245">
              <w:rPr>
                <w:rFonts w:ascii="Times New Roman" w:hAnsi="Times New Roman"/>
                <w:b/>
                <w:bCs/>
                <w:color w:val="000000" w:themeColor="text1"/>
                <w:szCs w:val="24"/>
              </w:rPr>
              <w:t>Interviniente</w:t>
            </w:r>
          </w:p>
        </w:tc>
        <w:tc>
          <w:tcPr>
            <w:tcW w:w="4414" w:type="dxa"/>
            <w:shd w:val="clear" w:color="auto" w:fill="DEEAF6" w:themeFill="accent1" w:themeFillTint="33"/>
          </w:tcPr>
          <w:p w:rsidR="0019028F" w:rsidRPr="00597245" w:rsidRDefault="00597245" w:rsidP="006156C4">
            <w:pPr>
              <w:pStyle w:val="Sombreadovistoso-nfasis31"/>
              <w:ind w:left="0"/>
              <w:jc w:val="center"/>
              <w:rPr>
                <w:rFonts w:ascii="Times New Roman" w:hAnsi="Times New Roman"/>
                <w:b/>
                <w:bCs/>
                <w:color w:val="000000" w:themeColor="text1"/>
                <w:szCs w:val="24"/>
              </w:rPr>
            </w:pPr>
            <w:r w:rsidRPr="00597245">
              <w:rPr>
                <w:rFonts w:ascii="Times New Roman" w:hAnsi="Times New Roman"/>
                <w:b/>
                <w:bCs/>
                <w:color w:val="000000" w:themeColor="text1"/>
                <w:szCs w:val="24"/>
              </w:rPr>
              <w:t>Solicitud</w:t>
            </w:r>
          </w:p>
        </w:tc>
      </w:tr>
      <w:tr w:rsidR="0019028F" w:rsidRPr="00597245" w:rsidTr="006156C4">
        <w:tc>
          <w:tcPr>
            <w:tcW w:w="4414" w:type="dxa"/>
          </w:tcPr>
          <w:p w:rsidR="0019028F" w:rsidRPr="00597245" w:rsidRDefault="00597245" w:rsidP="006156C4">
            <w:pPr>
              <w:pStyle w:val="Sombreadovistoso-nfasis31"/>
              <w:ind w:left="0"/>
              <w:rPr>
                <w:rFonts w:ascii="Times New Roman" w:hAnsi="Times New Roman"/>
                <w:color w:val="000000" w:themeColor="text1"/>
                <w:szCs w:val="24"/>
              </w:rPr>
            </w:pPr>
            <w:r w:rsidRPr="00597245">
              <w:rPr>
                <w:rFonts w:ascii="Times New Roman" w:hAnsi="Times New Roman"/>
                <w:color w:val="000000" w:themeColor="text1"/>
                <w:szCs w:val="24"/>
              </w:rPr>
              <w:t xml:space="preserve">Positiva Compañía de Seguros S.A. </w:t>
            </w: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r w:rsidRPr="00597245">
              <w:rPr>
                <w:rFonts w:ascii="Times New Roman" w:hAnsi="Times New Roman"/>
                <w:color w:val="000000" w:themeColor="text1"/>
                <w:szCs w:val="24"/>
              </w:rPr>
              <w:t xml:space="preserve">Departamento Nacional de Planeación (DNP) </w:t>
            </w:r>
          </w:p>
          <w:p w:rsidR="0019028F" w:rsidRPr="00597245" w:rsidRDefault="00597245" w:rsidP="006156C4">
            <w:pPr>
              <w:pStyle w:val="Prrafodelista"/>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r w:rsidRPr="00597245">
              <w:rPr>
                <w:rFonts w:ascii="Times New Roman" w:hAnsi="Times New Roman"/>
                <w:color w:val="000000" w:themeColor="text1"/>
                <w:szCs w:val="24"/>
              </w:rPr>
              <w:t>Departamento Administrativo de la Presidencia de la República</w:t>
            </w:r>
          </w:p>
        </w:tc>
        <w:tc>
          <w:tcPr>
            <w:tcW w:w="4414" w:type="dxa"/>
          </w:tcPr>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jc w:val="center"/>
              <w:rPr>
                <w:rFonts w:ascii="Times New Roman" w:hAnsi="Times New Roman"/>
                <w:color w:val="000000" w:themeColor="text1"/>
                <w:szCs w:val="24"/>
              </w:rPr>
            </w:pPr>
            <w:r w:rsidRPr="00597245">
              <w:rPr>
                <w:rFonts w:ascii="Times New Roman" w:hAnsi="Times New Roman"/>
                <w:color w:val="000000" w:themeColor="text1"/>
                <w:szCs w:val="24"/>
              </w:rPr>
              <w:t>Exequibilidad</w:t>
            </w:r>
          </w:p>
        </w:tc>
      </w:tr>
      <w:tr w:rsidR="0019028F" w:rsidRPr="00597245" w:rsidTr="006156C4">
        <w:trPr>
          <w:trHeight w:val="353"/>
        </w:trPr>
        <w:tc>
          <w:tcPr>
            <w:tcW w:w="4414" w:type="dxa"/>
          </w:tcPr>
          <w:p w:rsidR="0019028F" w:rsidRPr="00597245" w:rsidRDefault="00597245" w:rsidP="006156C4">
            <w:pPr>
              <w:pStyle w:val="Sombreadovistoso-nfasis31"/>
              <w:ind w:left="0"/>
              <w:rPr>
                <w:rFonts w:ascii="Times New Roman" w:hAnsi="Times New Roman"/>
                <w:color w:val="000000" w:themeColor="text1"/>
                <w:szCs w:val="24"/>
              </w:rPr>
            </w:pPr>
            <w:r w:rsidRPr="00597245">
              <w:rPr>
                <w:rFonts w:ascii="Times New Roman" w:hAnsi="Times New Roman"/>
                <w:color w:val="000000" w:themeColor="text1"/>
                <w:szCs w:val="24"/>
              </w:rPr>
              <w:t xml:space="preserve">Colmena Riesgos Laborales S.A. </w:t>
            </w: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r w:rsidRPr="00597245">
              <w:rPr>
                <w:rFonts w:ascii="Times New Roman" w:hAnsi="Times New Roman"/>
                <w:color w:val="000000" w:themeColor="text1"/>
                <w:szCs w:val="24"/>
              </w:rPr>
              <w:t>Federación de Aseguradores Colombianos (FASECOLDA)</w:t>
            </w: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r w:rsidRPr="00597245">
              <w:rPr>
                <w:rFonts w:ascii="Times New Roman" w:hAnsi="Times New Roman"/>
                <w:color w:val="000000" w:themeColor="text1"/>
                <w:szCs w:val="24"/>
              </w:rPr>
              <w:t xml:space="preserve">Semillero de Derecho Laboral de la Pontificia </w:t>
            </w:r>
            <w:r w:rsidRPr="00597245">
              <w:rPr>
                <w:rFonts w:ascii="Times New Roman" w:hAnsi="Times New Roman"/>
                <w:color w:val="000000" w:themeColor="text1"/>
                <w:szCs w:val="24"/>
              </w:rPr>
              <w:t>Universidad Javeriana</w:t>
            </w: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r w:rsidRPr="00597245">
              <w:rPr>
                <w:rFonts w:ascii="Times New Roman" w:hAnsi="Times New Roman"/>
                <w:color w:val="000000" w:themeColor="text1"/>
                <w:szCs w:val="24"/>
              </w:rPr>
              <w:t xml:space="preserve">Diego Escallón Arango </w:t>
            </w:r>
          </w:p>
        </w:tc>
        <w:tc>
          <w:tcPr>
            <w:tcW w:w="4414" w:type="dxa"/>
          </w:tcPr>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rPr>
                <w:rFonts w:ascii="Times New Roman" w:hAnsi="Times New Roman"/>
                <w:color w:val="000000" w:themeColor="text1"/>
                <w:szCs w:val="24"/>
              </w:rPr>
            </w:pPr>
          </w:p>
          <w:p w:rsidR="0019028F" w:rsidRPr="00597245" w:rsidRDefault="00597245" w:rsidP="006156C4">
            <w:pPr>
              <w:pStyle w:val="Sombreadovistoso-nfasis31"/>
              <w:ind w:left="0"/>
              <w:jc w:val="center"/>
              <w:rPr>
                <w:rFonts w:ascii="Times New Roman" w:hAnsi="Times New Roman"/>
                <w:color w:val="000000" w:themeColor="text1"/>
                <w:szCs w:val="24"/>
              </w:rPr>
            </w:pPr>
            <w:r w:rsidRPr="00597245">
              <w:rPr>
                <w:rFonts w:ascii="Times New Roman" w:hAnsi="Times New Roman"/>
                <w:color w:val="000000" w:themeColor="text1"/>
                <w:szCs w:val="24"/>
              </w:rPr>
              <w:t>Inexequibilidad</w:t>
            </w:r>
          </w:p>
        </w:tc>
      </w:tr>
    </w:tbl>
    <w:p w:rsidR="0019028F" w:rsidRPr="00597245" w:rsidRDefault="00597245" w:rsidP="0019028F">
      <w:pPr>
        <w:pStyle w:val="Sombreadovistoso-nfasis31"/>
        <w:ind w:left="0"/>
        <w:rPr>
          <w:rFonts w:ascii="Times New Roman" w:hAnsi="Times New Roman" w:cs="Times New Roman"/>
          <w:bCs/>
          <w:color w:val="000000" w:themeColor="text1"/>
          <w:lang w:val="es-CO"/>
        </w:rPr>
      </w:pPr>
    </w:p>
    <w:p w:rsidR="0019028F" w:rsidRPr="00597245" w:rsidRDefault="00597245" w:rsidP="0019028F">
      <w:pPr>
        <w:pStyle w:val="Prrafodelista"/>
        <w:numPr>
          <w:ilvl w:val="0"/>
          <w:numId w:val="4"/>
        </w:numPr>
        <w:ind w:left="1134" w:hanging="567"/>
        <w:rPr>
          <w:rFonts w:ascii="Times New Roman" w:hAnsi="Times New Roman" w:cs="Times New Roman"/>
          <w:b/>
          <w:color w:val="000000" w:themeColor="text1"/>
          <w:lang w:val="es-CO"/>
        </w:rPr>
      </w:pPr>
      <w:r w:rsidRPr="00597245">
        <w:rPr>
          <w:rFonts w:ascii="Times New Roman" w:hAnsi="Times New Roman" w:cs="Times New Roman"/>
          <w:b/>
          <w:color w:val="000000" w:themeColor="text1"/>
          <w:lang w:val="es-CO"/>
        </w:rPr>
        <w:t>CONCEPTO DE LA PROCURADORA GENERAL DE LA NACIÓN</w:t>
      </w:r>
    </w:p>
    <w:p w:rsidR="0019028F" w:rsidRPr="00597245" w:rsidRDefault="00597245" w:rsidP="0019028F">
      <w:pPr>
        <w:pStyle w:val="Sombreadovistoso-nfasis31"/>
        <w:ind w:left="0"/>
        <w:rPr>
          <w:rFonts w:ascii="Times New Roman" w:hAnsi="Times New Roman" w:cs="Times New Roman"/>
          <w:color w:val="000000" w:themeColor="text1"/>
          <w:lang w:eastAsia="es-CO"/>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procuradora general de la Nación señaló que los reproches de constitucionalidad formulados en la demanda guardaban identidad con algunos de los cargos presentados en el Expediente D-15.370, proceso en el cual la Procuraduría General de la Nación solicit</w:t>
      </w:r>
      <w:r w:rsidRPr="00597245">
        <w:rPr>
          <w:rFonts w:ascii="Times New Roman" w:hAnsi="Times New Roman" w:cs="Times New Roman"/>
          <w:color w:val="000000" w:themeColor="text1"/>
        </w:rPr>
        <w:t>ó a la Corte que declarara la inexequibilidad de la norma demandada. Dicho esto, la Procuraduría solicitó que, en el proceso de la referencia, la Corte dispusiera estarse a lo resuelto en la sentencia que se adoptara en el proceso D-15.370, sin perjuicio d</w:t>
      </w:r>
      <w:r w:rsidRPr="00597245">
        <w:rPr>
          <w:rFonts w:ascii="Times New Roman" w:hAnsi="Times New Roman" w:cs="Times New Roman"/>
          <w:color w:val="000000" w:themeColor="text1"/>
        </w:rPr>
        <w:t xml:space="preserve">e plantear nuevamente los argumentos en virtud de los cuales considera que el artículo 97 de la Ley 2294 de 2023 resulta contrario a la Constitución.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 xml:space="preserve">Al efecto, la procuradora inició por referirse a las sentencias C-219 de 2019, C-276 de 2021 y C-049 de </w:t>
      </w:r>
      <w:r w:rsidRPr="00597245">
        <w:rPr>
          <w:rFonts w:ascii="Times New Roman" w:hAnsi="Times New Roman" w:cs="Times New Roman"/>
          <w:color w:val="000000" w:themeColor="text1"/>
        </w:rPr>
        <w:t>2022 en las cuales, según el concepto de la Procuraduría, se estableció que “la modificación de normas ordinarias del Sistema General de Seguridad Social por medio de leyes que aprueba los planes nacionales de desarrollo resulta prima facie inconstituciona</w:t>
      </w:r>
      <w:r w:rsidRPr="00597245">
        <w:rPr>
          <w:rFonts w:ascii="Times New Roman" w:hAnsi="Times New Roman" w:cs="Times New Roman"/>
          <w:color w:val="000000" w:themeColor="text1"/>
        </w:rPr>
        <w:t>l”</w:t>
      </w:r>
      <w:r w:rsidRPr="00597245">
        <w:rPr>
          <w:rStyle w:val="Refdenotaalpie"/>
          <w:rFonts w:ascii="Times New Roman" w:hAnsi="Times New Roman" w:cs="Times New Roman"/>
          <w:color w:val="000000" w:themeColor="text1"/>
        </w:rPr>
        <w:footnoteReference w:id="43"/>
      </w:r>
      <w:r w:rsidRPr="00597245">
        <w:rPr>
          <w:rFonts w:ascii="Times New Roman" w:hAnsi="Times New Roman" w:cs="Times New Roman"/>
          <w:color w:val="000000" w:themeColor="text1"/>
        </w:rPr>
        <w:t>. Con base en lo anterior, la procuradora adujo que, en el presente caso, la relación entre la disposición acusada y los planes, programas y políticas sociales contenidos en la parte general del PND no es más que conjetural, hipotética e indirecta, de m</w:t>
      </w:r>
      <w:r w:rsidRPr="00597245">
        <w:rPr>
          <w:rFonts w:ascii="Times New Roman" w:hAnsi="Times New Roman" w:cs="Times New Roman"/>
          <w:color w:val="000000" w:themeColor="text1"/>
        </w:rPr>
        <w:t xml:space="preserve">odo que no satisface el juicio de unidad de materia que ha creado la jurisprudencia constitucional para evaluar normas pertenecientes a una ley aprobatoria del PND.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La Procuraduría argumentó que la norma acusada no desarrollaba de forma estrecha las meta</w:t>
      </w:r>
      <w:r w:rsidRPr="00597245">
        <w:rPr>
          <w:rFonts w:ascii="Times New Roman" w:hAnsi="Times New Roman" w:cs="Times New Roman"/>
          <w:color w:val="000000" w:themeColor="text1"/>
        </w:rPr>
        <w:t>s y propósitos del PND y que, además, modificaba tácitamente el precepto ordinario que dispone que el empleador puede, libre y voluntariamente, seleccionar a las entidades que administrarán el sistema de riesgos laborales. Para la procuradora, la modificac</w:t>
      </w:r>
      <w:r w:rsidRPr="00597245">
        <w:rPr>
          <w:rFonts w:ascii="Times New Roman" w:hAnsi="Times New Roman" w:cs="Times New Roman"/>
          <w:color w:val="000000" w:themeColor="text1"/>
        </w:rPr>
        <w:t xml:space="preserve">ión mencionada no le corresponde a una norma perteneciente a un PND. En efecto, a juicio de la procuradora debió realizarse mediante ley ordinaria, a fin de garantizar un debate abierto y democrático acerca de las implicaciones de la norma acusada. </w:t>
      </w:r>
    </w:p>
    <w:p w:rsidR="0019028F" w:rsidRPr="00597245" w:rsidRDefault="00597245" w:rsidP="0019028F">
      <w:pPr>
        <w:ind w:hanging="11"/>
        <w:jc w:val="both"/>
        <w:rPr>
          <w:rFonts w:ascii="Times New Roman" w:hAnsi="Times New Roman" w:cs="Times New Roman"/>
          <w:color w:val="000000" w:themeColor="text1"/>
          <w:sz w:val="28"/>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rPr>
      </w:pPr>
      <w:r w:rsidRPr="00597245">
        <w:rPr>
          <w:rFonts w:ascii="Times New Roman" w:hAnsi="Times New Roman" w:cs="Times New Roman"/>
          <w:color w:val="000000" w:themeColor="text1"/>
        </w:rPr>
        <w:t>Por ú</w:t>
      </w:r>
      <w:r w:rsidRPr="00597245">
        <w:rPr>
          <w:rFonts w:ascii="Times New Roman" w:hAnsi="Times New Roman" w:cs="Times New Roman"/>
          <w:color w:val="000000" w:themeColor="text1"/>
        </w:rPr>
        <w:t>ltimo, la procuradora recordó la sentencia C-289 de 2008 y señaló que, en virtud de dicho precedente constitucional, no resultaba válido ni constitucional impedir que los particulares contraten con las entidades públicas, aunque sí es legítimo que el Estad</w:t>
      </w:r>
      <w:r w:rsidRPr="00597245">
        <w:rPr>
          <w:rFonts w:ascii="Times New Roman" w:hAnsi="Times New Roman" w:cs="Times New Roman"/>
          <w:color w:val="000000" w:themeColor="text1"/>
        </w:rPr>
        <w:t xml:space="preserve">o promueva la contratación con las ARL públicas. </w:t>
      </w:r>
    </w:p>
    <w:p w:rsidR="0019028F" w:rsidRPr="00597245" w:rsidRDefault="00597245" w:rsidP="0019028F">
      <w:pPr>
        <w:pStyle w:val="Sombreadovistoso-nfasis31"/>
        <w:ind w:left="0" w:hanging="11"/>
        <w:rPr>
          <w:rFonts w:ascii="Times New Roman" w:hAnsi="Times New Roman" w:cs="Times New Roman"/>
          <w:color w:val="000000" w:themeColor="text1"/>
          <w:lang w:val="es-CO" w:eastAsia="es-CO"/>
        </w:rPr>
      </w:pPr>
    </w:p>
    <w:p w:rsidR="0019028F" w:rsidRPr="00597245" w:rsidRDefault="00597245" w:rsidP="0019028F">
      <w:pPr>
        <w:pStyle w:val="Prrafodelista"/>
        <w:numPr>
          <w:ilvl w:val="0"/>
          <w:numId w:val="4"/>
        </w:numPr>
        <w:ind w:left="1134" w:hanging="567"/>
        <w:rPr>
          <w:rFonts w:ascii="Times New Roman" w:hAnsi="Times New Roman" w:cs="Times New Roman"/>
          <w:bCs/>
          <w:color w:val="000000" w:themeColor="text1"/>
          <w:lang w:val="es-ES_tradnl"/>
        </w:rPr>
      </w:pPr>
      <w:r w:rsidRPr="00597245">
        <w:rPr>
          <w:rFonts w:ascii="Times New Roman" w:hAnsi="Times New Roman" w:cs="Times New Roman"/>
          <w:b/>
          <w:color w:val="000000" w:themeColor="text1"/>
          <w:lang w:val="es-ES_tradnl"/>
        </w:rPr>
        <w:t>ACTUACIONES DURANTE EL DESARROLLO DEL PROCESO DE CONSTITUCIONALIDAD</w:t>
      </w:r>
      <w:r w:rsidRPr="00597245">
        <w:rPr>
          <w:rFonts w:ascii="Times New Roman" w:hAnsi="Times New Roman" w:cs="Times New Roman"/>
          <w:bCs/>
          <w:color w:val="000000" w:themeColor="text1"/>
          <w:lang w:val="es-ES_tradnl"/>
        </w:rPr>
        <w:t xml:space="preserve"> </w:t>
      </w:r>
    </w:p>
    <w:p w:rsidR="0019028F" w:rsidRPr="00597245" w:rsidRDefault="00597245" w:rsidP="0019028F">
      <w:pPr>
        <w:pStyle w:val="Sombreadovistoso-nfasis31"/>
        <w:ind w:left="0"/>
        <w:rPr>
          <w:rFonts w:ascii="Times New Roman" w:hAnsi="Times New Roman" w:cs="Times New Roman"/>
          <w:b/>
          <w:bCs/>
          <w:color w:val="000000" w:themeColor="text1"/>
          <w:lang w:val="es-CO" w:eastAsia="es-CO"/>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lang w:val="es-CO" w:eastAsia="es-CO"/>
        </w:rPr>
      </w:pPr>
      <w:r w:rsidRPr="00597245">
        <w:rPr>
          <w:rFonts w:ascii="Times New Roman" w:hAnsi="Times New Roman" w:cs="Times New Roman"/>
          <w:color w:val="000000" w:themeColor="text1"/>
          <w:lang w:val="es-CO" w:eastAsia="es-CO"/>
        </w:rPr>
        <w:t>Con escrito del 11 de enero de 2024</w:t>
      </w:r>
      <w:r w:rsidRPr="00597245">
        <w:rPr>
          <w:rStyle w:val="Refdenotaalpie"/>
          <w:rFonts w:ascii="Times New Roman" w:hAnsi="Times New Roman" w:cs="Times New Roman"/>
          <w:color w:val="000000" w:themeColor="text1"/>
          <w:lang w:val="es-CO" w:eastAsia="es-CO"/>
        </w:rPr>
        <w:footnoteReference w:id="44"/>
      </w:r>
      <w:r w:rsidRPr="00597245">
        <w:rPr>
          <w:rFonts w:ascii="Times New Roman" w:hAnsi="Times New Roman" w:cs="Times New Roman"/>
          <w:color w:val="000000" w:themeColor="text1"/>
          <w:lang w:val="es-CO" w:eastAsia="es-CO"/>
        </w:rPr>
        <w:t>, el magistrado Vladimir Fernández Andrade</w:t>
      </w:r>
      <w:r w:rsidRPr="00597245">
        <w:rPr>
          <w:rStyle w:val="Refdenotaalpie"/>
          <w:rFonts w:ascii="Times New Roman" w:hAnsi="Times New Roman" w:cs="Times New Roman"/>
          <w:color w:val="000000" w:themeColor="text1"/>
          <w:lang w:val="es-CO" w:eastAsia="es-CO"/>
        </w:rPr>
        <w:footnoteReference w:id="45"/>
      </w:r>
      <w:r w:rsidRPr="00597245">
        <w:rPr>
          <w:rFonts w:ascii="Times New Roman" w:hAnsi="Times New Roman" w:cs="Times New Roman"/>
          <w:color w:val="000000" w:themeColor="text1"/>
          <w:lang w:val="es-CO" w:eastAsia="es-CO"/>
        </w:rPr>
        <w:t xml:space="preserve"> manifestó su impedimento para conocer y tramitar el asu</w:t>
      </w:r>
      <w:r w:rsidRPr="00597245">
        <w:rPr>
          <w:rFonts w:ascii="Times New Roman" w:hAnsi="Times New Roman" w:cs="Times New Roman"/>
          <w:color w:val="000000" w:themeColor="text1"/>
          <w:lang w:val="es-CO" w:eastAsia="es-CO"/>
        </w:rPr>
        <w:t>nto de referencia de conformidad con lo previsto en los artículos 25 y 26 del Decreto Ley 2067 del 4 de septiembre de 1991, por la causal de haber intervenido en la expedición de la disposición acusada cuando se desempeñaba como secretario jurídico de la P</w:t>
      </w:r>
      <w:r w:rsidRPr="00597245">
        <w:rPr>
          <w:rFonts w:ascii="Times New Roman" w:hAnsi="Times New Roman" w:cs="Times New Roman"/>
          <w:color w:val="000000" w:themeColor="text1"/>
          <w:lang w:val="es-CO" w:eastAsia="es-CO"/>
        </w:rPr>
        <w:t xml:space="preserve">residencia de la República. </w:t>
      </w:r>
    </w:p>
    <w:p w:rsidR="0019028F" w:rsidRPr="00597245" w:rsidRDefault="00597245" w:rsidP="0019028F">
      <w:pPr>
        <w:pStyle w:val="Sombreadovistoso-nfasis31"/>
        <w:ind w:left="0"/>
        <w:rPr>
          <w:rFonts w:ascii="Times New Roman" w:hAnsi="Times New Roman" w:cs="Times New Roman"/>
          <w:color w:val="000000" w:themeColor="text1"/>
          <w:lang w:val="es-CO" w:eastAsia="es-CO"/>
        </w:rPr>
      </w:pPr>
    </w:p>
    <w:p w:rsidR="0019028F" w:rsidRPr="00597245" w:rsidRDefault="00597245" w:rsidP="0019028F">
      <w:pPr>
        <w:pStyle w:val="Sombreadovistoso-nfasis31"/>
        <w:numPr>
          <w:ilvl w:val="0"/>
          <w:numId w:val="2"/>
        </w:numPr>
        <w:ind w:left="0" w:hanging="11"/>
        <w:rPr>
          <w:rFonts w:ascii="Times New Roman" w:hAnsi="Times New Roman" w:cs="Times New Roman"/>
          <w:color w:val="000000" w:themeColor="text1"/>
          <w:lang w:val="es-CO" w:eastAsia="es-CO"/>
        </w:rPr>
      </w:pPr>
      <w:r w:rsidRPr="00597245">
        <w:rPr>
          <w:rFonts w:ascii="Times New Roman" w:hAnsi="Times New Roman" w:cs="Times New Roman"/>
          <w:color w:val="000000" w:themeColor="text1"/>
          <w:lang w:val="es-CO" w:eastAsia="es-CO"/>
        </w:rPr>
        <w:t>En la sesión virtual del 14 de febrero de 2024, la Sala Plena de esta Corporación declaró fundado el impedimento manifestado por el magistrado Vladimir Fernández Andrade. En consecuencia, se realizó el sorteo del expediente en</w:t>
      </w:r>
      <w:r w:rsidRPr="00597245">
        <w:rPr>
          <w:rFonts w:ascii="Times New Roman" w:hAnsi="Times New Roman" w:cs="Times New Roman"/>
          <w:color w:val="000000" w:themeColor="text1"/>
          <w:lang w:val="es-CO" w:eastAsia="es-CO"/>
        </w:rPr>
        <w:t>tre los magistrados y las magistradas restantes, en virtud del cual resultó designada como ponente la magistrada Natalia Ángel Cabo.</w:t>
      </w:r>
    </w:p>
    <w:p w:rsidR="0019028F" w:rsidRPr="00597245" w:rsidRDefault="00597245" w:rsidP="0019028F">
      <w:pPr>
        <w:pStyle w:val="Sombreadovistoso-nfasis31"/>
        <w:ind w:left="0" w:hanging="11"/>
        <w:rPr>
          <w:rFonts w:ascii="Times New Roman" w:hAnsi="Times New Roman" w:cs="Times New Roman"/>
          <w:color w:val="000000" w:themeColor="text1"/>
          <w:lang w:val="es-CO" w:eastAsia="es-CO"/>
        </w:rPr>
      </w:pPr>
    </w:p>
    <w:p w:rsidR="0019028F" w:rsidRPr="00597245" w:rsidRDefault="00597245" w:rsidP="0019028F">
      <w:pPr>
        <w:pStyle w:val="Sombreadovistoso-nfasis31"/>
        <w:numPr>
          <w:ilvl w:val="0"/>
          <w:numId w:val="3"/>
        </w:numPr>
        <w:tabs>
          <w:tab w:val="left" w:pos="567"/>
        </w:tabs>
        <w:ind w:left="0" w:firstLine="0"/>
        <w:rPr>
          <w:rFonts w:ascii="Times New Roman" w:hAnsi="Times New Roman" w:cs="Times New Roman"/>
          <w:b/>
          <w:bCs/>
          <w:color w:val="000000" w:themeColor="text1"/>
        </w:rPr>
      </w:pPr>
      <w:r w:rsidRPr="00597245">
        <w:rPr>
          <w:rFonts w:ascii="Times New Roman" w:hAnsi="Times New Roman" w:cs="Times New Roman"/>
          <w:b/>
          <w:bCs/>
          <w:color w:val="000000" w:themeColor="text1"/>
        </w:rPr>
        <w:t>CONSIDERACIONES</w:t>
      </w:r>
    </w:p>
    <w:p w:rsidR="0019028F" w:rsidRPr="00597245" w:rsidRDefault="00597245" w:rsidP="0019028F">
      <w:pPr>
        <w:tabs>
          <w:tab w:val="left" w:pos="1134"/>
        </w:tabs>
        <w:contextualSpacing/>
        <w:rPr>
          <w:rFonts w:ascii="Times New Roman" w:hAnsi="Times New Roman" w:cs="Times New Roman"/>
          <w:b/>
          <w:bCs/>
          <w:color w:val="000000" w:themeColor="text1"/>
          <w:sz w:val="28"/>
          <w:szCs w:val="28"/>
        </w:rPr>
      </w:pPr>
    </w:p>
    <w:p w:rsidR="0019028F" w:rsidRPr="00597245" w:rsidRDefault="00597245" w:rsidP="0019028F">
      <w:pPr>
        <w:pStyle w:val="Prrafodelista"/>
        <w:numPr>
          <w:ilvl w:val="0"/>
          <w:numId w:val="6"/>
        </w:numPr>
        <w:rPr>
          <w:rFonts w:ascii="Times New Roman" w:hAnsi="Times New Roman" w:cs="Times New Roman"/>
          <w:b/>
          <w:bCs/>
          <w:color w:val="000000" w:themeColor="text1"/>
        </w:rPr>
      </w:pPr>
      <w:r w:rsidRPr="00597245">
        <w:rPr>
          <w:rFonts w:ascii="Times New Roman" w:hAnsi="Times New Roman" w:cs="Times New Roman"/>
          <w:b/>
          <w:bCs/>
          <w:color w:val="000000" w:themeColor="text1"/>
        </w:rPr>
        <w:t>COMPETENCIA</w:t>
      </w:r>
    </w:p>
    <w:p w:rsidR="0019028F" w:rsidRPr="00597245" w:rsidRDefault="00597245" w:rsidP="0019028F">
      <w:pPr>
        <w:pStyle w:val="Prrafodelista"/>
        <w:tabs>
          <w:tab w:val="left" w:pos="1134"/>
        </w:tabs>
        <w:ind w:left="1134"/>
        <w:rPr>
          <w:rFonts w:ascii="Times New Roman" w:hAnsi="Times New Roman" w:cs="Times New Roman"/>
          <w:b/>
          <w:bCs/>
          <w:color w:val="000000" w:themeColor="text1"/>
        </w:rPr>
      </w:pP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lang w:eastAsia="es-CO"/>
        </w:rPr>
      </w:pPr>
      <w:r w:rsidRPr="00597245">
        <w:rPr>
          <w:rFonts w:ascii="Times New Roman" w:hAnsi="Times New Roman" w:cs="Times New Roman"/>
          <w:color w:val="000000" w:themeColor="text1"/>
          <w:shd w:val="clear" w:color="auto" w:fill="FFFFFF"/>
        </w:rPr>
        <w:t xml:space="preserve">De conformidad con lo dispuesto en el artículo 241.4 de la Constitución Política, la Corte </w:t>
      </w:r>
      <w:r w:rsidRPr="00597245">
        <w:rPr>
          <w:rFonts w:ascii="Times New Roman" w:hAnsi="Times New Roman" w:cs="Times New Roman"/>
          <w:color w:val="000000" w:themeColor="text1"/>
          <w:shd w:val="clear" w:color="auto" w:fill="FFFFFF"/>
        </w:rPr>
        <w:t>es competente para conocer y decidir definitivamente sobre la demanda de inconstitucionalidad de la referencia, dado que se trata de una norma contenida en una ley de la República</w:t>
      </w:r>
      <w:r w:rsidRPr="00597245">
        <w:rPr>
          <w:rFonts w:ascii="Times New Roman" w:hAnsi="Times New Roman" w:cs="Times New Roman"/>
          <w:bCs/>
          <w:color w:val="000000" w:themeColor="text1"/>
          <w:lang w:eastAsia="es-CO"/>
        </w:rPr>
        <w:t>.</w:t>
      </w:r>
    </w:p>
    <w:p w:rsidR="0019028F" w:rsidRPr="00597245" w:rsidRDefault="00597245" w:rsidP="0019028F">
      <w:pPr>
        <w:pStyle w:val="Prrafodelista"/>
        <w:tabs>
          <w:tab w:val="left" w:pos="426"/>
        </w:tabs>
        <w:ind w:left="0"/>
        <w:rPr>
          <w:rFonts w:ascii="Times New Roman" w:hAnsi="Times New Roman" w:cs="Times New Roman"/>
          <w:color w:val="000000" w:themeColor="text1"/>
          <w:lang w:eastAsia="es-CO"/>
        </w:rPr>
      </w:pPr>
    </w:p>
    <w:p w:rsidR="0019028F" w:rsidRPr="00597245" w:rsidRDefault="00597245" w:rsidP="0019028F">
      <w:pPr>
        <w:pStyle w:val="Prrafodelista"/>
        <w:numPr>
          <w:ilvl w:val="0"/>
          <w:numId w:val="6"/>
        </w:numPr>
        <w:rPr>
          <w:rFonts w:ascii="Times New Roman" w:hAnsi="Times New Roman" w:cs="Times New Roman"/>
          <w:b/>
          <w:bCs/>
          <w:color w:val="000000" w:themeColor="text1"/>
          <w:shd w:val="clear" w:color="auto" w:fill="FFFFFF"/>
        </w:rPr>
      </w:pPr>
      <w:r w:rsidRPr="00597245">
        <w:rPr>
          <w:rFonts w:ascii="Times New Roman" w:hAnsi="Times New Roman" w:cs="Times New Roman"/>
          <w:b/>
          <w:bCs/>
          <w:color w:val="000000" w:themeColor="text1"/>
          <w:shd w:val="clear" w:color="auto" w:fill="FFFFFF"/>
        </w:rPr>
        <w:t xml:space="preserve">CUESTIÓN PREVIA: ANÁLISIS DE LA COSA JUZGADA </w:t>
      </w:r>
    </w:p>
    <w:p w:rsidR="0019028F" w:rsidRPr="00597245" w:rsidRDefault="00597245" w:rsidP="0019028F">
      <w:pPr>
        <w:ind w:firstLine="426"/>
        <w:jc w:val="both"/>
        <w:rPr>
          <w:rFonts w:ascii="Times New Roman" w:hAnsi="Times New Roman" w:cs="Times New Roman"/>
          <w:b/>
          <w:bCs/>
          <w:color w:val="000000" w:themeColor="text1"/>
          <w:sz w:val="28"/>
          <w:szCs w:val="28"/>
          <w:lang w:val="es-ES_tradnl"/>
        </w:rPr>
      </w:pPr>
    </w:p>
    <w:p w:rsidR="0019028F" w:rsidRPr="00597245" w:rsidRDefault="00597245" w:rsidP="0019028F">
      <w:pPr>
        <w:pStyle w:val="Prrafodelista"/>
        <w:widowControl/>
        <w:numPr>
          <w:ilvl w:val="0"/>
          <w:numId w:val="2"/>
        </w:numPr>
        <w:autoSpaceDE w:val="0"/>
        <w:autoSpaceDN w:val="0"/>
        <w:ind w:left="0" w:hanging="11"/>
        <w:contextualSpacing/>
        <w:rPr>
          <w:rFonts w:ascii="Times New Roman" w:hAnsi="Times New Roman" w:cs="Times New Roman"/>
          <w:color w:val="000000" w:themeColor="text1"/>
        </w:rPr>
      </w:pPr>
      <w:r w:rsidRPr="00597245">
        <w:rPr>
          <w:rFonts w:ascii="Times New Roman" w:eastAsiaTheme="minorHAnsi" w:hAnsi="Times New Roman" w:cs="Times New Roman"/>
          <w:color w:val="000000" w:themeColor="text1"/>
          <w:lang w:eastAsia="en-US"/>
        </w:rPr>
        <w:t>La Sala Plena encuentra que</w:t>
      </w:r>
      <w:r w:rsidRPr="00597245">
        <w:rPr>
          <w:rFonts w:ascii="Times New Roman" w:eastAsiaTheme="minorHAnsi" w:hAnsi="Times New Roman" w:cs="Times New Roman"/>
          <w:color w:val="000000" w:themeColor="text1"/>
          <w:lang w:eastAsia="en-US"/>
        </w:rPr>
        <w:t xml:space="preserve"> es necesario pronunciarse sobre la eventual configuración de la cosa juzgada respecto de la disposición acusada por la ciudadana </w:t>
      </w:r>
      <w:r w:rsidRPr="00597245">
        <w:rPr>
          <w:rFonts w:ascii="Times New Roman" w:hAnsi="Times New Roman" w:cs="Times New Roman"/>
          <w:color w:val="000000" w:themeColor="text1"/>
        </w:rPr>
        <w:t>Kerly Mireya Tatiana Vivas Buitrago</w:t>
      </w:r>
      <w:r w:rsidRPr="00597245">
        <w:rPr>
          <w:rFonts w:ascii="Times New Roman" w:eastAsiaTheme="minorHAnsi" w:hAnsi="Times New Roman" w:cs="Times New Roman"/>
          <w:color w:val="000000" w:themeColor="text1"/>
          <w:lang w:eastAsia="en-US"/>
        </w:rPr>
        <w:t>. En efecto, la Corte Constitucional analizó la norma demandada en la sentencia C-537 de 20</w:t>
      </w:r>
      <w:r w:rsidRPr="00597245">
        <w:rPr>
          <w:rFonts w:ascii="Times New Roman" w:eastAsiaTheme="minorHAnsi" w:hAnsi="Times New Roman" w:cs="Times New Roman"/>
          <w:color w:val="000000" w:themeColor="text1"/>
          <w:lang w:eastAsia="en-US"/>
        </w:rPr>
        <w:t xml:space="preserve">23. </w:t>
      </w:r>
    </w:p>
    <w:p w:rsidR="0019028F" w:rsidRPr="00597245" w:rsidRDefault="00597245" w:rsidP="0019028F">
      <w:pPr>
        <w:pStyle w:val="Prrafodelista"/>
        <w:widowControl/>
        <w:autoSpaceDE w:val="0"/>
        <w:autoSpaceDN w:val="0"/>
        <w:ind w:left="0"/>
        <w:contextualSpacing/>
        <w:rPr>
          <w:rFonts w:ascii="Times New Roman" w:hAnsi="Times New Roman" w:cs="Times New Roman"/>
          <w:color w:val="000000" w:themeColor="text1"/>
        </w:rPr>
      </w:pPr>
    </w:p>
    <w:p w:rsidR="0019028F" w:rsidRPr="00597245" w:rsidRDefault="00597245" w:rsidP="0019028F">
      <w:pPr>
        <w:pStyle w:val="Prrafodelista"/>
        <w:widowControl/>
        <w:numPr>
          <w:ilvl w:val="0"/>
          <w:numId w:val="2"/>
        </w:numPr>
        <w:autoSpaceDE w:val="0"/>
        <w:autoSpaceDN w:val="0"/>
        <w:ind w:left="0" w:hanging="11"/>
        <w:contextualSpacing/>
        <w:rPr>
          <w:rFonts w:ascii="Times New Roman" w:hAnsi="Times New Roman" w:cs="Times New Roman"/>
          <w:color w:val="000000" w:themeColor="text1"/>
          <w:szCs w:val="24"/>
        </w:rPr>
      </w:pPr>
      <w:r w:rsidRPr="00597245">
        <w:rPr>
          <w:rFonts w:ascii="Times New Roman" w:hAnsi="Times New Roman" w:cs="Times New Roman"/>
          <w:color w:val="000000" w:themeColor="text1"/>
        </w:rPr>
        <w:t xml:space="preserve">Durante el trámite del presente proceso de constitucionalidad, el pasado 5 de diciembre esta Corporación profirió la sentencia C-537 de 2023 dentro del expediente D-15370, mediante la cual resolvió otra demanda formulada contra el artículo </w:t>
      </w:r>
      <w:r w:rsidRPr="00597245">
        <w:rPr>
          <w:rFonts w:ascii="Times New Roman" w:hAnsi="Times New Roman" w:cs="Times New Roman"/>
          <w:color w:val="000000" w:themeColor="text1"/>
          <w:lang w:val="es-CO"/>
        </w:rPr>
        <w:t>97 de la L</w:t>
      </w:r>
      <w:r w:rsidRPr="00597245">
        <w:rPr>
          <w:rFonts w:ascii="Times New Roman" w:hAnsi="Times New Roman" w:cs="Times New Roman"/>
          <w:color w:val="000000" w:themeColor="text1"/>
          <w:lang w:val="es-CO"/>
        </w:rPr>
        <w:t>ey 2294 de 2023, “Por el cual se expide el Plan Nacional de Desarrollo 2022-2026 ‘Colombia Potencia Mundial de la Vida</w:t>
      </w:r>
      <w:r w:rsidRPr="00597245">
        <w:rPr>
          <w:rFonts w:ascii="Times New Roman" w:hAnsi="Times New Roman" w:cs="Times New Roman"/>
          <w:color w:val="000000" w:themeColor="text1"/>
        </w:rPr>
        <w:t>”</w:t>
      </w:r>
      <w:r w:rsidRPr="00597245">
        <w:rPr>
          <w:rFonts w:ascii="Times New Roman" w:hAnsi="Times New Roman" w:cs="Times New Roman"/>
          <w:i/>
          <w:iCs/>
          <w:color w:val="000000" w:themeColor="text1"/>
        </w:rPr>
        <w:t>.</w:t>
      </w:r>
      <w:r w:rsidRPr="00597245">
        <w:rPr>
          <w:rFonts w:ascii="Times New Roman" w:hAnsi="Times New Roman" w:cs="Times New Roman"/>
          <w:color w:val="000000" w:themeColor="text1"/>
        </w:rPr>
        <w:t xml:space="preserve"> En esa providencia se declaró la inexequibilidad de la norma por los cargos allí estudiados.</w:t>
      </w:r>
    </w:p>
    <w:p w:rsidR="0019028F" w:rsidRPr="00597245" w:rsidRDefault="00597245" w:rsidP="0019028F">
      <w:pPr>
        <w:pStyle w:val="Prrafodelista"/>
        <w:rPr>
          <w:rFonts w:ascii="Times New Roman" w:hAnsi="Times New Roman" w:cs="Times New Roman"/>
          <w:color w:val="000000" w:themeColor="text1"/>
        </w:rPr>
      </w:pPr>
    </w:p>
    <w:p w:rsidR="0019028F" w:rsidRPr="00597245" w:rsidRDefault="00597245" w:rsidP="0019028F">
      <w:pPr>
        <w:pStyle w:val="Prrafodelista"/>
        <w:widowControl/>
        <w:numPr>
          <w:ilvl w:val="0"/>
          <w:numId w:val="2"/>
        </w:numPr>
        <w:autoSpaceDE w:val="0"/>
        <w:autoSpaceDN w:val="0"/>
        <w:ind w:left="0" w:hanging="11"/>
        <w:contextualSpacing/>
        <w:rPr>
          <w:rFonts w:ascii="Times New Roman" w:hAnsi="Times New Roman" w:cs="Times New Roman"/>
          <w:color w:val="000000" w:themeColor="text1"/>
        </w:rPr>
      </w:pPr>
      <w:r w:rsidRPr="00597245">
        <w:rPr>
          <w:rFonts w:ascii="Times New Roman" w:hAnsi="Times New Roman" w:cs="Times New Roman"/>
          <w:color w:val="000000" w:themeColor="text1"/>
        </w:rPr>
        <w:t>Para el análisis de la cosa juzgada en el caso bajo examen, la Sala hará primero una breve alusión a este fenómeno y sus tipologías, y luego explicará los fundamentos de la sentencia C-537 de 2023. Finalmente, la Sala Plena definirá si frente a la disposic</w:t>
      </w:r>
      <w:r w:rsidRPr="00597245">
        <w:rPr>
          <w:rFonts w:ascii="Times New Roman" w:hAnsi="Times New Roman" w:cs="Times New Roman"/>
          <w:color w:val="000000" w:themeColor="text1"/>
        </w:rPr>
        <w:t xml:space="preserve">ión demandada, esto es, el artículo 97 </w:t>
      </w:r>
      <w:r w:rsidRPr="00597245">
        <w:rPr>
          <w:rFonts w:ascii="Times New Roman" w:hAnsi="Times New Roman" w:cs="Times New Roman"/>
          <w:color w:val="000000" w:themeColor="text1"/>
          <w:lang w:val="es-CO"/>
        </w:rPr>
        <w:t>de la Ley 2294 de 2023</w:t>
      </w:r>
      <w:r w:rsidRPr="00597245">
        <w:rPr>
          <w:rFonts w:ascii="Times New Roman" w:hAnsi="Times New Roman" w:cs="Times New Roman"/>
          <w:color w:val="000000" w:themeColor="text1"/>
        </w:rPr>
        <w:t>, operó o no en este caso el fenómeno de la cosa juzgada.</w:t>
      </w:r>
    </w:p>
    <w:p w:rsidR="0019028F" w:rsidRPr="00597245" w:rsidRDefault="00597245" w:rsidP="0019028F">
      <w:pPr>
        <w:pStyle w:val="Prrafodelista"/>
        <w:ind w:left="0"/>
        <w:rPr>
          <w:rFonts w:ascii="Times New Roman" w:hAnsi="Times New Roman" w:cs="Times New Roman"/>
          <w:color w:val="000000" w:themeColor="text1"/>
        </w:rPr>
      </w:pPr>
    </w:p>
    <w:p w:rsidR="0019028F" w:rsidRPr="00597245" w:rsidRDefault="00597245" w:rsidP="0019028F">
      <w:pPr>
        <w:pStyle w:val="Prrafodelista"/>
        <w:ind w:left="0" w:right="-232"/>
        <w:rPr>
          <w:rFonts w:ascii="Times New Roman" w:hAnsi="Times New Roman" w:cs="Times New Roman"/>
          <w:b/>
          <w:bCs/>
        </w:rPr>
      </w:pPr>
      <w:r w:rsidRPr="00597245">
        <w:rPr>
          <w:rFonts w:ascii="Times New Roman" w:hAnsi="Times New Roman" w:cs="Times New Roman"/>
          <w:b/>
          <w:bCs/>
        </w:rPr>
        <w:t>La institución de la cosa juzgada constitucional. Reiteración de jurisprudencia</w:t>
      </w:r>
      <w:r w:rsidRPr="00597245">
        <w:rPr>
          <w:rStyle w:val="Refdenotaalpie"/>
          <w:rFonts w:ascii="Times New Roman" w:hAnsi="Times New Roman" w:cs="Times New Roman"/>
          <w:b/>
          <w:bCs/>
        </w:rPr>
        <w:footnoteReference w:id="46"/>
      </w:r>
    </w:p>
    <w:p w:rsidR="0019028F" w:rsidRPr="00597245" w:rsidRDefault="00597245" w:rsidP="0019028F">
      <w:pPr>
        <w:pStyle w:val="Prrafodelista"/>
        <w:ind w:left="0" w:right="-232"/>
        <w:rPr>
          <w:rFonts w:ascii="Times New Roman" w:hAnsi="Times New Roman" w:cs="Times New Roman"/>
          <w:b/>
          <w:bCs/>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color w:val="000000" w:themeColor="text1"/>
        </w:rPr>
        <w:t xml:space="preserve">La cosa juzgada constitucional encuentra sustento en </w:t>
      </w:r>
      <w:r w:rsidRPr="00597245">
        <w:rPr>
          <w:rFonts w:ascii="Times New Roman" w:hAnsi="Times New Roman" w:cs="Times New Roman"/>
          <w:color w:val="000000" w:themeColor="text1"/>
        </w:rPr>
        <w:t>el artículo 243 de la Constitución que dispone que las sentencias que la Corte dicta “en ejercicio del control jurisdiccional hacen tránsito a cosa juzgada constitucional”, razón por la cual “[n]inguna autoridad podrá reproducir el contenido material del a</w:t>
      </w:r>
      <w:r w:rsidRPr="00597245">
        <w:rPr>
          <w:rFonts w:ascii="Times New Roman" w:hAnsi="Times New Roman" w:cs="Times New Roman"/>
          <w:color w:val="000000" w:themeColor="text1"/>
        </w:rPr>
        <w:t>cto jurídico declarado inexequible por razones de fondo, mientras subsistan en la Carta las disposiciones que sirvieron para hacer la confrontación entre la norma ordinaria y la Constitución”</w:t>
      </w:r>
      <w:r w:rsidRPr="00597245">
        <w:rPr>
          <w:rStyle w:val="Refdenotaalpie"/>
          <w:rFonts w:ascii="Times New Roman" w:hAnsi="Times New Roman" w:cs="Times New Roman"/>
          <w:color w:val="000000" w:themeColor="text1"/>
        </w:rPr>
        <w:footnoteReference w:id="47"/>
      </w:r>
      <w:r w:rsidRPr="00597245">
        <w:rPr>
          <w:rFonts w:ascii="Times New Roman" w:hAnsi="Times New Roman" w:cs="Times New Roman"/>
          <w:color w:val="000000" w:themeColor="text1"/>
        </w:rPr>
        <w:t xml:space="preserve">. Por su parte, los artículos 46 y 48 de la Ley Estatutaria 270 </w:t>
      </w:r>
      <w:r w:rsidRPr="00597245">
        <w:rPr>
          <w:rFonts w:ascii="Times New Roman" w:hAnsi="Times New Roman" w:cs="Times New Roman"/>
          <w:color w:val="000000" w:themeColor="text1"/>
        </w:rPr>
        <w:t>de 1996 y 22 del Decreto Ley 2067 de 1991 señalan que todas las sentencias que profiera la Corte en ejercicio de sus competencias de control abstracto “son definitivas, de obligatorio cumplimiento y tienen efectos [generales]”</w:t>
      </w:r>
      <w:r w:rsidRPr="00597245">
        <w:rPr>
          <w:rStyle w:val="Refdenotaalpie"/>
          <w:rFonts w:ascii="Times New Roman" w:hAnsi="Times New Roman" w:cs="Times New Roman"/>
          <w:color w:val="000000" w:themeColor="text1"/>
        </w:rPr>
        <w:footnoteReference w:id="48"/>
      </w:r>
      <w:r w:rsidRPr="00597245">
        <w:rPr>
          <w:rFonts w:ascii="Times New Roman" w:hAnsi="Times New Roman" w:cs="Times New Roman"/>
          <w:color w:val="000000" w:themeColor="text1"/>
        </w:rPr>
        <w:t>. Por esas razones, en princi</w:t>
      </w:r>
      <w:r w:rsidRPr="00597245">
        <w:rPr>
          <w:rFonts w:ascii="Times New Roman" w:hAnsi="Times New Roman" w:cs="Times New Roman"/>
          <w:color w:val="000000" w:themeColor="text1"/>
        </w:rPr>
        <w:t>pio, la Sala Plena no puede pronunciarse sobre un asunto debatido y fallado con anterioridad.</w:t>
      </w:r>
    </w:p>
    <w:p w:rsidR="0019028F" w:rsidRPr="00597245" w:rsidRDefault="00597245" w:rsidP="0019028F">
      <w:pPr>
        <w:pStyle w:val="Prrafodelista"/>
        <w:ind w:left="0" w:hanging="11"/>
        <w:rPr>
          <w:rFonts w:ascii="Times New Roman" w:hAnsi="Times New Roman" w:cs="Times New Roman"/>
          <w:color w:val="000000" w:themeColor="text1"/>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color w:val="000000" w:themeColor="text1"/>
        </w:rPr>
        <w:t>En las sentencias C-101 de 2022 y C-227 de 2023, la Sala reiteró que, para determinar si se configura la cosa juzgada, existen tres parámetros que deben concurri</w:t>
      </w:r>
      <w:r w:rsidRPr="00597245">
        <w:rPr>
          <w:rFonts w:ascii="Times New Roman" w:hAnsi="Times New Roman" w:cs="Times New Roman"/>
          <w:color w:val="000000" w:themeColor="text1"/>
        </w:rPr>
        <w:t xml:space="preserve">r en cada caso concreto. Primero, que la demanda proponga estudiar el mismo contenido normativo de una proposición jurídica ya estudiada en una sentencia anterior. Segundo, que se presenten los mismos argumentos o cuestionamientos en el fallo antecedente. </w:t>
      </w:r>
      <w:r w:rsidRPr="00597245">
        <w:rPr>
          <w:rFonts w:ascii="Times New Roman" w:hAnsi="Times New Roman" w:cs="Times New Roman"/>
          <w:shd w:val="clear" w:color="auto" w:fill="FFFFFF"/>
        </w:rPr>
        <w:t xml:space="preserve">Sin embargo, en este criterio se debe precisar que en el caso del control automático e integral no se tienen en cuenta los argumentos planteados, dado que, en general, la decisión que allí se toma hace tránsito a cosa juzgada absoluta. </w:t>
      </w:r>
      <w:r w:rsidRPr="00597245">
        <w:rPr>
          <w:rFonts w:ascii="Times New Roman" w:hAnsi="Times New Roman" w:cs="Times New Roman"/>
          <w:color w:val="000000" w:themeColor="text1"/>
        </w:rPr>
        <w:t>Tercero, que no haya</w:t>
      </w:r>
      <w:r w:rsidRPr="00597245">
        <w:rPr>
          <w:rFonts w:ascii="Times New Roman" w:hAnsi="Times New Roman" w:cs="Times New Roman"/>
          <w:color w:val="000000" w:themeColor="text1"/>
        </w:rPr>
        <w:t xml:space="preserve"> variado el parámetro normativo de control</w:t>
      </w:r>
      <w:r w:rsidRPr="00597245">
        <w:rPr>
          <w:rStyle w:val="Refdenotaalpie"/>
          <w:rFonts w:ascii="Times New Roman" w:hAnsi="Times New Roman" w:cs="Times New Roman"/>
          <w:color w:val="000000" w:themeColor="text1"/>
        </w:rPr>
        <w:footnoteReference w:id="49"/>
      </w:r>
      <w:r w:rsidRPr="00597245">
        <w:rPr>
          <w:rFonts w:ascii="Times New Roman" w:hAnsi="Times New Roman" w:cs="Times New Roman"/>
          <w:color w:val="000000" w:themeColor="text1"/>
        </w:rPr>
        <w:t xml:space="preserve">. </w:t>
      </w:r>
    </w:p>
    <w:p w:rsidR="0019028F" w:rsidRPr="00597245" w:rsidRDefault="00597245" w:rsidP="0019028F">
      <w:pPr>
        <w:pStyle w:val="Prrafodelista"/>
        <w:ind w:left="0" w:hanging="11"/>
        <w:rPr>
          <w:rFonts w:ascii="Times New Roman" w:hAnsi="Times New Roman" w:cs="Times New Roman"/>
          <w:color w:val="000000" w:themeColor="text1"/>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color w:val="000000" w:themeColor="text1"/>
        </w:rPr>
        <w:t>La jurisprudencia de esta Corporación desarrolló una tipología</w:t>
      </w:r>
      <w:r w:rsidRPr="00597245">
        <w:rPr>
          <w:rStyle w:val="Refdenotaalpie"/>
          <w:rFonts w:ascii="Times New Roman" w:hAnsi="Times New Roman" w:cs="Times New Roman"/>
          <w:color w:val="000000" w:themeColor="text1"/>
        </w:rPr>
        <w:footnoteReference w:id="50"/>
      </w:r>
      <w:r w:rsidRPr="00597245">
        <w:rPr>
          <w:rFonts w:ascii="Times New Roman" w:hAnsi="Times New Roman" w:cs="Times New Roman"/>
          <w:color w:val="000000" w:themeColor="text1"/>
        </w:rPr>
        <w:t xml:space="preserve"> de esta figura con el fin de identificar su configuración en casos concretos, así como su alcance. En la sentencia C-039 de 2021, la Corte hizo u</w:t>
      </w:r>
      <w:r w:rsidRPr="00597245">
        <w:rPr>
          <w:rFonts w:ascii="Times New Roman" w:hAnsi="Times New Roman" w:cs="Times New Roman"/>
          <w:color w:val="000000" w:themeColor="text1"/>
        </w:rPr>
        <w:t>n recuento de los diferentes tipos de cosa juzgada constitucional</w:t>
      </w:r>
      <w:r w:rsidRPr="00597245">
        <w:rPr>
          <w:rStyle w:val="Refdenotaalpie"/>
          <w:rFonts w:ascii="Times New Roman" w:hAnsi="Times New Roman" w:cs="Times New Roman"/>
          <w:color w:val="000000" w:themeColor="text1"/>
        </w:rPr>
        <w:footnoteReference w:id="51"/>
      </w:r>
      <w:r w:rsidRPr="00597245">
        <w:rPr>
          <w:rFonts w:ascii="Times New Roman" w:hAnsi="Times New Roman" w:cs="Times New Roman"/>
          <w:color w:val="000000" w:themeColor="text1"/>
        </w:rPr>
        <w:t>. En primer lugar, existe la cosa juzgada formal que opera cuando la Sala Plena ya se pronunció sobre la disposición demandada y que trae como consecuencia que la Corte Constitucional deba e</w:t>
      </w:r>
      <w:r w:rsidRPr="00597245">
        <w:rPr>
          <w:rFonts w:ascii="Times New Roman" w:hAnsi="Times New Roman" w:cs="Times New Roman"/>
          <w:color w:val="000000" w:themeColor="text1"/>
        </w:rPr>
        <w:t xml:space="preserve">starse a lo resuelto en la sentencia previa. En segundo lugar, existe la cosa juzgada material que se presenta cuando se acusa una disposición que es formalmente distinta, pero que tiene un contenido normativo idéntico al de otra que ya fue controlada por </w:t>
      </w:r>
      <w:r w:rsidRPr="00597245">
        <w:rPr>
          <w:rFonts w:ascii="Times New Roman" w:hAnsi="Times New Roman" w:cs="Times New Roman"/>
          <w:color w:val="000000" w:themeColor="text1"/>
        </w:rPr>
        <w:t>esta Corporación en sede de control de constitucionalidad</w:t>
      </w:r>
      <w:r w:rsidRPr="00597245">
        <w:rPr>
          <w:rStyle w:val="Refdenotaalpie"/>
          <w:rFonts w:ascii="Times New Roman" w:hAnsi="Times New Roman" w:cs="Times New Roman"/>
          <w:color w:val="000000" w:themeColor="text1"/>
        </w:rPr>
        <w:footnoteReference w:id="52"/>
      </w:r>
      <w:r w:rsidRPr="00597245">
        <w:rPr>
          <w:rFonts w:ascii="Times New Roman" w:hAnsi="Times New Roman" w:cs="Times New Roman"/>
          <w:color w:val="000000" w:themeColor="text1"/>
        </w:rPr>
        <w:t>. Desde esa perspectiva, para definir si en un caso concreto se genera la cosa juzgada material, hay que evaluar si existe una decisión de constitucionalidad anterior sobre una regla de derecho idén</w:t>
      </w:r>
      <w:r w:rsidRPr="00597245">
        <w:rPr>
          <w:rFonts w:ascii="Times New Roman" w:hAnsi="Times New Roman" w:cs="Times New Roman"/>
          <w:color w:val="000000" w:themeColor="text1"/>
        </w:rPr>
        <w:t>tica, pero contenida en distintas disposiciones jurídicas y, luego, determinar cuál es el nivel de “similitud entre los cargos del pasado y del presente y el análisis constitucional de fondo sobre la proposición jurídica”</w:t>
      </w:r>
      <w:r w:rsidRPr="00597245">
        <w:rPr>
          <w:rStyle w:val="Refdenotaalpie"/>
          <w:rFonts w:ascii="Times New Roman" w:hAnsi="Times New Roman" w:cs="Times New Roman"/>
          <w:color w:val="000000" w:themeColor="text1"/>
        </w:rPr>
        <w:footnoteReference w:id="53"/>
      </w:r>
      <w:r w:rsidRPr="00597245">
        <w:rPr>
          <w:rFonts w:ascii="Times New Roman" w:hAnsi="Times New Roman" w:cs="Times New Roman"/>
          <w:color w:val="000000" w:themeColor="text1"/>
        </w:rPr>
        <w:t xml:space="preserve">. </w:t>
      </w:r>
    </w:p>
    <w:p w:rsidR="0019028F" w:rsidRPr="00597245" w:rsidRDefault="00597245" w:rsidP="0019028F">
      <w:pPr>
        <w:pStyle w:val="Prrafodelista"/>
        <w:ind w:left="0" w:hanging="11"/>
        <w:rPr>
          <w:rFonts w:ascii="Times New Roman" w:hAnsi="Times New Roman" w:cs="Times New Roman"/>
          <w:color w:val="000000" w:themeColor="text1"/>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color w:val="000000" w:themeColor="text1"/>
        </w:rPr>
        <w:t>En tercer lugar, la Sala disti</w:t>
      </w:r>
      <w:r w:rsidRPr="00597245">
        <w:rPr>
          <w:rFonts w:ascii="Times New Roman" w:hAnsi="Times New Roman" w:cs="Times New Roman"/>
          <w:color w:val="000000" w:themeColor="text1"/>
        </w:rPr>
        <w:t>ngue la cosa juzgada absoluta de la relativa y de la aparente. La absoluta se presenta cuando, en la sentencia previa, la Sala Plena no limitó el pronunciamiento de constitucionalidad sobre el enunciado normativo analizado a unos cargos determinados, de ma</w:t>
      </w:r>
      <w:r w:rsidRPr="00597245">
        <w:rPr>
          <w:rFonts w:ascii="Times New Roman" w:hAnsi="Times New Roman" w:cs="Times New Roman"/>
          <w:color w:val="000000" w:themeColor="text1"/>
        </w:rPr>
        <w:t xml:space="preserve">nera que esa disposición no puede ser examinada nuevamente, pues se entiende que el control de constitucionalidad se ejerció respecto a la integralidad de la Constitución. La cosa juzgada absoluta también se presenta cuando </w:t>
      </w:r>
      <w:r w:rsidRPr="00597245">
        <w:rPr>
          <w:rFonts w:ascii="Times New Roman" w:hAnsi="Times New Roman" w:cs="Times New Roman"/>
          <w:color w:val="000000" w:themeColor="text1"/>
          <w:lang w:val="es-CO"/>
        </w:rPr>
        <w:t>la Corte declara la inexequibili</w:t>
      </w:r>
      <w:r w:rsidRPr="00597245">
        <w:rPr>
          <w:rFonts w:ascii="Times New Roman" w:hAnsi="Times New Roman" w:cs="Times New Roman"/>
          <w:color w:val="000000" w:themeColor="text1"/>
          <w:lang w:val="es-CO"/>
        </w:rPr>
        <w:t>dad de una norma jurídica</w:t>
      </w:r>
      <w:r w:rsidRPr="00597245">
        <w:rPr>
          <w:rStyle w:val="Refdenotaalpie"/>
          <w:rFonts w:ascii="Times New Roman" w:hAnsi="Times New Roman" w:cs="Times New Roman"/>
          <w:color w:val="000000" w:themeColor="text1"/>
          <w:lang w:val="es-CO"/>
        </w:rPr>
        <w:footnoteReference w:id="54"/>
      </w:r>
      <w:r w:rsidRPr="00597245">
        <w:rPr>
          <w:rFonts w:ascii="Times New Roman" w:hAnsi="Times New Roman" w:cs="Times New Roman"/>
          <w:color w:val="000000" w:themeColor="text1"/>
          <w:lang w:val="es-CO"/>
        </w:rPr>
        <w:t>.</w:t>
      </w:r>
      <w:r w:rsidRPr="00597245">
        <w:rPr>
          <w:rFonts w:ascii="Times New Roman" w:hAnsi="Times New Roman" w:cs="Times New Roman"/>
          <w:color w:val="000000" w:themeColor="text1"/>
        </w:rPr>
        <w:t xml:space="preserve"> Por el contrario, la cosa juzgada relativa opera cuando, de forma explícita o implícita, la Sala Plena restringió los efectos de su decisión a los cargos analizados, razón por la cual es posible un nuevo pronunciamiento sobre la</w:t>
      </w:r>
      <w:r w:rsidRPr="00597245">
        <w:rPr>
          <w:rFonts w:ascii="Times New Roman" w:hAnsi="Times New Roman" w:cs="Times New Roman"/>
          <w:color w:val="000000" w:themeColor="text1"/>
        </w:rPr>
        <w:t xml:space="preserve"> disposición en caso de que la misma sea acusada por cargos nuevos, distintos a los ya examinados. Por su lado, la cosa juzgada aparente se configura cuando, a pesar de haberse proferido “una decisión en la parte resolutiva declarando la exequibilidad, en </w:t>
      </w:r>
      <w:r w:rsidRPr="00597245">
        <w:rPr>
          <w:rFonts w:ascii="Times New Roman" w:hAnsi="Times New Roman" w:cs="Times New Roman"/>
          <w:color w:val="000000" w:themeColor="text1"/>
        </w:rPr>
        <w:t>realidad no se efectuó análisis alguno de constitucionalidad”</w:t>
      </w:r>
      <w:r w:rsidRPr="00597245">
        <w:rPr>
          <w:rStyle w:val="Refdenotaalpie"/>
          <w:rFonts w:ascii="Times New Roman" w:hAnsi="Times New Roman" w:cs="Times New Roman"/>
          <w:color w:val="000000" w:themeColor="text1"/>
        </w:rPr>
        <w:footnoteReference w:id="55"/>
      </w:r>
      <w:r w:rsidRPr="00597245">
        <w:rPr>
          <w:rFonts w:ascii="Times New Roman" w:hAnsi="Times New Roman" w:cs="Times New Roman"/>
          <w:color w:val="000000" w:themeColor="text1"/>
        </w:rPr>
        <w:t xml:space="preserve"> de forma que la Corte puede pronunciarse de fondo sobre la disposición respectiva</w:t>
      </w:r>
      <w:r w:rsidRPr="00597245">
        <w:rPr>
          <w:rStyle w:val="Refdenotaalpie"/>
          <w:rFonts w:ascii="Times New Roman" w:hAnsi="Times New Roman" w:cs="Times New Roman"/>
          <w:color w:val="000000" w:themeColor="text1"/>
        </w:rPr>
        <w:footnoteReference w:id="56"/>
      </w:r>
      <w:r w:rsidRPr="00597245">
        <w:rPr>
          <w:rFonts w:ascii="Times New Roman" w:hAnsi="Times New Roman" w:cs="Times New Roman"/>
          <w:color w:val="000000" w:themeColor="text1"/>
        </w:rPr>
        <w:t xml:space="preserve">.  </w:t>
      </w:r>
    </w:p>
    <w:p w:rsidR="0019028F" w:rsidRPr="00597245" w:rsidRDefault="00597245" w:rsidP="0019028F">
      <w:pPr>
        <w:pStyle w:val="Prrafodelista"/>
        <w:widowControl/>
        <w:ind w:left="0" w:right="-232"/>
        <w:contextualSpacing/>
        <w:rPr>
          <w:rFonts w:ascii="Times New Roman" w:eastAsiaTheme="minorHAnsi" w:hAnsi="Times New Roman" w:cs="Times New Roman"/>
          <w:b/>
          <w:bCs/>
          <w:color w:val="000000" w:themeColor="text1"/>
          <w:lang w:eastAsia="en-US"/>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De otra parte, la Corte diferencia los efectos de la cosa juzgada constitucional material dependiendo de s</w:t>
      </w:r>
      <w:r w:rsidRPr="00597245">
        <w:rPr>
          <w:rFonts w:ascii="Times New Roman" w:hAnsi="Times New Roman" w:cs="Times New Roman"/>
        </w:rPr>
        <w:t>i su decisión es de exequibilidad o inexequibilidad</w:t>
      </w:r>
      <w:r w:rsidRPr="00597245">
        <w:rPr>
          <w:rStyle w:val="Refdenotaalpie"/>
          <w:rFonts w:ascii="Times New Roman" w:hAnsi="Times New Roman" w:cs="Times New Roman"/>
        </w:rPr>
        <w:footnoteReference w:id="57"/>
      </w:r>
      <w:r w:rsidRPr="00597245">
        <w:rPr>
          <w:rFonts w:ascii="Times New Roman" w:hAnsi="Times New Roman" w:cs="Times New Roman"/>
        </w:rPr>
        <w:t>. En el caso de que la norma sea declarada conforme a la Constitución, se presentan varias situaciones</w:t>
      </w:r>
      <w:r w:rsidRPr="00597245">
        <w:rPr>
          <w:rStyle w:val="Refdenotaalpie"/>
          <w:rFonts w:ascii="Times New Roman" w:hAnsi="Times New Roman" w:cs="Times New Roman"/>
        </w:rPr>
        <w:footnoteReference w:id="58"/>
      </w:r>
      <w:r w:rsidRPr="00597245">
        <w:rPr>
          <w:rFonts w:ascii="Times New Roman" w:hAnsi="Times New Roman" w:cs="Times New Roman"/>
        </w:rPr>
        <w:t>: (i) la intangibilidad del fallo puede limitarse de manera expresa o implícita por la Corte, como se</w:t>
      </w:r>
      <w:r w:rsidRPr="00597245">
        <w:rPr>
          <w:rFonts w:ascii="Times New Roman" w:hAnsi="Times New Roman" w:cs="Times New Roman"/>
        </w:rPr>
        <w:t xml:space="preserve"> indicó mediante la cosa juzgada relativa; (ii) su declaratoria brinda seguridad jurídica a los operadores jurídicos para que continúen aplicando la disposición; y (iii) la competencia de la Corte para estudiar una nueva demanda contra ese mismo precepto p</w:t>
      </w:r>
      <w:r w:rsidRPr="00597245">
        <w:rPr>
          <w:rFonts w:ascii="Times New Roman" w:hAnsi="Times New Roman" w:cs="Times New Roman"/>
        </w:rPr>
        <w:t>or razones similares podría llevarse a cabo únicamente ante el debilitamiento de la cosa juzgada</w:t>
      </w:r>
      <w:r w:rsidRPr="00597245">
        <w:rPr>
          <w:rStyle w:val="Refdenotaalpie"/>
          <w:rFonts w:ascii="Times New Roman" w:hAnsi="Times New Roman" w:cs="Times New Roman"/>
        </w:rPr>
        <w:footnoteReference w:id="59"/>
      </w:r>
      <w:r w:rsidRPr="00597245">
        <w:rPr>
          <w:rFonts w:ascii="Times New Roman" w:hAnsi="Times New Roman" w:cs="Times New Roman"/>
        </w:rPr>
        <w:t>, lo que ocurre con la modificación de la norma constitucional en la que se apoyaba, el cambio en la significación material de la Constitución y la variación d</w:t>
      </w:r>
      <w:r w:rsidRPr="00597245">
        <w:rPr>
          <w:rFonts w:ascii="Times New Roman" w:hAnsi="Times New Roman" w:cs="Times New Roman"/>
        </w:rPr>
        <w:t>el contexto jurídico, social o económico en el que fue objeto del control de constitucionalidad</w:t>
      </w:r>
      <w:r w:rsidRPr="00597245">
        <w:rPr>
          <w:rStyle w:val="Refdenotaalpie"/>
          <w:rFonts w:ascii="Times New Roman" w:hAnsi="Times New Roman" w:cs="Times New Roman"/>
        </w:rPr>
        <w:footnoteReference w:id="60"/>
      </w:r>
      <w:r w:rsidRPr="00597245">
        <w:rPr>
          <w:rFonts w:ascii="Times New Roman" w:hAnsi="Times New Roman" w:cs="Times New Roman"/>
        </w:rPr>
        <w:t xml:space="preserve">.   </w:t>
      </w:r>
    </w:p>
    <w:p w:rsidR="0019028F" w:rsidRPr="00597245" w:rsidRDefault="00597245" w:rsidP="0019028F">
      <w:pPr>
        <w:pStyle w:val="Prrafodelista"/>
        <w:rPr>
          <w:rFonts w:ascii="Times New Roman" w:hAnsi="Times New Roman" w:cs="Times New Roman"/>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Por el contrario, en situaciones en las que el enunciado legal queda suprimido del ordenamiento jurídico, la cosa juzgada siempre será absoluta</w:t>
      </w:r>
      <w:r w:rsidRPr="00597245">
        <w:rPr>
          <w:rStyle w:val="Refdenotaalpie"/>
          <w:rFonts w:ascii="Times New Roman" w:hAnsi="Times New Roman" w:cs="Times New Roman"/>
        </w:rPr>
        <w:footnoteReference w:id="61"/>
      </w:r>
      <w:r w:rsidRPr="00597245">
        <w:rPr>
          <w:rFonts w:ascii="Times New Roman" w:hAnsi="Times New Roman" w:cs="Times New Roman"/>
        </w:rPr>
        <w:t>. Estos ef</w:t>
      </w:r>
      <w:r w:rsidRPr="00597245">
        <w:rPr>
          <w:rFonts w:ascii="Times New Roman" w:hAnsi="Times New Roman" w:cs="Times New Roman"/>
        </w:rPr>
        <w:t>ectos ocurren con independencia del parámetro de constitucionalidad que desconoció la norma invalidada, pues ya no forma parte del sistema jurídico</w:t>
      </w:r>
      <w:r w:rsidRPr="00597245">
        <w:rPr>
          <w:rStyle w:val="Refdenotaalpie"/>
          <w:rFonts w:ascii="Times New Roman" w:hAnsi="Times New Roman" w:cs="Times New Roman"/>
        </w:rPr>
        <w:footnoteReference w:id="62"/>
      </w:r>
      <w:r w:rsidRPr="00597245">
        <w:rPr>
          <w:rFonts w:ascii="Times New Roman" w:hAnsi="Times New Roman" w:cs="Times New Roman"/>
        </w:rPr>
        <w:t>. En otras palabras “no existe objeto para un nuevo pronunciamiento de esta Corporación”</w:t>
      </w:r>
      <w:r w:rsidRPr="00597245">
        <w:rPr>
          <w:rStyle w:val="Refdenotaalpie"/>
          <w:rFonts w:ascii="Times New Roman" w:hAnsi="Times New Roman" w:cs="Times New Roman"/>
        </w:rPr>
        <w:footnoteReference w:id="63"/>
      </w:r>
      <w:r w:rsidRPr="00597245">
        <w:rPr>
          <w:rFonts w:ascii="Times New Roman" w:hAnsi="Times New Roman" w:cs="Times New Roman"/>
        </w:rPr>
        <w:t>, y las autoridades</w:t>
      </w:r>
      <w:r w:rsidRPr="00597245">
        <w:rPr>
          <w:rFonts w:ascii="Times New Roman" w:hAnsi="Times New Roman" w:cs="Times New Roman"/>
        </w:rPr>
        <w:t xml:space="preserve"> tienen prohibido reproducir esa proposición jurídica. Como la Sentencia C-537 de 2023 declaró inexequible el artículo 97 de la Ley 2294 de 2023, norma demandada en esta ocasión, la Sala Plena se detendrá a reseñar las reglas jurisprudenciales en este tipo</w:t>
      </w:r>
      <w:r w:rsidRPr="00597245">
        <w:rPr>
          <w:rFonts w:ascii="Times New Roman" w:hAnsi="Times New Roman" w:cs="Times New Roman"/>
        </w:rPr>
        <w:t xml:space="preserve"> de efectos. </w:t>
      </w:r>
    </w:p>
    <w:p w:rsidR="0019028F" w:rsidRPr="00597245" w:rsidRDefault="00597245" w:rsidP="0019028F">
      <w:pPr>
        <w:pStyle w:val="Prrafodelista"/>
        <w:rPr>
          <w:rFonts w:ascii="Times New Roman" w:hAnsi="Times New Roman" w:cs="Times New Roman"/>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En las Sentencias C-383 de 2022 y C-200 de 2019, se reiteraron y sintetizaron las reglas aplicables en casos que involucran el conocimiento de demandas que cuestionan normas previamente declaradas inexequibles. Si se detecta esta situación e</w:t>
      </w:r>
      <w:r w:rsidRPr="00597245">
        <w:rPr>
          <w:rFonts w:ascii="Times New Roman" w:hAnsi="Times New Roman" w:cs="Times New Roman"/>
        </w:rPr>
        <w:t xml:space="preserve">n la etapa de admisibilidad, el magistrado sustanciador debe rechazar la demanda. Si pese a ello la demanda se admite y se da curso al proceso de constitucionalidad, la Corte deberá proferir un fallo inhibitorio en el que disponga estarse a lo resuelto en </w:t>
      </w:r>
      <w:r w:rsidRPr="00597245">
        <w:rPr>
          <w:rFonts w:ascii="Times New Roman" w:hAnsi="Times New Roman" w:cs="Times New Roman"/>
        </w:rPr>
        <w:t>el fallo anterior de inexequibilidad</w:t>
      </w:r>
      <w:r w:rsidRPr="00597245">
        <w:rPr>
          <w:rFonts w:ascii="Times New Roman" w:hAnsi="Times New Roman" w:cs="Times New Roman"/>
          <w:vertAlign w:val="superscript"/>
        </w:rPr>
        <w:footnoteReference w:id="64"/>
      </w:r>
      <w:r w:rsidRPr="00597245">
        <w:rPr>
          <w:rFonts w:ascii="Times New Roman" w:hAnsi="Times New Roman" w:cs="Times New Roman"/>
        </w:rPr>
        <w:t xml:space="preserve">. </w:t>
      </w:r>
    </w:p>
    <w:p w:rsidR="0019028F" w:rsidRPr="00597245" w:rsidRDefault="00597245" w:rsidP="0019028F">
      <w:pPr>
        <w:pStyle w:val="Prrafodelista"/>
        <w:rPr>
          <w:rFonts w:ascii="Times New Roman" w:hAnsi="Times New Roman" w:cs="Times New Roman"/>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 xml:space="preserve">En la Sentencia C-383 de 2022, también se refrendó la regla de que la declaración de inexequibilidad de una disposición legal genera cosa juzgada absoluta formal con respecto al mismo texto normativo en caso de que </w:t>
      </w:r>
      <w:r w:rsidRPr="00597245">
        <w:rPr>
          <w:rFonts w:ascii="Times New Roman" w:hAnsi="Times New Roman" w:cs="Times New Roman"/>
        </w:rPr>
        <w:t>sea demandado o estudiado posteriormente. Por lo tanto, la sentencia de esta Corporación que suprime del ordenamiento jurídico un precepto constituye cosa juzgada frente a posteriores demandas contra esa misma norma, y a este Tribunal solo le corresponde e</w:t>
      </w:r>
      <w:r w:rsidRPr="00597245">
        <w:rPr>
          <w:rFonts w:ascii="Times New Roman" w:hAnsi="Times New Roman" w:cs="Times New Roman"/>
        </w:rPr>
        <w:t>starse a lo resuelto en la decisión anterior</w:t>
      </w:r>
      <w:r w:rsidRPr="00597245">
        <w:rPr>
          <w:rFonts w:ascii="Times New Roman" w:hAnsi="Times New Roman" w:cs="Times New Roman"/>
          <w:vertAlign w:val="superscript"/>
        </w:rPr>
        <w:footnoteReference w:id="65"/>
      </w:r>
      <w:r w:rsidRPr="00597245">
        <w:rPr>
          <w:rFonts w:ascii="Times New Roman" w:hAnsi="Times New Roman" w:cs="Times New Roman"/>
        </w:rPr>
        <w:t>. Esto se debe a que la norma ya no pertenece al ordenamiento jurídico, por lo que es imposible efectuar control alguno sobre ella. Así las cosas, “n</w:t>
      </w:r>
      <w:r w:rsidRPr="00597245">
        <w:rPr>
          <w:rFonts w:ascii="Times New Roman" w:hAnsi="Times New Roman" w:cs="Times New Roman"/>
          <w:shd w:val="clear" w:color="auto" w:fill="FFFFFF"/>
        </w:rPr>
        <w:t>o tendría ningún sentido declarar nuevamente su disconformidad</w:t>
      </w:r>
      <w:r w:rsidRPr="00597245">
        <w:rPr>
          <w:rFonts w:ascii="Times New Roman" w:hAnsi="Times New Roman" w:cs="Times New Roman"/>
          <w:shd w:val="clear" w:color="auto" w:fill="FFFFFF"/>
        </w:rPr>
        <w:t>, sino también si se tiene presente que no es posible volver sobre una norma que ya no existe.</w:t>
      </w:r>
      <w:r w:rsidRPr="00597245">
        <w:rPr>
          <w:rFonts w:ascii="Times New Roman" w:hAnsi="Times New Roman" w:cs="Times New Roman"/>
        </w:rPr>
        <w:t>”</w:t>
      </w:r>
      <w:r w:rsidRPr="00597245">
        <w:rPr>
          <w:rStyle w:val="Refdenotaalpie"/>
          <w:rFonts w:ascii="Times New Roman" w:hAnsi="Times New Roman" w:cs="Times New Roman"/>
        </w:rPr>
        <w:footnoteReference w:id="66"/>
      </w:r>
      <w:r w:rsidRPr="00597245">
        <w:rPr>
          <w:rFonts w:ascii="Times New Roman" w:hAnsi="Times New Roman" w:cs="Times New Roman"/>
        </w:rPr>
        <w:t xml:space="preserve">  </w:t>
      </w:r>
    </w:p>
    <w:p w:rsidR="0019028F" w:rsidRPr="00597245" w:rsidRDefault="00597245" w:rsidP="0019028F">
      <w:pPr>
        <w:pStyle w:val="Prrafodelista"/>
        <w:rPr>
          <w:rFonts w:ascii="Times New Roman" w:hAnsi="Times New Roman" w:cs="Times New Roman"/>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 xml:space="preserve">Es importante precisar que en algunos casos es relevante identificar el fundamento de la inexequibilidad de la decisión previa, ya sea por razones de fondo </w:t>
      </w:r>
      <w:r w:rsidRPr="00597245">
        <w:rPr>
          <w:rFonts w:ascii="Times New Roman" w:hAnsi="Times New Roman" w:cs="Times New Roman"/>
        </w:rPr>
        <w:t>o de procedimiento, para determinar el alcance de los efectos de esa declaración</w:t>
      </w:r>
      <w:r w:rsidRPr="00597245">
        <w:rPr>
          <w:rStyle w:val="Refdenotaalpie"/>
          <w:rFonts w:ascii="Times New Roman" w:hAnsi="Times New Roman" w:cs="Times New Roman"/>
        </w:rPr>
        <w:footnoteReference w:id="67"/>
      </w:r>
      <w:r w:rsidRPr="00597245">
        <w:rPr>
          <w:rFonts w:ascii="Times New Roman" w:hAnsi="Times New Roman" w:cs="Times New Roman"/>
        </w:rPr>
        <w:t>. En el evento en que la declaratoria de inexequibilidad obedezca a un defecto de forma en la expedición de la norma, el legislador está facultado para reproducir su contenido</w:t>
      </w:r>
      <w:r w:rsidRPr="00597245">
        <w:rPr>
          <w:rFonts w:ascii="Times New Roman" w:hAnsi="Times New Roman" w:cs="Times New Roman"/>
        </w:rPr>
        <w:t xml:space="preserve"> en una disposición posterior</w:t>
      </w:r>
      <w:r w:rsidRPr="00597245">
        <w:rPr>
          <w:rStyle w:val="Refdenotaalpie"/>
          <w:rFonts w:ascii="Times New Roman" w:hAnsi="Times New Roman" w:cs="Times New Roman"/>
        </w:rPr>
        <w:footnoteReference w:id="68"/>
      </w:r>
      <w:r w:rsidRPr="00597245">
        <w:rPr>
          <w:rFonts w:ascii="Times New Roman" w:hAnsi="Times New Roman" w:cs="Times New Roman"/>
        </w:rPr>
        <w:t>. En cambio, si el Congreso replica un contenido normativo previamente declarado inexequible por vicios de fondo, la cosa juzgada material exige estarse a lo resuelto en el pronunciamiento anterior y en consecuencia declarar l</w:t>
      </w:r>
      <w:r w:rsidRPr="00597245">
        <w:rPr>
          <w:rFonts w:ascii="Times New Roman" w:hAnsi="Times New Roman" w:cs="Times New Roman"/>
        </w:rPr>
        <w:t>a inexequibilidad del nuevo precepto</w:t>
      </w:r>
      <w:r w:rsidRPr="00597245">
        <w:rPr>
          <w:rStyle w:val="Refdenotaalpie"/>
          <w:rFonts w:ascii="Times New Roman" w:hAnsi="Times New Roman" w:cs="Times New Roman"/>
        </w:rPr>
        <w:footnoteReference w:id="69"/>
      </w:r>
      <w:r w:rsidRPr="00597245">
        <w:rPr>
          <w:rFonts w:ascii="Times New Roman" w:hAnsi="Times New Roman" w:cs="Times New Roman"/>
        </w:rPr>
        <w:t xml:space="preserve">, a menos que se configure alguno de los supuestos que debilitan la cosa juzgada. </w:t>
      </w:r>
    </w:p>
    <w:p w:rsidR="0019028F" w:rsidRPr="00597245" w:rsidRDefault="00597245" w:rsidP="0019028F">
      <w:pPr>
        <w:pStyle w:val="Prrafodelista"/>
        <w:rPr>
          <w:rFonts w:ascii="Times New Roman" w:hAnsi="Times New Roman" w:cs="Times New Roman"/>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 xml:space="preserve">En este contexto, se reseñarán algunos ejemplos en los que se estudiaron demandas contra normas que fueron declaradas inexequibles. En </w:t>
      </w:r>
      <w:r w:rsidRPr="00597245">
        <w:rPr>
          <w:rFonts w:ascii="Times New Roman" w:hAnsi="Times New Roman" w:cs="Times New Roman"/>
        </w:rPr>
        <w:t>la Sentencia C-383 de 2022, la Sala declaró estarse a lo resuelto en la Sentencia C-155 de 2022 en relación con la demanda formulada contra las disposiciones de la Ley 2098 de 2021. Esta decisión se fundamentó en que las normas cuestionadas en el proceso q</w:t>
      </w:r>
      <w:r w:rsidRPr="00597245">
        <w:rPr>
          <w:rFonts w:ascii="Times New Roman" w:hAnsi="Times New Roman" w:cs="Times New Roman"/>
        </w:rPr>
        <w:t>ue concluyó con la Sentencia C-383 de 2022 fueron declaradas inexequibles en la Sentencia C-155 de 2022 con efecto retroactivo</w:t>
      </w:r>
      <w:r w:rsidRPr="00597245">
        <w:rPr>
          <w:rStyle w:val="Refdenotaalpie"/>
          <w:rFonts w:ascii="Times New Roman" w:hAnsi="Times New Roman" w:cs="Times New Roman"/>
        </w:rPr>
        <w:footnoteReference w:id="70"/>
      </w:r>
      <w:r w:rsidRPr="00597245">
        <w:rPr>
          <w:rFonts w:ascii="Times New Roman" w:hAnsi="Times New Roman" w:cs="Times New Roman"/>
        </w:rPr>
        <w:t>. Para la Corte, los enunciados legales fueron expulsados del ordenamiento jurídico y no procedía una decisión de fondo.</w:t>
      </w:r>
    </w:p>
    <w:p w:rsidR="0019028F" w:rsidRPr="00597245" w:rsidRDefault="00597245" w:rsidP="0019028F">
      <w:pPr>
        <w:pStyle w:val="Prrafodelista"/>
        <w:rPr>
          <w:rFonts w:ascii="Times New Roman" w:hAnsi="Times New Roman" w:cs="Times New Roman"/>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Asimism</w:t>
      </w:r>
      <w:r w:rsidRPr="00597245">
        <w:rPr>
          <w:rFonts w:ascii="Times New Roman" w:hAnsi="Times New Roman" w:cs="Times New Roman"/>
        </w:rPr>
        <w:t>o, en la Sentencia C-306 de 2022 se declaró estarse a lo resuelto en la decisión de inexequibilidad que se adoptó sobre el artículo 124 de la Ley 2159 de 2021 en la Sentencia C-153 de 2022, la cual implicó la supresión de esa disposición del ordenamiento j</w:t>
      </w:r>
      <w:r w:rsidRPr="00597245">
        <w:rPr>
          <w:rFonts w:ascii="Times New Roman" w:hAnsi="Times New Roman" w:cs="Times New Roman"/>
        </w:rPr>
        <w:t>urídico. En efecto, la Sala Plena se abstuvo de estudiar los cargos presentados contra dicha disposición, al configurarse una cosa juzgada absoluta sobre esta</w:t>
      </w:r>
      <w:r w:rsidRPr="00597245">
        <w:rPr>
          <w:rStyle w:val="Refdenotaalpie"/>
          <w:rFonts w:ascii="Times New Roman" w:hAnsi="Times New Roman" w:cs="Times New Roman"/>
        </w:rPr>
        <w:footnoteReference w:id="71"/>
      </w:r>
      <w:r w:rsidRPr="00597245">
        <w:rPr>
          <w:rFonts w:ascii="Times New Roman" w:hAnsi="Times New Roman" w:cs="Times New Roman"/>
        </w:rPr>
        <w:t>. Otro ejemplo de aplicación de estos efectos de la cosa juzgada se encuentra en la Sentencia C-4</w:t>
      </w:r>
      <w:r w:rsidRPr="00597245">
        <w:rPr>
          <w:rFonts w:ascii="Times New Roman" w:hAnsi="Times New Roman" w:cs="Times New Roman"/>
        </w:rPr>
        <w:t>89 de 2009. En esta decisión, la Sala se estuvo a lo resuelto en la Sentencia C-1198 de 2008, que determinó la inexequibilidad de algunos fragmentos del inciso segundo del numeral 3º del artículo 2 de la Ley 1142 de 2007. Esto se fundamentó en que la norma</w:t>
      </w:r>
      <w:r w:rsidRPr="00597245">
        <w:rPr>
          <w:rFonts w:ascii="Times New Roman" w:hAnsi="Times New Roman" w:cs="Times New Roman"/>
        </w:rPr>
        <w:t xml:space="preserve"> ya no pertenecía al ordenamiento jurídico y no había lugar a estudiar la constitucionalidad de dicho precepto, independientemente de que los cargos planteados en la nueva demanda fueran distintos a aquellos que motivaron la declaratoria de inexequibilidad</w:t>
      </w:r>
      <w:r w:rsidRPr="00597245">
        <w:rPr>
          <w:rFonts w:ascii="Times New Roman" w:hAnsi="Times New Roman" w:cs="Times New Roman"/>
        </w:rPr>
        <w:t xml:space="preserve"> en el pronunciamiento anterior. </w:t>
      </w:r>
    </w:p>
    <w:p w:rsidR="0019028F" w:rsidRPr="00597245" w:rsidRDefault="00597245" w:rsidP="0019028F">
      <w:pPr>
        <w:pStyle w:val="Prrafodelista"/>
        <w:rPr>
          <w:rFonts w:ascii="Times New Roman" w:hAnsi="Times New Roman" w:cs="Times New Roman"/>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b/>
          <w:bCs/>
          <w:color w:val="000000" w:themeColor="text1"/>
          <w:lang w:eastAsia="en-US"/>
        </w:rPr>
      </w:pPr>
      <w:r w:rsidRPr="00597245">
        <w:rPr>
          <w:rFonts w:ascii="Times New Roman" w:hAnsi="Times New Roman" w:cs="Times New Roman"/>
        </w:rPr>
        <w:t>En consecuencia, la Corte sintetizó que la cosa juzgada constitucional es una institución que otorga el carácter inmutable a una decisión e impide volver a estudiar la norma o reproducirla de nuevo. En el caso de los fall</w:t>
      </w:r>
      <w:r w:rsidRPr="00597245">
        <w:rPr>
          <w:rFonts w:ascii="Times New Roman" w:hAnsi="Times New Roman" w:cs="Times New Roman"/>
        </w:rPr>
        <w:t>os de inexequibilidad, la cosa juzgada es absoluta debido a que elimina la norma del ordenamiento jurídico. Por lo tanto, no procede el estudio de fondo de las demandas que se encuentran en curso o de otras nuevas, y la decisión que debe dictar esta Corpor</w:t>
      </w:r>
      <w:r w:rsidRPr="00597245">
        <w:rPr>
          <w:rFonts w:ascii="Times New Roman" w:hAnsi="Times New Roman" w:cs="Times New Roman"/>
        </w:rPr>
        <w:t>ación corresponde a estarse a lo resuelto en la anterior sentencia que declaró la inexequibilidad de la norma.</w:t>
      </w:r>
    </w:p>
    <w:p w:rsidR="0019028F" w:rsidRPr="00597245" w:rsidRDefault="00597245" w:rsidP="0019028F">
      <w:pPr>
        <w:pStyle w:val="Prrafodelista"/>
        <w:rPr>
          <w:rFonts w:ascii="Times New Roman" w:eastAsiaTheme="minorHAnsi" w:hAnsi="Times New Roman" w:cs="Times New Roman"/>
          <w:b/>
          <w:bCs/>
          <w:color w:val="000000" w:themeColor="text1"/>
          <w:lang w:eastAsia="en-US"/>
        </w:rPr>
      </w:pPr>
    </w:p>
    <w:p w:rsidR="0019028F" w:rsidRPr="00597245" w:rsidRDefault="00597245" w:rsidP="0019028F">
      <w:pPr>
        <w:pStyle w:val="Prrafodelista"/>
        <w:widowControl/>
        <w:numPr>
          <w:ilvl w:val="0"/>
          <w:numId w:val="2"/>
        </w:numPr>
        <w:ind w:left="0" w:right="-232" w:hanging="11"/>
        <w:contextualSpacing/>
        <w:rPr>
          <w:rFonts w:ascii="Times New Roman" w:eastAsiaTheme="minorHAnsi" w:hAnsi="Times New Roman" w:cs="Times New Roman"/>
          <w:color w:val="000000" w:themeColor="text1"/>
          <w:lang w:eastAsia="en-US"/>
        </w:rPr>
      </w:pPr>
      <w:r w:rsidRPr="00597245">
        <w:rPr>
          <w:rFonts w:ascii="Times New Roman" w:eastAsiaTheme="minorHAnsi" w:hAnsi="Times New Roman" w:cs="Times New Roman"/>
          <w:color w:val="000000" w:themeColor="text1"/>
          <w:lang w:eastAsia="en-US"/>
        </w:rPr>
        <w:t xml:space="preserve">En suma, a continuación, se resumen las clases de cosa juzgada constitucional identificadas por la Corte, los supuestos en los que se </w:t>
      </w:r>
      <w:r w:rsidRPr="00597245">
        <w:rPr>
          <w:rFonts w:ascii="Times New Roman" w:eastAsiaTheme="minorHAnsi" w:hAnsi="Times New Roman" w:cs="Times New Roman"/>
          <w:color w:val="000000" w:themeColor="text1"/>
          <w:lang w:eastAsia="en-US"/>
        </w:rPr>
        <w:t>configuran, y sus consecuencias:</w:t>
      </w:r>
    </w:p>
    <w:p w:rsidR="0019028F" w:rsidRPr="00597245" w:rsidRDefault="00597245" w:rsidP="0019028F">
      <w:pPr>
        <w:pStyle w:val="Prrafodelista"/>
        <w:rPr>
          <w:rFonts w:ascii="Times New Roman" w:eastAsiaTheme="minorHAnsi" w:hAnsi="Times New Roman" w:cs="Times New Roman"/>
          <w:b/>
          <w:bCs/>
          <w:color w:val="000000" w:themeColor="text1"/>
          <w:lang w:eastAsia="en-US"/>
        </w:rPr>
      </w:pPr>
    </w:p>
    <w:p w:rsidR="0019028F" w:rsidRPr="00597245" w:rsidRDefault="00597245" w:rsidP="0019028F">
      <w:pPr>
        <w:jc w:val="center"/>
        <w:rPr>
          <w:rFonts w:ascii="Times New Roman" w:hAnsi="Times New Roman" w:cs="Times New Roman"/>
          <w:b/>
          <w:bCs/>
          <w:color w:val="000000" w:themeColor="text1"/>
          <w:sz w:val="28"/>
        </w:rPr>
      </w:pPr>
      <w:r w:rsidRPr="00597245">
        <w:rPr>
          <w:rFonts w:ascii="Times New Roman" w:hAnsi="Times New Roman" w:cs="Times New Roman"/>
          <w:b/>
          <w:bCs/>
          <w:color w:val="000000" w:themeColor="text1"/>
          <w:sz w:val="28"/>
        </w:rPr>
        <w:t>Tabla 3 – Tipologías de la cosa juzgada constitucional</w:t>
      </w:r>
    </w:p>
    <w:tbl>
      <w:tblPr>
        <w:tblStyle w:val="Tablaconcuadrcula"/>
        <w:tblW w:w="0" w:type="auto"/>
        <w:tblLook w:val="04A0" w:firstRow="1" w:lastRow="0" w:firstColumn="1" w:lastColumn="0" w:noHBand="0" w:noVBand="1"/>
      </w:tblPr>
      <w:tblGrid>
        <w:gridCol w:w="2547"/>
        <w:gridCol w:w="6281"/>
      </w:tblGrid>
      <w:tr w:rsidR="0019028F" w:rsidRPr="00597245" w:rsidTr="006156C4">
        <w:trPr>
          <w:tblHeader/>
        </w:trPr>
        <w:tc>
          <w:tcPr>
            <w:tcW w:w="2547" w:type="dxa"/>
            <w:shd w:val="clear" w:color="auto" w:fill="DEEAF6" w:themeFill="accent1" w:themeFillTint="33"/>
          </w:tcPr>
          <w:p w:rsidR="0019028F" w:rsidRPr="00597245" w:rsidRDefault="00597245" w:rsidP="006156C4">
            <w:pPr>
              <w:jc w:val="center"/>
              <w:rPr>
                <w:rFonts w:ascii="Times New Roman" w:hAnsi="Times New Roman"/>
                <w:b/>
                <w:bCs/>
                <w:color w:val="000000" w:themeColor="text1"/>
                <w:sz w:val="28"/>
              </w:rPr>
            </w:pPr>
            <w:r w:rsidRPr="00597245">
              <w:rPr>
                <w:rFonts w:ascii="Times New Roman" w:hAnsi="Times New Roman"/>
                <w:b/>
                <w:bCs/>
                <w:color w:val="000000" w:themeColor="text1"/>
                <w:sz w:val="28"/>
              </w:rPr>
              <w:t xml:space="preserve">Tipología </w:t>
            </w:r>
          </w:p>
        </w:tc>
        <w:tc>
          <w:tcPr>
            <w:tcW w:w="6281" w:type="dxa"/>
            <w:shd w:val="clear" w:color="auto" w:fill="DEEAF6" w:themeFill="accent1" w:themeFillTint="33"/>
          </w:tcPr>
          <w:p w:rsidR="0019028F" w:rsidRPr="00597245" w:rsidRDefault="00597245" w:rsidP="006156C4">
            <w:pPr>
              <w:jc w:val="center"/>
              <w:rPr>
                <w:rFonts w:ascii="Times New Roman" w:hAnsi="Times New Roman"/>
                <w:b/>
                <w:bCs/>
                <w:color w:val="000000" w:themeColor="text1"/>
                <w:sz w:val="28"/>
              </w:rPr>
            </w:pPr>
            <w:r w:rsidRPr="00597245">
              <w:rPr>
                <w:rFonts w:ascii="Times New Roman" w:hAnsi="Times New Roman"/>
                <w:b/>
                <w:bCs/>
                <w:color w:val="000000" w:themeColor="text1"/>
                <w:sz w:val="28"/>
              </w:rPr>
              <w:t>Concepto</w:t>
            </w:r>
          </w:p>
        </w:tc>
      </w:tr>
      <w:tr w:rsidR="0019028F" w:rsidRPr="00597245" w:rsidTr="006156C4">
        <w:tc>
          <w:tcPr>
            <w:tcW w:w="2547" w:type="dxa"/>
          </w:tcPr>
          <w:p w:rsidR="0019028F" w:rsidRPr="00597245" w:rsidRDefault="00597245" w:rsidP="006156C4">
            <w:pPr>
              <w:rPr>
                <w:rFonts w:ascii="Times New Roman" w:hAnsi="Times New Roman"/>
                <w:color w:val="000000" w:themeColor="text1"/>
                <w:sz w:val="28"/>
                <w:lang w:val="es-ES"/>
              </w:rPr>
            </w:pPr>
          </w:p>
          <w:p w:rsidR="0019028F" w:rsidRPr="00597245" w:rsidRDefault="00597245" w:rsidP="006156C4">
            <w:pPr>
              <w:rPr>
                <w:rFonts w:ascii="Times New Roman" w:hAnsi="Times New Roman"/>
                <w:color w:val="000000" w:themeColor="text1"/>
                <w:sz w:val="28"/>
                <w:lang w:val="es-ES"/>
              </w:rPr>
            </w:pPr>
          </w:p>
          <w:p w:rsidR="0019028F" w:rsidRPr="00597245" w:rsidRDefault="00597245" w:rsidP="006156C4">
            <w:pPr>
              <w:rPr>
                <w:rFonts w:ascii="Times New Roman" w:hAnsi="Times New Roman"/>
                <w:color w:val="000000" w:themeColor="text1"/>
                <w:sz w:val="28"/>
              </w:rPr>
            </w:pPr>
            <w:r w:rsidRPr="00597245">
              <w:rPr>
                <w:rFonts w:ascii="Times New Roman" w:hAnsi="Times New Roman"/>
                <w:color w:val="000000" w:themeColor="text1"/>
                <w:sz w:val="28"/>
                <w:lang w:val="es-ES"/>
              </w:rPr>
              <w:t>Cosa juzgada formal</w:t>
            </w:r>
          </w:p>
        </w:tc>
        <w:tc>
          <w:tcPr>
            <w:tcW w:w="6281" w:type="dxa"/>
          </w:tcPr>
          <w:p w:rsidR="0019028F" w:rsidRPr="00597245" w:rsidRDefault="00597245" w:rsidP="006156C4">
            <w:pPr>
              <w:jc w:val="both"/>
              <w:rPr>
                <w:rFonts w:ascii="Times New Roman" w:hAnsi="Times New Roman"/>
                <w:color w:val="000000" w:themeColor="text1"/>
                <w:sz w:val="28"/>
              </w:rPr>
            </w:pPr>
            <w:r w:rsidRPr="00597245">
              <w:rPr>
                <w:rFonts w:ascii="Times New Roman" w:hAnsi="Times New Roman"/>
                <w:color w:val="000000" w:themeColor="text1"/>
                <w:sz w:val="28"/>
                <w:lang w:val="es-ES"/>
              </w:rPr>
              <w:t xml:space="preserve">Se presenta cuando la Sala Plena de la Corte Constitucional ya se pronunció sobre la disposición demandada y trae como </w:t>
            </w:r>
            <w:r w:rsidRPr="00597245">
              <w:rPr>
                <w:rFonts w:ascii="Times New Roman" w:hAnsi="Times New Roman"/>
                <w:color w:val="000000" w:themeColor="text1"/>
                <w:sz w:val="28"/>
                <w:lang w:val="es-ES"/>
              </w:rPr>
              <w:t>consecuencia que la Corte deba estarse a lo resuelto en la sentencia previa. Esta tipología</w:t>
            </w:r>
            <w:r w:rsidRPr="00597245">
              <w:rPr>
                <w:rFonts w:ascii="Times New Roman" w:hAnsi="Times New Roman"/>
                <w:color w:val="000000" w:themeColor="text1"/>
                <w:sz w:val="28"/>
                <w:lang w:val="es-CO"/>
              </w:rPr>
              <w:t xml:space="preserve"> recae sobre los textos normativos sometidos a control</w:t>
            </w:r>
            <w:r w:rsidRPr="00597245">
              <w:rPr>
                <w:rStyle w:val="Refdenotaalpie"/>
                <w:rFonts w:ascii="Times New Roman" w:hAnsi="Times New Roman"/>
                <w:color w:val="000000" w:themeColor="text1"/>
                <w:sz w:val="28"/>
                <w:lang w:val="es-CO"/>
              </w:rPr>
              <w:footnoteReference w:id="72"/>
            </w:r>
            <w:r w:rsidRPr="00597245">
              <w:rPr>
                <w:rFonts w:ascii="Times New Roman" w:hAnsi="Times New Roman"/>
                <w:color w:val="000000" w:themeColor="text1"/>
                <w:sz w:val="28"/>
                <w:lang w:val="es-CO"/>
              </w:rPr>
              <w:t xml:space="preserve">. </w:t>
            </w:r>
          </w:p>
        </w:tc>
      </w:tr>
      <w:tr w:rsidR="0019028F" w:rsidRPr="00597245" w:rsidTr="006156C4">
        <w:tc>
          <w:tcPr>
            <w:tcW w:w="2547" w:type="dxa"/>
          </w:tcPr>
          <w:p w:rsidR="0019028F" w:rsidRPr="00597245" w:rsidRDefault="00597245" w:rsidP="006156C4">
            <w:pPr>
              <w:rPr>
                <w:rFonts w:ascii="Times New Roman" w:hAnsi="Times New Roman"/>
                <w:color w:val="000000" w:themeColor="text1"/>
                <w:sz w:val="28"/>
                <w:lang w:val="es-ES"/>
              </w:rPr>
            </w:pPr>
          </w:p>
          <w:p w:rsidR="0019028F" w:rsidRPr="00597245" w:rsidRDefault="00597245" w:rsidP="006156C4">
            <w:pPr>
              <w:rPr>
                <w:rFonts w:ascii="Times New Roman" w:hAnsi="Times New Roman"/>
                <w:color w:val="000000" w:themeColor="text1"/>
                <w:sz w:val="28"/>
                <w:lang w:val="es-ES"/>
              </w:rPr>
            </w:pPr>
          </w:p>
          <w:p w:rsidR="0019028F" w:rsidRPr="00597245" w:rsidRDefault="00597245" w:rsidP="006156C4">
            <w:pPr>
              <w:rPr>
                <w:rFonts w:ascii="Times New Roman" w:hAnsi="Times New Roman"/>
                <w:color w:val="000000" w:themeColor="text1"/>
                <w:sz w:val="28"/>
                <w:lang w:val="es-ES"/>
              </w:rPr>
            </w:pPr>
          </w:p>
          <w:p w:rsidR="0019028F" w:rsidRPr="00597245" w:rsidRDefault="00597245" w:rsidP="006156C4">
            <w:pPr>
              <w:rPr>
                <w:rFonts w:ascii="Times New Roman" w:hAnsi="Times New Roman"/>
                <w:color w:val="000000" w:themeColor="text1"/>
                <w:sz w:val="28"/>
                <w:lang w:val="es-ES"/>
              </w:rPr>
            </w:pPr>
          </w:p>
          <w:p w:rsidR="0019028F" w:rsidRPr="00597245" w:rsidRDefault="00597245" w:rsidP="006156C4">
            <w:pPr>
              <w:rPr>
                <w:rFonts w:ascii="Times New Roman" w:hAnsi="Times New Roman"/>
                <w:color w:val="000000" w:themeColor="text1"/>
                <w:sz w:val="28"/>
                <w:lang w:val="es-ES"/>
              </w:rPr>
            </w:pPr>
          </w:p>
          <w:p w:rsidR="0019028F" w:rsidRPr="00597245" w:rsidRDefault="00597245" w:rsidP="006156C4">
            <w:pPr>
              <w:rPr>
                <w:rFonts w:ascii="Times New Roman" w:hAnsi="Times New Roman"/>
                <w:color w:val="000000" w:themeColor="text1"/>
                <w:sz w:val="28"/>
              </w:rPr>
            </w:pPr>
            <w:r w:rsidRPr="00597245">
              <w:rPr>
                <w:rFonts w:ascii="Times New Roman" w:hAnsi="Times New Roman"/>
                <w:color w:val="000000" w:themeColor="text1"/>
                <w:sz w:val="28"/>
                <w:lang w:val="es-ES"/>
              </w:rPr>
              <w:t xml:space="preserve">Cosa juzgada material </w:t>
            </w:r>
          </w:p>
        </w:tc>
        <w:tc>
          <w:tcPr>
            <w:tcW w:w="6281" w:type="dxa"/>
          </w:tcPr>
          <w:p w:rsidR="0019028F" w:rsidRPr="00597245" w:rsidRDefault="00597245" w:rsidP="006156C4">
            <w:pPr>
              <w:jc w:val="both"/>
              <w:rPr>
                <w:rFonts w:ascii="Times New Roman" w:hAnsi="Times New Roman"/>
                <w:color w:val="000000" w:themeColor="text1"/>
                <w:sz w:val="28"/>
              </w:rPr>
            </w:pPr>
            <w:r w:rsidRPr="00597245">
              <w:rPr>
                <w:rFonts w:ascii="Times New Roman" w:hAnsi="Times New Roman"/>
                <w:color w:val="000000" w:themeColor="text1"/>
                <w:sz w:val="28"/>
                <w:lang w:val="es-ES"/>
              </w:rPr>
              <w:t xml:space="preserve">Se presenta cuando se acusa una disposición que es formalmente distinta, pero </w:t>
            </w:r>
            <w:r w:rsidRPr="00597245">
              <w:rPr>
                <w:rFonts w:ascii="Times New Roman" w:hAnsi="Times New Roman"/>
                <w:color w:val="000000" w:themeColor="text1"/>
                <w:sz w:val="28"/>
                <w:lang w:val="es-ES"/>
              </w:rPr>
              <w:t>que tiene un contenido normativo idéntico al de otra que ya fue controlada por esta Corporación en sede de control de constitucionalidad. El juez debe evaluar: (i) si existe una decisión de constitucionalidad anterior sobre una regla de derecho idéntica, p</w:t>
            </w:r>
            <w:r w:rsidRPr="00597245">
              <w:rPr>
                <w:rFonts w:ascii="Times New Roman" w:hAnsi="Times New Roman"/>
                <w:color w:val="000000" w:themeColor="text1"/>
                <w:sz w:val="28"/>
                <w:lang w:val="es-ES"/>
              </w:rPr>
              <w:t>ero contenida en distintas disposiciones jurídicas; y luego (ii) determinar cuál es el nivel de similitud entre los cargos del pasado y del presente y el análisis constitucional de fondo sobre la proposición jurídica. Este estudio no recae sobre la disposi</w:t>
            </w:r>
            <w:r w:rsidRPr="00597245">
              <w:rPr>
                <w:rFonts w:ascii="Times New Roman" w:hAnsi="Times New Roman"/>
                <w:color w:val="000000" w:themeColor="text1"/>
                <w:sz w:val="28"/>
                <w:lang w:val="es-ES"/>
              </w:rPr>
              <w:t>ción, sino</w:t>
            </w:r>
            <w:r w:rsidRPr="00597245">
              <w:rPr>
                <w:rFonts w:ascii="Times New Roman" w:hAnsi="Times New Roman"/>
                <w:color w:val="000000" w:themeColor="text1"/>
                <w:sz w:val="28"/>
                <w:lang w:val="es-CO"/>
              </w:rPr>
              <w:t xml:space="preserve"> sobre los contenidos normativos</w:t>
            </w:r>
            <w:r w:rsidRPr="00597245">
              <w:rPr>
                <w:rStyle w:val="Refdenotaalpie"/>
                <w:rFonts w:ascii="Times New Roman" w:hAnsi="Times New Roman"/>
                <w:color w:val="000000" w:themeColor="text1"/>
                <w:sz w:val="28"/>
                <w:lang w:val="es-CO"/>
              </w:rPr>
              <w:footnoteReference w:id="73"/>
            </w:r>
            <w:r w:rsidRPr="00597245">
              <w:rPr>
                <w:rFonts w:ascii="Times New Roman" w:hAnsi="Times New Roman"/>
                <w:color w:val="000000" w:themeColor="text1"/>
                <w:sz w:val="28"/>
                <w:lang w:val="es-CO"/>
              </w:rPr>
              <w:t>.</w:t>
            </w:r>
          </w:p>
        </w:tc>
      </w:tr>
      <w:tr w:rsidR="0019028F" w:rsidRPr="00597245" w:rsidTr="006156C4">
        <w:tc>
          <w:tcPr>
            <w:tcW w:w="2547" w:type="dxa"/>
          </w:tcPr>
          <w:p w:rsidR="0019028F" w:rsidRPr="00597245" w:rsidRDefault="00597245" w:rsidP="006156C4">
            <w:pPr>
              <w:rPr>
                <w:rFonts w:ascii="Times New Roman" w:hAnsi="Times New Roman"/>
                <w:color w:val="000000" w:themeColor="text1"/>
                <w:sz w:val="28"/>
              </w:rPr>
            </w:pPr>
          </w:p>
          <w:p w:rsidR="0019028F" w:rsidRPr="00597245" w:rsidRDefault="00597245" w:rsidP="006156C4">
            <w:pPr>
              <w:rPr>
                <w:rFonts w:ascii="Times New Roman" w:hAnsi="Times New Roman"/>
                <w:color w:val="000000" w:themeColor="text1"/>
                <w:sz w:val="28"/>
              </w:rPr>
            </w:pPr>
            <w:r w:rsidRPr="00597245">
              <w:rPr>
                <w:rFonts w:ascii="Times New Roman" w:hAnsi="Times New Roman"/>
                <w:color w:val="000000" w:themeColor="text1"/>
                <w:sz w:val="28"/>
              </w:rPr>
              <w:t xml:space="preserve">Cosa juzgada absoluta </w:t>
            </w:r>
          </w:p>
        </w:tc>
        <w:tc>
          <w:tcPr>
            <w:tcW w:w="6281" w:type="dxa"/>
          </w:tcPr>
          <w:p w:rsidR="0019028F" w:rsidRPr="00597245" w:rsidRDefault="00597245" w:rsidP="006156C4">
            <w:pPr>
              <w:jc w:val="both"/>
              <w:rPr>
                <w:rFonts w:ascii="Times New Roman" w:hAnsi="Times New Roman"/>
                <w:color w:val="000000" w:themeColor="text1"/>
                <w:sz w:val="28"/>
              </w:rPr>
            </w:pPr>
            <w:r w:rsidRPr="00597245">
              <w:rPr>
                <w:rFonts w:ascii="Times New Roman" w:hAnsi="Times New Roman"/>
                <w:color w:val="000000" w:themeColor="text1"/>
                <w:sz w:val="28"/>
                <w:lang w:val="es-CO"/>
              </w:rPr>
              <w:t xml:space="preserve">Se presenta en dos casos: primero, cuando la Corte declara la inexequibilidad de una norma y, por lo tanto, la expulsa del ordenamiento. Segundo, cuando </w:t>
            </w:r>
            <w:r w:rsidRPr="00597245">
              <w:rPr>
                <w:rFonts w:ascii="Times New Roman" w:hAnsi="Times New Roman"/>
                <w:color w:val="000000" w:themeColor="text1"/>
                <w:sz w:val="28"/>
                <w:lang w:val="es-ES"/>
              </w:rPr>
              <w:t xml:space="preserve">el control de constitucionalidad </w:t>
            </w:r>
            <w:r w:rsidRPr="00597245">
              <w:rPr>
                <w:rFonts w:ascii="Times New Roman" w:hAnsi="Times New Roman"/>
                <w:color w:val="000000" w:themeColor="text1"/>
                <w:sz w:val="28"/>
                <w:lang w:val="es-ES"/>
              </w:rPr>
              <w:t>se ejerció respecto a la integralidad de la Carta. En estos casos, la Corte debe estarse a lo resuelto en la sentencia previa.</w:t>
            </w:r>
          </w:p>
        </w:tc>
      </w:tr>
      <w:tr w:rsidR="0019028F" w:rsidRPr="00597245" w:rsidTr="006156C4">
        <w:tc>
          <w:tcPr>
            <w:tcW w:w="2547" w:type="dxa"/>
          </w:tcPr>
          <w:p w:rsidR="0019028F" w:rsidRPr="00597245" w:rsidRDefault="00597245" w:rsidP="006156C4">
            <w:pPr>
              <w:rPr>
                <w:rFonts w:ascii="Times New Roman" w:hAnsi="Times New Roman"/>
                <w:color w:val="000000" w:themeColor="text1"/>
                <w:sz w:val="28"/>
              </w:rPr>
            </w:pPr>
          </w:p>
          <w:p w:rsidR="0019028F" w:rsidRPr="00597245" w:rsidRDefault="00597245" w:rsidP="006156C4">
            <w:pPr>
              <w:rPr>
                <w:rFonts w:ascii="Times New Roman" w:hAnsi="Times New Roman"/>
                <w:color w:val="000000" w:themeColor="text1"/>
                <w:sz w:val="28"/>
              </w:rPr>
            </w:pPr>
            <w:r w:rsidRPr="00597245">
              <w:rPr>
                <w:rFonts w:ascii="Times New Roman" w:hAnsi="Times New Roman"/>
                <w:color w:val="000000" w:themeColor="text1"/>
                <w:sz w:val="28"/>
              </w:rPr>
              <w:t xml:space="preserve">Cosa juzgada relativa </w:t>
            </w:r>
          </w:p>
        </w:tc>
        <w:tc>
          <w:tcPr>
            <w:tcW w:w="6281" w:type="dxa"/>
          </w:tcPr>
          <w:p w:rsidR="0019028F" w:rsidRPr="00597245" w:rsidRDefault="00597245" w:rsidP="006156C4">
            <w:pPr>
              <w:jc w:val="both"/>
              <w:rPr>
                <w:rFonts w:ascii="Times New Roman" w:hAnsi="Times New Roman"/>
                <w:color w:val="000000" w:themeColor="text1"/>
                <w:sz w:val="28"/>
              </w:rPr>
            </w:pPr>
            <w:r w:rsidRPr="00597245">
              <w:rPr>
                <w:rFonts w:ascii="Times New Roman" w:hAnsi="Times New Roman"/>
                <w:color w:val="000000" w:themeColor="text1"/>
                <w:sz w:val="28"/>
                <w:lang w:val="es-ES"/>
              </w:rPr>
              <w:t>Se presenta cuando la Corte Constitucional restringió los efectos de su decisión a los cargos analizados</w:t>
            </w:r>
            <w:r w:rsidRPr="00597245">
              <w:rPr>
                <w:rFonts w:ascii="Times New Roman" w:hAnsi="Times New Roman"/>
                <w:color w:val="000000" w:themeColor="text1"/>
                <w:sz w:val="28"/>
                <w:lang w:val="es-ES"/>
              </w:rPr>
              <w:t>. En consecuencia, es posible un nuevo pronunciamiento sobre la disposición únicamente por cargos nuevos.</w:t>
            </w:r>
          </w:p>
        </w:tc>
      </w:tr>
      <w:tr w:rsidR="0019028F" w:rsidRPr="00597245" w:rsidTr="006156C4">
        <w:tc>
          <w:tcPr>
            <w:tcW w:w="2547" w:type="dxa"/>
          </w:tcPr>
          <w:p w:rsidR="0019028F" w:rsidRPr="00597245" w:rsidRDefault="00597245" w:rsidP="006156C4">
            <w:pPr>
              <w:rPr>
                <w:rFonts w:ascii="Times New Roman" w:hAnsi="Times New Roman"/>
                <w:color w:val="000000" w:themeColor="text1"/>
                <w:sz w:val="28"/>
              </w:rPr>
            </w:pPr>
          </w:p>
          <w:p w:rsidR="0019028F" w:rsidRPr="00597245" w:rsidRDefault="00597245" w:rsidP="006156C4">
            <w:pPr>
              <w:rPr>
                <w:rFonts w:ascii="Times New Roman" w:hAnsi="Times New Roman"/>
                <w:color w:val="000000" w:themeColor="text1"/>
                <w:sz w:val="28"/>
              </w:rPr>
            </w:pPr>
            <w:r w:rsidRPr="00597245">
              <w:rPr>
                <w:rFonts w:ascii="Times New Roman" w:hAnsi="Times New Roman"/>
                <w:color w:val="000000" w:themeColor="text1"/>
                <w:sz w:val="28"/>
              </w:rPr>
              <w:t xml:space="preserve">Cosa juzgada aparente </w:t>
            </w:r>
          </w:p>
        </w:tc>
        <w:tc>
          <w:tcPr>
            <w:tcW w:w="6281" w:type="dxa"/>
          </w:tcPr>
          <w:p w:rsidR="0019028F" w:rsidRPr="00597245" w:rsidRDefault="00597245" w:rsidP="006156C4">
            <w:pPr>
              <w:jc w:val="both"/>
              <w:rPr>
                <w:rFonts w:ascii="Times New Roman" w:hAnsi="Times New Roman"/>
                <w:color w:val="000000" w:themeColor="text1"/>
                <w:sz w:val="28"/>
              </w:rPr>
            </w:pPr>
            <w:r w:rsidRPr="00597245">
              <w:rPr>
                <w:rFonts w:ascii="Times New Roman" w:hAnsi="Times New Roman"/>
                <w:color w:val="000000" w:themeColor="text1"/>
                <w:sz w:val="28"/>
              </w:rPr>
              <w:t>Se presenta cuando la Corte Constitucional formalmente declara la exequibilidad de una disposición, pero en realidad no hay u</w:t>
            </w:r>
            <w:r w:rsidRPr="00597245">
              <w:rPr>
                <w:rFonts w:ascii="Times New Roman" w:hAnsi="Times New Roman"/>
                <w:color w:val="000000" w:themeColor="text1"/>
                <w:sz w:val="28"/>
              </w:rPr>
              <w:t xml:space="preserve">n estudio de constitucionalidad en la decisión. En consecuencia, es posible un nuevo pronunciamiento sobre la disposición. </w:t>
            </w:r>
          </w:p>
        </w:tc>
      </w:tr>
    </w:tbl>
    <w:p w:rsidR="0019028F" w:rsidRPr="00597245" w:rsidRDefault="00597245" w:rsidP="0019028F">
      <w:pPr>
        <w:rPr>
          <w:rFonts w:ascii="Times New Roman" w:hAnsi="Times New Roman" w:cs="Times New Roman"/>
          <w:color w:val="000000" w:themeColor="text1"/>
          <w:sz w:val="28"/>
          <w:szCs w:val="28"/>
        </w:rPr>
      </w:pPr>
    </w:p>
    <w:p w:rsidR="0019028F" w:rsidRPr="00597245" w:rsidRDefault="00597245" w:rsidP="0019028F">
      <w:pPr>
        <w:pStyle w:val="Sombreadovistoso-nfasis31"/>
        <w:ind w:left="0"/>
        <w:rPr>
          <w:rFonts w:ascii="Times New Roman" w:hAnsi="Times New Roman" w:cs="Times New Roman"/>
          <w:b/>
          <w:bCs/>
          <w:color w:val="000000" w:themeColor="text1"/>
          <w:lang w:val="es-CO" w:eastAsia="es-CO"/>
        </w:rPr>
      </w:pPr>
      <w:r w:rsidRPr="00597245">
        <w:rPr>
          <w:rFonts w:ascii="Times New Roman" w:hAnsi="Times New Roman" w:cs="Times New Roman"/>
          <w:b/>
          <w:bCs/>
          <w:color w:val="000000" w:themeColor="text1"/>
        </w:rPr>
        <w:t>La sentencia C-537 de 2023</w:t>
      </w:r>
    </w:p>
    <w:p w:rsidR="0019028F" w:rsidRPr="00597245" w:rsidRDefault="00597245" w:rsidP="0019028F">
      <w:pPr>
        <w:pStyle w:val="Sombreadovistoso-nfasis31"/>
        <w:ind w:left="0"/>
        <w:rPr>
          <w:rFonts w:ascii="Times New Roman" w:hAnsi="Times New Roman" w:cs="Times New Roman"/>
          <w:b/>
          <w:bCs/>
          <w:color w:val="000000" w:themeColor="text1"/>
        </w:rPr>
      </w:pP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lang w:eastAsia="es-CO"/>
        </w:rPr>
      </w:pPr>
      <w:r w:rsidRPr="00597245">
        <w:rPr>
          <w:rFonts w:ascii="Times New Roman" w:hAnsi="Times New Roman" w:cs="Times New Roman"/>
          <w:color w:val="000000" w:themeColor="text1"/>
          <w:lang w:eastAsia="es-CO"/>
        </w:rPr>
        <w:t>En la Sentencia C-537 del 5 de diciembre de 2023</w:t>
      </w:r>
      <w:r w:rsidRPr="00597245">
        <w:rPr>
          <w:rStyle w:val="Refdenotaalpie"/>
          <w:rFonts w:ascii="Times New Roman" w:hAnsi="Times New Roman" w:cs="Times New Roman"/>
          <w:color w:val="000000" w:themeColor="text1"/>
          <w:lang w:eastAsia="es-CO"/>
        </w:rPr>
        <w:footnoteReference w:id="74"/>
      </w:r>
      <w:r w:rsidRPr="00597245">
        <w:rPr>
          <w:rFonts w:ascii="Times New Roman" w:hAnsi="Times New Roman" w:cs="Times New Roman"/>
          <w:color w:val="000000" w:themeColor="text1"/>
          <w:lang w:eastAsia="es-CO"/>
        </w:rPr>
        <w:t xml:space="preserve">, la Sala Plena analizó una demanda de </w:t>
      </w:r>
      <w:r w:rsidRPr="00597245">
        <w:rPr>
          <w:rFonts w:ascii="Times New Roman" w:hAnsi="Times New Roman" w:cs="Times New Roman"/>
          <w:color w:val="000000" w:themeColor="text1"/>
          <w:lang w:eastAsia="es-CO"/>
        </w:rPr>
        <w:t>inconstitucionalidad contra el artículo 97 de la Ley 2294 de 2023, por la cual se expidió el Plan Nacional de Desarrollo “Colombia Potencia Mundial de la Vida”. El demandante planteó que la norma acusada era contraria a los artículos 13, 158 y 333 de la Ca</w:t>
      </w:r>
      <w:r w:rsidRPr="00597245">
        <w:rPr>
          <w:rFonts w:ascii="Times New Roman" w:hAnsi="Times New Roman" w:cs="Times New Roman"/>
          <w:color w:val="000000" w:themeColor="text1"/>
          <w:lang w:eastAsia="es-CO"/>
        </w:rPr>
        <w:t>rta, que consagran, respectivamente, los principios de igualdad, unidad de materia en la expedición de leyes, y libre competencia económica.</w:t>
      </w:r>
    </w:p>
    <w:p w:rsidR="0019028F" w:rsidRPr="00597245" w:rsidRDefault="00597245" w:rsidP="0019028F">
      <w:pPr>
        <w:rPr>
          <w:rFonts w:ascii="Times New Roman" w:hAnsi="Times New Roman" w:cs="Times New Roman"/>
          <w:color w:val="000000" w:themeColor="text1"/>
          <w:sz w:val="28"/>
          <w:szCs w:val="28"/>
        </w:rPr>
      </w:pP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lang w:eastAsia="es-CO"/>
        </w:rPr>
      </w:pPr>
      <w:r w:rsidRPr="00597245">
        <w:rPr>
          <w:rFonts w:ascii="Times New Roman" w:hAnsi="Times New Roman" w:cs="Times New Roman"/>
          <w:color w:val="000000" w:themeColor="text1"/>
          <w:lang w:eastAsia="es-CO"/>
        </w:rPr>
        <w:t>En la solución de la demanda, la Corte Constitucional encontró probados los cargos alegados. Así, la Sala Plena co</w:t>
      </w:r>
      <w:r w:rsidRPr="00597245">
        <w:rPr>
          <w:rFonts w:ascii="Times New Roman" w:hAnsi="Times New Roman" w:cs="Times New Roman"/>
          <w:color w:val="000000" w:themeColor="text1"/>
          <w:lang w:eastAsia="es-CO"/>
        </w:rPr>
        <w:t>ncluyó que la norma desconocía el principio de unidad de materia por cuanto no tenía relación con el objetivo general del PND 2022-2026 denominado “Seguridad humana y justicia social” ni con ninguno de sus proyectos. En este punto, la Sala Plena verificó q</w:t>
      </w:r>
      <w:r w:rsidRPr="00597245">
        <w:rPr>
          <w:rFonts w:ascii="Times New Roman" w:hAnsi="Times New Roman" w:cs="Times New Roman"/>
          <w:color w:val="000000" w:themeColor="text1"/>
          <w:lang w:eastAsia="es-CO"/>
        </w:rPr>
        <w:t>ue algunos de los proyectos establecidos en el PND hacían referencia al fortalecimiento del sistema de protección social universal y adaptativo, y que sus políticas estaban encaminadas a la creación de empleos dignos en el sector de la economía popular y r</w:t>
      </w:r>
      <w:r w:rsidRPr="00597245">
        <w:rPr>
          <w:rFonts w:ascii="Times New Roman" w:hAnsi="Times New Roman" w:cs="Times New Roman"/>
          <w:color w:val="000000" w:themeColor="text1"/>
          <w:lang w:eastAsia="es-CO"/>
        </w:rPr>
        <w:t>ural, así como su aseguramiento en riesgos laborales. Sin embargo, la Corte no encontró que la norma demandada, al obligar la afiliación de las entidades públicas a la ARL Positiva S.A., condujera inequívocamente al logro de las metas establecidas en la Le</w:t>
      </w:r>
      <w:r w:rsidRPr="00597245">
        <w:rPr>
          <w:rFonts w:ascii="Times New Roman" w:hAnsi="Times New Roman" w:cs="Times New Roman"/>
          <w:color w:val="000000" w:themeColor="text1"/>
          <w:lang w:eastAsia="es-CO"/>
        </w:rPr>
        <w:t>y 2294 de 2023.</w:t>
      </w:r>
    </w:p>
    <w:p w:rsidR="0019028F" w:rsidRPr="00597245" w:rsidRDefault="00597245" w:rsidP="0019028F">
      <w:pPr>
        <w:pStyle w:val="Prrafodelista"/>
        <w:rPr>
          <w:rFonts w:ascii="Times New Roman" w:hAnsi="Times New Roman" w:cs="Times New Roman"/>
          <w:color w:val="000000" w:themeColor="text1"/>
          <w:lang w:eastAsia="es-CO"/>
        </w:rPr>
      </w:pP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lang w:eastAsia="es-CO"/>
        </w:rPr>
      </w:pPr>
      <w:r w:rsidRPr="00597245">
        <w:rPr>
          <w:rFonts w:ascii="Times New Roman" w:hAnsi="Times New Roman" w:cs="Times New Roman"/>
          <w:color w:val="000000" w:themeColor="text1"/>
          <w:lang w:eastAsia="es-CO"/>
        </w:rPr>
        <w:t>Por otro lado, la Corte Constitucional evidenció que la disposición demandada constituía una modificación permanente del Sistema General de Riesgos Laborales hecha a través de una ley especial en la que el principio democrático está restri</w:t>
      </w:r>
      <w:r w:rsidRPr="00597245">
        <w:rPr>
          <w:rFonts w:ascii="Times New Roman" w:hAnsi="Times New Roman" w:cs="Times New Roman"/>
          <w:color w:val="000000" w:themeColor="text1"/>
          <w:lang w:eastAsia="es-CO"/>
        </w:rPr>
        <w:t>ngido. Por tanto, la Sala precisó que esta clase de ajustes al sistema de seguridad social debía hacerse mediante ley ordinaria, ya que el trámite legislativo correspondiente permitiría que se adelantara un debate profundo con el rigor que es requerido.</w:t>
      </w:r>
    </w:p>
    <w:p w:rsidR="0019028F" w:rsidRPr="00597245" w:rsidRDefault="00597245" w:rsidP="0019028F">
      <w:pPr>
        <w:pStyle w:val="Prrafodelista"/>
        <w:rPr>
          <w:rFonts w:ascii="Times New Roman" w:hAnsi="Times New Roman" w:cs="Times New Roman"/>
          <w:color w:val="000000" w:themeColor="text1"/>
          <w:lang w:eastAsia="es-CO"/>
        </w:rPr>
      </w:pPr>
      <w:r w:rsidRPr="00597245">
        <w:rPr>
          <w:rFonts w:ascii="Times New Roman" w:hAnsi="Times New Roman" w:cs="Times New Roman"/>
          <w:color w:val="000000" w:themeColor="text1"/>
          <w:lang w:eastAsia="es-CO"/>
        </w:rPr>
        <w:t xml:space="preserve"> </w:t>
      </w: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lang w:eastAsia="es-CO"/>
        </w:rPr>
      </w:pPr>
      <w:r w:rsidRPr="00597245">
        <w:rPr>
          <w:rFonts w:ascii="Times New Roman" w:hAnsi="Times New Roman" w:cs="Times New Roman"/>
          <w:color w:val="000000" w:themeColor="text1"/>
          <w:lang w:eastAsia="es-CO"/>
        </w:rPr>
        <w:t xml:space="preserve">En relación con la vulneración del principio de libertad de competencia, la Corte encontró que, la disposición acusada desconocía su núcleo esencial. Para la Corte, la norma impedía, sin justificación válida, la concurrencia de las ARL privadas al mercado </w:t>
      </w:r>
      <w:r w:rsidRPr="00597245">
        <w:rPr>
          <w:rFonts w:ascii="Times New Roman" w:hAnsi="Times New Roman" w:cs="Times New Roman"/>
          <w:color w:val="000000" w:themeColor="text1"/>
          <w:lang w:eastAsia="es-CO"/>
        </w:rPr>
        <w:t>de aseguramiento de las entidades públicas. La prohibición establecida para las ARL privadas tenía como consecuencia que las entidades públicas tuvieran coartada la liberta de seleccionar a la aseguradora que ofreciera mejores servicios. Además, la Sala Pl</w:t>
      </w:r>
      <w:r w:rsidRPr="00597245">
        <w:rPr>
          <w:rFonts w:ascii="Times New Roman" w:hAnsi="Times New Roman" w:cs="Times New Roman"/>
          <w:color w:val="000000" w:themeColor="text1"/>
          <w:lang w:eastAsia="es-CO"/>
        </w:rPr>
        <w:t xml:space="preserve">ena concluyó que la entidad beneficiaria de la medida, esto es la ARL Positiva S.A. no estaba en una condición financiera precaria que hiciera necesaria la intervención estatal para asegurarle una parte fija del mercado de protección de riesgos laborales. </w:t>
      </w:r>
      <w:r w:rsidRPr="00597245">
        <w:rPr>
          <w:rFonts w:ascii="Times New Roman" w:hAnsi="Times New Roman" w:cs="Times New Roman"/>
          <w:color w:val="000000" w:themeColor="text1"/>
          <w:lang w:eastAsia="es-CO"/>
        </w:rPr>
        <w:t>En efecto, de conformidad con las pruebas e información aportada al expediente, la Sala Plena constató que la referida aseguradora de riesgos profesionales desempeñaba un papel destacado en desarrollo de su actividad económica.</w:t>
      </w:r>
    </w:p>
    <w:p w:rsidR="0019028F" w:rsidRPr="00597245" w:rsidRDefault="00597245" w:rsidP="0019028F">
      <w:pPr>
        <w:pStyle w:val="Prrafodelista"/>
        <w:rPr>
          <w:rFonts w:ascii="Times New Roman" w:hAnsi="Times New Roman" w:cs="Times New Roman"/>
          <w:color w:val="000000" w:themeColor="text1"/>
          <w:lang w:eastAsia="es-CO"/>
        </w:rPr>
      </w:pP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lang w:eastAsia="es-CO"/>
        </w:rPr>
      </w:pPr>
      <w:r w:rsidRPr="00597245">
        <w:rPr>
          <w:rFonts w:ascii="Times New Roman" w:hAnsi="Times New Roman" w:cs="Times New Roman"/>
          <w:color w:val="000000" w:themeColor="text1"/>
          <w:lang w:eastAsia="es-CO"/>
        </w:rPr>
        <w:t xml:space="preserve">En último lugar, </w:t>
      </w:r>
      <w:r w:rsidRPr="00597245">
        <w:rPr>
          <w:rFonts w:ascii="Times New Roman" w:hAnsi="Times New Roman" w:cs="Times New Roman"/>
          <w:color w:val="000000" w:themeColor="text1"/>
          <w:lang w:val="es-CO" w:eastAsia="es-CO"/>
        </w:rPr>
        <w:t>la Sala co</w:t>
      </w:r>
      <w:r w:rsidRPr="00597245">
        <w:rPr>
          <w:rFonts w:ascii="Times New Roman" w:hAnsi="Times New Roman" w:cs="Times New Roman"/>
          <w:color w:val="000000" w:themeColor="text1"/>
          <w:lang w:val="es-CO" w:eastAsia="es-CO"/>
        </w:rPr>
        <w:t>nsideró que la medida comportaba un tratamiento desigual para las ARL privadas porque las excluía de una parte del mercado sin justificación alguna.</w:t>
      </w:r>
    </w:p>
    <w:p w:rsidR="0019028F" w:rsidRPr="00597245" w:rsidRDefault="00597245" w:rsidP="0019028F">
      <w:pPr>
        <w:pStyle w:val="Prrafodelista"/>
        <w:rPr>
          <w:rFonts w:ascii="Times New Roman" w:hAnsi="Times New Roman" w:cs="Times New Roman"/>
          <w:color w:val="000000" w:themeColor="text1"/>
          <w:lang w:eastAsia="es-CO"/>
        </w:rPr>
      </w:pPr>
    </w:p>
    <w:p w:rsidR="0019028F" w:rsidRPr="00597245" w:rsidRDefault="00597245" w:rsidP="0019028F">
      <w:pPr>
        <w:pStyle w:val="Sombreadovistoso-nfasis31"/>
        <w:numPr>
          <w:ilvl w:val="0"/>
          <w:numId w:val="2"/>
        </w:numPr>
        <w:ind w:left="0" w:firstLine="0"/>
        <w:rPr>
          <w:rFonts w:ascii="Times New Roman" w:hAnsi="Times New Roman" w:cs="Times New Roman"/>
          <w:color w:val="000000" w:themeColor="text1"/>
          <w:lang w:eastAsia="es-CO"/>
        </w:rPr>
      </w:pPr>
      <w:r w:rsidRPr="00597245">
        <w:rPr>
          <w:rFonts w:ascii="Times New Roman" w:hAnsi="Times New Roman" w:cs="Times New Roman"/>
          <w:color w:val="000000" w:themeColor="text1"/>
          <w:lang w:eastAsia="es-CO"/>
        </w:rPr>
        <w:t>Ante la configuración de los cargos alegados, la Sala Plena declaró inexequible el artículo 97 de la Ley 2</w:t>
      </w:r>
      <w:r w:rsidRPr="00597245">
        <w:rPr>
          <w:rFonts w:ascii="Times New Roman" w:hAnsi="Times New Roman" w:cs="Times New Roman"/>
          <w:color w:val="000000" w:themeColor="text1"/>
          <w:lang w:eastAsia="es-CO"/>
        </w:rPr>
        <w:t>294 de 2023.</w:t>
      </w:r>
    </w:p>
    <w:p w:rsidR="0019028F" w:rsidRPr="00597245" w:rsidRDefault="00597245" w:rsidP="0019028F">
      <w:pPr>
        <w:pStyle w:val="Prrafodelista"/>
        <w:rPr>
          <w:rFonts w:ascii="Times New Roman" w:hAnsi="Times New Roman" w:cs="Times New Roman"/>
          <w:color w:val="000000" w:themeColor="text1"/>
          <w:lang w:eastAsia="es-CO"/>
        </w:rPr>
      </w:pPr>
    </w:p>
    <w:p w:rsidR="0019028F" w:rsidRPr="00597245" w:rsidRDefault="00597245" w:rsidP="0019028F">
      <w:pPr>
        <w:pStyle w:val="Sombreadovistoso-nfasis31"/>
        <w:ind w:left="0"/>
        <w:rPr>
          <w:rFonts w:ascii="Times New Roman" w:hAnsi="Times New Roman" w:cs="Times New Roman"/>
          <w:b/>
          <w:bCs/>
          <w:color w:val="000000" w:themeColor="text1"/>
          <w:lang w:eastAsia="es-CO"/>
        </w:rPr>
      </w:pPr>
    </w:p>
    <w:p w:rsidR="0019028F" w:rsidRPr="00597245" w:rsidRDefault="00597245" w:rsidP="0019028F">
      <w:pPr>
        <w:pStyle w:val="Sombreadovistoso-nfasis31"/>
        <w:ind w:left="0"/>
        <w:rPr>
          <w:rFonts w:ascii="Times New Roman" w:hAnsi="Times New Roman" w:cs="Times New Roman"/>
          <w:b/>
          <w:bCs/>
          <w:color w:val="000000" w:themeColor="text1"/>
          <w:lang w:eastAsia="es-CO"/>
        </w:rPr>
      </w:pPr>
    </w:p>
    <w:p w:rsidR="0019028F" w:rsidRPr="00597245" w:rsidRDefault="00597245" w:rsidP="0019028F">
      <w:pPr>
        <w:pStyle w:val="Sombreadovistoso-nfasis31"/>
        <w:ind w:left="0"/>
        <w:rPr>
          <w:rFonts w:ascii="Times New Roman" w:hAnsi="Times New Roman" w:cs="Times New Roman"/>
          <w:b/>
          <w:bCs/>
          <w:color w:val="000000" w:themeColor="text1"/>
          <w:lang w:eastAsia="es-CO"/>
        </w:rPr>
      </w:pPr>
      <w:r w:rsidRPr="00597245">
        <w:rPr>
          <w:rFonts w:ascii="Times New Roman" w:hAnsi="Times New Roman" w:cs="Times New Roman"/>
          <w:b/>
          <w:bCs/>
          <w:color w:val="000000" w:themeColor="text1"/>
          <w:lang w:eastAsia="es-CO"/>
        </w:rPr>
        <w:t xml:space="preserve">La verificación de la cosa juzgada en el caso concreto </w:t>
      </w:r>
    </w:p>
    <w:p w:rsidR="0019028F" w:rsidRPr="00597245" w:rsidRDefault="00597245" w:rsidP="0019028F">
      <w:pPr>
        <w:pStyle w:val="Sombreadovistoso-nfasis31"/>
        <w:ind w:left="0"/>
        <w:rPr>
          <w:rFonts w:ascii="Times New Roman" w:hAnsi="Times New Roman" w:cs="Times New Roman"/>
          <w:color w:val="000000" w:themeColor="text1"/>
          <w:lang w:eastAsia="es-CO"/>
        </w:rPr>
      </w:pPr>
    </w:p>
    <w:p w:rsidR="0019028F" w:rsidRPr="00597245" w:rsidRDefault="00597245" w:rsidP="0019028F">
      <w:pPr>
        <w:pStyle w:val="Prrafodelista"/>
        <w:widowControl/>
        <w:numPr>
          <w:ilvl w:val="0"/>
          <w:numId w:val="2"/>
        </w:numPr>
        <w:spacing w:line="300" w:lineRule="atLeast"/>
        <w:ind w:left="0" w:right="-232" w:firstLine="0"/>
        <w:contextualSpacing/>
        <w:rPr>
          <w:rFonts w:ascii="Times New Roman" w:hAnsi="Times New Roman" w:cs="Times New Roman"/>
        </w:rPr>
      </w:pPr>
      <w:r w:rsidRPr="00597245">
        <w:rPr>
          <w:rFonts w:ascii="Times New Roman" w:hAnsi="Times New Roman" w:cs="Times New Roman"/>
          <w:shd w:val="clear" w:color="auto" w:fill="FFFFFF"/>
        </w:rPr>
        <w:t xml:space="preserve">En el asunto bajo examen la actora demandó la constitucionalidad del artículo 97 </w:t>
      </w:r>
      <w:r w:rsidRPr="00597245">
        <w:rPr>
          <w:rFonts w:ascii="Times New Roman" w:hAnsi="Times New Roman" w:cs="Times New Roman"/>
          <w:color w:val="000000" w:themeColor="text1"/>
          <w:lang w:eastAsia="es-CO"/>
        </w:rPr>
        <w:t>de la Ley 2294 de 2023</w:t>
      </w:r>
      <w:r w:rsidRPr="00597245">
        <w:rPr>
          <w:rFonts w:ascii="Times New Roman" w:hAnsi="Times New Roman" w:cs="Times New Roman"/>
          <w:shd w:val="clear" w:color="auto" w:fill="FFFFFF"/>
        </w:rPr>
        <w:t xml:space="preserve"> por violación de los principios de unidad de materia y libre competencia económ</w:t>
      </w:r>
      <w:r w:rsidRPr="00597245">
        <w:rPr>
          <w:rFonts w:ascii="Times New Roman" w:hAnsi="Times New Roman" w:cs="Times New Roman"/>
          <w:shd w:val="clear" w:color="auto" w:fill="FFFFFF"/>
        </w:rPr>
        <w:t>ica, consagrados, respectivamente, en los artículos 158 y 333 superiores. E</w:t>
      </w:r>
      <w:r w:rsidRPr="00597245">
        <w:rPr>
          <w:rFonts w:ascii="Times New Roman" w:eastAsiaTheme="minorHAnsi" w:hAnsi="Times New Roman" w:cs="Times New Roman"/>
          <w:bCs/>
        </w:rPr>
        <w:t xml:space="preserve">n la reciente Sentencia C-537 de 2023, la Corte declaró inexequible dicha norma debido a que </w:t>
      </w:r>
      <w:r w:rsidRPr="00597245">
        <w:rPr>
          <w:rFonts w:ascii="Times New Roman" w:eastAsiaTheme="minorHAnsi" w:hAnsi="Times New Roman" w:cs="Times New Roman"/>
          <w:bCs/>
          <w:lang w:val="es-CO"/>
        </w:rPr>
        <w:t>desconocía los principios de unidad de materia, libre competencia e igualdad.</w:t>
      </w:r>
    </w:p>
    <w:p w:rsidR="0019028F" w:rsidRPr="00597245" w:rsidRDefault="00597245" w:rsidP="0019028F">
      <w:pPr>
        <w:spacing w:line="300" w:lineRule="atLeast"/>
        <w:rPr>
          <w:rFonts w:ascii="Times New Roman" w:hAnsi="Times New Roman" w:cs="Times New Roman"/>
          <w:sz w:val="28"/>
        </w:rPr>
      </w:pPr>
      <w:r w:rsidRPr="00597245">
        <w:rPr>
          <w:rFonts w:ascii="Times New Roman" w:hAnsi="Times New Roman" w:cs="Times New Roman"/>
          <w:sz w:val="28"/>
        </w:rPr>
        <w:t xml:space="preserve"> </w:t>
      </w:r>
    </w:p>
    <w:p w:rsidR="0019028F" w:rsidRPr="00597245" w:rsidRDefault="00597245" w:rsidP="0019028F">
      <w:pPr>
        <w:pStyle w:val="Prrafodelista"/>
        <w:widowControl/>
        <w:numPr>
          <w:ilvl w:val="0"/>
          <w:numId w:val="2"/>
        </w:numPr>
        <w:spacing w:line="300" w:lineRule="atLeast"/>
        <w:ind w:left="0" w:right="-232" w:firstLine="0"/>
        <w:contextualSpacing/>
        <w:rPr>
          <w:rFonts w:ascii="Times New Roman" w:hAnsi="Times New Roman" w:cs="Times New Roman"/>
        </w:rPr>
      </w:pPr>
      <w:r w:rsidRPr="00597245">
        <w:rPr>
          <w:rFonts w:ascii="Times New Roman" w:hAnsi="Times New Roman" w:cs="Times New Roman"/>
        </w:rPr>
        <w:t xml:space="preserve">La Sentencia C-537 de 2023 constituye cosa juzgada formal y absoluta frente a la demanda que ahora se examina. Existe identidad entre la norma acusada y la declarada inexequible. Además, </w:t>
      </w:r>
      <w:r w:rsidRPr="00597245">
        <w:rPr>
          <w:rFonts w:ascii="Times New Roman" w:hAnsi="Times New Roman" w:cs="Times New Roman"/>
          <w:lang w:val="es-CO"/>
        </w:rPr>
        <w:t>la norma acusada recae sobre el mismo texto normativo sometido a cont</w:t>
      </w:r>
      <w:r w:rsidRPr="00597245">
        <w:rPr>
          <w:rFonts w:ascii="Times New Roman" w:hAnsi="Times New Roman" w:cs="Times New Roman"/>
          <w:lang w:val="es-CO"/>
        </w:rPr>
        <w:t xml:space="preserve">rol en la Sentencia C-537 de 2023. </w:t>
      </w:r>
      <w:r w:rsidRPr="00597245">
        <w:rPr>
          <w:rFonts w:ascii="Times New Roman" w:hAnsi="Times New Roman" w:cs="Times New Roman"/>
        </w:rPr>
        <w:t>En consecuencia, la única opción válida es estarse a lo resuelto en dicha providencia, pues la norma demandada en esta ocasión fue excluida del ordenamiento jurídico. Por lo tanto, la Corte no puede emitir un pronunciamie</w:t>
      </w:r>
      <w:r w:rsidRPr="00597245">
        <w:rPr>
          <w:rFonts w:ascii="Times New Roman" w:hAnsi="Times New Roman" w:cs="Times New Roman"/>
        </w:rPr>
        <w:t>nto distinto al ya proferido.</w:t>
      </w:r>
    </w:p>
    <w:p w:rsidR="0019028F" w:rsidRPr="00597245" w:rsidRDefault="00597245" w:rsidP="0019028F">
      <w:pPr>
        <w:spacing w:line="300" w:lineRule="atLeast"/>
        <w:rPr>
          <w:rFonts w:ascii="Times New Roman" w:hAnsi="Times New Roman" w:cs="Times New Roman"/>
          <w:b/>
          <w:bCs/>
          <w:sz w:val="28"/>
          <w:szCs w:val="28"/>
          <w:bdr w:val="none" w:sz="0" w:space="0" w:color="auto" w:frame="1"/>
        </w:rPr>
      </w:pPr>
    </w:p>
    <w:p w:rsidR="0019028F" w:rsidRPr="00597245" w:rsidRDefault="00597245" w:rsidP="0019028F">
      <w:pPr>
        <w:pStyle w:val="Sombreadovistoso-nfasis31"/>
        <w:numPr>
          <w:ilvl w:val="0"/>
          <w:numId w:val="3"/>
        </w:numPr>
        <w:tabs>
          <w:tab w:val="left" w:pos="567"/>
        </w:tabs>
        <w:ind w:left="0" w:firstLine="0"/>
        <w:rPr>
          <w:rFonts w:ascii="Times New Roman" w:hAnsi="Times New Roman" w:cs="Times New Roman"/>
          <w:u w:color="0000FF"/>
        </w:rPr>
      </w:pPr>
      <w:r w:rsidRPr="00597245">
        <w:rPr>
          <w:rFonts w:ascii="Times New Roman" w:hAnsi="Times New Roman" w:cs="Times New Roman"/>
          <w:b/>
        </w:rPr>
        <w:t>DECISIÓN</w:t>
      </w:r>
    </w:p>
    <w:p w:rsidR="0019028F" w:rsidRPr="00597245" w:rsidRDefault="00597245" w:rsidP="0019028F">
      <w:pPr>
        <w:autoSpaceDE w:val="0"/>
        <w:autoSpaceDN w:val="0"/>
        <w:adjustRightInd w:val="0"/>
        <w:spacing w:line="300" w:lineRule="atLeast"/>
        <w:rPr>
          <w:rFonts w:ascii="Times New Roman" w:hAnsi="Times New Roman" w:cs="Times New Roman"/>
          <w:sz w:val="28"/>
          <w:szCs w:val="28"/>
          <w:u w:color="0000FF"/>
          <w:lang w:eastAsia="es-ES"/>
        </w:rPr>
      </w:pPr>
    </w:p>
    <w:p w:rsidR="0019028F" w:rsidRPr="00597245" w:rsidRDefault="00597245" w:rsidP="0019028F">
      <w:pPr>
        <w:autoSpaceDE w:val="0"/>
        <w:autoSpaceDN w:val="0"/>
        <w:adjustRightInd w:val="0"/>
        <w:spacing w:line="300" w:lineRule="atLeast"/>
        <w:jc w:val="both"/>
        <w:rPr>
          <w:rFonts w:ascii="Times New Roman" w:hAnsi="Times New Roman" w:cs="Times New Roman"/>
          <w:sz w:val="28"/>
          <w:szCs w:val="28"/>
          <w:lang w:eastAsia="es-ES"/>
        </w:rPr>
      </w:pPr>
      <w:r w:rsidRPr="00597245">
        <w:rPr>
          <w:rFonts w:ascii="Times New Roman" w:hAnsi="Times New Roman" w:cs="Times New Roman"/>
          <w:sz w:val="28"/>
          <w:szCs w:val="28"/>
          <w:lang w:eastAsia="es-ES"/>
        </w:rPr>
        <w:t>En mérito de lo expuesto, la Corte Constitucional de la República de Colombia, administrando justicia en nombre del pueblo y por mandato de la Constitución,</w:t>
      </w:r>
    </w:p>
    <w:p w:rsidR="0019028F" w:rsidRPr="00597245" w:rsidRDefault="00597245" w:rsidP="0019028F">
      <w:pPr>
        <w:autoSpaceDE w:val="0"/>
        <w:autoSpaceDN w:val="0"/>
        <w:adjustRightInd w:val="0"/>
        <w:spacing w:line="300" w:lineRule="atLeast"/>
        <w:rPr>
          <w:rFonts w:ascii="Times New Roman" w:hAnsi="Times New Roman" w:cs="Times New Roman"/>
          <w:sz w:val="28"/>
          <w:szCs w:val="28"/>
          <w:lang w:eastAsia="es-ES"/>
        </w:rPr>
      </w:pPr>
    </w:p>
    <w:p w:rsidR="0019028F" w:rsidRPr="00597245" w:rsidRDefault="00597245" w:rsidP="0019028F">
      <w:pPr>
        <w:autoSpaceDE w:val="0"/>
        <w:autoSpaceDN w:val="0"/>
        <w:adjustRightInd w:val="0"/>
        <w:spacing w:line="300" w:lineRule="atLeast"/>
        <w:jc w:val="center"/>
        <w:rPr>
          <w:rFonts w:ascii="Times New Roman" w:hAnsi="Times New Roman" w:cs="Times New Roman"/>
          <w:sz w:val="28"/>
          <w:szCs w:val="28"/>
          <w:u w:color="0000FF"/>
          <w:lang w:eastAsia="es-ES"/>
        </w:rPr>
      </w:pPr>
      <w:r w:rsidRPr="00597245">
        <w:rPr>
          <w:rFonts w:ascii="Times New Roman" w:hAnsi="Times New Roman" w:cs="Times New Roman"/>
          <w:b/>
          <w:sz w:val="28"/>
          <w:szCs w:val="28"/>
          <w:lang w:eastAsia="es-ES"/>
        </w:rPr>
        <w:t>RESUELVE:</w:t>
      </w:r>
    </w:p>
    <w:p w:rsidR="0019028F" w:rsidRPr="00597245" w:rsidRDefault="00597245" w:rsidP="0019028F">
      <w:pPr>
        <w:autoSpaceDE w:val="0"/>
        <w:autoSpaceDN w:val="0"/>
        <w:adjustRightInd w:val="0"/>
        <w:spacing w:line="300" w:lineRule="atLeast"/>
        <w:jc w:val="center"/>
        <w:rPr>
          <w:rFonts w:ascii="Times New Roman" w:hAnsi="Times New Roman" w:cs="Times New Roman"/>
          <w:sz w:val="28"/>
          <w:szCs w:val="28"/>
          <w:u w:color="0000FF"/>
          <w:lang w:eastAsia="es-ES"/>
        </w:rPr>
      </w:pPr>
    </w:p>
    <w:p w:rsidR="0019028F" w:rsidRPr="00597245" w:rsidRDefault="00597245" w:rsidP="0019028F">
      <w:pPr>
        <w:spacing w:line="300" w:lineRule="atLeast"/>
        <w:jc w:val="both"/>
        <w:rPr>
          <w:rFonts w:ascii="Times New Roman" w:hAnsi="Times New Roman" w:cs="Times New Roman"/>
          <w:sz w:val="28"/>
          <w:szCs w:val="28"/>
          <w:lang w:eastAsia="es-ES"/>
        </w:rPr>
      </w:pPr>
      <w:bookmarkStart w:id="7" w:name="_Hlk97730239"/>
      <w:r w:rsidRPr="00597245">
        <w:rPr>
          <w:rFonts w:ascii="Times New Roman" w:hAnsi="Times New Roman" w:cs="Times New Roman"/>
          <w:b/>
          <w:sz w:val="28"/>
          <w:szCs w:val="28"/>
          <w:lang w:eastAsia="es-ES"/>
        </w:rPr>
        <w:t>Único.</w:t>
      </w:r>
      <w:r w:rsidRPr="00597245">
        <w:rPr>
          <w:rFonts w:ascii="Times New Roman" w:hAnsi="Times New Roman" w:cs="Times New Roman"/>
          <w:b/>
          <w:bCs/>
          <w:sz w:val="28"/>
          <w:szCs w:val="28"/>
        </w:rPr>
        <w:t xml:space="preserve"> </w:t>
      </w:r>
      <w:r w:rsidRPr="00597245">
        <w:rPr>
          <w:rFonts w:ascii="Times New Roman" w:hAnsi="Times New Roman" w:cs="Times New Roman"/>
          <w:b/>
          <w:bCs/>
          <w:color w:val="000000"/>
          <w:sz w:val="28"/>
          <w:szCs w:val="28"/>
          <w:shd w:val="clear" w:color="auto" w:fill="FFFFFF"/>
        </w:rPr>
        <w:t>ESTARSE A LO RESUELTO</w:t>
      </w:r>
      <w:r w:rsidRPr="00597245">
        <w:rPr>
          <w:rFonts w:ascii="Times New Roman" w:hAnsi="Times New Roman" w:cs="Times New Roman"/>
          <w:color w:val="000000"/>
          <w:sz w:val="28"/>
          <w:szCs w:val="28"/>
          <w:shd w:val="clear" w:color="auto" w:fill="FFFFFF"/>
        </w:rPr>
        <w:t xml:space="preserve"> en la Sentencia C-537 de 2023, que declaró la inexequibilidad del artículo </w:t>
      </w:r>
      <w:r w:rsidRPr="00597245">
        <w:rPr>
          <w:rFonts w:ascii="Times New Roman" w:hAnsi="Times New Roman" w:cs="Times New Roman"/>
          <w:color w:val="000000" w:themeColor="text1"/>
          <w:sz w:val="28"/>
          <w:szCs w:val="28"/>
        </w:rPr>
        <w:t>97 de la Ley 2294 de 2023, “[p]or el cual se expide el Plan Nacional de Desarrollo 2022 – 2026 ‘Colombia Potencia Mundial de la Vida”</w:t>
      </w:r>
      <w:r w:rsidRPr="00597245">
        <w:rPr>
          <w:rFonts w:ascii="Times New Roman" w:hAnsi="Times New Roman" w:cs="Times New Roman"/>
          <w:color w:val="000000"/>
          <w:sz w:val="28"/>
          <w:szCs w:val="28"/>
          <w:shd w:val="clear" w:color="auto" w:fill="FFFFFF"/>
        </w:rPr>
        <w:t>, de acuerdo con los términos establecidos en d</w:t>
      </w:r>
      <w:r w:rsidRPr="00597245">
        <w:rPr>
          <w:rFonts w:ascii="Times New Roman" w:hAnsi="Times New Roman" w:cs="Times New Roman"/>
          <w:color w:val="000000"/>
          <w:sz w:val="28"/>
          <w:szCs w:val="28"/>
          <w:shd w:val="clear" w:color="auto" w:fill="FFFFFF"/>
        </w:rPr>
        <w:t>icha providencia.</w:t>
      </w:r>
    </w:p>
    <w:bookmarkEnd w:id="7"/>
    <w:p w:rsidR="0019028F" w:rsidRPr="00597245" w:rsidRDefault="00597245" w:rsidP="0019028F">
      <w:pPr>
        <w:autoSpaceDE w:val="0"/>
        <w:autoSpaceDN w:val="0"/>
        <w:adjustRightInd w:val="0"/>
        <w:spacing w:line="300" w:lineRule="atLeast"/>
        <w:rPr>
          <w:rFonts w:ascii="Times New Roman" w:hAnsi="Times New Roman" w:cs="Times New Roman"/>
          <w:sz w:val="28"/>
          <w:szCs w:val="28"/>
          <w:lang w:eastAsia="es-ES"/>
        </w:rPr>
      </w:pPr>
    </w:p>
    <w:p w:rsidR="0019028F" w:rsidRPr="00597245" w:rsidRDefault="00597245" w:rsidP="0019028F">
      <w:pPr>
        <w:autoSpaceDE w:val="0"/>
        <w:autoSpaceDN w:val="0"/>
        <w:adjustRightInd w:val="0"/>
        <w:spacing w:line="300" w:lineRule="atLeast"/>
        <w:rPr>
          <w:rFonts w:ascii="Times New Roman" w:hAnsi="Times New Roman" w:cs="Times New Roman"/>
          <w:sz w:val="28"/>
          <w:szCs w:val="28"/>
          <w:u w:color="0000FF"/>
          <w:lang w:eastAsia="es-ES"/>
        </w:rPr>
      </w:pPr>
      <w:r w:rsidRPr="00597245">
        <w:rPr>
          <w:rFonts w:ascii="Times New Roman" w:hAnsi="Times New Roman" w:cs="Times New Roman"/>
          <w:sz w:val="28"/>
          <w:szCs w:val="28"/>
          <w:lang w:eastAsia="es-ES"/>
        </w:rPr>
        <w:t>Notifíquese, comuníquese y cúmplase.</w:t>
      </w:r>
    </w:p>
    <w:p w:rsidR="0019028F" w:rsidRPr="00597245" w:rsidRDefault="00597245" w:rsidP="0019028F">
      <w:pPr>
        <w:pStyle w:val="Sombreadovistoso-nfasis31"/>
        <w:ind w:left="0"/>
        <w:rPr>
          <w:rFonts w:ascii="Times New Roman" w:hAnsi="Times New Roman" w:cs="Times New Roman"/>
          <w:color w:val="000000" w:themeColor="text1"/>
          <w:lang w:val="es-CO" w:eastAsia="es-CO"/>
        </w:rPr>
      </w:pPr>
    </w:p>
    <w:p w:rsidR="00A74385" w:rsidRPr="00597245" w:rsidRDefault="00597245">
      <w:pPr>
        <w:rPr>
          <w:rFonts w:ascii="Times New Roman" w:hAnsi="Times New Roman" w:cs="Times New Roman"/>
          <w:sz w:val="28"/>
        </w:rPr>
      </w:pPr>
    </w:p>
    <w:p w:rsidR="00E52E63" w:rsidRPr="00597245" w:rsidRDefault="00597245">
      <w:pPr>
        <w:rPr>
          <w:rFonts w:ascii="Times New Roman" w:hAnsi="Times New Roman" w:cs="Times New Roman"/>
          <w:sz w:val="28"/>
        </w:rPr>
      </w:pPr>
    </w:p>
    <w:p w:rsidR="00E52E63" w:rsidRPr="00597245" w:rsidRDefault="00597245">
      <w:pP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JOSE FERNANDO REYES CUARTAS</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Presidente</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NATALIA ÁNGEL CABO</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Magistrada</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JUAN CARLOS CORTÉS GONZÁLEZ</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Magistrado</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DIANA FAJARDO RIVERA</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Magistrada</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VLADIMIR FERNÁNDEZ ANDRADE</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Magistrado</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 xml:space="preserve">Con </w:t>
      </w:r>
      <w:r w:rsidRPr="00597245">
        <w:rPr>
          <w:rFonts w:ascii="Times New Roman" w:hAnsi="Times New Roman" w:cs="Times New Roman"/>
          <w:sz w:val="28"/>
        </w:rPr>
        <w:t>impedimento aceptado</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 xml:space="preserve">JORGE ENRIQUE IBÁÑEZ NAJAR </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Magistrado</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ANTONIO JOSÉ LIZARAZO OCAMPO</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Magistrado</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PAOLA ANDREA MENESES MOSQUERA</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Magistrada</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CRISTINA PARDO SCHLESINGER</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Magistrada</w:t>
      </w: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ANDREA LILIANA ROMERO LOPEZ</w:t>
      </w:r>
    </w:p>
    <w:p w:rsidR="00E52E63" w:rsidRPr="00597245" w:rsidRDefault="00597245" w:rsidP="00E52E63">
      <w:pPr>
        <w:jc w:val="center"/>
        <w:rPr>
          <w:rFonts w:ascii="Times New Roman" w:hAnsi="Times New Roman" w:cs="Times New Roman"/>
          <w:sz w:val="28"/>
        </w:rPr>
      </w:pPr>
      <w:r w:rsidRPr="00597245">
        <w:rPr>
          <w:rFonts w:ascii="Times New Roman" w:hAnsi="Times New Roman" w:cs="Times New Roman"/>
          <w:sz w:val="28"/>
        </w:rPr>
        <w:t>Secretaria General</w:t>
      </w:r>
    </w:p>
    <w:sectPr w:rsidR="00E52E63" w:rsidRPr="00597245">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97245">
      <w:pPr>
        <w:spacing w:after="0" w:line="240" w:lineRule="auto"/>
      </w:pPr>
      <w:r>
        <w:separator/>
      </w:r>
    </w:p>
  </w:endnote>
  <w:endnote w:type="continuationSeparator" w:id="0">
    <w:p w:rsidR="00000000" w:rsidRDefault="00597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97245">
      <w:pPr>
        <w:spacing w:after="0" w:line="240" w:lineRule="auto"/>
      </w:pPr>
      <w:r>
        <w:separator/>
      </w:r>
    </w:p>
  </w:footnote>
  <w:footnote w:type="continuationSeparator" w:id="0">
    <w:p w:rsidR="00000000" w:rsidRDefault="00597245">
      <w:pPr>
        <w:spacing w:after="0" w:line="240" w:lineRule="auto"/>
      </w:pPr>
      <w:r>
        <w:continuationSeparator/>
      </w:r>
    </w:p>
  </w:footnote>
  <w:footnote w:id="1">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Expediente digital D-15.373 “</w:t>
      </w:r>
      <w:hyperlink r:id="rId1" w:tgtFrame="blank" w:history="1">
        <w:r w:rsidRPr="0019028F">
          <w:rPr>
            <w:rStyle w:val="Hipervnculo"/>
            <w:color w:val="000000" w:themeColor="text1"/>
          </w:rPr>
          <w:t>D0015373-Auto Admisorio-(2023-07-14 08-23-00).pdf</w:t>
        </w:r>
      </w:hyperlink>
      <w:r w:rsidRPr="0019028F">
        <w:rPr>
          <w:color w:val="000000" w:themeColor="text1"/>
        </w:rPr>
        <w:t>”</w:t>
      </w:r>
    </w:p>
  </w:footnote>
  <w:footnote w:id="2">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El proceso inicialmente le correspondió al magistrado Alejandro Linares Cantillo. </w:t>
      </w:r>
      <w:hyperlink r:id="rId2" w:tgtFrame="blank" w:history="1">
        <w:r w:rsidRPr="0019028F">
          <w:rPr>
            <w:rStyle w:val="Hipervnculo"/>
            <w:color w:val="000000" w:themeColor="text1"/>
          </w:rPr>
          <w:t>D0015373-Peticiones y Otros-(2023-06-14 08-20-22).pdf</w:t>
        </w:r>
      </w:hyperlink>
    </w:p>
  </w:footnote>
  <w:footnote w:id="3">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Específic</w:t>
      </w:r>
      <w:r w:rsidRPr="0019028F">
        <w:rPr>
          <w:color w:val="000000" w:themeColor="text1"/>
        </w:rPr>
        <w:t>amente, se invitó a participar a la Fundación para la Educación Superior y el Desarrollo, a la Federación de Aseguradores Colombianos, al Centro de Estudios en Riesgos y Seguros de la Universidad Externado de Colombia, al Consejo Colombiano de Seguridad, a</w:t>
      </w:r>
      <w:r w:rsidRPr="0019028F">
        <w:rPr>
          <w:color w:val="000000" w:themeColor="text1"/>
        </w:rPr>
        <w:t xml:space="preserve"> la Facultad de Jurisprudencia de la Universidad del Rosario, a la Facultad de Derecho de la Universidad de la Sabana; a la Facultad de Ciencias Jurídicas de la Universidad Javeriana; a la Facultad de Derecho de la Universidad Externado de Colombia; a la F</w:t>
      </w:r>
      <w:r w:rsidRPr="0019028F">
        <w:rPr>
          <w:color w:val="000000" w:themeColor="text1"/>
        </w:rPr>
        <w:t>acultad de Derecho de la Universidad Libre; a la Facultad de Ciencias Jurídicas y Sociales de la Universidad de Caldas; a la Facultad de Derecho de la Universidad del Cauca; a la Facultad de Derecho, Ciencia Política y Relaciones Internacionales de la Univ</w:t>
      </w:r>
      <w:r w:rsidRPr="0019028F">
        <w:rPr>
          <w:color w:val="000000" w:themeColor="text1"/>
        </w:rPr>
        <w:t>ersidad del Norte; a la Facultad de Derecho de la Universidad Nacional y a la Facultad de Derecho de la Universidad de Nariño.</w:t>
      </w:r>
    </w:p>
  </w:footnote>
  <w:footnote w:id="4">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Expediente digital D-15.373 “</w:t>
      </w:r>
      <w:hyperlink r:id="rId3" w:tgtFrame="blank" w:history="1">
        <w:r w:rsidRPr="0019028F">
          <w:rPr>
            <w:rStyle w:val="Hipervnculo"/>
            <w:color w:val="000000" w:themeColor="text1"/>
          </w:rPr>
          <w:t>D0015373-Fijación en Lista-(2023-07-25 06-01-35).pdf</w:t>
        </w:r>
      </w:hyperlink>
      <w:r w:rsidRPr="0019028F">
        <w:rPr>
          <w:color w:val="000000" w:themeColor="text1"/>
        </w:rPr>
        <w:t xml:space="preserve">”. </w:t>
      </w:r>
    </w:p>
  </w:footnote>
  <w:footnote w:id="5">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Expediente D-15.373. Demanda de inconstitucionalidad con solicitud de medida cautelar; p. 4.</w:t>
      </w:r>
    </w:p>
  </w:footnote>
  <w:footnote w:id="6">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Corte Constitucional, sentencia C-095 de 2020.</w:t>
      </w:r>
    </w:p>
  </w:footnote>
  <w:footnote w:id="7">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w:t>
      </w:r>
    </w:p>
  </w:footnote>
  <w:footnote w:id="8">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Ley 2294 de 2023, Art. 1.</w:t>
      </w:r>
    </w:p>
  </w:footnote>
  <w:footnote w:id="9">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Ley 2294 de 2023, Art. 3.</w:t>
      </w:r>
    </w:p>
  </w:footnote>
  <w:footnote w:id="10">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“Por el cual se expide el Plan Nacional de Desarrollo 2022 – 2026 ‘Colombia Potencia Mundial de la Vida’”.</w:t>
      </w:r>
    </w:p>
  </w:footnote>
  <w:footnote w:id="11">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Expediente D-15.373. Demanda de inconstitucionalidad con solicitud de medida cautelar; p. 13.</w:t>
      </w:r>
    </w:p>
  </w:footnote>
  <w:footnote w:id="12">
    <w:p w:rsidR="0019028F" w:rsidRPr="0019028F" w:rsidRDefault="00597245" w:rsidP="0019028F">
      <w:pPr>
        <w:pStyle w:val="Textonotapie"/>
        <w:rPr>
          <w:color w:val="000000" w:themeColor="text1"/>
          <w:lang w:val="en-US"/>
        </w:rPr>
      </w:pPr>
      <w:r w:rsidRPr="0019028F">
        <w:rPr>
          <w:rStyle w:val="Refdenotaalpie"/>
          <w:color w:val="000000" w:themeColor="text1"/>
        </w:rPr>
        <w:footnoteRef/>
      </w:r>
      <w:r w:rsidRPr="0019028F">
        <w:rPr>
          <w:color w:val="000000" w:themeColor="text1"/>
          <w:lang w:val="en-US"/>
        </w:rPr>
        <w:t xml:space="preserve"> Ibid. </w:t>
      </w:r>
    </w:p>
  </w:footnote>
  <w:footnote w:id="13">
    <w:p w:rsidR="0019028F" w:rsidRPr="0019028F" w:rsidRDefault="00597245" w:rsidP="0019028F">
      <w:pPr>
        <w:pStyle w:val="Textonotapie"/>
        <w:rPr>
          <w:color w:val="000000" w:themeColor="text1"/>
          <w:lang w:val="en-US"/>
        </w:rPr>
      </w:pPr>
      <w:r w:rsidRPr="0019028F">
        <w:rPr>
          <w:rStyle w:val="Refdenotaalpie"/>
          <w:color w:val="000000" w:themeColor="text1"/>
        </w:rPr>
        <w:footnoteRef/>
      </w:r>
      <w:r w:rsidRPr="0019028F">
        <w:rPr>
          <w:color w:val="000000" w:themeColor="text1"/>
          <w:lang w:val="en-US"/>
        </w:rPr>
        <w:t xml:space="preserve"> Ibid. p. 17.</w:t>
      </w:r>
    </w:p>
  </w:footnote>
  <w:footnote w:id="14">
    <w:p w:rsidR="0019028F" w:rsidRPr="0019028F" w:rsidRDefault="00597245" w:rsidP="0019028F">
      <w:pPr>
        <w:pStyle w:val="Textonotapie"/>
        <w:rPr>
          <w:color w:val="000000" w:themeColor="text1"/>
          <w:lang w:val="en-US"/>
        </w:rPr>
      </w:pPr>
      <w:r w:rsidRPr="0019028F">
        <w:rPr>
          <w:rStyle w:val="Refdenotaalpie"/>
          <w:color w:val="000000" w:themeColor="text1"/>
        </w:rPr>
        <w:footnoteRef/>
      </w:r>
      <w:r w:rsidRPr="0019028F">
        <w:rPr>
          <w:color w:val="000000" w:themeColor="text1"/>
          <w:lang w:val="en-US"/>
        </w:rPr>
        <w:t xml:space="preserve"> Ibid. p. 18.</w:t>
      </w:r>
    </w:p>
  </w:footnote>
  <w:footnote w:id="15">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Expediente D-15.373. Demanda de inconstitucionalidad con solicitud de medida cautelar; p. 19.</w:t>
      </w:r>
    </w:p>
  </w:footnote>
  <w:footnote w:id="16">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“Por el cual se expide el Plan Nacional de Desarrollo 2022 – 2026 ‘Colombia Potencia Mundial de la Vida’”.</w:t>
      </w:r>
    </w:p>
  </w:footnote>
  <w:footnote w:id="17">
    <w:p w:rsidR="0019028F" w:rsidRPr="0019028F" w:rsidRDefault="00597245" w:rsidP="0019028F">
      <w:pPr>
        <w:pStyle w:val="Textonotapie"/>
        <w:rPr>
          <w:color w:val="000000" w:themeColor="text1"/>
          <w:lang w:val="es-CO"/>
        </w:rPr>
      </w:pPr>
      <w:r w:rsidRPr="0019028F">
        <w:rPr>
          <w:rStyle w:val="Refdenotaalpie"/>
          <w:color w:val="000000" w:themeColor="text1"/>
        </w:rPr>
        <w:footnoteRef/>
      </w:r>
      <w:r w:rsidRPr="0019028F">
        <w:rPr>
          <w:color w:val="000000" w:themeColor="text1"/>
          <w:lang w:val="es-CO"/>
        </w:rPr>
        <w:t xml:space="preserve"> Ibid. p. 17.</w:t>
      </w:r>
    </w:p>
  </w:footnote>
  <w:footnote w:id="18">
    <w:p w:rsidR="0019028F" w:rsidRPr="0019028F" w:rsidRDefault="00597245" w:rsidP="0019028F">
      <w:pPr>
        <w:pStyle w:val="Textonotapie"/>
      </w:pPr>
      <w:r w:rsidRPr="0019028F">
        <w:rPr>
          <w:rStyle w:val="Refdenotaalpie"/>
        </w:rPr>
        <w:footnoteRef/>
      </w:r>
      <w:r w:rsidRPr="0019028F">
        <w:t xml:space="preserve"> El proceso se fijó </w:t>
      </w:r>
      <w:r w:rsidRPr="0019028F">
        <w:t xml:space="preserve">en lista el 25 de julio de 2023. </w:t>
      </w:r>
    </w:p>
  </w:footnote>
  <w:footnote w:id="19">
    <w:p w:rsidR="0019028F" w:rsidRPr="0019028F" w:rsidRDefault="00597245" w:rsidP="0019028F">
      <w:pPr>
        <w:pStyle w:val="Textonotapie"/>
        <w:rPr>
          <w:color w:val="000000" w:themeColor="text1"/>
          <w:lang w:val="es-CO"/>
        </w:rPr>
      </w:pPr>
      <w:r w:rsidRPr="0019028F">
        <w:rPr>
          <w:rStyle w:val="Refdenotaalpie"/>
          <w:color w:val="000000" w:themeColor="text1"/>
        </w:rPr>
        <w:footnoteRef/>
      </w:r>
      <w:r w:rsidRPr="0019028F">
        <w:rPr>
          <w:color w:val="000000" w:themeColor="text1"/>
        </w:rPr>
        <w:t xml:space="preserve"> </w:t>
      </w:r>
      <w:r w:rsidRPr="0019028F">
        <w:rPr>
          <w:color w:val="000000" w:themeColor="text1"/>
          <w:lang w:val="es-CO"/>
        </w:rPr>
        <w:t>Adicionalmente, la Superintendencia Financiera envió un escrito informando que se abstenía de pronunciarse sobre la presente demanda de inconstitucionalidad.</w:t>
      </w:r>
    </w:p>
  </w:footnote>
  <w:footnote w:id="20">
    <w:p w:rsidR="0019028F" w:rsidRPr="0019028F" w:rsidRDefault="00597245" w:rsidP="0019028F">
      <w:pPr>
        <w:pStyle w:val="Textonotapie"/>
      </w:pPr>
      <w:r w:rsidRPr="0019028F">
        <w:rPr>
          <w:rStyle w:val="Refdenotaalpie"/>
        </w:rPr>
        <w:footnoteRef/>
      </w:r>
      <w:r w:rsidRPr="0019028F">
        <w:t xml:space="preserve"> Envió su escrito por correo electrónico el 8 de agosto de 2023.</w:t>
      </w:r>
    </w:p>
  </w:footnote>
  <w:footnote w:id="21">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Intervención. Positiva Compañía de Seguros S.A.; p. 112.</w:t>
      </w:r>
    </w:p>
  </w:footnote>
  <w:footnote w:id="22">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p. 114.</w:t>
      </w:r>
    </w:p>
  </w:footnote>
  <w:footnote w:id="23">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p. 117.</w:t>
      </w:r>
    </w:p>
  </w:footnote>
  <w:footnote w:id="24">
    <w:p w:rsidR="0019028F" w:rsidRPr="0019028F" w:rsidRDefault="00597245" w:rsidP="0019028F">
      <w:pPr>
        <w:pStyle w:val="Textonotapie"/>
      </w:pPr>
      <w:r w:rsidRPr="0019028F">
        <w:rPr>
          <w:rStyle w:val="Refdenotaalpie"/>
        </w:rPr>
        <w:footnoteRef/>
      </w:r>
      <w:r w:rsidRPr="0019028F">
        <w:t xml:space="preserve"> La entidad remitió su intervención el 8 de agosto de 2023. </w:t>
      </w:r>
    </w:p>
  </w:footnote>
  <w:footnote w:id="25">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Intervención. Departamento Nacional </w:t>
      </w:r>
      <w:r w:rsidRPr="0019028F">
        <w:rPr>
          <w:color w:val="000000" w:themeColor="text1"/>
        </w:rPr>
        <w:t>de Planeación; p. 20.</w:t>
      </w:r>
    </w:p>
  </w:footnote>
  <w:footnote w:id="26">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w:t>
      </w:r>
    </w:p>
  </w:footnote>
  <w:footnote w:id="27">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p.p. 24-25.</w:t>
      </w:r>
    </w:p>
  </w:footnote>
  <w:footnote w:id="28">
    <w:p w:rsidR="0019028F" w:rsidRPr="0019028F" w:rsidRDefault="00597245" w:rsidP="0019028F">
      <w:pPr>
        <w:pStyle w:val="Textonotapie"/>
      </w:pPr>
      <w:r w:rsidRPr="0019028F">
        <w:rPr>
          <w:rStyle w:val="Refdenotaalpie"/>
        </w:rPr>
        <w:footnoteRef/>
      </w:r>
      <w:r w:rsidRPr="0019028F">
        <w:t xml:space="preserve"> Envió su escrito por correo electrónico el 8 de agosto de 2023. </w:t>
      </w:r>
    </w:p>
  </w:footnote>
  <w:footnote w:id="29">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Intervención. Departamento Administrativo de la Presidencia de la República; p. 8.</w:t>
      </w:r>
    </w:p>
  </w:footnote>
  <w:footnote w:id="30">
    <w:p w:rsidR="0019028F" w:rsidRPr="0019028F" w:rsidRDefault="00597245" w:rsidP="0019028F">
      <w:pPr>
        <w:pStyle w:val="Textonotapie"/>
        <w:rPr>
          <w:color w:val="000000" w:themeColor="text1"/>
          <w:lang w:val="en-US"/>
        </w:rPr>
      </w:pPr>
      <w:r w:rsidRPr="0019028F">
        <w:rPr>
          <w:rStyle w:val="Refdenotaalpie"/>
          <w:color w:val="000000" w:themeColor="text1"/>
        </w:rPr>
        <w:footnoteRef/>
      </w:r>
      <w:r w:rsidRPr="0019028F">
        <w:rPr>
          <w:color w:val="000000" w:themeColor="text1"/>
          <w:lang w:val="en-US"/>
        </w:rPr>
        <w:t xml:space="preserve"> Ibid. p.p. 22-23.</w:t>
      </w:r>
    </w:p>
  </w:footnote>
  <w:footnote w:id="31">
    <w:p w:rsidR="0019028F" w:rsidRPr="0019028F" w:rsidRDefault="00597245" w:rsidP="0019028F">
      <w:pPr>
        <w:pStyle w:val="Textonotapie"/>
        <w:rPr>
          <w:color w:val="000000" w:themeColor="text1"/>
          <w:lang w:val="en-US"/>
        </w:rPr>
      </w:pPr>
      <w:r w:rsidRPr="0019028F">
        <w:rPr>
          <w:rStyle w:val="Refdenotaalpie"/>
          <w:color w:val="000000" w:themeColor="text1"/>
        </w:rPr>
        <w:footnoteRef/>
      </w:r>
      <w:r w:rsidRPr="0019028F">
        <w:rPr>
          <w:color w:val="000000" w:themeColor="text1"/>
          <w:lang w:val="en-US"/>
        </w:rPr>
        <w:t xml:space="preserve"> Ibid. p. 22.</w:t>
      </w:r>
    </w:p>
  </w:footnote>
  <w:footnote w:id="32">
    <w:p w:rsidR="0019028F" w:rsidRPr="0019028F" w:rsidRDefault="00597245" w:rsidP="0019028F">
      <w:pPr>
        <w:pStyle w:val="Textonotapie"/>
      </w:pPr>
      <w:r w:rsidRPr="0019028F">
        <w:rPr>
          <w:rStyle w:val="Refdenotaalpie"/>
        </w:rPr>
        <w:footnoteRef/>
      </w:r>
      <w:r w:rsidRPr="0019028F">
        <w:t xml:space="preserve"> Envió su escrito</w:t>
      </w:r>
      <w:r w:rsidRPr="0019028F">
        <w:t xml:space="preserve"> por correo electrónico el 8 de agosto de 2023. </w:t>
      </w:r>
    </w:p>
  </w:footnote>
  <w:footnote w:id="33">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Intervención. Colmena Riesgos Laborales S.A; p. 46.</w:t>
      </w:r>
    </w:p>
  </w:footnote>
  <w:footnote w:id="34">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p. 35.</w:t>
      </w:r>
    </w:p>
  </w:footnote>
  <w:footnote w:id="35">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p. 50.</w:t>
      </w:r>
    </w:p>
  </w:footnote>
  <w:footnote w:id="36">
    <w:p w:rsidR="0019028F" w:rsidRPr="0019028F" w:rsidRDefault="00597245" w:rsidP="0019028F">
      <w:pPr>
        <w:pStyle w:val="Textonotapie"/>
      </w:pPr>
      <w:r w:rsidRPr="0019028F">
        <w:rPr>
          <w:rStyle w:val="Refdenotaalpie"/>
        </w:rPr>
        <w:footnoteRef/>
      </w:r>
      <w:r w:rsidRPr="0019028F">
        <w:t xml:space="preserve"> Envió su escrito por correo electrónico el 8 de agosto de 2023. </w:t>
      </w:r>
    </w:p>
  </w:footnote>
  <w:footnote w:id="37">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Intervención. FASECOLDA; p. 16.</w:t>
      </w:r>
    </w:p>
  </w:footnote>
  <w:footnote w:id="38">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w:t>
      </w:r>
    </w:p>
  </w:footnote>
  <w:footnote w:id="39">
    <w:p w:rsidR="0019028F" w:rsidRPr="0019028F" w:rsidRDefault="00597245" w:rsidP="0019028F">
      <w:pPr>
        <w:pStyle w:val="Textonotapie"/>
      </w:pPr>
      <w:r w:rsidRPr="0019028F">
        <w:rPr>
          <w:rStyle w:val="Refdenotaalpie"/>
        </w:rPr>
        <w:footnoteRef/>
      </w:r>
      <w:r w:rsidRPr="0019028F">
        <w:t xml:space="preserve"> Envió su escrito por correo electrónico el 24 de agosto de 2024.</w:t>
      </w:r>
    </w:p>
  </w:footnote>
  <w:footnote w:id="40">
    <w:p w:rsidR="0019028F" w:rsidRPr="0019028F" w:rsidRDefault="00597245" w:rsidP="0019028F">
      <w:pPr>
        <w:pStyle w:val="Textonotapie"/>
      </w:pPr>
      <w:r w:rsidRPr="0019028F">
        <w:rPr>
          <w:rStyle w:val="Refdenotaalpie"/>
        </w:rPr>
        <w:footnoteRef/>
      </w:r>
      <w:r w:rsidRPr="0019028F">
        <w:t xml:space="preserve"> El ciudadano envió su escrito el 4 de agosto de 2023.</w:t>
      </w:r>
    </w:p>
  </w:footnote>
  <w:footnote w:id="41">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Intervención. Diego Escallón Arango; p. 3.</w:t>
      </w:r>
    </w:p>
  </w:footnote>
  <w:footnote w:id="42">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Ibid. p. 16.</w:t>
      </w:r>
    </w:p>
  </w:footnote>
  <w:footnote w:id="43">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Concepto. Procuraduría General de la Nación; p. 3.</w:t>
      </w:r>
    </w:p>
  </w:footnote>
  <w:footnote w:id="44">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Expediente digital </w:t>
      </w:r>
      <w:r w:rsidRPr="0019028F">
        <w:rPr>
          <w:color w:val="000000" w:themeColor="text1"/>
        </w:rPr>
        <w:t>D-15.373 “</w:t>
      </w:r>
      <w:hyperlink r:id="rId4" w:tgtFrame="blank" w:history="1">
        <w:r w:rsidRPr="0019028F">
          <w:rPr>
            <w:rStyle w:val="Hipervnculo"/>
            <w:color w:val="000000" w:themeColor="text1"/>
          </w:rPr>
          <w:t>D0015373-Peticiones y Otros-(2024-01-11 11-47-05).pdf</w:t>
        </w:r>
      </w:hyperlink>
      <w:r w:rsidRPr="0019028F">
        <w:rPr>
          <w:color w:val="000000" w:themeColor="text1"/>
        </w:rPr>
        <w:t>”</w:t>
      </w:r>
    </w:p>
  </w:footnote>
  <w:footnote w:id="45">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El expediente estaba cargo del despacho del magistrado Alejandro Linares Cantillo, quien culminó su periodo como magistrado el 2 de diciembre de 2023, luego el proceso le correspondió al magistrado </w:t>
      </w:r>
      <w:r w:rsidRPr="0019028F">
        <w:rPr>
          <w:color w:val="000000" w:themeColor="text1"/>
          <w:lang w:val="es-CO"/>
        </w:rPr>
        <w:t>Vladimir Fernández Andrade</w:t>
      </w:r>
      <w:r w:rsidRPr="0019028F">
        <w:rPr>
          <w:color w:val="000000" w:themeColor="text1"/>
        </w:rPr>
        <w:t>. Los antecedentes de esta deci</w:t>
      </w:r>
      <w:r w:rsidRPr="0019028F">
        <w:rPr>
          <w:color w:val="000000" w:themeColor="text1"/>
        </w:rPr>
        <w:t xml:space="preserve">sión fueron realizados a partir del proyecto en su momento registrado por el magistrado Linares Cantillo. </w:t>
      </w:r>
    </w:p>
  </w:footnote>
  <w:footnote w:id="46">
    <w:p w:rsidR="0019028F" w:rsidRPr="0019028F" w:rsidRDefault="00597245" w:rsidP="0019028F">
      <w:pPr>
        <w:pStyle w:val="Textonotapie"/>
        <w:rPr>
          <w:color w:val="000000" w:themeColor="text1"/>
          <w:lang w:val="es-CO"/>
        </w:rPr>
      </w:pPr>
      <w:r w:rsidRPr="0019028F">
        <w:rPr>
          <w:rStyle w:val="Refdenotaalpie"/>
          <w:color w:val="000000" w:themeColor="text1"/>
        </w:rPr>
        <w:footnoteRef/>
      </w:r>
      <w:r w:rsidRPr="0019028F">
        <w:rPr>
          <w:color w:val="000000" w:themeColor="text1"/>
        </w:rPr>
        <w:t xml:space="preserve"> Sentencias C-227 de 2023, C-383 de 2022, C-083 de 2022, C-137 de 2022, </w:t>
      </w:r>
      <w:r w:rsidRPr="0019028F">
        <w:rPr>
          <w:color w:val="000000" w:themeColor="text1"/>
          <w:lang w:val="es-CO"/>
        </w:rPr>
        <w:t>C-458 de 2023.</w:t>
      </w:r>
    </w:p>
  </w:footnote>
  <w:footnote w:id="47">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color w:val="000000" w:themeColor="text1"/>
        </w:rPr>
        <w:t xml:space="preserve"> Constitución Política, art. 243. </w:t>
      </w:r>
    </w:p>
  </w:footnote>
  <w:footnote w:id="48">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rStyle w:val="Refdenotaalpie"/>
          <w:color w:val="000000" w:themeColor="text1"/>
        </w:rPr>
        <w:t xml:space="preserve"> </w:t>
      </w:r>
      <w:r w:rsidRPr="0019028F">
        <w:rPr>
          <w:color w:val="000000" w:themeColor="text1"/>
        </w:rPr>
        <w:t>Sentencia C-101 de 2022</w:t>
      </w:r>
      <w:r w:rsidRPr="0019028F">
        <w:rPr>
          <w:color w:val="000000" w:themeColor="text1"/>
        </w:rPr>
        <w:t xml:space="preserve">, que será analizada más adelante. </w:t>
      </w:r>
    </w:p>
  </w:footnote>
  <w:footnote w:id="49">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color w:val="000000" w:themeColor="text1"/>
        </w:rPr>
        <w:t xml:space="preserve"> En esa ocasión, esta Corporación estimó que, respecto a los cargos que admitió, había ausencia de cosa juzgada, a </w:t>
      </w:r>
      <w:r w:rsidRPr="0019028F">
        <w:rPr>
          <w:color w:val="000000" w:themeColor="text1"/>
          <w:shd w:val="clear" w:color="auto" w:fill="FFFFFF"/>
        </w:rPr>
        <w:t>pesar</w:t>
      </w:r>
      <w:r w:rsidRPr="0019028F">
        <w:rPr>
          <w:color w:val="000000" w:themeColor="text1"/>
        </w:rPr>
        <w:t xml:space="preserve"> de que en las sentencias C-891 de 2012 y C-045 de 2018, la Sala Plena estudió la conformidad de va</w:t>
      </w:r>
      <w:r w:rsidRPr="0019028F">
        <w:rPr>
          <w:color w:val="000000" w:themeColor="text1"/>
        </w:rPr>
        <w:t>rios apartes del artículo 8 de la Ley 1421 de 2010 por medio de la cual se prorrogó la Ley 418 de 1997, relacionada con los instrumentos para la búsqueda de la convivencia y la eficacia de la justicia. En efecto, las censuras que fueron objeto de admisión,</w:t>
      </w:r>
      <w:r w:rsidRPr="0019028F">
        <w:rPr>
          <w:color w:val="000000" w:themeColor="text1"/>
        </w:rPr>
        <w:t xml:space="preserve"> relacionadas con la supuesta violación de los límites a la libertad de </w:t>
      </w:r>
      <w:r w:rsidRPr="0019028F">
        <w:rPr>
          <w:color w:val="000000" w:themeColor="text1"/>
          <w:shd w:val="clear" w:color="auto" w:fill="FFFFFF"/>
        </w:rPr>
        <w:t>configuración</w:t>
      </w:r>
      <w:r w:rsidRPr="0019028F">
        <w:rPr>
          <w:color w:val="000000" w:themeColor="text1"/>
        </w:rPr>
        <w:t xml:space="preserve"> legislativa en materia tributaria, no habían sido objeto de un pronunciamiento de la Corte, pues (i) no guardaron identidad de objeto con la Sentencia C-891 de 2012 y (ii</w:t>
      </w:r>
      <w:r w:rsidRPr="0019028F">
        <w:rPr>
          <w:color w:val="000000" w:themeColor="text1"/>
        </w:rPr>
        <w:t xml:space="preserve">) a pesar de que podían asimilarse a un argumento planteado por el demandante en la Sentencia C-045 de 2018, en esa decisión la Corte se inhibió para proferir un fallo de fondo. </w:t>
      </w:r>
    </w:p>
  </w:footnote>
  <w:footnote w:id="50">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Por ejemplo, ver Sentencias C-227 de 2023, C-233 de 2021, C-089 de 2020, C-</w:t>
      </w:r>
      <w:r w:rsidRPr="0019028F">
        <w:rPr>
          <w:color w:val="000000" w:themeColor="text1"/>
        </w:rPr>
        <w:t>519 de 2019, C-352 de 2017.</w:t>
      </w:r>
    </w:p>
  </w:footnote>
  <w:footnote w:id="51">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color w:val="000000" w:themeColor="text1"/>
        </w:rPr>
        <w:t xml:space="preserve"> Por medio de esa sentencia, la Sala Plena declaró estarse a lo resuelto en la Sentencia C-521 de 2019 y, en consecuencia, declarar exequible una expresión contenida en el inciso 1º del artículo 46 de la Ley 2010 de 2019, relac</w:t>
      </w:r>
      <w:r w:rsidRPr="0019028F">
        <w:rPr>
          <w:color w:val="000000" w:themeColor="text1"/>
        </w:rPr>
        <w:t xml:space="preserve">ionada con </w:t>
      </w:r>
      <w:r w:rsidRPr="0019028F">
        <w:rPr>
          <w:color w:val="000000" w:themeColor="text1"/>
          <w:shd w:val="clear" w:color="auto" w:fill="FFFFFF"/>
        </w:rPr>
        <w:t>medidas</w:t>
      </w:r>
      <w:r w:rsidRPr="0019028F">
        <w:rPr>
          <w:color w:val="000000" w:themeColor="text1"/>
        </w:rPr>
        <w:t xml:space="preserve"> económicas. Así, esta Corporación concluyó que el demandante no cumplió las exigencias necesarias para reabrir el debate constitucional planteado en la C-521 de 2019, de manera que operó el fenómeno de la cosa juzgada material en sentido</w:t>
      </w:r>
      <w:r w:rsidRPr="0019028F">
        <w:rPr>
          <w:color w:val="000000" w:themeColor="text1"/>
        </w:rPr>
        <w:t xml:space="preserve"> amplio. </w:t>
      </w:r>
    </w:p>
  </w:footnote>
  <w:footnote w:id="52">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color w:val="000000" w:themeColor="text1"/>
        </w:rPr>
        <w:t xml:space="preserve"> Sentencia </w:t>
      </w:r>
      <w:r w:rsidRPr="0019028F">
        <w:rPr>
          <w:color w:val="000000" w:themeColor="text1"/>
          <w:shd w:val="clear" w:color="auto" w:fill="FFFFFF"/>
        </w:rPr>
        <w:t xml:space="preserve">C-153 de 2002, reiterada en la </w:t>
      </w:r>
      <w:r w:rsidRPr="0019028F">
        <w:rPr>
          <w:color w:val="000000" w:themeColor="text1"/>
        </w:rPr>
        <w:t>C-039 de 2021, entre muchas otras. En esa ocasión, la Corte se estuvo a lo resuelto en la C-474 de 1994 y declaró la exequibilidad del artículo 35 de la Ley 1 de 1991, luego de concluir que operó la cosa</w:t>
      </w:r>
      <w:r w:rsidRPr="0019028F">
        <w:rPr>
          <w:color w:val="000000" w:themeColor="text1"/>
        </w:rPr>
        <w:t xml:space="preserve"> juzgada constitucional absoluta. </w:t>
      </w:r>
    </w:p>
  </w:footnote>
  <w:footnote w:id="53">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rStyle w:val="Refdenotaalpie"/>
          <w:color w:val="000000" w:themeColor="text1"/>
        </w:rPr>
        <w:t xml:space="preserve"> </w:t>
      </w:r>
      <w:r w:rsidRPr="0019028F">
        <w:rPr>
          <w:color w:val="000000" w:themeColor="text1"/>
        </w:rPr>
        <w:t xml:space="preserve">Ibidem. </w:t>
      </w:r>
    </w:p>
  </w:footnote>
  <w:footnote w:id="54">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Sentencias C-237ª-22 y </w:t>
      </w:r>
      <w:r w:rsidRPr="0019028F">
        <w:rPr>
          <w:color w:val="000000" w:themeColor="text1"/>
          <w:lang w:val="es-CO"/>
        </w:rPr>
        <w:t>C-039 de 2021.</w:t>
      </w:r>
    </w:p>
  </w:footnote>
  <w:footnote w:id="55">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rStyle w:val="Refdenotaalpie"/>
          <w:color w:val="000000" w:themeColor="text1"/>
        </w:rPr>
        <w:t xml:space="preserve"> </w:t>
      </w:r>
      <w:r w:rsidRPr="0019028F">
        <w:rPr>
          <w:color w:val="000000" w:themeColor="text1"/>
        </w:rPr>
        <w:t xml:space="preserve">Sentencia </w:t>
      </w:r>
      <w:r w:rsidRPr="0019028F">
        <w:rPr>
          <w:color w:val="000000" w:themeColor="text1"/>
          <w:shd w:val="clear" w:color="auto" w:fill="FFFFFF"/>
        </w:rPr>
        <w:t>C-774 de 2001 (reiterada en la C-039 de 2021, entre muchas otras). En esa oportunidad, la Corte Constitucional se estuvo a lo resuelto en las sentencias C-150</w:t>
      </w:r>
      <w:r w:rsidRPr="0019028F">
        <w:rPr>
          <w:color w:val="000000" w:themeColor="text1"/>
          <w:shd w:val="clear" w:color="auto" w:fill="FFFFFF"/>
        </w:rPr>
        <w:t xml:space="preserve"> de 1993, C-106 de 1994, C-327 de 1997, C-716 de 1998 y C-392 de 2000, en relación con varios artículos del Código de Procedimiento Penal. </w:t>
      </w:r>
    </w:p>
  </w:footnote>
  <w:footnote w:id="56">
    <w:p w:rsidR="0019028F" w:rsidRPr="0019028F" w:rsidRDefault="00597245" w:rsidP="0019028F">
      <w:pPr>
        <w:pStyle w:val="Textonotapie"/>
        <w:ind w:right="-232"/>
        <w:rPr>
          <w:color w:val="000000" w:themeColor="text1"/>
        </w:rPr>
      </w:pPr>
      <w:r w:rsidRPr="0019028F">
        <w:rPr>
          <w:rStyle w:val="Refdenotaalpie"/>
          <w:color w:val="000000" w:themeColor="text1"/>
        </w:rPr>
        <w:footnoteRef/>
      </w:r>
      <w:r w:rsidRPr="0019028F">
        <w:rPr>
          <w:rStyle w:val="Refdenotaalpie"/>
          <w:color w:val="000000" w:themeColor="text1"/>
        </w:rPr>
        <w:t xml:space="preserve"> </w:t>
      </w:r>
      <w:r w:rsidRPr="0019028F">
        <w:rPr>
          <w:color w:val="000000" w:themeColor="text1"/>
        </w:rPr>
        <w:t xml:space="preserve">Sentencia C-039 de 2021, antes mencionada.  </w:t>
      </w:r>
    </w:p>
  </w:footnote>
  <w:footnote w:id="57">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En la Sentencia C-489 de 2009, la Sala plena recordó que los efecto</w:t>
      </w:r>
      <w:r w:rsidRPr="0019028F">
        <w:rPr>
          <w:color w:val="000000" w:themeColor="text1"/>
        </w:rPr>
        <w:t>s de la cosa juzgada de las decisiones de inexequibilidad y exequibilidad no son iguales. En Sentencias C-259 de 2008 y C-211 de 2003, la Corte al recordar la sentencia C-310 de 2002, precisó que el efecto de la cosa juzgada material depende de si la norma</w:t>
      </w:r>
      <w:r w:rsidRPr="0019028F">
        <w:rPr>
          <w:color w:val="000000" w:themeColor="text1"/>
        </w:rPr>
        <w:t xml:space="preserve"> es declarada inexequible o exequible. La Sentencias C-200 de 2019 y C-007 de 2016 reiteraron la regla de que estos efectos diferenciados recaen sobre la cosa juzgada material.</w:t>
      </w:r>
    </w:p>
  </w:footnote>
  <w:footnote w:id="58">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 C-489 de 2009.</w:t>
      </w:r>
    </w:p>
  </w:footnote>
  <w:footnote w:id="59">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Sentencias C-083 de 2022, C-200 de 2019 y C-007 de</w:t>
      </w:r>
      <w:r w:rsidRPr="0019028F">
        <w:rPr>
          <w:color w:val="000000" w:themeColor="text1"/>
        </w:rPr>
        <w:t xml:space="preserve"> 2016.</w:t>
      </w:r>
    </w:p>
  </w:footnote>
  <w:footnote w:id="60">
    <w:p w:rsidR="0019028F" w:rsidRPr="0019028F" w:rsidRDefault="00597245" w:rsidP="0019028F">
      <w:pPr>
        <w:pStyle w:val="Textonotapie"/>
        <w:rPr>
          <w:color w:val="000000" w:themeColor="text1"/>
          <w:lang w:val="es-CO"/>
        </w:rPr>
      </w:pPr>
      <w:r w:rsidRPr="0019028F">
        <w:rPr>
          <w:rStyle w:val="Refdenotaalpie"/>
          <w:color w:val="000000" w:themeColor="text1"/>
        </w:rPr>
        <w:footnoteRef/>
      </w:r>
      <w:r w:rsidRPr="0019028F">
        <w:rPr>
          <w:color w:val="000000" w:themeColor="text1"/>
        </w:rPr>
        <w:t xml:space="preserve"> Ibid.</w:t>
      </w:r>
    </w:p>
  </w:footnote>
  <w:footnote w:id="61">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 C-489 de 2009.</w:t>
      </w:r>
    </w:p>
  </w:footnote>
  <w:footnote w:id="62">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Serrano José Luis, Validez y Vigencia, la aportación garantista a la teoría de la norma jurídica, Editorial Trotta, Madrid, 1999, pp 23 y 74. En igual sentido, sentencias C-383 de 2019, C-499 de 2023, entre otras.</w:t>
      </w:r>
    </w:p>
  </w:footnote>
  <w:footnote w:id="63">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 C-383 de 2022</w:t>
      </w:r>
    </w:p>
  </w:footnote>
  <w:footnote w:id="64">
    <w:p w:rsidR="0019028F" w:rsidRPr="0019028F" w:rsidRDefault="00597245" w:rsidP="0019028F">
      <w:pPr>
        <w:pStyle w:val="Textonotapie"/>
        <w:rPr>
          <w:color w:val="000000" w:themeColor="text1"/>
        </w:rPr>
      </w:pPr>
      <w:r w:rsidRPr="0019028F">
        <w:rPr>
          <w:color w:val="000000" w:themeColor="text1"/>
          <w:vertAlign w:val="superscript"/>
        </w:rPr>
        <w:footnoteRef/>
      </w:r>
      <w:r w:rsidRPr="0019028F">
        <w:rPr>
          <w:color w:val="000000" w:themeColor="text1"/>
        </w:rPr>
        <w:t xml:space="preserve"> Ibid. Esta re</w:t>
      </w:r>
      <w:r w:rsidRPr="0019028F">
        <w:rPr>
          <w:color w:val="000000" w:themeColor="text1"/>
        </w:rPr>
        <w:t>gla se tomó de manera expresa de la Sentencia C-200 de 2019 en los siguientes términos “motivo por el que la acción que se presente con posterioridad motiva el rechazo o un fallo inhibitorio en el que se esté a lo resuelto en la decisión anterior.”</w:t>
      </w:r>
    </w:p>
  </w:footnote>
  <w:footnote w:id="65">
    <w:p w:rsidR="0019028F" w:rsidRPr="0019028F" w:rsidRDefault="00597245" w:rsidP="0019028F">
      <w:pPr>
        <w:pStyle w:val="Textonotapie"/>
        <w:rPr>
          <w:color w:val="000000" w:themeColor="text1"/>
        </w:rPr>
      </w:pPr>
      <w:r w:rsidRPr="0019028F">
        <w:rPr>
          <w:color w:val="000000" w:themeColor="text1"/>
          <w:vertAlign w:val="superscript"/>
        </w:rPr>
        <w:footnoteRef/>
      </w:r>
      <w:r w:rsidRPr="0019028F">
        <w:rPr>
          <w:color w:val="000000" w:themeColor="text1"/>
        </w:rPr>
        <w:t xml:space="preserve"> Sente</w:t>
      </w:r>
      <w:r w:rsidRPr="0019028F">
        <w:rPr>
          <w:color w:val="000000" w:themeColor="text1"/>
        </w:rPr>
        <w:t>ncia C-489 de 2009.</w:t>
      </w:r>
    </w:p>
  </w:footnote>
  <w:footnote w:id="66">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 C-113 de 2022.</w:t>
      </w:r>
    </w:p>
  </w:footnote>
  <w:footnote w:id="67">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 C-489 de 2009.</w:t>
      </w:r>
    </w:p>
  </w:footnote>
  <w:footnote w:id="68">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 C-290 de 2009.</w:t>
      </w:r>
    </w:p>
  </w:footnote>
  <w:footnote w:id="69">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Sentencia C-311 de 2002.</w:t>
      </w:r>
    </w:p>
  </w:footnote>
  <w:footnote w:id="70">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En concreto, se trataba de los artículos 1°, 2°, 3°, 4°, 5°, 6°, 7°, 9°, 10, 11, 12 ,13, 14, 15, 16, 17, 18, 19, 20, 21, 22, 23, 24, 25 y 26 de la Ley 2098 de 2021.</w:t>
      </w:r>
    </w:p>
  </w:footnote>
  <w:footnote w:id="71">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En la Sentencia C-153 de 2022 se declaró inexequible el artículo 124 de la Ley 2159 de 2</w:t>
      </w:r>
      <w:r w:rsidRPr="0019028F">
        <w:rPr>
          <w:color w:val="000000" w:themeColor="text1"/>
        </w:rPr>
        <w:t xml:space="preserve">021 debido a la vulneración de los principios de reserva de ley y de unidad de materia. En la Sentencia C-306 de 2022 se demandó esa misma norma por trasgredir los principios de consecutividad e identidad flexible y unidad materia. </w:t>
      </w:r>
    </w:p>
  </w:footnote>
  <w:footnote w:id="72">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Ver la sentencia C-14</w:t>
      </w:r>
      <w:r w:rsidRPr="0019028F">
        <w:rPr>
          <w:color w:val="000000" w:themeColor="text1"/>
        </w:rPr>
        <w:t xml:space="preserve">7 de 2022 en la cual se indicó que </w:t>
      </w:r>
      <w:r w:rsidRPr="0019028F">
        <w:rPr>
          <w:color w:val="000000" w:themeColor="text1"/>
          <w:lang w:val="es-CO"/>
        </w:rPr>
        <w:t>sobre el alcance de esta categoría, en la Sentencia C-312 de 2017, la Corte manifestó lo siguiente: “Una disposición o enunciado jurídico corresponde al texto en que una norma es formulada, tales como artículos, numerales</w:t>
      </w:r>
      <w:r w:rsidRPr="0019028F">
        <w:rPr>
          <w:color w:val="000000" w:themeColor="text1"/>
          <w:lang w:val="es-CO"/>
        </w:rPr>
        <w:t xml:space="preserve"> o incisos, aunque estas formulaciones pueden encontrarse también en fragmentos más pequeños de un texto normativo, como oraciones o palabras individuales, siempre que incidan en el sentido que se puede atribuir razonablemente a cada disposición”.</w:t>
      </w:r>
    </w:p>
  </w:footnote>
  <w:footnote w:id="73">
    <w:p w:rsidR="0019028F" w:rsidRPr="0019028F"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Ver la</w:t>
      </w:r>
      <w:r w:rsidRPr="0019028F">
        <w:rPr>
          <w:color w:val="000000" w:themeColor="text1"/>
        </w:rPr>
        <w:t xml:space="preserve"> sentencia C-147 de 2022 en la cual se indicó que </w:t>
      </w:r>
      <w:r w:rsidRPr="0019028F">
        <w:rPr>
          <w:color w:val="000000" w:themeColor="text1"/>
          <w:lang w:val="es-CO"/>
        </w:rPr>
        <w:t>en la Sentencia </w:t>
      </w:r>
      <w:r w:rsidRPr="0019028F">
        <w:rPr>
          <w:color w:val="000000" w:themeColor="text1"/>
          <w:lang w:val="es-ES_tradnl"/>
        </w:rPr>
        <w:t>C-312 de 2017, la Corte propuso la siguiente definición de las </w:t>
      </w:r>
      <w:r w:rsidRPr="0019028F">
        <w:rPr>
          <w:i/>
          <w:iCs/>
          <w:color w:val="000000" w:themeColor="text1"/>
          <w:lang w:val="es-ES_tradnl"/>
        </w:rPr>
        <w:t>normas jurídicas</w:t>
      </w:r>
      <w:r w:rsidRPr="0019028F">
        <w:rPr>
          <w:color w:val="000000" w:themeColor="text1"/>
          <w:lang w:val="es-ES_tradnl"/>
        </w:rPr>
        <w:t>: «Las normas, siguiendo con esta construcción, no son los textos legales sino su significado. Ese significado,</w:t>
      </w:r>
      <w:r w:rsidRPr="0019028F">
        <w:rPr>
          <w:color w:val="000000" w:themeColor="text1"/>
          <w:lang w:val="es-ES_tradnl"/>
        </w:rPr>
        <w:t xml:space="preserve"> a su vez, solo puede hallarse por vía interpretativa y, en consecuencia, a un solo texto legal pueden atribuírsele (potencialmente) diversos contenidos normativos, según la forma en que cada intérprete les atribuye significado».</w:t>
      </w:r>
    </w:p>
  </w:footnote>
  <w:footnote w:id="74">
    <w:p w:rsidR="0019028F" w:rsidRPr="005A5ECA" w:rsidRDefault="00597245" w:rsidP="0019028F">
      <w:pPr>
        <w:pStyle w:val="Textonotapie"/>
        <w:rPr>
          <w:color w:val="000000" w:themeColor="text1"/>
        </w:rPr>
      </w:pPr>
      <w:r w:rsidRPr="0019028F">
        <w:rPr>
          <w:rStyle w:val="Refdenotaalpie"/>
          <w:color w:val="000000" w:themeColor="text1"/>
        </w:rPr>
        <w:footnoteRef/>
      </w:r>
      <w:r w:rsidRPr="0019028F">
        <w:rPr>
          <w:color w:val="000000" w:themeColor="text1"/>
        </w:rPr>
        <w:t xml:space="preserve"> La magistrada Natalia Án</w:t>
      </w:r>
      <w:r w:rsidRPr="0019028F">
        <w:rPr>
          <w:color w:val="000000" w:themeColor="text1"/>
        </w:rPr>
        <w:t>gel presentó impedimento por la causal de amistad íntima en relación con el actor. El impedimento fue aceptado por la Sala Plena.</w:t>
      </w:r>
      <w:r w:rsidRPr="005A5ECA">
        <w:rPr>
          <w:color w:val="000000" w:themeColor="tex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56D53"/>
    <w:multiLevelType w:val="hybridMultilevel"/>
    <w:tmpl w:val="966C3B7A"/>
    <w:lvl w:ilvl="0" w:tplc="37E6C60E">
      <w:start w:val="1"/>
      <w:numFmt w:val="upp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F6D7F37"/>
    <w:multiLevelType w:val="multilevel"/>
    <w:tmpl w:val="8CD2D63E"/>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bCs w:val="0"/>
        <w:color w:val="000000" w:themeColor="text1"/>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492978D7"/>
    <w:multiLevelType w:val="multilevel"/>
    <w:tmpl w:val="F0AA35CC"/>
    <w:styleLink w:val="Listaactual1"/>
    <w:lvl w:ilvl="0">
      <w:start w:val="3"/>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4C5629"/>
    <w:multiLevelType w:val="hybridMultilevel"/>
    <w:tmpl w:val="B06E11D4"/>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7D30EEB"/>
    <w:multiLevelType w:val="hybridMultilevel"/>
    <w:tmpl w:val="D4927F8E"/>
    <w:lvl w:ilvl="0" w:tplc="01E2BABC">
      <w:start w:val="1"/>
      <w:numFmt w:val="decimal"/>
      <w:lvlText w:val="%1."/>
      <w:lvlJc w:val="left"/>
      <w:pPr>
        <w:ind w:left="720" w:hanging="360"/>
      </w:pPr>
      <w:rPr>
        <w:rFonts w:hint="default"/>
        <w:b w:val="0"/>
        <w:bCs w:val="0"/>
        <w:sz w:val="28"/>
        <w:szCs w:val="2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B201B6C"/>
    <w:multiLevelType w:val="hybridMultilevel"/>
    <w:tmpl w:val="1764C116"/>
    <w:lvl w:ilvl="0" w:tplc="7D1ABFF8">
      <w:start w:val="2"/>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F94"/>
    <w:rsid w:val="00597245"/>
    <w:rsid w:val="00907F09"/>
    <w:rsid w:val="00B34F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AC5EA8F1-A817-4C8E-8A04-C8DDEB251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19028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19028F"/>
    <w:rPr>
      <w:rFonts w:asciiTheme="majorHAnsi" w:eastAsiaTheme="majorEastAsia" w:hAnsiTheme="majorHAnsi" w:cstheme="majorBidi"/>
      <w:color w:val="2E74B5" w:themeColor="accent1" w:themeShade="BF"/>
      <w:sz w:val="26"/>
      <w:szCs w:val="26"/>
      <w:lang w:eastAsia="es-ES_tradnl"/>
    </w:rPr>
  </w:style>
  <w:style w:type="paragraph" w:styleId="Piedepgina">
    <w:name w:val="footer"/>
    <w:basedOn w:val="Normal"/>
    <w:link w:val="PiedepginaCar"/>
    <w:uiPriority w:val="99"/>
    <w:unhideWhenUsed/>
    <w:rsid w:val="0019028F"/>
    <w:pPr>
      <w:widowControl w:val="0"/>
      <w:tabs>
        <w:tab w:val="center" w:pos="4252"/>
        <w:tab w:val="right" w:pos="8504"/>
      </w:tabs>
      <w:jc w:val="both"/>
    </w:pPr>
    <w:rPr>
      <w:color w:val="000000"/>
      <w:sz w:val="28"/>
      <w:szCs w:val="28"/>
      <w:lang w:val="es-ES" w:eastAsia="es-ES"/>
    </w:rPr>
  </w:style>
  <w:style w:type="character" w:customStyle="1" w:styleId="PiedepginaCar">
    <w:name w:val="Pie de página Car"/>
    <w:basedOn w:val="Fuentedeprrafopredeter"/>
    <w:link w:val="Piedepgina"/>
    <w:uiPriority w:val="99"/>
    <w:rsid w:val="0019028F"/>
    <w:rPr>
      <w:rFonts w:ascii="Times New Roman" w:eastAsia="Times New Roman" w:hAnsi="Times New Roman" w:cs="Times New Roman"/>
      <w:color w:val="000000"/>
      <w:sz w:val="28"/>
      <w:szCs w:val="28"/>
      <w:lang w:val="es-ES" w:eastAsia="es-ES"/>
    </w:rPr>
  </w:style>
  <w:style w:type="paragraph" w:styleId="Textonotapie">
    <w:name w:val="footnote text"/>
    <w:aliases w:val="Footnote Text Char Char Char Char Char,Footnote Text Char Char Char Char,Footnote reference,FA Fu,texto de nota al pie,Footnote Text Char,Footnote Text Char Char Char Char Char Char Char Char,texto de nota al pi,Ref. de nota al pie1,ft,5_"/>
    <w:basedOn w:val="Normal"/>
    <w:link w:val="TextonotapieCar"/>
    <w:uiPriority w:val="99"/>
    <w:unhideWhenUsed/>
    <w:qFormat/>
    <w:rsid w:val="0019028F"/>
    <w:pPr>
      <w:widowControl w:val="0"/>
      <w:jc w:val="both"/>
    </w:pPr>
    <w:rPr>
      <w:color w:val="00000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ft Car,5_ Car"/>
    <w:basedOn w:val="Fuentedeprrafopredeter"/>
    <w:link w:val="Textonotapie"/>
    <w:uiPriority w:val="99"/>
    <w:qFormat/>
    <w:rsid w:val="0019028F"/>
    <w:rPr>
      <w:rFonts w:ascii="Times New Roman" w:eastAsia="Times New Roman" w:hAnsi="Times New Roman" w:cs="Times New Roman"/>
      <w:color w:val="000000"/>
      <w:sz w:val="20"/>
      <w:szCs w:val="20"/>
      <w:lang w:val="es-ES" w:eastAsia="es-ES"/>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19028F"/>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19028F"/>
    <w:pPr>
      <w:jc w:val="both"/>
    </w:pPr>
    <w:rPr>
      <w:rFonts w:eastAsiaTheme="minorHAnsi"/>
      <w:vertAlign w:val="superscript"/>
      <w:lang w:eastAsia="en-US"/>
    </w:rPr>
  </w:style>
  <w:style w:type="paragraph" w:customStyle="1" w:styleId="Sombreadovistoso-nfasis31">
    <w:name w:val="Sombreado vistoso - Énfasis 31"/>
    <w:basedOn w:val="Normal"/>
    <w:uiPriority w:val="34"/>
    <w:qFormat/>
    <w:rsid w:val="0019028F"/>
    <w:pPr>
      <w:widowControl w:val="0"/>
      <w:ind w:left="720"/>
      <w:contextualSpacing/>
      <w:jc w:val="both"/>
    </w:pPr>
    <w:rPr>
      <w:color w:val="000000"/>
      <w:sz w:val="28"/>
      <w:szCs w:val="28"/>
      <w:lang w:val="es-ES" w:eastAsia="es-ES"/>
    </w:rPr>
  </w:style>
  <w:style w:type="table" w:styleId="Tablaconcuadrcula">
    <w:name w:val="Table Grid"/>
    <w:basedOn w:val="Tablanormal"/>
    <w:uiPriority w:val="39"/>
    <w:rsid w:val="0019028F"/>
    <w:pPr>
      <w:spacing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olorful List - Accent 11,Ha,List Paragraph1,lp1,List Paragraph2,Footnote,Lista vistosa - Énfasis 11,List1,titulo 3,Párrafo de lista1,Bullets,Párrafo de lista2,Cuadrícula clara - Énfasis 31,Dot pt,F5 List Paragraph,No Spacing1,normal"/>
    <w:basedOn w:val="Normal"/>
    <w:link w:val="PrrafodelistaCar"/>
    <w:uiPriority w:val="34"/>
    <w:qFormat/>
    <w:rsid w:val="0019028F"/>
    <w:pPr>
      <w:widowControl w:val="0"/>
      <w:ind w:left="708"/>
      <w:jc w:val="both"/>
    </w:pPr>
    <w:rPr>
      <w:color w:val="000000"/>
      <w:sz w:val="28"/>
      <w:szCs w:val="28"/>
      <w:lang w:val="es-ES" w:eastAsia="es-ES"/>
    </w:rPr>
  </w:style>
  <w:style w:type="character" w:customStyle="1" w:styleId="PrrafodelistaCar">
    <w:name w:val="Párrafo de lista Car"/>
    <w:aliases w:val="Colorful List - Accent 11 Car,Ha Car,List Paragraph1 Car,lp1 Car,List Paragraph2 Car,Footnote Car,Lista vistosa - Énfasis 11 Car,List1 Car,titulo 3 Car,Párrafo de lista1 Car,Bullets Car,Párrafo de lista2 Car,Dot pt Car,normal Car"/>
    <w:link w:val="Prrafodelista"/>
    <w:uiPriority w:val="34"/>
    <w:qFormat/>
    <w:locked/>
    <w:rsid w:val="0019028F"/>
    <w:rPr>
      <w:rFonts w:ascii="Times New Roman" w:eastAsia="Times New Roman" w:hAnsi="Times New Roman" w:cs="Times New Roman"/>
      <w:color w:val="000000"/>
      <w:sz w:val="28"/>
      <w:szCs w:val="28"/>
      <w:lang w:val="es-ES" w:eastAsia="es-ES"/>
    </w:rPr>
  </w:style>
  <w:style w:type="paragraph" w:styleId="Descripcin">
    <w:name w:val="caption"/>
    <w:basedOn w:val="Normal"/>
    <w:next w:val="Normal"/>
    <w:uiPriority w:val="99"/>
    <w:qFormat/>
    <w:rsid w:val="0019028F"/>
    <w:pPr>
      <w:overflowPunct w:val="0"/>
      <w:autoSpaceDE w:val="0"/>
      <w:autoSpaceDN w:val="0"/>
      <w:adjustRightInd w:val="0"/>
      <w:ind w:right="51"/>
      <w:jc w:val="center"/>
      <w:textAlignment w:val="baseline"/>
    </w:pPr>
    <w:rPr>
      <w:b/>
      <w:caps/>
      <w:sz w:val="28"/>
      <w:szCs w:val="20"/>
      <w:lang w:val="es-ES" w:eastAsia="es-ES"/>
    </w:rPr>
  </w:style>
  <w:style w:type="paragraph" w:styleId="Ttulo">
    <w:name w:val="Title"/>
    <w:basedOn w:val="Normal"/>
    <w:link w:val="TtuloCar"/>
    <w:uiPriority w:val="10"/>
    <w:qFormat/>
    <w:rsid w:val="0019028F"/>
    <w:pPr>
      <w:ind w:right="51"/>
      <w:jc w:val="center"/>
      <w:outlineLvl w:val="0"/>
    </w:pPr>
    <w:rPr>
      <w:b/>
      <w:szCs w:val="20"/>
      <w:lang w:val="es-ES" w:eastAsia="es-ES"/>
    </w:rPr>
  </w:style>
  <w:style w:type="character" w:customStyle="1" w:styleId="TtuloCar">
    <w:name w:val="Título Car"/>
    <w:basedOn w:val="Fuentedeprrafopredeter"/>
    <w:link w:val="Ttulo"/>
    <w:uiPriority w:val="10"/>
    <w:rsid w:val="0019028F"/>
    <w:rPr>
      <w:rFonts w:ascii="Times New Roman" w:eastAsia="Times New Roman" w:hAnsi="Times New Roman" w:cs="Times New Roman"/>
      <w:b/>
      <w:szCs w:val="20"/>
      <w:lang w:val="es-ES" w:eastAsia="es-ES"/>
    </w:rPr>
  </w:style>
  <w:style w:type="character" w:styleId="Nmerodepgina">
    <w:name w:val="page number"/>
    <w:basedOn w:val="Fuentedeprrafopredeter"/>
    <w:uiPriority w:val="99"/>
    <w:semiHidden/>
    <w:unhideWhenUsed/>
    <w:rsid w:val="0019028F"/>
  </w:style>
  <w:style w:type="paragraph" w:styleId="Encabezado">
    <w:name w:val="header"/>
    <w:basedOn w:val="Normal"/>
    <w:link w:val="EncabezadoCar"/>
    <w:uiPriority w:val="99"/>
    <w:unhideWhenUsed/>
    <w:rsid w:val="0019028F"/>
    <w:pPr>
      <w:tabs>
        <w:tab w:val="center" w:pos="4419"/>
        <w:tab w:val="right" w:pos="8838"/>
      </w:tabs>
    </w:pPr>
  </w:style>
  <w:style w:type="character" w:customStyle="1" w:styleId="EncabezadoCar">
    <w:name w:val="Encabezado Car"/>
    <w:basedOn w:val="Fuentedeprrafopredeter"/>
    <w:link w:val="Encabezado"/>
    <w:uiPriority w:val="99"/>
    <w:rsid w:val="0019028F"/>
    <w:rPr>
      <w:rFonts w:ascii="Times New Roman" w:eastAsia="Times New Roman" w:hAnsi="Times New Roman" w:cs="Times New Roman"/>
      <w:lang w:eastAsia="es-ES_tradnl"/>
    </w:rPr>
  </w:style>
  <w:style w:type="paragraph" w:styleId="NormalWeb">
    <w:name w:val="Normal (Web)"/>
    <w:basedOn w:val="Normal"/>
    <w:uiPriority w:val="99"/>
    <w:unhideWhenUsed/>
    <w:rsid w:val="0019028F"/>
    <w:pPr>
      <w:spacing w:before="100" w:beforeAutospacing="1" w:after="100" w:afterAutospacing="1"/>
    </w:pPr>
  </w:style>
  <w:style w:type="paragraph" w:customStyle="1" w:styleId="Default">
    <w:name w:val="Default"/>
    <w:rsid w:val="0019028F"/>
    <w:pPr>
      <w:autoSpaceDE w:val="0"/>
      <w:autoSpaceDN w:val="0"/>
      <w:adjustRightInd w:val="0"/>
      <w:spacing w:line="240" w:lineRule="auto"/>
    </w:pPr>
    <w:rPr>
      <w:rFonts w:ascii="Times New Roman" w:hAnsi="Times New Roman" w:cs="Times New Roman"/>
      <w:color w:val="000000"/>
    </w:rPr>
  </w:style>
  <w:style w:type="character" w:customStyle="1" w:styleId="Hyperlink0">
    <w:name w:val="Hyperlink.0"/>
    <w:basedOn w:val="Fuentedeprrafopredeter"/>
    <w:rsid w:val="0019028F"/>
    <w:rPr>
      <w:color w:val="000000"/>
      <w:u w:color="000000"/>
    </w:rPr>
  </w:style>
  <w:style w:type="character" w:styleId="Hipervnculo">
    <w:name w:val="Hyperlink"/>
    <w:basedOn w:val="Fuentedeprrafopredeter"/>
    <w:uiPriority w:val="99"/>
    <w:unhideWhenUsed/>
    <w:rsid w:val="0019028F"/>
    <w:rPr>
      <w:color w:val="0000FF"/>
      <w:u w:val="single"/>
    </w:rPr>
  </w:style>
  <w:style w:type="character" w:customStyle="1" w:styleId="baj">
    <w:name w:val="b_aj"/>
    <w:basedOn w:val="Fuentedeprrafopredeter"/>
    <w:rsid w:val="0019028F"/>
  </w:style>
  <w:style w:type="character" w:customStyle="1" w:styleId="iaj">
    <w:name w:val="i_aj"/>
    <w:basedOn w:val="Fuentedeprrafopredeter"/>
    <w:rsid w:val="0019028F"/>
  </w:style>
  <w:style w:type="character" w:styleId="Refdenotaalfinal">
    <w:name w:val="endnote reference"/>
    <w:basedOn w:val="Fuentedeprrafopredeter"/>
    <w:uiPriority w:val="99"/>
    <w:semiHidden/>
    <w:unhideWhenUsed/>
    <w:rsid w:val="0019028F"/>
  </w:style>
  <w:style w:type="paragraph" w:customStyle="1" w:styleId="centrado">
    <w:name w:val="centrado"/>
    <w:basedOn w:val="Normal"/>
    <w:rsid w:val="0019028F"/>
    <w:pPr>
      <w:spacing w:before="100" w:beforeAutospacing="1" w:after="100" w:afterAutospacing="1"/>
    </w:pPr>
  </w:style>
  <w:style w:type="paragraph" w:styleId="Revisin">
    <w:name w:val="Revision"/>
    <w:hidden/>
    <w:uiPriority w:val="99"/>
    <w:semiHidden/>
    <w:rsid w:val="0019028F"/>
    <w:pPr>
      <w:spacing w:line="240" w:lineRule="auto"/>
    </w:pPr>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19028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028F"/>
    <w:rPr>
      <w:rFonts w:ascii="Segoe UI" w:eastAsia="Times New Roman" w:hAnsi="Segoe UI" w:cs="Segoe UI"/>
      <w:sz w:val="18"/>
      <w:szCs w:val="18"/>
      <w:lang w:eastAsia="es-ES_tradnl"/>
    </w:rPr>
  </w:style>
  <w:style w:type="character" w:styleId="Refdecomentario">
    <w:name w:val="annotation reference"/>
    <w:basedOn w:val="Fuentedeprrafopredeter"/>
    <w:uiPriority w:val="99"/>
    <w:semiHidden/>
    <w:unhideWhenUsed/>
    <w:rsid w:val="0019028F"/>
    <w:rPr>
      <w:sz w:val="16"/>
      <w:szCs w:val="16"/>
    </w:rPr>
  </w:style>
  <w:style w:type="paragraph" w:styleId="Textocomentario">
    <w:name w:val="annotation text"/>
    <w:basedOn w:val="Normal"/>
    <w:link w:val="TextocomentarioCar"/>
    <w:uiPriority w:val="99"/>
    <w:semiHidden/>
    <w:unhideWhenUsed/>
    <w:rsid w:val="0019028F"/>
    <w:rPr>
      <w:sz w:val="20"/>
      <w:szCs w:val="20"/>
    </w:rPr>
  </w:style>
  <w:style w:type="character" w:customStyle="1" w:styleId="TextocomentarioCar">
    <w:name w:val="Texto comentario Car"/>
    <w:basedOn w:val="Fuentedeprrafopredeter"/>
    <w:link w:val="Textocomentario"/>
    <w:uiPriority w:val="99"/>
    <w:semiHidden/>
    <w:rsid w:val="0019028F"/>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19028F"/>
    <w:rPr>
      <w:b/>
      <w:bCs/>
    </w:rPr>
  </w:style>
  <w:style w:type="character" w:customStyle="1" w:styleId="AsuntodelcomentarioCar">
    <w:name w:val="Asunto del comentario Car"/>
    <w:basedOn w:val="TextocomentarioCar"/>
    <w:link w:val="Asuntodelcomentario"/>
    <w:uiPriority w:val="99"/>
    <w:semiHidden/>
    <w:rsid w:val="0019028F"/>
    <w:rPr>
      <w:rFonts w:ascii="Times New Roman" w:eastAsia="Times New Roman" w:hAnsi="Times New Roman" w:cs="Times New Roman"/>
      <w:b/>
      <w:bCs/>
      <w:sz w:val="20"/>
      <w:szCs w:val="20"/>
      <w:lang w:eastAsia="es-ES_tradnl"/>
    </w:rPr>
  </w:style>
  <w:style w:type="paragraph" w:customStyle="1" w:styleId="Piedepaginabsico">
    <w:name w:val="Pie de pagina básico"/>
    <w:basedOn w:val="Normal"/>
    <w:uiPriority w:val="99"/>
    <w:qFormat/>
    <w:rsid w:val="0019028F"/>
    <w:pPr>
      <w:jc w:val="both"/>
    </w:pPr>
    <w:rPr>
      <w:rFonts w:eastAsiaTheme="minorHAnsi"/>
      <w:lang w:eastAsia="en-US"/>
    </w:rPr>
  </w:style>
  <w:style w:type="character" w:customStyle="1" w:styleId="Mencinsinresolver1">
    <w:name w:val="Mención sin resolver1"/>
    <w:basedOn w:val="Fuentedeprrafopredeter"/>
    <w:uiPriority w:val="99"/>
    <w:semiHidden/>
    <w:unhideWhenUsed/>
    <w:rsid w:val="0019028F"/>
    <w:rPr>
      <w:color w:val="605E5C"/>
      <w:shd w:val="clear" w:color="auto" w:fill="E1DFDD"/>
    </w:rPr>
  </w:style>
  <w:style w:type="paragraph" w:customStyle="1" w:styleId="Pa13">
    <w:name w:val="Pa13"/>
    <w:basedOn w:val="Default"/>
    <w:next w:val="Default"/>
    <w:uiPriority w:val="99"/>
    <w:rsid w:val="0019028F"/>
    <w:pPr>
      <w:spacing w:line="211" w:lineRule="atLeast"/>
    </w:pPr>
    <w:rPr>
      <w:color w:val="auto"/>
    </w:rPr>
  </w:style>
  <w:style w:type="paragraph" w:customStyle="1" w:styleId="Pa16">
    <w:name w:val="Pa16"/>
    <w:basedOn w:val="Default"/>
    <w:next w:val="Default"/>
    <w:uiPriority w:val="99"/>
    <w:rsid w:val="0019028F"/>
    <w:pPr>
      <w:spacing w:line="211" w:lineRule="atLeast"/>
    </w:pPr>
    <w:rPr>
      <w:color w:val="auto"/>
    </w:rPr>
  </w:style>
  <w:style w:type="paragraph" w:customStyle="1" w:styleId="Pa12">
    <w:name w:val="Pa12"/>
    <w:basedOn w:val="Default"/>
    <w:next w:val="Default"/>
    <w:uiPriority w:val="99"/>
    <w:rsid w:val="0019028F"/>
    <w:pPr>
      <w:spacing w:line="231" w:lineRule="atLeast"/>
    </w:pPr>
    <w:rPr>
      <w:color w:val="auto"/>
    </w:rPr>
  </w:style>
  <w:style w:type="numbering" w:customStyle="1" w:styleId="Listaactual1">
    <w:name w:val="Lista actual1"/>
    <w:uiPriority w:val="99"/>
    <w:rsid w:val="0019028F"/>
    <w:pPr>
      <w:numPr>
        <w:numId w:val="1"/>
      </w:numPr>
    </w:pPr>
  </w:style>
  <w:style w:type="paragraph" w:customStyle="1" w:styleId="Refdenotaalpie2">
    <w:name w:val="Ref. de nota al pie2"/>
    <w:aliases w:val="Pie de pagina"/>
    <w:basedOn w:val="Normal"/>
    <w:uiPriority w:val="99"/>
    <w:qFormat/>
    <w:rsid w:val="0019028F"/>
    <w:pPr>
      <w:spacing w:line="240" w:lineRule="exact"/>
      <w:jc w:val="both"/>
    </w:pPr>
    <w:rPr>
      <w:sz w:val="20"/>
      <w:szCs w:val="20"/>
      <w:vertAlign w:val="superscrip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iicor.corteconstitucional.gov.co/controldeprocesos/archivo.php?id=63396" TargetMode="External"/><Relationship Id="rId2" Type="http://schemas.openxmlformats.org/officeDocument/2006/relationships/hyperlink" Target="https://siicor.corteconstitucional.gov.co/controldeprocesos/archivo.php?id=59415" TargetMode="External"/><Relationship Id="rId1" Type="http://schemas.openxmlformats.org/officeDocument/2006/relationships/hyperlink" Target="https://siicor.corteconstitucional.gov.co/controldeprocesos/archivo.php?id=62540" TargetMode="External"/><Relationship Id="rId4" Type="http://schemas.openxmlformats.org/officeDocument/2006/relationships/hyperlink" Target="https://siicor.corteconstitucional.gov.co/controldeprocesos/archivo.php?id=7459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8777</Words>
  <Characters>48277</Characters>
  <Application>Microsoft Office Word</Application>
  <DocSecurity>0</DocSecurity>
  <Lines>402</Lines>
  <Paragraphs>113</Paragraphs>
  <ScaleCrop>false</ScaleCrop>
  <Company/>
  <LinksUpToDate>false</LinksUpToDate>
  <CharactersWithSpaces>56941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2024-07-17T16:31:00Z</dcterms:created>
  <dcterms:modified xsi:type="dcterms:W3CDTF">2024-07-17T16:31:00Z</dcterms:modified>
</cp:coreProperties>
</file>